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72"/>
        <w:ind w:left="94" w:right="1754" w:firstLine="0"/>
        <w:jc w:val="center"/>
        <w:rPr>
          <w:rFonts w:ascii="黑体" w:hAnsi="黑体" w:cs="黑体" w:eastAsia="黑体" w:hint="default"/>
          <w:sz w:val="52"/>
          <w:szCs w:val="52"/>
        </w:rPr>
      </w:pPr>
      <w:r>
        <w:rPr>
          <w:rFonts w:ascii="黑体" w:hAnsi="黑体" w:cs="黑体" w:eastAsia="黑体" w:hint="default"/>
          <w:sz w:val="52"/>
          <w:szCs w:val="52"/>
        </w:rPr>
        <w:t>深圳达实智能股份有限公司</w:t>
      </w:r>
    </w:p>
    <w:p>
      <w:pPr>
        <w:spacing w:before="51"/>
        <w:ind w:left="99" w:right="1754" w:firstLine="0"/>
        <w:jc w:val="center"/>
        <w:rPr>
          <w:rFonts w:ascii="黑体" w:hAnsi="黑体" w:cs="黑体" w:eastAsia="黑体" w:hint="default"/>
          <w:sz w:val="44"/>
          <w:szCs w:val="44"/>
        </w:rPr>
      </w:pPr>
      <w:r>
        <w:rPr>
          <w:rFonts w:ascii="黑体" w:hAnsi="黑体" w:cs="黑体" w:eastAsia="黑体" w:hint="default"/>
          <w:sz w:val="44"/>
          <w:szCs w:val="44"/>
        </w:rPr>
        <w:t>（</w:t>
      </w:r>
      <w:r>
        <w:rPr>
          <w:rFonts w:ascii="黑体" w:hAnsi="黑体" w:cs="黑体" w:eastAsia="黑体" w:hint="default"/>
          <w:sz w:val="44"/>
          <w:szCs w:val="44"/>
        </w:rPr>
        <w:t>SHENZHEN DAS INTELLITECH CO.,</w:t>
      </w:r>
      <w:r>
        <w:rPr>
          <w:rFonts w:ascii="黑体" w:hAnsi="黑体" w:cs="黑体" w:eastAsia="黑体" w:hint="default"/>
          <w:spacing w:val="-7"/>
          <w:sz w:val="44"/>
          <w:szCs w:val="44"/>
        </w:rPr>
        <w:t> </w:t>
      </w:r>
      <w:r>
        <w:rPr>
          <w:rFonts w:ascii="黑体" w:hAnsi="黑体" w:cs="黑体" w:eastAsia="黑体" w:hint="default"/>
          <w:sz w:val="44"/>
          <w:szCs w:val="44"/>
        </w:rPr>
        <w:t>LTD.</w:t>
      </w:r>
      <w:r>
        <w:rPr>
          <w:rFonts w:ascii="黑体" w:hAnsi="黑体" w:cs="黑体" w:eastAsia="黑体" w:hint="default"/>
          <w:sz w:val="44"/>
          <w:szCs w:val="44"/>
        </w:rPr>
        <w:t>）</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9"/>
          <w:szCs w:val="29"/>
        </w:rPr>
      </w:pPr>
    </w:p>
    <w:p>
      <w:pPr>
        <w:spacing w:line="1245" w:lineRule="exact"/>
        <w:ind w:left="2214" w:right="0" w:firstLine="0"/>
        <w:rPr>
          <w:rFonts w:ascii="黑体" w:hAnsi="黑体" w:cs="黑体" w:eastAsia="黑体" w:hint="default"/>
          <w:sz w:val="20"/>
          <w:szCs w:val="20"/>
        </w:rPr>
      </w:pPr>
      <w:r>
        <w:rPr>
          <w:rFonts w:ascii="黑体" w:hAnsi="黑体" w:cs="黑体" w:eastAsia="黑体" w:hint="default"/>
          <w:position w:val="-24"/>
          <w:sz w:val="20"/>
          <w:szCs w:val="20"/>
        </w:rPr>
        <w:drawing>
          <wp:inline distT="0" distB="0" distL="0" distR="0">
            <wp:extent cx="2638212" cy="79095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638212" cy="790955"/>
                    </a:xfrm>
                    <a:prstGeom prst="rect">
                      <a:avLst/>
                    </a:prstGeom>
                  </pic:spPr>
                </pic:pic>
              </a:graphicData>
            </a:graphic>
          </wp:inline>
        </w:drawing>
      </w:r>
      <w:r>
        <w:rPr>
          <w:rFonts w:ascii="黑体" w:hAnsi="黑体" w:cs="黑体" w:eastAsia="黑体" w:hint="default"/>
          <w:position w:val="-24"/>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23"/>
          <w:szCs w:val="23"/>
        </w:rPr>
      </w:pPr>
    </w:p>
    <w:p>
      <w:pPr>
        <w:spacing w:line="621" w:lineRule="exact" w:before="0"/>
        <w:ind w:left="98" w:right="1754" w:firstLine="0"/>
        <w:jc w:val="center"/>
        <w:rPr>
          <w:rFonts w:ascii="黑体" w:hAnsi="黑体" w:cs="黑体" w:eastAsia="黑体" w:hint="default"/>
          <w:sz w:val="52"/>
          <w:szCs w:val="52"/>
        </w:rPr>
      </w:pPr>
      <w:r>
        <w:rPr>
          <w:rFonts w:ascii="黑体" w:hAnsi="黑体" w:cs="黑体" w:eastAsia="黑体" w:hint="default"/>
          <w:sz w:val="52"/>
          <w:szCs w:val="52"/>
        </w:rPr>
        <w:t>2012</w:t>
      </w:r>
      <w:r>
        <w:rPr>
          <w:rFonts w:ascii="黑体" w:hAnsi="黑体" w:cs="黑体" w:eastAsia="黑体" w:hint="default"/>
          <w:spacing w:val="-130"/>
          <w:sz w:val="52"/>
          <w:szCs w:val="52"/>
        </w:rPr>
        <w:t> </w:t>
      </w:r>
      <w:r>
        <w:rPr>
          <w:rFonts w:ascii="黑体" w:hAnsi="黑体" w:cs="黑体" w:eastAsia="黑体" w:hint="default"/>
          <w:sz w:val="52"/>
          <w:szCs w:val="52"/>
        </w:rPr>
        <w:t>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6"/>
        <w:rPr>
          <w:rFonts w:ascii="黑体" w:hAnsi="黑体" w:cs="黑体" w:eastAsia="黑体" w:hint="default"/>
          <w:sz w:val="51"/>
          <w:szCs w:val="51"/>
        </w:rPr>
      </w:pPr>
    </w:p>
    <w:p>
      <w:pPr>
        <w:spacing w:before="0"/>
        <w:ind w:left="96" w:right="1754" w:firstLine="0"/>
        <w:jc w:val="center"/>
        <w:rPr>
          <w:rFonts w:ascii="宋体" w:hAnsi="宋体" w:cs="宋体" w:eastAsia="宋体" w:hint="default"/>
          <w:sz w:val="32"/>
          <w:szCs w:val="32"/>
        </w:rPr>
      </w:pPr>
      <w:r>
        <w:rPr/>
        <w:pict>
          <v:shape style="position:absolute;margin-left:460.320007pt;margin-top:51.147499pt;width:135.0pt;height:77pt;mso-position-horizontal-relative:page;mso-position-vertical-relative:paragraph;z-index:0" type="#_x0000_t75" stroked="false">
            <v:imagedata r:id="rId6" o:title=""/>
          </v:shape>
        </w:pict>
      </w: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1580" w:bottom="0" w:left="16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2803" w:right="1123"/>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公司负责人刘磅、主管会计工作负责人黄天朗及会计机构负责人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蒋国清声明：保证年度报告中财务报告的真实、准确、完整。</w:t>
      </w:r>
      <w:r>
        <w:rPr>
          <w:rFonts w:ascii="宋体" w:hAnsi="宋体" w:cs="宋体" w:eastAsia="宋体" w:hint="default"/>
          <w:sz w:val="28"/>
          <w:szCs w:val="28"/>
        </w:rPr>
      </w:r>
    </w:p>
    <w:p>
      <w:pPr>
        <w:spacing w:line="472" w:lineRule="auto" w:before="148"/>
        <w:ind w:left="714" w:right="112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2012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2" w:right="0" w:firstLine="0"/>
        <w:jc w:val="left"/>
        <w:rPr>
          <w:rFonts w:ascii="Times New Roman" w:hAnsi="Times New Roman" w:cs="Times New Roman" w:eastAsia="Times New Roman" w:hint="default"/>
          <w:sz w:val="28"/>
          <w:szCs w:val="28"/>
        </w:rPr>
      </w:pPr>
      <w:r>
        <w:rPr>
          <w:rFonts w:ascii="宋体" w:hAnsi="宋体" w:cs="宋体" w:eastAsia="宋体" w:hint="default"/>
          <w:b/>
          <w:bCs/>
          <w:w w:val="99"/>
          <w:sz w:val="28"/>
          <w:szCs w:val="28"/>
        </w:rPr>
        <w:t>司总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25"/>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w w:val="99"/>
          <w:sz w:val="28"/>
          <w:szCs w:val="28"/>
        </w:rPr>
        <w:t>现金红利</w:t>
      </w:r>
      <w:r>
        <w:rPr>
          <w:rFonts w:ascii="宋体" w:hAnsi="宋体" w:cs="宋体" w:eastAsia="宋体" w:hint="default"/>
          <w:b/>
          <w:bCs/>
          <w:spacing w:val="-26"/>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2"/>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26"/>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w w:val="100"/>
          <w:sz w:val="28"/>
          <w:szCs w:val="28"/>
        </w:rPr>
      </w:r>
    </w:p>
    <w:p>
      <w:pPr>
        <w:spacing w:before="236"/>
        <w:ind w:left="152" w:right="1123" w:firstLine="0"/>
        <w:jc w:val="left"/>
        <w:rPr>
          <w:rFonts w:ascii="宋体" w:hAnsi="宋体" w:cs="宋体" w:eastAsia="宋体" w:hint="default"/>
          <w:sz w:val="28"/>
          <w:szCs w:val="28"/>
        </w:rPr>
      </w:pP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，不</w:t>
      </w:r>
      <w:r>
        <w:rPr>
          <w:rFonts w:ascii="宋体" w:hAnsi="宋体" w:cs="宋体" w:eastAsia="宋体" w:hint="default"/>
          <w:b/>
          <w:bCs/>
          <w:spacing w:val="2"/>
          <w:w w:val="99"/>
          <w:sz w:val="28"/>
          <w:szCs w:val="28"/>
        </w:rPr>
        <w:t>以</w:t>
      </w:r>
      <w:r>
        <w:rPr>
          <w:rFonts w:ascii="宋体" w:hAnsi="宋体" w:cs="宋体" w:eastAsia="宋体" w:hint="default"/>
          <w:b/>
          <w:bCs/>
          <w:w w:val="99"/>
          <w:sz w:val="28"/>
          <w:szCs w:val="28"/>
        </w:rPr>
        <w:t>公积金</w:t>
      </w:r>
      <w:r>
        <w:rPr>
          <w:rFonts w:ascii="宋体" w:hAnsi="宋体" w:cs="宋体" w:eastAsia="宋体" w:hint="default"/>
          <w:b/>
          <w:bCs/>
          <w:spacing w:val="2"/>
          <w:w w:val="99"/>
          <w:sz w:val="28"/>
          <w:szCs w:val="28"/>
        </w:rPr>
        <w:t>转</w:t>
      </w:r>
      <w:r>
        <w:rPr>
          <w:rFonts w:ascii="宋体" w:hAnsi="宋体" w:cs="宋体" w:eastAsia="宋体" w:hint="default"/>
          <w:b/>
          <w:bCs/>
          <w:w w:val="99"/>
          <w:sz w:val="28"/>
          <w:szCs w:val="28"/>
        </w:rPr>
        <w:t>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7"/>
          <w:footerReference w:type="default" r:id="rId8"/>
          <w:pgSz w:w="11910" w:h="16840"/>
          <w:pgMar w:header="877" w:footer="1340" w:top="1060" w:bottom="1540" w:left="980" w:right="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460" w:lineRule="exact" w:before="0"/>
        <w:ind w:left="133" w:right="11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TOC_250010">
            <w:r>
              <w:rPr/>
              <w:t>第一节</w:t>
            </w:r>
            <w:r>
              <w:rPr>
                <w:spacing w:val="-2"/>
              </w:rPr>
              <w:t> </w:t>
            </w:r>
            <w:r>
              <w:rPr/>
              <w:t>重要提示、目录和释义</w:t>
            </w:r>
            <w:r>
              <w:rPr>
                <w:rFonts w:ascii="宋体" w:hAnsi="宋体" w:cs="宋体" w:eastAsia="宋体" w:hint="default"/>
              </w:rPr>
              <w:tab/>
              <w:t>1</w:t>
            </w:r>
          </w:hyperlink>
        </w:p>
        <w:p>
          <w:pPr>
            <w:pStyle w:val="TOC1"/>
            <w:tabs>
              <w:tab w:pos="9783" w:val="right" w:leader="dot"/>
            </w:tabs>
            <w:spacing w:line="240" w:lineRule="auto"/>
            <w:ind w:right="0"/>
            <w:jc w:val="left"/>
            <w:rPr>
              <w:rFonts w:ascii="宋体" w:hAnsi="宋体" w:cs="宋体" w:eastAsia="宋体" w:hint="default"/>
            </w:rPr>
          </w:pPr>
          <w:hyperlink w:history="true" w:anchor="_TOC_250009">
            <w:r>
              <w:rPr/>
              <w:t>第二节</w:t>
            </w:r>
            <w:r>
              <w:rPr>
                <w:spacing w:val="-2"/>
              </w:rPr>
              <w:t> </w:t>
            </w:r>
            <w:r>
              <w:rPr/>
              <w:t>公司简介</w:t>
            </w:r>
            <w:r>
              <w:rPr>
                <w:rFonts w:ascii="宋体" w:hAnsi="宋体" w:cs="宋体" w:eastAsia="宋体" w:hint="default"/>
              </w:rPr>
              <w:tab/>
              <w:t>5</w:t>
            </w:r>
          </w:hyperlink>
        </w:p>
        <w:p>
          <w:pPr>
            <w:pStyle w:val="TOC1"/>
            <w:tabs>
              <w:tab w:pos="9783" w:val="right" w:leader="dot"/>
            </w:tabs>
            <w:spacing w:line="240" w:lineRule="auto"/>
            <w:ind w:right="0"/>
            <w:jc w:val="left"/>
            <w:rPr>
              <w:rFonts w:ascii="宋体" w:hAnsi="宋体" w:cs="宋体" w:eastAsia="宋体" w:hint="default"/>
            </w:rPr>
          </w:pPr>
          <w:hyperlink w:history="true" w:anchor="_TOC_250008">
            <w:r>
              <w:rPr/>
              <w:t>第三节</w:t>
            </w:r>
            <w:r>
              <w:rPr>
                <w:spacing w:val="-2"/>
              </w:rPr>
              <w:t> </w:t>
            </w:r>
            <w:r>
              <w:rPr/>
              <w:t>会计数据和财务指标摘要</w:t>
            </w:r>
            <w:r>
              <w:rPr>
                <w:rFonts w:ascii="宋体" w:hAnsi="宋体" w:cs="宋体" w:eastAsia="宋体" w:hint="default"/>
              </w:rPr>
              <w:tab/>
              <w:t>7</w:t>
            </w:r>
          </w:hyperlink>
        </w:p>
        <w:p>
          <w:pPr>
            <w:pStyle w:val="TOC1"/>
            <w:tabs>
              <w:tab w:pos="9783" w:val="right" w:leader="dot"/>
            </w:tabs>
            <w:spacing w:line="240" w:lineRule="auto" w:before="135"/>
            <w:ind w:right="0"/>
            <w:jc w:val="left"/>
            <w:rPr>
              <w:rFonts w:ascii="宋体" w:hAnsi="宋体" w:cs="宋体" w:eastAsia="宋体" w:hint="default"/>
            </w:rPr>
          </w:pPr>
          <w:hyperlink w:history="true" w:anchor="_TOC_250007">
            <w:r>
              <w:rPr/>
              <w:t>第四节</w:t>
            </w:r>
            <w:r>
              <w:rPr>
                <w:spacing w:val="-2"/>
              </w:rPr>
              <w:t> </w:t>
            </w:r>
            <w:r>
              <w:rPr/>
              <w:t>董事会报告</w:t>
            </w:r>
            <w:r>
              <w:rPr>
                <w:rFonts w:ascii="宋体" w:hAnsi="宋体" w:cs="宋体" w:eastAsia="宋体" w:hint="default"/>
              </w:rPr>
              <w:tab/>
              <w:t>9</w:t>
            </w:r>
          </w:hyperlink>
        </w:p>
        <w:p>
          <w:pPr>
            <w:pStyle w:val="TOC1"/>
            <w:tabs>
              <w:tab w:pos="9783" w:val="right" w:leader="dot"/>
            </w:tabs>
            <w:spacing w:line="240" w:lineRule="auto"/>
            <w:ind w:right="0"/>
            <w:jc w:val="left"/>
            <w:rPr>
              <w:rFonts w:ascii="宋体" w:hAnsi="宋体" w:cs="宋体" w:eastAsia="宋体" w:hint="default"/>
            </w:rPr>
          </w:pPr>
          <w:hyperlink w:history="true" w:anchor="_TOC_250006">
            <w:r>
              <w:rPr/>
              <w:t>第五节</w:t>
            </w:r>
            <w:r>
              <w:rPr>
                <w:spacing w:val="-2"/>
              </w:rPr>
              <w:t> </w:t>
            </w:r>
            <w:r>
              <w:rPr/>
              <w:t>重要事项</w:t>
            </w:r>
            <w:r>
              <w:rPr>
                <w:rFonts w:ascii="宋体" w:hAnsi="宋体" w:cs="宋体" w:eastAsia="宋体" w:hint="default"/>
              </w:rPr>
              <w:tab/>
              <w:t>27</w:t>
            </w:r>
          </w:hyperlink>
        </w:p>
        <w:p>
          <w:pPr>
            <w:pStyle w:val="TOC1"/>
            <w:tabs>
              <w:tab w:pos="9783" w:val="right" w:leader="dot"/>
            </w:tabs>
            <w:spacing w:line="240" w:lineRule="auto"/>
            <w:ind w:right="0"/>
            <w:jc w:val="left"/>
            <w:rPr>
              <w:rFonts w:ascii="宋体" w:hAnsi="宋体" w:cs="宋体" w:eastAsia="宋体" w:hint="default"/>
            </w:rPr>
          </w:pPr>
          <w:hyperlink w:history="true" w:anchor="_TOC_250005">
            <w:r>
              <w:rPr/>
              <w:t>第六节</w:t>
            </w:r>
            <w:r>
              <w:rPr>
                <w:spacing w:val="-2"/>
              </w:rPr>
              <w:t> </w:t>
            </w:r>
            <w:r>
              <w:rPr/>
              <w:t>股份变动及股东情况</w:t>
            </w:r>
            <w:r>
              <w:rPr>
                <w:rFonts w:ascii="宋体" w:hAnsi="宋体" w:cs="宋体" w:eastAsia="宋体" w:hint="default"/>
              </w:rPr>
              <w:tab/>
              <w:t>33</w:t>
            </w:r>
          </w:hyperlink>
        </w:p>
        <w:p>
          <w:pPr>
            <w:pStyle w:val="TOC1"/>
            <w:tabs>
              <w:tab w:pos="9783" w:val="right" w:leader="dot"/>
            </w:tabs>
            <w:spacing w:line="240" w:lineRule="auto"/>
            <w:ind w:right="0"/>
            <w:jc w:val="left"/>
            <w:rPr>
              <w:rFonts w:ascii="宋体" w:hAnsi="宋体" w:cs="宋体" w:eastAsia="宋体" w:hint="default"/>
            </w:rPr>
          </w:pPr>
          <w:hyperlink w:history="true" w:anchor="_TOC_250004">
            <w:r>
              <w:rPr/>
              <w:t>第七节</w:t>
            </w:r>
            <w:r>
              <w:rPr>
                <w:spacing w:val="-2"/>
              </w:rPr>
              <w:t> </w:t>
            </w:r>
            <w:r>
              <w:rPr/>
              <w:t>董事、监事、高级管理人员和员工情况</w:t>
            </w:r>
            <w:r>
              <w:rPr>
                <w:rFonts w:ascii="宋体" w:hAnsi="宋体" w:cs="宋体" w:eastAsia="宋体" w:hint="default"/>
              </w:rPr>
              <w:tab/>
              <w:t>39</w:t>
            </w:r>
          </w:hyperlink>
        </w:p>
        <w:p>
          <w:pPr>
            <w:pStyle w:val="TOC1"/>
            <w:tabs>
              <w:tab w:pos="9783" w:val="right" w:leader="dot"/>
            </w:tabs>
            <w:spacing w:line="240" w:lineRule="auto" w:before="135"/>
            <w:ind w:right="0"/>
            <w:jc w:val="left"/>
            <w:rPr>
              <w:rFonts w:ascii="宋体" w:hAnsi="宋体" w:cs="宋体" w:eastAsia="宋体" w:hint="default"/>
            </w:rPr>
          </w:pPr>
          <w:hyperlink w:history="true" w:anchor="_TOC_250003">
            <w:r>
              <w:rPr/>
              <w:t>第八节</w:t>
            </w:r>
            <w:r>
              <w:rPr>
                <w:spacing w:val="-2"/>
              </w:rPr>
              <w:t> </w:t>
            </w:r>
            <w:r>
              <w:rPr/>
              <w:t>公司治理</w:t>
            </w:r>
            <w:r>
              <w:rPr>
                <w:rFonts w:ascii="宋体" w:hAnsi="宋体" w:cs="宋体" w:eastAsia="宋体" w:hint="default"/>
              </w:rPr>
              <w:tab/>
              <w:t>47</w:t>
            </w:r>
          </w:hyperlink>
        </w:p>
        <w:p>
          <w:pPr>
            <w:pStyle w:val="TOC1"/>
            <w:tabs>
              <w:tab w:pos="9783" w:val="right" w:leader="dot"/>
            </w:tabs>
            <w:spacing w:line="240" w:lineRule="auto"/>
            <w:ind w:right="0"/>
            <w:jc w:val="left"/>
            <w:rPr>
              <w:rFonts w:ascii="宋体" w:hAnsi="宋体" w:cs="宋体" w:eastAsia="宋体" w:hint="default"/>
            </w:rPr>
          </w:pPr>
          <w:hyperlink w:history="true" w:anchor="_TOC_250002">
            <w:r>
              <w:rPr/>
              <w:t>第九节</w:t>
            </w:r>
            <w:r>
              <w:rPr>
                <w:spacing w:val="-2"/>
              </w:rPr>
              <w:t> </w:t>
            </w:r>
            <w:r>
              <w:rPr/>
              <w:t>内部控制</w:t>
            </w:r>
            <w:r>
              <w:rPr>
                <w:rFonts w:ascii="宋体" w:hAnsi="宋体" w:cs="宋体" w:eastAsia="宋体" w:hint="default"/>
              </w:rPr>
              <w:tab/>
              <w:t>54</w:t>
            </w:r>
          </w:hyperlink>
        </w:p>
        <w:p>
          <w:pPr>
            <w:pStyle w:val="TOC1"/>
            <w:tabs>
              <w:tab w:pos="9783" w:val="right" w:leader="dot"/>
            </w:tabs>
            <w:spacing w:line="240" w:lineRule="auto"/>
            <w:ind w:right="0"/>
            <w:jc w:val="left"/>
            <w:rPr>
              <w:rFonts w:ascii="宋体" w:hAnsi="宋体" w:cs="宋体" w:eastAsia="宋体" w:hint="default"/>
            </w:rPr>
          </w:pPr>
          <w:hyperlink w:history="true" w:anchor="_TOC_250001">
            <w:r>
              <w:rPr/>
              <w:t>第十节</w:t>
            </w:r>
            <w:r>
              <w:rPr>
                <w:spacing w:val="-2"/>
              </w:rPr>
              <w:t> </w:t>
            </w:r>
            <w:r>
              <w:rPr/>
              <w:t>财务报告</w:t>
            </w:r>
            <w:r>
              <w:rPr>
                <w:rFonts w:ascii="宋体" w:hAnsi="宋体" w:cs="宋体" w:eastAsia="宋体" w:hint="default"/>
              </w:rPr>
              <w:tab/>
              <w:t>57</w:t>
            </w:r>
          </w:hyperlink>
        </w:p>
        <w:p>
          <w:pPr>
            <w:pStyle w:val="TOC1"/>
            <w:tabs>
              <w:tab w:pos="9785" w:val="right" w:leader="dot"/>
            </w:tabs>
            <w:spacing w:line="240" w:lineRule="auto"/>
            <w:ind w:right="0"/>
            <w:jc w:val="left"/>
            <w:rPr>
              <w:rFonts w:ascii="宋体" w:hAnsi="宋体" w:cs="宋体" w:eastAsia="宋体" w:hint="default"/>
            </w:rPr>
          </w:pPr>
          <w:hyperlink w:history="true" w:anchor="_TOC_250000">
            <w:r>
              <w:rPr/>
              <w:t>第十一节</w:t>
            </w:r>
            <w:r>
              <w:rPr>
                <w:spacing w:val="-2"/>
              </w:rPr>
              <w:t> </w:t>
            </w:r>
            <w:r>
              <w:rPr/>
              <w:t>备查文件目录</w:t>
            </w:r>
            <w:r>
              <w:rPr>
                <w:rFonts w:ascii="宋体" w:hAnsi="宋体" w:cs="宋体" w:eastAsia="宋体" w:hint="default"/>
              </w:rPr>
              <w:tab/>
              <w:t>141</w:t>
            </w:r>
          </w:hyperlink>
        </w:p>
        <w:p>
          <w:pPr/>
          <w:r>
            <w:fldChar w:fldCharType="end"/>
          </w:r>
        </w:p>
      </w:sdtContent>
    </w:sdt>
    <w:p>
      <w:pPr>
        <w:spacing w:after="0"/>
        <w:sectPr>
          <w:pgSz w:w="11910" w:h="16840"/>
          <w:pgMar w:header="877" w:footer="1340" w:top="1100" w:bottom="1540" w:left="980" w:right="0"/>
        </w:sect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before="236"/>
        <w:ind w:left="133" w:right="11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11"/>
        <w:gridCol w:w="5424"/>
      </w:tblGrid>
      <w:tr>
        <w:trPr>
          <w:trHeight w:val="403"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达实信息</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达实德润</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北京达实德润能源科技有限公司</w:t>
            </w:r>
          </w:p>
        </w:tc>
      </w:tr>
      <w:tr>
        <w:trPr>
          <w:trHeight w:val="404"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达实联欣</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达实自动化</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上海达实自动化工程有限公司</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1340" w:top="110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before="0"/>
        <w:ind w:left="133" w:right="1111"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386" w:lineRule="auto" w:before="0"/>
        <w:ind w:left="152" w:right="1132" w:firstLine="562"/>
        <w:jc w:val="left"/>
        <w:rPr>
          <w:rFonts w:ascii="宋体" w:hAnsi="宋体" w:cs="宋体" w:eastAsia="宋体" w:hint="default"/>
          <w:sz w:val="28"/>
          <w:szCs w:val="28"/>
        </w:rPr>
      </w:pPr>
      <w:r>
        <w:rPr>
          <w:rFonts w:ascii="宋体" w:hAnsi="宋体" w:cs="宋体" w:eastAsia="宋体" w:hint="default"/>
          <w:b/>
          <w:bCs/>
          <w:spacing w:val="2"/>
          <w:sz w:val="28"/>
          <w:szCs w:val="28"/>
        </w:rPr>
        <w:t>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董事会报告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中，详细描述了公司可能面对的风险因素及应</w:t>
      </w:r>
      <w:r>
        <w:rPr>
          <w:rFonts w:ascii="宋体" w:hAnsi="宋体" w:cs="宋体" w:eastAsia="宋体" w:hint="default"/>
          <w:b/>
          <w:bCs/>
          <w:w w:val="99"/>
          <w:sz w:val="28"/>
          <w:szCs w:val="28"/>
        </w:rPr>
        <w:t> </w:t>
      </w:r>
      <w:r>
        <w:rPr>
          <w:rFonts w:ascii="宋体" w:hAnsi="宋体" w:cs="宋体" w:eastAsia="宋体" w:hint="default"/>
          <w:b/>
          <w:bCs/>
          <w:sz w:val="28"/>
          <w:szCs w:val="28"/>
        </w:rPr>
        <w:t>对措施，敬请投资者关注相关内容。</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pgSz w:w="11910" w:h="16840"/>
          <w:pgMar w:header="877" w:footer="1340" w:top="110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52"/>
        <w:ind w:right="1109"/>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6"/>
        <w:gridCol w:w="2176"/>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达实智能</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002421</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达实智能</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SHENZHEN DAS INTELLITECH CO.,</w:t>
            </w:r>
            <w:r>
              <w:rPr>
                <w:rFonts w:ascii="Times New Roman"/>
                <w:spacing w:val="-4"/>
                <w:sz w:val="18"/>
              </w:rPr>
              <w:t> </w:t>
            </w:r>
            <w:r>
              <w:rPr>
                <w:rFonts w:ascii="Times New Roman"/>
                <w:spacing w:val="-6"/>
                <w:sz w:val="18"/>
              </w:rPr>
              <w:t>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45"/>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DAS</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刘磅</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深圳市南山区高新技术村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W1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座五楼</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深圳市南山区高新技术产业园达实智能大厦</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www.chn-das.com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das@chn-das.com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203"/>
        <w:gridCol w:w="3178"/>
        <w:gridCol w:w="3179"/>
      </w:tblGrid>
      <w:tr>
        <w:trPr>
          <w:trHeight w:val="403" w:hRule="exact"/>
        </w:trPr>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20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78"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张红萍</w:t>
            </w:r>
          </w:p>
        </w:tc>
      </w:tr>
      <w:tr>
        <w:trPr>
          <w:trHeight w:val="161" w:hRule="exact"/>
        </w:trPr>
        <w:tc>
          <w:tcPr>
            <w:tcW w:w="3203" w:type="dxa"/>
            <w:tcBorders>
              <w:top w:val="single" w:sz="4" w:space="0" w:color="000000"/>
              <w:left w:val="single" w:sz="4" w:space="0" w:color="000000"/>
              <w:bottom w:val="nil" w:sz="6" w:space="0" w:color="auto"/>
              <w:right w:val="single" w:sz="10" w:space="0" w:color="C6ECCC"/>
            </w:tcBorders>
            <w:shd w:val="clear" w:color="auto" w:fill="D2D2D2"/>
          </w:tcPr>
          <w:p>
            <w:pPr/>
          </w:p>
        </w:tc>
        <w:tc>
          <w:tcPr>
            <w:tcW w:w="3178" w:type="dxa"/>
            <w:vMerge w:val="restart"/>
            <w:tcBorders>
              <w:top w:val="single" w:sz="4" w:space="0" w:color="000000"/>
              <w:left w:val="single" w:sz="9" w:space="0" w:color="D2D2D2"/>
              <w:right w:val="single" w:sz="4" w:space="0" w:color="000000"/>
            </w:tcBorders>
            <w:shd w:val="clear" w:color="auto" w:fill="C6ECCC"/>
          </w:tcPr>
          <w:p>
            <w:pPr>
              <w:pStyle w:val="TableParagraph"/>
              <w:spacing w:line="316" w:lineRule="auto" w:before="49"/>
              <w:ind w:left="5" w:right="94"/>
              <w:jc w:val="left"/>
              <w:rPr>
                <w:rFonts w:ascii="宋体" w:hAnsi="宋体" w:cs="宋体" w:eastAsia="宋体" w:hint="default"/>
                <w:sz w:val="18"/>
                <w:szCs w:val="18"/>
              </w:rPr>
            </w:pPr>
            <w:r>
              <w:rPr>
                <w:rFonts w:ascii="宋体" w:hAnsi="宋体" w:cs="宋体" w:eastAsia="宋体" w:hint="default"/>
                <w:sz w:val="18"/>
                <w:szCs w:val="18"/>
              </w:rPr>
              <w:t>深圳市南山区高新技术产业园达实智能 大厦</w:t>
            </w:r>
          </w:p>
        </w:tc>
        <w:tc>
          <w:tcPr>
            <w:tcW w:w="3179"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深圳市南山区高新技术产业园达实智能 大厦</w:t>
            </w:r>
          </w:p>
        </w:tc>
      </w:tr>
      <w:tr>
        <w:trPr>
          <w:trHeight w:val="394" w:hRule="exact"/>
        </w:trPr>
        <w:tc>
          <w:tcPr>
            <w:tcW w:w="3203" w:type="dxa"/>
            <w:tcBorders>
              <w:top w:val="nil" w:sz="6" w:space="0" w:color="auto"/>
              <w:left w:val="single" w:sz="4" w:space="0" w:color="000000"/>
              <w:bottom w:val="nil" w:sz="6" w:space="0" w:color="auto"/>
              <w:right w:val="single" w:sz="10" w:space="0" w:color="C6EC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78" w:type="dxa"/>
            <w:vMerge/>
            <w:tcBorders>
              <w:left w:val="single" w:sz="9" w:space="0" w:color="D2D2D2"/>
              <w:right w:val="single" w:sz="4" w:space="0" w:color="000000"/>
            </w:tcBorders>
            <w:shd w:val="clear" w:color="auto" w:fill="C6ECCC"/>
          </w:tcPr>
          <w:p>
            <w:pPr/>
          </w:p>
        </w:tc>
        <w:tc>
          <w:tcPr>
            <w:tcW w:w="3179" w:type="dxa"/>
            <w:vMerge/>
            <w:tcBorders>
              <w:left w:val="single" w:sz="4" w:space="0" w:color="000000"/>
              <w:right w:val="single" w:sz="4" w:space="0" w:color="000000"/>
            </w:tcBorders>
            <w:shd w:val="clear" w:color="auto" w:fill="C6ECCC"/>
          </w:tcPr>
          <w:p>
            <w:pPr/>
          </w:p>
        </w:tc>
      </w:tr>
      <w:tr>
        <w:trPr>
          <w:trHeight w:val="161" w:hRule="exact"/>
        </w:trPr>
        <w:tc>
          <w:tcPr>
            <w:tcW w:w="3203" w:type="dxa"/>
            <w:tcBorders>
              <w:top w:val="nil" w:sz="6" w:space="0" w:color="auto"/>
              <w:left w:val="single" w:sz="4" w:space="0" w:color="000000"/>
              <w:bottom w:val="single" w:sz="4" w:space="0" w:color="000000"/>
              <w:right w:val="single" w:sz="10" w:space="0" w:color="C6ECCC"/>
            </w:tcBorders>
            <w:shd w:val="clear" w:color="auto" w:fill="D2D2D2"/>
          </w:tcPr>
          <w:p>
            <w:pPr/>
          </w:p>
        </w:tc>
        <w:tc>
          <w:tcPr>
            <w:tcW w:w="3178" w:type="dxa"/>
            <w:vMerge/>
            <w:tcBorders>
              <w:left w:val="single" w:sz="9" w:space="0" w:color="D2D2D2"/>
              <w:bottom w:val="single" w:sz="4" w:space="0" w:color="000000"/>
              <w:right w:val="single" w:sz="4" w:space="0" w:color="000000"/>
            </w:tcBorders>
            <w:shd w:val="clear" w:color="auto" w:fill="C6ECCC"/>
          </w:tcPr>
          <w:p>
            <w:pPr/>
          </w:p>
        </w:tc>
        <w:tc>
          <w:tcPr>
            <w:tcW w:w="3179" w:type="dxa"/>
            <w:vMerge/>
            <w:tcBorders>
              <w:left w:val="single" w:sz="4" w:space="0" w:color="000000"/>
              <w:bottom w:val="single" w:sz="4" w:space="0" w:color="000000"/>
              <w:right w:val="single" w:sz="4" w:space="0" w:color="000000"/>
            </w:tcBorders>
            <w:shd w:val="clear" w:color="auto" w:fill="C6ECCC"/>
          </w:tcPr>
          <w:p>
            <w:pPr/>
          </w:p>
        </w:tc>
      </w:tr>
      <w:tr>
        <w:trPr>
          <w:trHeight w:val="401" w:hRule="exact"/>
        </w:trPr>
        <w:tc>
          <w:tcPr>
            <w:tcW w:w="320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78"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0755-26525166</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0755-26525166</w:t>
            </w:r>
          </w:p>
        </w:tc>
      </w:tr>
      <w:tr>
        <w:trPr>
          <w:trHeight w:val="403" w:hRule="exact"/>
        </w:trPr>
        <w:tc>
          <w:tcPr>
            <w:tcW w:w="320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78"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0755-26639599</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0755-26639599</w:t>
            </w:r>
          </w:p>
        </w:tc>
      </w:tr>
      <w:tr>
        <w:trPr>
          <w:trHeight w:val="401" w:hRule="exact"/>
        </w:trPr>
        <w:tc>
          <w:tcPr>
            <w:tcW w:w="320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78"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1" w:right="0"/>
              <w:jc w:val="left"/>
              <w:rPr>
                <w:rFonts w:ascii="Times New Roman" w:hAnsi="Times New Roman" w:cs="Times New Roman" w:eastAsia="Times New Roman" w:hint="default"/>
                <w:sz w:val="18"/>
                <w:szCs w:val="18"/>
              </w:rPr>
            </w:pPr>
            <w:hyperlink r:id="rId10">
              <w:r>
                <w:rPr>
                  <w:rFonts w:ascii="Times New Roman"/>
                  <w:sz w:val="18"/>
                </w:rPr>
                <w:t>das@chn-das.com</w:t>
              </w:r>
            </w:hyperlink>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das@chn-das.com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8"/>
        <w:gridCol w:w="5841"/>
      </w:tblGrid>
      <w:tr>
        <w:trPr>
          <w:trHeight w:val="403"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1"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877" w:footer="1340" w:top="1100" w:bottom="154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right="1123"/>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5"/>
        <w:gridCol w:w="1592"/>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2"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96"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工商外企合粤深字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106429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440301618886181</w:t>
            </w:r>
          </w:p>
        </w:tc>
        <w:tc>
          <w:tcPr>
            <w:tcW w:w="159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61888618-1</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5" w:type="dxa"/>
            <w:vMerge/>
            <w:tcBorders>
              <w:left w:val="single" w:sz="9" w:space="0" w:color="D2D2D2"/>
              <w:right w:val="single" w:sz="4" w:space="0" w:color="000000"/>
            </w:tcBorders>
          </w:tcPr>
          <w:p>
            <w:pPr/>
          </w:p>
        </w:tc>
        <w:tc>
          <w:tcPr>
            <w:tcW w:w="1592" w:type="dxa"/>
            <w:vMerge/>
            <w:tcBorders>
              <w:left w:val="single" w:sz="4" w:space="0" w:color="000000"/>
              <w:right w:val="single" w:sz="4" w:space="0" w:color="000000"/>
            </w:tcBorders>
            <w:shd w:val="clear" w:color="auto" w:fill="C6ECCC"/>
          </w:tcPr>
          <w:p>
            <w:pPr/>
          </w:p>
        </w:tc>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shd w:val="clear" w:color="auto" w:fill="C6ECCC"/>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9" w:space="0" w:color="D2D2D2"/>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shd w:val="clear" w:color="auto" w:fill="C6ECCC"/>
          </w:tcPr>
          <w:p>
            <w:pPr/>
          </w:p>
        </w:tc>
        <w:tc>
          <w:tcPr>
            <w:tcW w:w="1596" w:type="dxa"/>
            <w:vMerge/>
            <w:tcBorders>
              <w:left w:val="single" w:sz="4" w:space="0" w:color="000000"/>
              <w:bottom w:val="single" w:sz="4" w:space="0" w:color="000000"/>
              <w:right w:val="single" w:sz="4" w:space="0" w:color="000000"/>
            </w:tcBorders>
            <w:shd w:val="clear" w:color="auto" w:fill="C6ECCC"/>
          </w:tcPr>
          <w:p>
            <w:pPr/>
          </w:p>
        </w:tc>
        <w:tc>
          <w:tcPr>
            <w:tcW w:w="1594" w:type="dxa"/>
            <w:vMerge/>
            <w:tcBorders>
              <w:left w:val="single" w:sz="4" w:space="0" w:color="000000"/>
              <w:bottom w:val="single" w:sz="4" w:space="0" w:color="000000"/>
              <w:right w:val="single" w:sz="4" w:space="0" w:color="000000"/>
            </w:tcBorders>
            <w:shd w:val="clear" w:color="auto" w:fill="C6ECCC"/>
          </w:tcPr>
          <w:p>
            <w:pPr/>
          </w:p>
        </w:tc>
        <w:tc>
          <w:tcPr>
            <w:tcW w:w="1594" w:type="dxa"/>
            <w:vMerge/>
            <w:tcBorders>
              <w:left w:val="single" w:sz="4" w:space="0" w:color="000000"/>
              <w:bottom w:val="single" w:sz="4" w:space="0" w:color="000000"/>
              <w:right w:val="single" w:sz="4" w:space="0" w:color="000000"/>
            </w:tcBorders>
            <w:shd w:val="clear" w:color="auto" w:fill="C6ECCC"/>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440301102717424</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440301618886181</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61888618-1</w:t>
            </w:r>
          </w:p>
        </w:tc>
      </w:tr>
      <w:tr>
        <w:trPr>
          <w:trHeight w:val="715" w:hRule="exact"/>
        </w:trPr>
        <w:tc>
          <w:tcPr>
            <w:tcW w:w="31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3"/>
        <w:gridCol w:w="6907"/>
      </w:tblGrid>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中勤万信会计师事务所有限公司</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北京市西城区复兴门内大街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号凯晨世贸中心东座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F4</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龙哲、潘忠民</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9"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64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中国中投证券有限责任公司</w:t>
            </w:r>
          </w:p>
        </w:tc>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7" w:lineRule="auto" w:before="44"/>
              <w:ind w:left="23" w:right="-34"/>
              <w:jc w:val="left"/>
              <w:rPr>
                <w:rFonts w:ascii="宋体" w:hAnsi="宋体" w:cs="宋体" w:eastAsia="宋体" w:hint="default"/>
                <w:sz w:val="18"/>
                <w:szCs w:val="18"/>
              </w:rPr>
            </w:pPr>
            <w:r>
              <w:rPr>
                <w:rFonts w:ascii="宋体" w:hAnsi="宋体" w:cs="宋体" w:eastAsia="宋体" w:hint="default"/>
                <w:sz w:val="18"/>
                <w:szCs w:val="18"/>
              </w:rPr>
              <w:t>深圳市福田区益田路与福中 路交界处荣超商务中心</w:t>
            </w:r>
            <w:r>
              <w:rPr>
                <w:rFonts w:ascii="宋体" w:hAnsi="宋体" w:cs="宋体" w:eastAsia="宋体" w:hint="default"/>
                <w:spacing w:val="-66"/>
                <w:sz w:val="18"/>
                <w:szCs w:val="18"/>
              </w:rPr>
              <w:t> </w:t>
            </w:r>
            <w:r>
              <w:rPr>
                <w:rFonts w:ascii="Times New Roman" w:hAnsi="Times New Roman" w:cs="Times New Roman" w:eastAsia="Times New Roman" w:hint="default"/>
                <w:spacing w:val="7"/>
                <w:sz w:val="18"/>
                <w:szCs w:val="18"/>
              </w:rPr>
              <w:t>A</w:t>
            </w:r>
            <w:r>
              <w:rPr>
                <w:rFonts w:ascii="宋体" w:hAnsi="宋体" w:cs="宋体" w:eastAsia="宋体" w:hint="default"/>
                <w:spacing w:val="7"/>
                <w:sz w:val="18"/>
                <w:szCs w:val="18"/>
              </w:rPr>
              <w:t>栋第</w:t>
            </w:r>
            <w:r>
              <w:rPr>
                <w:rFonts w:ascii="宋体" w:hAnsi="宋体" w:cs="宋体" w:eastAsia="宋体" w:hint="default"/>
                <w:sz w:val="18"/>
                <w:szCs w:val="18"/>
              </w:rPr>
              <w:t> </w:t>
            </w:r>
            <w:r>
              <w:rPr>
                <w:rFonts w:ascii="Times New Roman" w:hAnsi="Times New Roman" w:cs="Times New Roman" w:eastAsia="Times New Roman" w:hint="default"/>
                <w:sz w:val="18"/>
                <w:szCs w:val="18"/>
              </w:rPr>
              <w:t>18-21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01</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02</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03</w:t>
            </w:r>
            <w:r>
              <w:rPr>
                <w:rFonts w:ascii="宋体" w:hAnsi="宋体" w:cs="宋体" w:eastAsia="宋体" w:hint="default"/>
                <w:spacing w:val="-12"/>
                <w:sz w:val="18"/>
                <w:szCs w:val="18"/>
              </w:rPr>
              <w:t>、</w:t>
            </w:r>
            <w:r>
              <w:rPr>
                <w:rFonts w:ascii="宋体" w:hAnsi="宋体" w:cs="宋体" w:eastAsia="宋体" w:hint="default"/>
                <w:sz w:val="18"/>
                <w:szCs w:val="18"/>
              </w:rPr>
            </w:r>
          </w:p>
          <w:p>
            <w:pPr>
              <w:pStyle w:val="TableParagraph"/>
              <w:spacing w:line="240" w:lineRule="auto" w:before="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r>
              <w:rPr>
                <w:rFonts w:ascii="宋体" w:hAnsi="宋体" w:cs="宋体" w:eastAsia="宋体" w:hint="default"/>
                <w:sz w:val="18"/>
                <w:szCs w:val="18"/>
              </w:rPr>
              <w:t>、</w:t>
            </w:r>
            <w:r>
              <w:rPr>
                <w:rFonts w:ascii="Times New Roman" w:hAnsi="Times New Roman" w:cs="Times New Roman" w:eastAsia="Times New Roman" w:hint="default"/>
                <w:sz w:val="18"/>
                <w:szCs w:val="18"/>
              </w:rPr>
              <w:t>22</w:t>
            </w:r>
            <w:r>
              <w:rPr>
                <w:rFonts w:ascii="宋体" w:hAnsi="宋体" w:cs="宋体" w:eastAsia="宋体" w:hint="default"/>
                <w:sz w:val="18"/>
                <w:szCs w:val="18"/>
              </w:rPr>
              <w:t>、</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单元</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郑佑长、杨德学</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49"/>
        <w:ind w:left="152" w:right="1123" w:firstLine="0"/>
        <w:jc w:val="left"/>
        <w:rPr>
          <w:rFonts w:ascii="宋体" w:hAnsi="宋体" w:cs="宋体" w:eastAsia="宋体" w:hint="default"/>
          <w:sz w:val="18"/>
          <w:szCs w:val="18"/>
        </w:rPr>
      </w:pPr>
      <w:r>
        <w:rPr/>
        <w:pict>
          <v:shape style="position:absolute;margin-left:290.209991pt;margin-top:-31.678286pt;width:125.1pt;height:31.2pt;mso-position-horizontal-relative:page;mso-position-vertical-relative:paragraph;z-index:-772576"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公司聘请的报告期内履行持续督导职责的财务顾问</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340" w:top="110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641" w:right="1123"/>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3"/>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本年比上年增减</w:t>
            </w:r>
            <w:r>
              <w:rPr>
                <w:rFonts w:ascii="宋体" w:hAnsi="宋体" w:cs="宋体" w:eastAsia="宋体"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824,070,264.21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530,560,041.34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55.32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385,843,876.03</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77,801,320.40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44,962,647.11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73.04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31,572,240.50</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70,210,902.63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44,389,704.90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58.17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30,328,317.11</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104,309,932.62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7,924,913.83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1,216.23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31,832,869.65</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0.3753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0.2217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69.28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0.1743</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0.3753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0.2217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69.28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0.1743</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12.05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8.20</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729" w:right="51" w:hanging="675"/>
              <w:jc w:val="left"/>
              <w:rPr>
                <w:rFonts w:ascii="宋体" w:hAnsi="宋体" w:cs="宋体" w:eastAsia="宋体" w:hint="default"/>
                <w:sz w:val="18"/>
                <w:szCs w:val="18"/>
              </w:rPr>
            </w:pPr>
            <w:r>
              <w:rPr>
                <w:rFonts w:ascii="宋体" w:hAnsi="宋体" w:cs="宋体" w:eastAsia="宋体" w:hint="default"/>
                <w:sz w:val="18"/>
                <w:szCs w:val="18"/>
              </w:rPr>
              <w:t>本年末比上年末增减 </w:t>
            </w:r>
            <w:r>
              <w:rPr>
                <w:rFonts w:ascii="宋体" w:hAnsi="宋体" w:cs="宋体" w:eastAsia="宋体" w:hint="default"/>
                <w:sz w:val="18"/>
                <w:szCs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1,218,794,869.33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828,941,559.14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47.03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907,250,936.87</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696,172,890.57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607,876,261.14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14.53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562,913,614.03</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3"/>
        <w:gridCol w:w="1710"/>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19,606.71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-62,026.33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-11,259.23</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8,629,254.25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2,429,588.50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1,426,500.00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54"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
        </w:tc>
        <w:tc>
          <w:tcPr>
            <w:tcW w:w="1520" w:type="dxa"/>
            <w:vMerge w:val="restart"/>
            <w:tcBorders>
              <w:top w:val="single" w:sz="4" w:space="0" w:color="000000"/>
              <w:left w:val="single" w:sz="4" w:space="0" w:color="000000"/>
              <w:right w:val="single" w:sz="4" w:space="0" w:color="000000"/>
            </w:tcBorders>
          </w:tcPr>
          <w:p>
            <w:pPr/>
          </w:p>
        </w:tc>
        <w:tc>
          <w:tcPr>
            <w:tcW w:w="15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10" w:right="0"/>
              <w:jc w:val="left"/>
              <w:rPr>
                <w:rFonts w:ascii="宋体" w:hAnsi="宋体" w:cs="宋体" w:eastAsia="宋体" w:hint="default"/>
                <w:sz w:val="18"/>
                <w:szCs w:val="18"/>
              </w:rPr>
            </w:pPr>
            <w:r>
              <w:rPr>
                <w:rFonts w:ascii="宋体"/>
                <w:sz w:val="18"/>
              </w:rPr>
              <w:t>3,964,593.73</w:t>
            </w:r>
          </w:p>
        </w:tc>
        <w:tc>
          <w:tcPr>
            <w:tcW w:w="1710"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22" w:right="7"/>
              <w:jc w:val="both"/>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 公司完成了对黎明网 络有限公司（更名为 达实信息）的股权收</w:t>
            </w:r>
          </w:p>
        </w:tc>
      </w:tr>
      <w:tr>
        <w:trPr>
          <w:trHeight w:val="391"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3"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shd w:val="clear" w:color="auto" w:fill="C6ECCC"/>
          </w:tcPr>
          <w:p>
            <w:pPr/>
          </w:p>
        </w:tc>
      </w:tr>
      <w:tr>
        <w:trPr>
          <w:trHeight w:val="454"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3"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877" w:footer="1340" w:top="1100" w:bottom="1540" w:left="980" w:right="0"/>
        </w:sectPr>
      </w:pPr>
    </w:p>
    <w:p>
      <w:pPr>
        <w:spacing w:line="240" w:lineRule="auto" w:before="7"/>
        <w:rPr>
          <w:rFonts w:ascii="宋体" w:hAnsi="宋体" w:cs="宋体" w:eastAsia="宋体" w:hint="default"/>
          <w:sz w:val="22"/>
          <w:szCs w:val="22"/>
        </w:rPr>
      </w:pPr>
    </w:p>
    <w:p>
      <w:pPr>
        <w:spacing w:before="44"/>
        <w:ind w:left="0" w:right="1138" w:firstLine="0"/>
        <w:jc w:val="right"/>
        <w:rPr>
          <w:rFonts w:ascii="宋体" w:hAnsi="宋体" w:cs="宋体" w:eastAsia="宋体" w:hint="default"/>
          <w:sz w:val="18"/>
          <w:szCs w:val="18"/>
        </w:rPr>
      </w:pPr>
      <w:r>
        <w:rPr/>
        <w:pict>
          <v:shape style="position:absolute;margin-left:56.459999pt;margin-top:1.311738pt;width:479.2pt;height:279.650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95"/>
                    <w:gridCol w:w="1522"/>
                    <w:gridCol w:w="1520"/>
                    <w:gridCol w:w="1523"/>
                    <w:gridCol w:w="1710"/>
                  </w:tblGrid>
                  <w:tr>
                    <w:trPr>
                      <w:trHeight w:val="1299"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2" w:right="110"/>
                          <w:jc w:val="left"/>
                          <w:rPr>
                            <w:rFonts w:ascii="宋体" w:hAnsi="宋体" w:cs="宋体" w:eastAsia="宋体" w:hint="default"/>
                            <w:sz w:val="18"/>
                            <w:szCs w:val="18"/>
                          </w:rPr>
                        </w:pPr>
                        <w:r>
                          <w:rPr>
                            <w:rFonts w:ascii="宋体" w:hAnsi="宋体" w:cs="宋体" w:eastAsia="宋体" w:hint="default"/>
                            <w:spacing w:val="-7"/>
                            <w:sz w:val="18"/>
                            <w:szCs w:val="18"/>
                          </w:rPr>
                          <w:t>购事项。收购完成后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该公司进行债务重 组，豁免债务收益 </w:t>
                        </w:r>
                        <w:r>
                          <w:rPr>
                            <w:rFonts w:ascii="宋体" w:hAnsi="宋体" w:cs="宋体" w:eastAsia="宋体" w:hint="default"/>
                            <w:sz w:val="18"/>
                            <w:szCs w:val="18"/>
                          </w:rPr>
                          <w:t>3,964,593.73</w:t>
                        </w:r>
                        <w:r>
                          <w:rPr>
                            <w:rFonts w:ascii="宋体" w:hAnsi="宋体" w:cs="宋体" w:eastAsia="宋体" w:hint="default"/>
                            <w:spacing w:val="-47"/>
                            <w:sz w:val="18"/>
                            <w:szCs w:val="18"/>
                          </w:rPr>
                          <w:t> </w:t>
                        </w:r>
                        <w:r>
                          <w:rPr>
                            <w:rFonts w:ascii="宋体" w:hAnsi="宋体" w:cs="宋体" w:eastAsia="宋体" w:hint="default"/>
                            <w:sz w:val="18"/>
                            <w:szCs w:val="18"/>
                          </w:rPr>
                          <w:t>元</w:t>
                        </w:r>
                      </w:p>
                    </w:tc>
                  </w:tr>
                  <w:tr>
                    <w:trPr>
                      <w:trHeight w:val="102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-860,713.00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-3,941,997.92</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55"/>
                          <w:jc w:val="left"/>
                          <w:rPr>
                            <w:rFonts w:ascii="宋体" w:hAnsi="宋体" w:cs="宋体" w:eastAsia="宋体" w:hint="default"/>
                            <w:sz w:val="18"/>
                            <w:szCs w:val="18"/>
                          </w:rPr>
                        </w:pPr>
                        <w:r>
                          <w:rPr>
                            <w:rFonts w:ascii="宋体" w:hAnsi="宋体" w:cs="宋体" w:eastAsia="宋体" w:hint="default"/>
                            <w:sz w:val="18"/>
                            <w:szCs w:val="18"/>
                          </w:rPr>
                          <w:t>达实信息在重组过程 中支付员工补偿金 </w:t>
                        </w:r>
                        <w:r>
                          <w:rPr>
                            <w:rFonts w:ascii="宋体" w:hAnsi="宋体" w:cs="宋体" w:eastAsia="宋体" w:hint="default"/>
                            <w:sz w:val="18"/>
                            <w:szCs w:val="18"/>
                          </w:rPr>
                          <w:t>3,941,997.92</w:t>
                        </w:r>
                        <w:r>
                          <w:rPr>
                            <w:rFonts w:ascii="宋体" w:hAnsi="宋体" w:cs="宋体" w:eastAsia="宋体" w:hint="default"/>
                            <w:spacing w:val="-47"/>
                            <w:sz w:val="18"/>
                            <w:szCs w:val="18"/>
                          </w:rPr>
                          <w:t> </w:t>
                        </w:r>
                        <w:r>
                          <w:rPr>
                            <w:rFonts w:ascii="宋体" w:hAnsi="宋体" w:cs="宋体" w:eastAsia="宋体" w:hint="default"/>
                            <w:sz w:val="18"/>
                            <w:szCs w:val="18"/>
                          </w:rPr>
                          <w:t>元。</w:t>
                        </w:r>
                      </w:p>
                    </w:tc>
                  </w:tr>
                  <w:tr>
                    <w:trPr>
                      <w:trHeight w:val="1652"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-22,800.45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338,086.08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-651,396.49</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13,225.89</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1,354,253.20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275,752.94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210,195.19</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19,475.62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6,757.53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-3,056.11</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7,590,417.77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572,942.21</w:t>
                        </w:r>
                      </w:p>
                    </w:tc>
                    <w:tc>
                      <w:tcPr>
                        <w:tcW w:w="152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1,243,923.39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340" w:top="110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607" w:right="1123"/>
        <w:jc w:val="left"/>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一、概述</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right="1126" w:firstLine="420"/>
        <w:jc w:val="both"/>
      </w:pPr>
      <w:r>
        <w:rPr>
          <w:rFonts w:ascii="宋体" w:hAnsi="宋体" w:cs="宋体" w:eastAsia="宋体" w:hint="default"/>
          <w:spacing w:val="-2"/>
        </w:rPr>
        <w:t>2012</w:t>
      </w:r>
      <w:r>
        <w:rPr>
          <w:spacing w:val="-2"/>
        </w:rPr>
        <w:t>年，公司所面对的外部宏观经济环境及行业环境应验了“一半是海水，一半是火焰”的局面。经</w:t>
      </w:r>
      <w:r>
        <w:rPr>
          <w:w w:val="100"/>
        </w:rPr>
        <w:t> </w:t>
      </w:r>
      <w:r>
        <w:rPr>
          <w:spacing w:val="-2"/>
        </w:rPr>
        <w:t>济周期和投资周期均处于下行阶段，使决策与企业运营面临更大的压力与不确定性，但我国城镇化尚处于</w:t>
      </w:r>
      <w:r>
        <w:rPr>
          <w:spacing w:val="-43"/>
        </w:rPr>
        <w:t> </w:t>
      </w:r>
      <w:r>
        <w:rPr>
          <w:spacing w:val="-43"/>
        </w:rPr>
      </w:r>
      <w:r>
        <w:rPr/>
        <w:t>快速发展阶段，区域发展的不均衡和行业需求向“绿色、节能</w:t>
      </w:r>
      <w:r>
        <w:rPr>
          <w:spacing w:val="73"/>
        </w:rPr>
        <w:t> </w:t>
      </w:r>
      <w:r>
        <w:rPr/>
        <w:t>、智慧”发展，提供了足够的产业宽度与</w:t>
      </w:r>
      <w:r>
        <w:rPr>
          <w:spacing w:val="-96"/>
        </w:rPr>
        <w:t> </w:t>
      </w:r>
      <w:r>
        <w:rPr>
          <w:spacing w:val="-96"/>
        </w:rPr>
      </w:r>
      <w:r>
        <w:rPr/>
        <w:t>厚度，结构性的市场给企业带来“弯道超车”的机会。</w:t>
      </w:r>
    </w:p>
    <w:p>
      <w:pPr>
        <w:pStyle w:val="BodyText"/>
        <w:spacing w:line="357" w:lineRule="auto"/>
        <w:ind w:right="1107" w:firstLine="420"/>
        <w:jc w:val="right"/>
      </w:pPr>
      <w:r>
        <w:rPr>
          <w:spacing w:val="-2"/>
        </w:rPr>
        <w:t>报告期内，公司继续专注于建筑智能化与节能业务，围绕构建“让建筑更节能”的核心能力，积极进</w:t>
      </w:r>
      <w:r>
        <w:rPr>
          <w:w w:val="100"/>
        </w:rPr>
        <w:t> </w:t>
      </w:r>
      <w:r>
        <w:rPr>
          <w:spacing w:val="-2"/>
        </w:rPr>
        <w:t>行产业链布局和商业模式创新的探索，内生发展与外延并购相结合，有效地抓住国家推行绿色建筑与节能</w:t>
      </w:r>
      <w:r>
        <w:rPr>
          <w:spacing w:val="-86"/>
        </w:rPr>
        <w:t> </w:t>
      </w:r>
      <w:r>
        <w:rPr>
          <w:spacing w:val="-86"/>
        </w:rPr>
      </w:r>
      <w:r>
        <w:rPr>
          <w:spacing w:val="-2"/>
        </w:rPr>
        <w:t>建筑、建设智慧城市的政策红利及产业发展方向，取得了较好的经营业绩。同时针对各细分行业，以“建</w:t>
      </w:r>
      <w:r>
        <w:rPr>
          <w:spacing w:val="-96"/>
        </w:rPr>
        <w:t> </w:t>
      </w:r>
      <w:r>
        <w:rPr>
          <w:spacing w:val="-96"/>
        </w:rPr>
      </w:r>
      <w:r>
        <w:rPr>
          <w:spacing w:val="-2"/>
        </w:rPr>
        <w:t>筑物全生命周期节能服务”为核心，进行解决方案整合和营销整合，以用户价值的提升提高公司竞争力。</w:t>
      </w:r>
      <w:r>
        <w:rPr>
          <w:spacing w:val="-46"/>
        </w:rPr>
        <w:t> </w:t>
      </w:r>
      <w:r>
        <w:rPr>
          <w:spacing w:val="-46"/>
        </w:rPr>
      </w:r>
      <w:r>
        <w:rPr>
          <w:spacing w:val="-2"/>
        </w:rPr>
        <w:t>同时，公司积极利用资本市场促进企业的成长。开展了上市以来的首次员工股权激励，以持续、广覆</w:t>
      </w:r>
      <w:r>
        <w:rPr>
          <w:w w:val="100"/>
        </w:rPr>
        <w:t> </w:t>
      </w:r>
      <w:r>
        <w:rPr>
          <w:spacing w:val="-2"/>
        </w:rPr>
        <w:t>盖面的激励方案形成了特有的公司治理与激励机制。同时围绕产业链进行了两笔对外投资与并购，使公司</w:t>
      </w:r>
    </w:p>
    <w:p>
      <w:pPr>
        <w:pStyle w:val="BodyText"/>
        <w:spacing w:line="355" w:lineRule="auto"/>
        <w:ind w:left="573" w:right="7874" w:hanging="421"/>
        <w:jc w:val="left"/>
      </w:pPr>
      <w:r>
        <w:rPr/>
        <w:t>战略得以加快实现。</w:t>
      </w:r>
      <w:r>
        <w:rPr>
          <w:w w:val="100"/>
        </w:rPr>
        <w:t> </w:t>
      </w:r>
      <w:r>
        <w:rPr>
          <w:rFonts w:ascii="宋体" w:hAnsi="宋体" w:cs="宋体" w:eastAsia="宋体" w:hint="default"/>
          <w:spacing w:val="-2"/>
        </w:rPr>
        <w:t>1</w:t>
      </w:r>
      <w:r>
        <w:rPr>
          <w:spacing w:val="-2"/>
        </w:rPr>
        <w:t>、整体经营情况</w:t>
      </w:r>
    </w:p>
    <w:p>
      <w:pPr>
        <w:pStyle w:val="BodyText"/>
        <w:spacing w:line="357" w:lineRule="auto" w:before="34"/>
        <w:ind w:right="1126" w:firstLine="420"/>
        <w:jc w:val="both"/>
      </w:pPr>
      <w:r>
        <w:rPr/>
        <w:t>报告期内，公司经营业绩保持较快增长，</w:t>
      </w:r>
      <w:r>
        <w:rPr>
          <w:rFonts w:ascii="宋体" w:hAnsi="宋体" w:cs="宋体" w:eastAsia="宋体" w:hint="default"/>
        </w:rPr>
        <w:t>2012</w:t>
      </w:r>
      <w:r>
        <w:rPr/>
        <w:t>年度公司实现营业收入</w:t>
      </w:r>
      <w:r>
        <w:rPr>
          <w:rFonts w:ascii="宋体" w:hAnsi="宋体" w:cs="宋体" w:eastAsia="宋体" w:hint="default"/>
        </w:rPr>
        <w:t>82,407.03</w:t>
      </w:r>
      <w:r>
        <w:rPr/>
        <w:t>万元，较</w:t>
      </w:r>
      <w:r>
        <w:rPr>
          <w:rFonts w:ascii="宋体" w:hAnsi="宋体" w:cs="宋体" w:eastAsia="宋体" w:hint="default"/>
        </w:rPr>
        <w:t>2011</w:t>
      </w:r>
      <w:r>
        <w:rPr/>
        <w:t>年度增</w:t>
      </w:r>
      <w:r>
        <w:rPr>
          <w:w w:val="100"/>
        </w:rPr>
        <w:t> </w:t>
      </w:r>
      <w:r>
        <w:rPr/>
        <w:t>长</w:t>
      </w:r>
      <w:r>
        <w:rPr>
          <w:rFonts w:ascii="宋体" w:hAnsi="宋体" w:cs="宋体" w:eastAsia="宋体" w:hint="default"/>
        </w:rPr>
        <w:t>55.32%</w:t>
      </w:r>
      <w:r>
        <w:rPr/>
        <w:t>；归属于上市公司股东的净利润</w:t>
      </w:r>
      <w:r>
        <w:rPr>
          <w:rFonts w:ascii="宋体" w:hAnsi="宋体" w:cs="宋体" w:eastAsia="宋体" w:hint="default"/>
        </w:rPr>
        <w:t>7,780.13.</w:t>
      </w:r>
      <w:r>
        <w:rPr/>
        <w:t>万元，较</w:t>
      </w:r>
      <w:r>
        <w:rPr>
          <w:rFonts w:ascii="宋体" w:hAnsi="宋体" w:cs="宋体" w:eastAsia="宋体" w:hint="default"/>
        </w:rPr>
        <w:t>2011</w:t>
      </w:r>
      <w:r>
        <w:rPr/>
        <w:t>年度增长</w:t>
      </w:r>
      <w:r>
        <w:rPr>
          <w:rFonts w:ascii="宋体" w:hAnsi="宋体" w:cs="宋体" w:eastAsia="宋体" w:hint="default"/>
        </w:rPr>
        <w:t>73.04%</w:t>
      </w:r>
      <w:r>
        <w:rPr/>
        <w:t>；归属于上市公司股东</w:t>
      </w:r>
      <w:r>
        <w:rPr>
          <w:spacing w:val="-28"/>
        </w:rPr>
        <w:t> </w:t>
      </w:r>
      <w:r>
        <w:rPr>
          <w:spacing w:val="-28"/>
        </w:rPr>
      </w:r>
      <w:r>
        <w:rPr>
          <w:spacing w:val="-2"/>
        </w:rPr>
        <w:t>的扣除非经常性损益的净利润</w:t>
      </w:r>
      <w:r>
        <w:rPr>
          <w:rFonts w:ascii="宋体" w:hAnsi="宋体" w:cs="宋体" w:eastAsia="宋体" w:hint="default"/>
          <w:spacing w:val="-2"/>
        </w:rPr>
        <w:t>7,021.09</w:t>
      </w:r>
      <w:r>
        <w:rPr>
          <w:spacing w:val="-2"/>
        </w:rPr>
        <w:t>万元，同比增长</w:t>
      </w:r>
      <w:r>
        <w:rPr>
          <w:rFonts w:ascii="宋体" w:hAnsi="宋体" w:cs="宋体" w:eastAsia="宋体" w:hint="default"/>
          <w:spacing w:val="-2"/>
        </w:rPr>
        <w:t>58.17%</w:t>
      </w:r>
      <w:r>
        <w:rPr>
          <w:spacing w:val="-2"/>
        </w:rPr>
        <w:t>；加权净资产收益率为</w:t>
      </w:r>
      <w:r>
        <w:rPr>
          <w:rFonts w:ascii="宋体" w:hAnsi="宋体" w:cs="宋体" w:eastAsia="宋体" w:hint="default"/>
          <w:spacing w:val="-2"/>
        </w:rPr>
        <w:t>12.05%</w:t>
      </w:r>
      <w:r>
        <w:rPr>
          <w:spacing w:val="-2"/>
        </w:rPr>
        <w:t>，较</w:t>
      </w:r>
      <w:r>
        <w:rPr>
          <w:rFonts w:ascii="宋体" w:hAnsi="宋体" w:cs="宋体" w:eastAsia="宋体" w:hint="default"/>
          <w:spacing w:val="-2"/>
        </w:rPr>
        <w:t>2011</w:t>
      </w:r>
      <w:r>
        <w:rPr>
          <w:spacing w:val="-2"/>
        </w:rPr>
        <w:t>年度</w:t>
      </w:r>
      <w:r>
        <w:rPr>
          <w:spacing w:val="-24"/>
        </w:rPr>
        <w:t> </w:t>
      </w:r>
      <w:r>
        <w:rPr/>
        <w:t>提高</w:t>
      </w:r>
      <w:r>
        <w:rPr>
          <w:rFonts w:ascii="宋体" w:hAnsi="宋体" w:cs="宋体" w:eastAsia="宋体" w:hint="default"/>
        </w:rPr>
        <w:t>4.37</w:t>
      </w:r>
      <w:r>
        <w:rPr/>
        <w:t>个百分点。</w:t>
      </w:r>
    </w:p>
    <w:p>
      <w:pPr>
        <w:pStyle w:val="BodyText"/>
        <w:spacing w:line="355" w:lineRule="auto" w:before="32"/>
        <w:ind w:right="1126" w:firstLine="420"/>
        <w:jc w:val="both"/>
      </w:pPr>
      <w:r>
        <w:rPr>
          <w:spacing w:val="-2"/>
        </w:rPr>
        <w:t>公司在快速发展的同时也面临新问题的挑战，如何建立适应规模扩张后的集团化管控机制，实现不同</w:t>
      </w:r>
      <w:r>
        <w:rPr>
          <w:w w:val="100"/>
        </w:rPr>
        <w:t> </w:t>
      </w:r>
      <w:r>
        <w:rPr/>
        <w:t>业务单元的协同，提高人均产出，保证健康的资产及现金流结构，公司及管理层需要付诸更多的努力。</w:t>
      </w:r>
    </w:p>
    <w:p>
      <w:pPr>
        <w:pStyle w:val="BodyText"/>
        <w:spacing w:line="355" w:lineRule="auto" w:before="32"/>
        <w:ind w:left="573" w:right="1123"/>
        <w:jc w:val="left"/>
      </w:pPr>
      <w:r>
        <w:rPr>
          <w:rFonts w:ascii="宋体" w:hAnsi="宋体" w:cs="宋体" w:eastAsia="宋体" w:hint="default"/>
        </w:rPr>
        <w:t>2</w:t>
      </w:r>
      <w:r>
        <w:rPr/>
        <w:t>、资本运营与外延发展</w:t>
      </w:r>
      <w:r>
        <w:rPr>
          <w:w w:val="100"/>
        </w:rPr>
        <w:t> </w:t>
      </w:r>
      <w:r>
        <w:rPr>
          <w:spacing w:val="-2"/>
        </w:rPr>
        <w:t>报告期内，公司围绕产业链及区域布局，利用上市带来的资金及资本市场的优势，通过行业并购与资</w:t>
      </w:r>
    </w:p>
    <w:p>
      <w:pPr>
        <w:pStyle w:val="BodyText"/>
        <w:spacing w:line="357" w:lineRule="auto" w:before="32"/>
        <w:ind w:right="1123"/>
        <w:jc w:val="left"/>
      </w:pPr>
      <w:r>
        <w:rPr>
          <w:spacing w:val="-2"/>
        </w:rPr>
        <w:t>本合作，吸引优秀团队加盟，增加更多发展要素，使“让建筑更节能”战略得到更好的支撑，对当期规模</w:t>
      </w:r>
      <w:r>
        <w:rPr>
          <w:spacing w:val="-47"/>
        </w:rPr>
        <w:t> </w:t>
      </w:r>
      <w:r>
        <w:rPr>
          <w:spacing w:val="-47"/>
        </w:rPr>
      </w:r>
      <w:r>
        <w:rPr/>
        <w:t>与效益增长起了重要作用。</w:t>
      </w:r>
    </w:p>
    <w:p>
      <w:pPr>
        <w:pStyle w:val="BodyText"/>
        <w:spacing w:line="355" w:lineRule="auto" w:before="31"/>
        <w:ind w:right="0" w:firstLine="420"/>
        <w:jc w:val="left"/>
      </w:pPr>
      <w:r>
        <w:rPr>
          <w:spacing w:val="-5"/>
        </w:rPr>
        <w:t>报告期内，公司收购了北京启迪德润能源科技有限公司，使公司业务链向前端绿色建筑咨询认证延伸；</w:t>
      </w:r>
      <w:r>
        <w:rPr>
          <w:w w:val="100"/>
        </w:rPr>
        <w:t> </w:t>
      </w:r>
      <w:r>
        <w:rPr>
          <w:spacing w:val="-2"/>
        </w:rPr>
        <w:t>控股上海联欣科技发展有限公司，使公司业务延伸到绿色建筑供电（强电）系统，并且在在华东区域有了</w:t>
      </w:r>
      <w:r>
        <w:rPr>
          <w:spacing w:val="-47"/>
        </w:rPr>
        <w:t> </w:t>
      </w:r>
      <w:r>
        <w:rPr>
          <w:spacing w:val="-47"/>
        </w:rPr>
      </w:r>
      <w:r>
        <w:rPr>
          <w:spacing w:val="-5"/>
        </w:rPr>
        <w:t>重要的运营平台。公司初步形成了涵盖咨询、设计、投资、实施、运营完整的建筑全生命周期节能产业链，</w:t>
      </w:r>
      <w:r>
        <w:rPr>
          <w:spacing w:val="-6"/>
        </w:rPr>
        <w:t> </w:t>
      </w:r>
      <w:r>
        <w:rPr>
          <w:spacing w:val="-6"/>
        </w:rPr>
      </w:r>
      <w:r>
        <w:rPr/>
        <w:t>能够向客户提供强电、弱电、机电系统的整体解决方案。</w:t>
      </w:r>
    </w:p>
    <w:p>
      <w:pPr>
        <w:pStyle w:val="BodyText"/>
        <w:spacing w:line="355" w:lineRule="auto" w:before="34"/>
        <w:ind w:right="1104" w:firstLine="420"/>
        <w:jc w:val="both"/>
      </w:pPr>
      <w:r>
        <w:rPr>
          <w:spacing w:val="-2"/>
        </w:rPr>
        <w:t>报告期内，公司实施了上市后的首次员工股权激励，参与激励计划的骨干员工</w:t>
      </w:r>
      <w:r>
        <w:rPr>
          <w:rFonts w:ascii="宋体" w:hAnsi="宋体" w:cs="宋体" w:eastAsia="宋体" w:hint="default"/>
          <w:spacing w:val="-2"/>
        </w:rPr>
        <w:t>76</w:t>
      </w:r>
      <w:r>
        <w:rPr>
          <w:spacing w:val="-2"/>
        </w:rPr>
        <w:t>人报告期内零流失，</w:t>
      </w:r>
      <w:r>
        <w:rPr>
          <w:w w:val="100"/>
        </w:rPr>
        <w:t> </w:t>
      </w:r>
      <w:r>
        <w:rPr/>
        <w:t>使人力资本在公司的价值得以体现。</w:t>
      </w:r>
    </w:p>
    <w:p>
      <w:pPr>
        <w:pStyle w:val="BodyText"/>
        <w:spacing w:line="240" w:lineRule="auto" w:before="32"/>
        <w:ind w:left="573" w:right="1123"/>
        <w:jc w:val="left"/>
      </w:pPr>
      <w:r>
        <w:rPr>
          <w:rFonts w:ascii="宋体" w:hAnsi="宋体" w:cs="宋体" w:eastAsia="宋体" w:hint="default"/>
        </w:rPr>
        <w:t>3</w:t>
      </w:r>
      <w:r>
        <w:rPr/>
        <w:t>、管理工作</w:t>
      </w:r>
    </w:p>
    <w:p>
      <w:pPr>
        <w:spacing w:after="0" w:line="240" w:lineRule="auto"/>
        <w:jc w:val="left"/>
        <w:sectPr>
          <w:pgSz w:w="11910" w:h="16840"/>
          <w:pgMar w:header="877" w:footer="1340" w:top="1100" w:bottom="1540" w:left="980" w:right="0"/>
        </w:sectPr>
      </w:pPr>
    </w:p>
    <w:p>
      <w:pPr>
        <w:spacing w:line="240" w:lineRule="auto" w:before="3"/>
        <w:rPr>
          <w:rFonts w:ascii="宋体" w:hAnsi="宋体" w:cs="宋体" w:eastAsia="宋体" w:hint="default"/>
          <w:sz w:val="19"/>
          <w:szCs w:val="19"/>
        </w:rPr>
      </w:pPr>
    </w:p>
    <w:p>
      <w:pPr>
        <w:pStyle w:val="BodyText"/>
        <w:spacing w:line="357" w:lineRule="auto" w:before="36"/>
        <w:ind w:left="573" w:right="1123"/>
        <w:jc w:val="left"/>
      </w:pPr>
      <w:r>
        <w:rPr/>
        <w:t>（</w:t>
      </w:r>
      <w:r>
        <w:rPr>
          <w:rFonts w:ascii="宋体" w:hAnsi="宋体" w:cs="宋体" w:eastAsia="宋体" w:hint="default"/>
        </w:rPr>
        <w:t>1</w:t>
      </w:r>
      <w:r>
        <w:rPr/>
        <w:t>）研发与知识产权</w:t>
      </w:r>
      <w:r>
        <w:rPr>
          <w:w w:val="100"/>
        </w:rPr>
        <w:t> </w:t>
      </w:r>
      <w:r>
        <w:rPr>
          <w:spacing w:val="-3"/>
        </w:rPr>
        <w:t>报告期内，公司研发工作围绕节能与智能化业务，取得了中央空调群控、水蓄冷等多项知识产权，全</w:t>
      </w:r>
    </w:p>
    <w:p>
      <w:pPr>
        <w:pStyle w:val="BodyText"/>
        <w:spacing w:line="357" w:lineRule="auto"/>
        <w:ind w:right="1123"/>
        <w:jc w:val="left"/>
      </w:pPr>
      <w:r>
        <w:rPr>
          <w:spacing w:val="-2"/>
        </w:rPr>
        <w:t>年新申请专利</w:t>
      </w:r>
      <w:r>
        <w:rPr>
          <w:rFonts w:ascii="宋体" w:hAnsi="宋体" w:cs="宋体" w:eastAsia="宋体" w:hint="default"/>
          <w:spacing w:val="-2"/>
        </w:rPr>
        <w:t>14</w:t>
      </w:r>
      <w:r>
        <w:rPr>
          <w:spacing w:val="-2"/>
        </w:rPr>
        <w:t>项，授权专利</w:t>
      </w:r>
      <w:r>
        <w:rPr>
          <w:rFonts w:ascii="宋体" w:hAnsi="宋体" w:cs="宋体" w:eastAsia="宋体" w:hint="default"/>
          <w:spacing w:val="-2"/>
        </w:rPr>
        <w:t>11</w:t>
      </w:r>
      <w:r>
        <w:rPr>
          <w:spacing w:val="-2"/>
        </w:rPr>
        <w:t>项（其中发明专利</w:t>
      </w:r>
      <w:r>
        <w:rPr>
          <w:rFonts w:ascii="宋体" w:hAnsi="宋体" w:cs="宋体" w:eastAsia="宋体" w:hint="default"/>
          <w:spacing w:val="-2"/>
        </w:rPr>
        <w:t>5</w:t>
      </w:r>
      <w:r>
        <w:rPr>
          <w:spacing w:val="-2"/>
        </w:rPr>
        <w:t>项）；新增软件著作权</w:t>
      </w:r>
      <w:r>
        <w:rPr>
          <w:rFonts w:ascii="宋体" w:hAnsi="宋体" w:cs="宋体" w:eastAsia="宋体" w:hint="default"/>
          <w:spacing w:val="-2"/>
        </w:rPr>
        <w:t>23</w:t>
      </w:r>
      <w:r>
        <w:rPr>
          <w:spacing w:val="-2"/>
        </w:rPr>
        <w:t>项，新增软件产品登记证书</w:t>
      </w:r>
      <w:r>
        <w:rPr>
          <w:rFonts w:ascii="宋体" w:hAnsi="宋体" w:cs="宋体" w:eastAsia="宋体" w:hint="default"/>
          <w:spacing w:val="-2"/>
        </w:rPr>
        <w:t>7</w:t>
      </w:r>
      <w:r>
        <w:rPr>
          <w:rFonts w:ascii="宋体" w:hAnsi="宋体" w:cs="宋体" w:eastAsia="宋体" w:hint="default"/>
          <w:spacing w:val="-38"/>
        </w:rPr>
        <w:t> </w:t>
      </w:r>
      <w:r>
        <w:rPr/>
        <w:t>项。目前共拥有授权专利</w:t>
      </w:r>
      <w:r>
        <w:rPr>
          <w:rFonts w:ascii="宋体" w:hAnsi="宋体" w:cs="宋体" w:eastAsia="宋体" w:hint="default"/>
        </w:rPr>
        <w:t>32</w:t>
      </w:r>
      <w:r>
        <w:rPr/>
        <w:t>项，其中发明</w:t>
      </w:r>
      <w:r>
        <w:rPr>
          <w:rFonts w:ascii="宋体" w:hAnsi="宋体" w:cs="宋体" w:eastAsia="宋体" w:hint="default"/>
        </w:rPr>
        <w:t>14</w:t>
      </w:r>
      <w:r>
        <w:rPr/>
        <w:t>项，软件著作权</w:t>
      </w:r>
      <w:r>
        <w:rPr>
          <w:rFonts w:ascii="宋体" w:hAnsi="宋体" w:cs="宋体" w:eastAsia="宋体" w:hint="default"/>
        </w:rPr>
        <w:t>29</w:t>
      </w:r>
      <w:r>
        <w:rPr/>
        <w:t>项。</w:t>
      </w:r>
    </w:p>
    <w:p>
      <w:pPr>
        <w:pStyle w:val="BodyText"/>
        <w:spacing w:line="355" w:lineRule="auto"/>
        <w:ind w:left="573" w:right="1123"/>
        <w:jc w:val="left"/>
      </w:pPr>
      <w:r>
        <w:rPr/>
        <w:t>（</w:t>
      </w:r>
      <w:r>
        <w:rPr>
          <w:rFonts w:ascii="宋体" w:hAnsi="宋体" w:cs="宋体" w:eastAsia="宋体" w:hint="default"/>
        </w:rPr>
        <w:t>2</w:t>
      </w:r>
      <w:r>
        <w:rPr/>
        <w:t>）内控体系完善</w:t>
      </w:r>
      <w:r>
        <w:rPr>
          <w:w w:val="100"/>
        </w:rPr>
        <w:t> </w:t>
      </w:r>
      <w:r>
        <w:rPr>
          <w:spacing w:val="-2"/>
        </w:rPr>
        <w:t>报告期内，公司业务发展规模扩大及人员持续扩张，公司发展的集团化、跨区域化与原有的事业部管</w:t>
      </w:r>
    </w:p>
    <w:p>
      <w:pPr>
        <w:pStyle w:val="BodyText"/>
        <w:spacing w:line="240" w:lineRule="auto" w:before="32"/>
        <w:ind w:right="0"/>
        <w:jc w:val="both"/>
      </w:pPr>
      <w:r>
        <w:rPr/>
        <w:t>理架构在内控机制上存在较大差异。公司逐步完善内控体系，对公司的风险管理有重大意义。</w:t>
      </w:r>
    </w:p>
    <w:p>
      <w:pPr>
        <w:pStyle w:val="BodyText"/>
        <w:spacing w:line="355" w:lineRule="auto" w:before="135"/>
        <w:ind w:left="573" w:right="1123"/>
        <w:jc w:val="left"/>
      </w:pPr>
      <w:r>
        <w:rPr/>
        <w:t>（</w:t>
      </w:r>
      <w:r>
        <w:rPr>
          <w:rFonts w:ascii="宋体" w:hAnsi="宋体" w:cs="宋体" w:eastAsia="宋体" w:hint="default"/>
        </w:rPr>
        <w:t>3</w:t>
      </w:r>
      <w:r>
        <w:rPr/>
        <w:t>）体系资质及品牌建设</w:t>
      </w:r>
      <w:r>
        <w:rPr>
          <w:w w:val="100"/>
        </w:rPr>
        <w:t> </w:t>
      </w:r>
      <w:r>
        <w:rPr>
          <w:spacing w:val="-2"/>
        </w:rPr>
        <w:t>报告期内，公司下属子公司达实信息、达实联欣顺利通过国家高新技术企业认定，公司一次性顺利通</w:t>
      </w:r>
    </w:p>
    <w:p>
      <w:pPr>
        <w:pStyle w:val="BodyText"/>
        <w:spacing w:line="240" w:lineRule="auto" w:before="32"/>
        <w:ind w:right="0"/>
        <w:jc w:val="both"/>
      </w:pPr>
      <w:r>
        <w:rPr/>
        <w:t>过</w:t>
      </w:r>
      <w:r>
        <w:rPr>
          <w:rFonts w:ascii="宋体" w:hAnsi="宋体" w:cs="宋体" w:eastAsia="宋体" w:hint="default"/>
        </w:rPr>
        <w:t>GB50430</w:t>
      </w:r>
      <w:r>
        <w:rPr/>
        <w:t>认证（工程建设施工企业质量管理规范）。</w:t>
      </w:r>
    </w:p>
    <w:p>
      <w:pPr>
        <w:spacing w:line="240" w:lineRule="auto" w:before="0"/>
        <w:rPr>
          <w:rFonts w:ascii="宋体" w:hAnsi="宋体" w:cs="宋体" w:eastAsia="宋体" w:hint="default"/>
          <w:sz w:val="20"/>
          <w:szCs w:val="20"/>
        </w:rPr>
      </w:pPr>
    </w:p>
    <w:p>
      <w:pPr>
        <w:pStyle w:val="Heading2"/>
        <w:spacing w:line="240" w:lineRule="auto" w:before="168"/>
        <w:ind w:right="0"/>
        <w:jc w:val="both"/>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宋体" w:hAnsi="宋体" w:cs="宋体" w:eastAsia="宋体" w:hint="default"/>
        </w:rPr>
        <w:t>1</w:t>
      </w:r>
      <w:r>
        <w:rPr/>
        <w:t>、概述</w:t>
      </w:r>
      <w:r>
        <w:rPr>
          <w:b w:val="0"/>
          <w:bCs w:val="0"/>
        </w:rPr>
      </w:r>
    </w:p>
    <w:p>
      <w:pPr>
        <w:spacing w:line="240" w:lineRule="auto" w:before="2"/>
        <w:rPr>
          <w:rFonts w:ascii="宋体" w:hAnsi="宋体" w:cs="宋体" w:eastAsia="宋体" w:hint="default"/>
          <w:b/>
          <w:bCs/>
          <w:sz w:val="24"/>
          <w:szCs w:val="24"/>
        </w:rPr>
      </w:pPr>
    </w:p>
    <w:p>
      <w:pPr>
        <w:pStyle w:val="BodyText"/>
        <w:spacing w:line="357" w:lineRule="auto" w:before="0"/>
        <w:ind w:right="1128" w:firstLine="420"/>
        <w:jc w:val="both"/>
      </w:pPr>
      <w:r>
        <w:rPr/>
        <w:t>报告期内，公司营业收入较</w:t>
      </w:r>
      <w:r>
        <w:rPr>
          <w:rFonts w:ascii="宋体" w:hAnsi="宋体" w:cs="宋体" w:eastAsia="宋体" w:hint="default"/>
        </w:rPr>
        <w:t>2011</w:t>
      </w:r>
      <w:r>
        <w:rPr/>
        <w:t>年增长</w:t>
      </w:r>
      <w:r>
        <w:rPr>
          <w:rFonts w:ascii="宋体" w:hAnsi="宋体" w:cs="宋体" w:eastAsia="宋体" w:hint="default"/>
        </w:rPr>
        <w:t>55.32%</w:t>
      </w:r>
      <w:r>
        <w:rPr/>
        <w:t>，营业成本较</w:t>
      </w:r>
      <w:r>
        <w:rPr>
          <w:rFonts w:ascii="宋体" w:hAnsi="宋体" w:cs="宋体" w:eastAsia="宋体" w:hint="default"/>
        </w:rPr>
        <w:t>2011</w:t>
      </w:r>
      <w:r>
        <w:rPr/>
        <w:t>年增长</w:t>
      </w:r>
      <w:r>
        <w:rPr>
          <w:rFonts w:ascii="宋体" w:hAnsi="宋体" w:cs="宋体" w:eastAsia="宋体" w:hint="default"/>
        </w:rPr>
        <w:t>46.55%</w:t>
      </w:r>
      <w:r>
        <w:rPr/>
        <w:t>，主要原因是：（</w:t>
      </w:r>
      <w:r>
        <w:rPr>
          <w:rFonts w:ascii="宋体" w:hAnsi="宋体" w:cs="宋体" w:eastAsia="宋体" w:hint="default"/>
        </w:rPr>
        <w:t>1</w:t>
      </w:r>
      <w:r>
        <w:rPr/>
        <w:t>）</w:t>
      </w:r>
      <w:r>
        <w:rPr>
          <w:w w:val="100"/>
        </w:rPr>
        <w:t> </w:t>
      </w:r>
      <w:r>
        <w:rPr/>
        <w:t>公司</w:t>
      </w:r>
      <w:r>
        <w:rPr>
          <w:rFonts w:ascii="宋体" w:hAnsi="宋体" w:cs="宋体" w:eastAsia="宋体" w:hint="default"/>
        </w:rPr>
        <w:t>2012</w:t>
      </w:r>
      <w:r>
        <w:rPr/>
        <w:t>年收购达实联欣与达实德润，新增两家子公司纳入合并报表；（</w:t>
      </w:r>
      <w:r>
        <w:rPr>
          <w:rFonts w:ascii="宋体" w:hAnsi="宋体" w:cs="宋体" w:eastAsia="宋体" w:hint="default"/>
        </w:rPr>
        <w:t>2</w:t>
      </w:r>
      <w:r>
        <w:rPr/>
        <w:t>）公司主营业务增长，前期签</w:t>
      </w:r>
      <w:r>
        <w:rPr>
          <w:spacing w:val="-26"/>
        </w:rPr>
        <w:t> </w:t>
      </w:r>
      <w:r>
        <w:rPr>
          <w:spacing w:val="-26"/>
        </w:rPr>
      </w:r>
      <w:r>
        <w:rPr/>
        <w:t>约实现销售使收入增加，同时成本相应增加；（</w:t>
      </w:r>
      <w:r>
        <w:rPr>
          <w:rFonts w:ascii="宋体" w:hAnsi="宋体" w:cs="宋体" w:eastAsia="宋体" w:hint="default"/>
        </w:rPr>
        <w:t>3</w:t>
      </w:r>
      <w:r>
        <w:rPr/>
        <w:t>）营业收入增长幅度高于营业成本增长幅度，其原因为</w:t>
      </w:r>
      <w:r>
        <w:rPr>
          <w:spacing w:val="-24"/>
        </w:rPr>
        <w:t> </w:t>
      </w:r>
      <w:r>
        <w:rPr>
          <w:spacing w:val="-24"/>
        </w:rPr>
      </w:r>
      <w:r>
        <w:rPr/>
        <w:t>公司绿色建筑与建筑节能业务提高整体业务毛利率所致。</w:t>
      </w:r>
    </w:p>
    <w:p>
      <w:pPr>
        <w:pStyle w:val="BodyText"/>
        <w:spacing w:line="357" w:lineRule="auto"/>
        <w:ind w:right="1126" w:firstLine="420"/>
        <w:jc w:val="both"/>
      </w:pPr>
      <w:r>
        <w:rPr>
          <w:spacing w:val="-2"/>
        </w:rPr>
        <w:t>报告期内，公司期间费用有较大增长。其中：销售费用较</w:t>
      </w:r>
      <w:r>
        <w:rPr>
          <w:rFonts w:ascii="宋体" w:hAnsi="宋体" w:cs="宋体" w:eastAsia="宋体" w:hint="default"/>
          <w:spacing w:val="-2"/>
        </w:rPr>
        <w:t>2011</w:t>
      </w:r>
      <w:r>
        <w:rPr>
          <w:spacing w:val="-2"/>
        </w:rPr>
        <w:t>年增长</w:t>
      </w:r>
      <w:r>
        <w:rPr>
          <w:rFonts w:ascii="宋体" w:hAnsi="宋体" w:cs="宋体" w:eastAsia="宋体" w:hint="default"/>
          <w:spacing w:val="-2"/>
        </w:rPr>
        <w:t>30.06%</w:t>
      </w:r>
      <w:r>
        <w:rPr>
          <w:spacing w:val="-2"/>
        </w:rPr>
        <w:t>，主要原因是公司根据整</w:t>
      </w:r>
      <w:r>
        <w:rPr>
          <w:w w:val="100"/>
        </w:rPr>
        <w:t> </w:t>
      </w:r>
      <w:r>
        <w:rPr>
          <w:spacing w:val="-2"/>
        </w:rPr>
        <w:t>合营销的需求，加大新市场、新业务的开拓力度以及新增达实联欣、达实德润纳入合并报表所致；管理费</w:t>
      </w:r>
      <w:r>
        <w:rPr>
          <w:spacing w:val="-50"/>
        </w:rPr>
        <w:t> </w:t>
      </w:r>
      <w:r>
        <w:rPr>
          <w:spacing w:val="-50"/>
        </w:rPr>
      </w:r>
      <w:r>
        <w:rPr>
          <w:spacing w:val="-2"/>
        </w:rPr>
        <w:t>用较</w:t>
      </w:r>
      <w:r>
        <w:rPr>
          <w:rFonts w:ascii="宋体" w:hAnsi="宋体" w:cs="宋体" w:eastAsia="宋体" w:hint="default"/>
          <w:spacing w:val="-2"/>
        </w:rPr>
        <w:t>2011</w:t>
      </w:r>
      <w:r>
        <w:rPr>
          <w:spacing w:val="-2"/>
        </w:rPr>
        <w:t>年增长</w:t>
      </w:r>
      <w:r>
        <w:rPr>
          <w:rFonts w:ascii="宋体" w:hAnsi="宋体" w:cs="宋体" w:eastAsia="宋体" w:hint="default"/>
          <w:spacing w:val="-2"/>
        </w:rPr>
        <w:t>77.40%</w:t>
      </w:r>
      <w:r>
        <w:rPr>
          <w:spacing w:val="-2"/>
        </w:rPr>
        <w:t>，主要原因是本期薪酬支出、固定资产折旧等较上期增加、限制性股票成本摊销以</w:t>
      </w:r>
      <w:r>
        <w:rPr>
          <w:spacing w:val="-34"/>
        </w:rPr>
        <w:t> </w:t>
      </w:r>
      <w:r>
        <w:rPr>
          <w:spacing w:val="-34"/>
        </w:rPr>
      </w:r>
      <w:r>
        <w:rPr/>
        <w:t>及本报告期新增两家子公司纳入合并报表所致。</w:t>
      </w:r>
    </w:p>
    <w:p>
      <w:pPr>
        <w:pStyle w:val="BodyText"/>
        <w:spacing w:line="357" w:lineRule="auto"/>
        <w:ind w:right="1126" w:firstLine="420"/>
        <w:jc w:val="both"/>
      </w:pPr>
      <w:r>
        <w:rPr>
          <w:spacing w:val="-2"/>
        </w:rPr>
        <w:t>报告期内，公司经营活动产生的现金流量净额为</w:t>
      </w:r>
      <w:r>
        <w:rPr>
          <w:rFonts w:ascii="宋体" w:hAnsi="宋体" w:cs="宋体" w:eastAsia="宋体" w:hint="default"/>
          <w:spacing w:val="-2"/>
        </w:rPr>
        <w:t>10,430.99</w:t>
      </w:r>
      <w:r>
        <w:rPr>
          <w:spacing w:val="-2"/>
        </w:rPr>
        <w:t>万元，较上年度增加</w:t>
      </w:r>
      <w:r>
        <w:rPr>
          <w:rFonts w:ascii="宋体" w:hAnsi="宋体" w:cs="宋体" w:eastAsia="宋体" w:hint="default"/>
          <w:spacing w:val="-2"/>
        </w:rPr>
        <w:t>1,216.23%</w:t>
      </w:r>
      <w:r>
        <w:rPr>
          <w:spacing w:val="-2"/>
        </w:rPr>
        <w:t>，主要是因</w:t>
      </w:r>
      <w:r>
        <w:rPr>
          <w:w w:val="100"/>
        </w:rPr>
        <w:t> </w:t>
      </w:r>
      <w:r>
        <w:rPr>
          <w:spacing w:val="-2"/>
        </w:rPr>
        <w:t>为通过商务谈判延长了支付信用期、预收账款增加、子公司物业收取租金以及本报告期新增两家子公司纳</w:t>
      </w:r>
      <w:r>
        <w:rPr>
          <w:spacing w:val="-43"/>
        </w:rPr>
        <w:t> </w:t>
      </w:r>
      <w:r>
        <w:rPr>
          <w:spacing w:val="-43"/>
        </w:rPr>
      </w:r>
      <w:r>
        <w:rPr/>
        <w:t>入合并报表；公司投资活动产生的现金流量净额为</w:t>
      </w:r>
      <w:r>
        <w:rPr>
          <w:rFonts w:ascii="宋体" w:hAnsi="宋体" w:cs="宋体" w:eastAsia="宋体" w:hint="default"/>
        </w:rPr>
        <w:t>-17,543.79</w:t>
      </w:r>
      <w:r>
        <w:rPr/>
        <w:t>万元，较上年度下降</w:t>
      </w:r>
      <w:r>
        <w:rPr>
          <w:rFonts w:ascii="宋体" w:hAnsi="宋体" w:cs="宋体" w:eastAsia="宋体" w:hint="default"/>
        </w:rPr>
        <w:t>1,124.65%</w:t>
      </w:r>
      <w:r>
        <w:rPr/>
        <w:t>，主要是因</w:t>
      </w:r>
      <w:r>
        <w:rPr>
          <w:spacing w:val="-22"/>
        </w:rPr>
        <w:t> </w:t>
      </w:r>
      <w:r>
        <w:rPr>
          <w:spacing w:val="-22"/>
        </w:rPr>
      </w:r>
      <w:r>
        <w:rPr/>
        <w:t>为母公司支付两家非全资子公司收购款</w:t>
      </w:r>
      <w:r>
        <w:rPr>
          <w:rFonts w:ascii="宋体" w:hAnsi="宋体" w:cs="宋体" w:eastAsia="宋体" w:hint="default"/>
        </w:rPr>
        <w:t>15,404.43</w:t>
      </w:r>
      <w:r>
        <w:rPr/>
        <w:t>万元所致；筹资活动产生的现金流量净额为</w:t>
      </w:r>
      <w:r>
        <w:rPr>
          <w:rFonts w:ascii="宋体" w:hAnsi="宋体" w:cs="宋体" w:eastAsia="宋体" w:hint="default"/>
        </w:rPr>
        <w:t>-597.19</w:t>
      </w:r>
      <w:r>
        <w:rPr/>
        <w:t>万</w:t>
      </w:r>
      <w:r>
        <w:rPr>
          <w:spacing w:val="68"/>
        </w:rPr>
        <w:t> </w:t>
      </w:r>
      <w:r>
        <w:rPr>
          <w:spacing w:val="-2"/>
        </w:rPr>
        <w:t>元，较上年度增长</w:t>
      </w:r>
      <w:r>
        <w:rPr>
          <w:rFonts w:ascii="宋体" w:hAnsi="宋体" w:cs="宋体" w:eastAsia="宋体" w:hint="default"/>
          <w:spacing w:val="-2"/>
        </w:rPr>
        <w:t>95.58%</w:t>
      </w:r>
      <w:r>
        <w:rPr>
          <w:spacing w:val="-2"/>
        </w:rPr>
        <w:t>，主要是因为本报告期母公司收到限制性股票认购款及上年同期母公司和子公司</w:t>
      </w:r>
      <w:r>
        <w:rPr>
          <w:spacing w:val="-38"/>
        </w:rPr>
        <w:t> </w:t>
      </w:r>
      <w:r>
        <w:rPr>
          <w:spacing w:val="-38"/>
        </w:rPr>
      </w:r>
      <w:r>
        <w:rPr/>
        <w:t>达实信息有大额的归还借款、偿还债务所致。</w:t>
      </w:r>
    </w:p>
    <w:p>
      <w:pPr>
        <w:pStyle w:val="BodyText"/>
        <w:spacing w:line="240" w:lineRule="auto"/>
        <w:ind w:left="573" w:right="1123"/>
        <w:jc w:val="left"/>
      </w:pPr>
      <w:r>
        <w:rPr/>
        <w:t>公司回顾总结前期披露的发展战略和经营计划在报告期内的进展情况</w:t>
      </w:r>
    </w:p>
    <w:p>
      <w:pPr>
        <w:pStyle w:val="BodyText"/>
        <w:spacing w:line="357" w:lineRule="auto" w:before="133"/>
        <w:ind w:left="573" w:right="0"/>
        <w:jc w:val="left"/>
      </w:pPr>
      <w:r>
        <w:rPr/>
        <w:t>（</w:t>
      </w:r>
      <w:r>
        <w:rPr>
          <w:rFonts w:ascii="宋体" w:hAnsi="宋体" w:cs="宋体" w:eastAsia="宋体" w:hint="default"/>
        </w:rPr>
        <w:t>1</w:t>
      </w:r>
      <w:r>
        <w:rPr/>
        <w:t>）业务经营</w:t>
      </w:r>
      <w:r>
        <w:rPr>
          <w:w w:val="100"/>
        </w:rPr>
        <w:t> </w:t>
      </w:r>
      <w:r>
        <w:rPr>
          <w:rFonts w:ascii="宋体" w:hAnsi="宋体" w:cs="宋体" w:eastAsia="宋体" w:hint="default"/>
          <w:spacing w:val="-5"/>
        </w:rPr>
        <w:t>2012</w:t>
      </w:r>
      <w:r>
        <w:rPr>
          <w:spacing w:val="-5"/>
        </w:rPr>
        <w:t>年，公司沿着“行业拓展”的发展思路，以事业部为组织保障，面向公共建筑、商业建筑、住宅、</w:t>
      </w:r>
    </w:p>
    <w:p>
      <w:pPr>
        <w:pStyle w:val="BodyText"/>
        <w:spacing w:line="355" w:lineRule="auto"/>
        <w:ind w:right="1126"/>
        <w:jc w:val="both"/>
      </w:pPr>
      <w:r>
        <w:rPr>
          <w:spacing w:val="-2"/>
        </w:rPr>
        <w:t>工业建筑提供建筑物全生命周期的节能服务。通过专业化促进规模化，以研发和市场营销为抓手，实现市</w:t>
      </w:r>
      <w:r>
        <w:rPr>
          <w:spacing w:val="-43"/>
        </w:rPr>
        <w:t> </w:t>
      </w:r>
      <w:r>
        <w:rPr>
          <w:spacing w:val="-43"/>
        </w:rPr>
      </w:r>
      <w:r>
        <w:rPr/>
        <w:t>场份额的提升，同时业务的区域分布更为均衡，华南区域收入首次下降到总收入的</w:t>
      </w:r>
      <w:r>
        <w:rPr>
          <w:rFonts w:ascii="宋体" w:hAnsi="宋体" w:cs="宋体" w:eastAsia="宋体" w:hint="default"/>
        </w:rPr>
        <w:t>50%</w:t>
      </w:r>
      <w:r>
        <w:rPr/>
        <w:t>以下，不同细分市</w:t>
      </w:r>
      <w:r>
        <w:rPr>
          <w:spacing w:val="-24"/>
        </w:rPr>
        <w:t> </w:t>
      </w:r>
      <w:r>
        <w:rPr>
          <w:spacing w:val="-24"/>
        </w:rPr>
      </w:r>
      <w:r>
        <w:rPr/>
        <w:t>场与更广的区域收入来源组合，使公司业务的抗波动性增强。</w:t>
      </w:r>
    </w:p>
    <w:p>
      <w:pPr>
        <w:spacing w:after="0" w:line="355" w:lineRule="auto"/>
        <w:jc w:val="both"/>
        <w:sectPr>
          <w:pgSz w:w="11910" w:h="16840"/>
          <w:pgMar w:header="877" w:footer="1340" w:top="1100" w:bottom="1540" w:left="980" w:right="0"/>
        </w:sectPr>
      </w:pPr>
    </w:p>
    <w:p>
      <w:pPr>
        <w:spacing w:line="240" w:lineRule="auto" w:before="3"/>
        <w:rPr>
          <w:rFonts w:ascii="宋体" w:hAnsi="宋体" w:cs="宋体" w:eastAsia="宋体" w:hint="default"/>
          <w:sz w:val="19"/>
          <w:szCs w:val="19"/>
        </w:rPr>
      </w:pPr>
    </w:p>
    <w:p>
      <w:pPr>
        <w:pStyle w:val="BodyText"/>
        <w:spacing w:line="357" w:lineRule="auto" w:before="36"/>
        <w:ind w:left="573" w:right="1123"/>
        <w:jc w:val="left"/>
      </w:pPr>
      <w:r>
        <w:rPr/>
        <w:t>①建筑智能化业务</w:t>
      </w:r>
      <w:r>
        <w:rPr>
          <w:w w:val="100"/>
        </w:rPr>
        <w:t> </w:t>
      </w:r>
      <w:r>
        <w:rPr>
          <w:spacing w:val="-2"/>
        </w:rPr>
        <w:t>建筑智能化业务由公司的系统集成业务单元承担，细分市场定位于轨道交通，高端星级酒店及商业综</w:t>
      </w:r>
    </w:p>
    <w:p>
      <w:pPr>
        <w:pStyle w:val="BodyText"/>
        <w:spacing w:line="357" w:lineRule="auto"/>
        <w:ind w:right="1126"/>
        <w:jc w:val="both"/>
      </w:pPr>
      <w:r>
        <w:rPr>
          <w:spacing w:val="-2"/>
        </w:rPr>
        <w:t>合体，拥有大型中央空调系统的工厂建筑，品牌地产开发商的住宅。行业事业部作为独立作业单元与利润</w:t>
      </w:r>
      <w:r>
        <w:rPr>
          <w:spacing w:val="-45"/>
        </w:rPr>
        <w:t> </w:t>
      </w:r>
      <w:r>
        <w:rPr>
          <w:spacing w:val="-45"/>
        </w:rPr>
      </w:r>
      <w:r>
        <w:rPr/>
        <w:t>单元。</w:t>
      </w:r>
    </w:p>
    <w:p>
      <w:pPr>
        <w:pStyle w:val="BodyText"/>
        <w:spacing w:line="357" w:lineRule="auto"/>
        <w:ind w:right="1126" w:firstLine="420"/>
        <w:jc w:val="both"/>
      </w:pPr>
      <w:r>
        <w:rPr>
          <w:spacing w:val="-2"/>
        </w:rPr>
        <w:t>公共建筑智能化：以轨道交通智能化业务为主，</w:t>
      </w:r>
      <w:r>
        <w:rPr>
          <w:rFonts w:ascii="宋体" w:hAnsi="宋体" w:cs="宋体" w:eastAsia="宋体" w:hint="default"/>
          <w:spacing w:val="-2"/>
        </w:rPr>
        <w:t>2012</w:t>
      </w:r>
      <w:r>
        <w:rPr>
          <w:spacing w:val="-2"/>
        </w:rPr>
        <w:t>年，在整体市场投资放缓的情况下，公司中标长</w:t>
      </w:r>
      <w:r>
        <w:rPr>
          <w:w w:val="100"/>
        </w:rPr>
        <w:t> </w:t>
      </w:r>
      <w:r>
        <w:rPr/>
        <w:t>沙地铁、大连地铁两个项目，扭转了上年的不利市场局面，同时也使公司轨道交通业务的覆盖城市达到</w:t>
      </w:r>
      <w:r>
        <w:rPr>
          <w:rFonts w:ascii="宋体" w:hAnsi="宋体" w:cs="宋体" w:eastAsia="宋体" w:hint="default"/>
        </w:rPr>
        <w:t>4</w:t>
      </w:r>
      <w:r>
        <w:rPr>
          <w:rFonts w:ascii="宋体" w:hAnsi="宋体" w:cs="宋体" w:eastAsia="宋体" w:hint="default"/>
          <w:spacing w:val="-20"/>
        </w:rPr>
        <w:t> </w:t>
      </w:r>
      <w:r>
        <w:rPr>
          <w:spacing w:val="-2"/>
        </w:rPr>
        <w:t>个。围绕“绿色地铁”，公司从咨询及认证、设计、建设、运营等全生命周期切入，引导用户需求，同时</w:t>
      </w:r>
      <w:r>
        <w:rPr>
          <w:spacing w:val="-47"/>
        </w:rPr>
        <w:t> </w:t>
      </w:r>
      <w:r>
        <w:rPr>
          <w:spacing w:val="-47"/>
        </w:rPr>
      </w:r>
      <w:r>
        <w:rPr>
          <w:spacing w:val="-2"/>
        </w:rPr>
        <w:t>对事业部内部的产品、人力组织等进一步整合，专注轨道交通综合监控系统及节能服务，为来来的持续发</w:t>
      </w:r>
      <w:r>
        <w:rPr>
          <w:spacing w:val="-44"/>
        </w:rPr>
        <w:t> </w:t>
      </w:r>
      <w:r>
        <w:rPr>
          <w:spacing w:val="-44"/>
        </w:rPr>
      </w:r>
      <w:r>
        <w:rPr/>
        <w:t>展奠定基础。在项目实施方面，公司首个异地项目—成都地铁</w:t>
      </w:r>
      <w:r>
        <w:rPr>
          <w:rFonts w:ascii="宋体" w:hAnsi="宋体" w:cs="宋体" w:eastAsia="宋体" w:hint="default"/>
        </w:rPr>
        <w:t>2</w:t>
      </w:r>
      <w:r>
        <w:rPr/>
        <w:t>号线综合监控系统项目顺利通过验收并投</w:t>
      </w:r>
      <w:r>
        <w:rPr>
          <w:spacing w:val="-23"/>
        </w:rPr>
        <w:t> </w:t>
      </w:r>
      <w:r>
        <w:rPr>
          <w:spacing w:val="-23"/>
        </w:rPr>
      </w:r>
      <w:r>
        <w:rPr>
          <w:spacing w:val="-2"/>
        </w:rPr>
        <w:t>入运营，为公司大型异地项目的工程组织实施提供了诸多有益的经验。此外，公司承担了成都国际机场扩</w:t>
      </w:r>
      <w:r>
        <w:rPr>
          <w:spacing w:val="-43"/>
        </w:rPr>
        <w:t> </w:t>
      </w:r>
      <w:r>
        <w:rPr>
          <w:spacing w:val="-43"/>
        </w:rPr>
      </w:r>
      <w:r>
        <w:rPr/>
        <w:t>建工程</w:t>
      </w:r>
      <w:r>
        <w:rPr>
          <w:rFonts w:ascii="宋体" w:hAnsi="宋体" w:cs="宋体" w:eastAsia="宋体" w:hint="default"/>
        </w:rPr>
        <w:t>T2</w:t>
      </w:r>
      <w:r>
        <w:rPr/>
        <w:t>航站楼、深圳宝安国际机场扩建工程</w:t>
      </w:r>
      <w:r>
        <w:rPr>
          <w:rFonts w:ascii="宋体" w:hAnsi="宋体" w:cs="宋体" w:eastAsia="宋体" w:hint="default"/>
        </w:rPr>
        <w:t>T3</w:t>
      </w:r>
      <w:r>
        <w:rPr/>
        <w:t>航站楼等多项公共建筑智能化与自动化项目。</w:t>
      </w:r>
    </w:p>
    <w:p>
      <w:pPr>
        <w:pStyle w:val="BodyText"/>
        <w:spacing w:line="357" w:lineRule="auto"/>
        <w:ind w:right="1126" w:firstLine="420"/>
        <w:jc w:val="both"/>
      </w:pPr>
      <w:r>
        <w:rPr>
          <w:spacing w:val="-2"/>
        </w:rPr>
        <w:t>商业建筑智能化：以高端酒店智能化业务为主，抓住宏观调控的投资溢出效应带来行业快速增长，继</w:t>
      </w:r>
      <w:r>
        <w:rPr>
          <w:w w:val="100"/>
        </w:rPr>
        <w:t> </w:t>
      </w:r>
      <w:r>
        <w:rPr>
          <w:spacing w:val="-2"/>
        </w:rPr>
        <w:t>续保持国内细分行业龙头的位置。报告期内，公司新签酒店智能化集成及设计业务共</w:t>
      </w:r>
      <w:r>
        <w:rPr>
          <w:rFonts w:ascii="宋体" w:hAnsi="宋体" w:cs="宋体" w:eastAsia="宋体" w:hint="default"/>
          <w:spacing w:val="-2"/>
        </w:rPr>
        <w:t>34</w:t>
      </w:r>
      <w:r>
        <w:rPr>
          <w:spacing w:val="-2"/>
        </w:rPr>
        <w:t>家，集成项目的单</w:t>
      </w:r>
      <w:r>
        <w:rPr>
          <w:spacing w:val="-42"/>
        </w:rPr>
        <w:t> </w:t>
      </w:r>
      <w:r>
        <w:rPr>
          <w:spacing w:val="-42"/>
        </w:rPr>
      </w:r>
      <w:r>
        <w:rPr>
          <w:spacing w:val="-2"/>
        </w:rPr>
        <w:t>体合同额有较大提升，承担了珠海长隆横琴湾酒店等多个业内标志性项目，签约额及实现收入继续保持高</w:t>
      </w:r>
      <w:r>
        <w:rPr>
          <w:spacing w:val="-43"/>
        </w:rPr>
        <w:t> </w:t>
      </w:r>
      <w:r>
        <w:rPr>
          <w:spacing w:val="-43"/>
        </w:rPr>
      </w:r>
      <w:r>
        <w:rPr>
          <w:spacing w:val="-2"/>
        </w:rPr>
        <w:t>速增长。与大型酒店投资商、外资品牌酒店管理公司的战略合作走向深入，专业化带来的规模化，使公司</w:t>
      </w:r>
      <w:r>
        <w:rPr>
          <w:spacing w:val="-50"/>
        </w:rPr>
        <w:t> </w:t>
      </w:r>
      <w:r>
        <w:rPr>
          <w:spacing w:val="-50"/>
        </w:rPr>
      </w:r>
      <w:r>
        <w:rPr>
          <w:spacing w:val="-2"/>
        </w:rPr>
        <w:t>面对行业上下游具有一定的影响力。同时，公司逐步建立了适应酒店智能化业务分布广、分散实施特点的</w:t>
      </w:r>
      <w:r>
        <w:rPr>
          <w:spacing w:val="-43"/>
        </w:rPr>
        <w:t> </w:t>
      </w:r>
      <w:r>
        <w:rPr>
          <w:spacing w:val="-43"/>
        </w:rPr>
      </w:r>
      <w:r>
        <w:rPr/>
        <w:t>工程管理体系，使分布在国内</w:t>
      </w:r>
      <w:r>
        <w:rPr>
          <w:rFonts w:ascii="宋体" w:hAnsi="宋体" w:cs="宋体" w:eastAsia="宋体" w:hint="default"/>
        </w:rPr>
        <w:t>16</w:t>
      </w:r>
      <w:r>
        <w:rPr/>
        <w:t>个省市的项目得以顺利实施。</w:t>
      </w:r>
    </w:p>
    <w:p>
      <w:pPr>
        <w:pStyle w:val="BodyText"/>
        <w:spacing w:line="357" w:lineRule="auto" w:before="32"/>
        <w:ind w:right="1104" w:firstLine="420"/>
        <w:jc w:val="both"/>
      </w:pPr>
      <w:r>
        <w:rPr>
          <w:spacing w:val="-2"/>
        </w:rPr>
        <w:t>住宅智能化业务：坚持大客户战略，以具有性价比的产品与服务取得持续的订单；坚持低成本战略，</w:t>
      </w:r>
      <w:r>
        <w:rPr>
          <w:w w:val="100"/>
        </w:rPr>
        <w:t> </w:t>
      </w:r>
      <w:r>
        <w:rPr>
          <w:spacing w:val="-2"/>
        </w:rPr>
        <w:t>通过可复制性降低解决方案的开发成本与实施成本，建立适应周期长、小项目多特点的工程服务体系，优</w:t>
      </w:r>
      <w:r>
        <w:rPr>
          <w:spacing w:val="-45"/>
        </w:rPr>
        <w:t> </w:t>
      </w:r>
      <w:r>
        <w:rPr>
          <w:spacing w:val="-45"/>
        </w:rPr>
      </w:r>
      <w:r>
        <w:rPr>
          <w:spacing w:val="-2"/>
        </w:rPr>
        <w:t>化供应链，与恒大、恒基、雅居乐等战略合作伙伴的合作逐步深入，使住宅智能化业务在不利的外部环境</w:t>
      </w:r>
      <w:r>
        <w:rPr>
          <w:spacing w:val="-46"/>
        </w:rPr>
        <w:t> </w:t>
      </w:r>
      <w:r>
        <w:rPr>
          <w:spacing w:val="-46"/>
        </w:rPr>
      </w:r>
      <w:r>
        <w:rPr/>
        <w:t>下保持较高的增长速度。</w:t>
      </w:r>
    </w:p>
    <w:p>
      <w:pPr>
        <w:pStyle w:val="BodyText"/>
        <w:spacing w:line="355" w:lineRule="auto" w:before="32"/>
        <w:ind w:right="1131" w:firstLine="420"/>
        <w:jc w:val="both"/>
      </w:pPr>
      <w:r>
        <w:rPr/>
        <w:t>此外，公司敏锐把握数据中心（</w:t>
      </w:r>
      <w:r>
        <w:rPr>
          <w:rFonts w:ascii="宋体" w:hAnsi="宋体" w:cs="宋体" w:eastAsia="宋体" w:hint="default"/>
        </w:rPr>
        <w:t>IDC</w:t>
      </w:r>
      <w:r>
        <w:rPr/>
        <w:t>）、城市综合体（</w:t>
      </w:r>
      <w:r>
        <w:rPr>
          <w:rFonts w:ascii="宋体" w:hAnsi="宋体" w:cs="宋体" w:eastAsia="宋体" w:hint="default"/>
        </w:rPr>
        <w:t>HOPSCA</w:t>
      </w:r>
      <w:r>
        <w:rPr/>
        <w:t>）带来的新增市场机会，签约实施了佛</w:t>
      </w:r>
      <w:r>
        <w:rPr>
          <w:w w:val="100"/>
        </w:rPr>
        <w:t> </w:t>
      </w:r>
      <w:r>
        <w:rPr/>
        <w:t>山世纪互联</w:t>
      </w:r>
      <w:r>
        <w:rPr>
          <w:rFonts w:ascii="宋体" w:hAnsi="宋体" w:cs="宋体" w:eastAsia="宋体" w:hint="default"/>
        </w:rPr>
        <w:t>IDC</w:t>
      </w:r>
      <w:r>
        <w:rPr/>
        <w:t>等典型项目，以期未来成为新的利润来源。</w:t>
      </w:r>
    </w:p>
    <w:p>
      <w:pPr>
        <w:pStyle w:val="BodyText"/>
        <w:spacing w:line="355" w:lineRule="auto" w:before="32"/>
        <w:ind w:left="573" w:right="1123"/>
        <w:jc w:val="left"/>
      </w:pPr>
      <w:r>
        <w:rPr/>
        <w:t>②建筑节能业务</w:t>
      </w:r>
      <w:r>
        <w:rPr>
          <w:spacing w:val="-103"/>
        </w:rPr>
        <w:t> </w:t>
      </w:r>
      <w:r>
        <w:rPr>
          <w:spacing w:val="-103"/>
        </w:rPr>
      </w:r>
      <w:r>
        <w:rPr>
          <w:spacing w:val="-2"/>
        </w:rPr>
        <w:t>报告期内，公司建筑节能业务围绕中央空调节能，面向新建建筑与既有建筑，在商业模式创新与核心</w:t>
      </w:r>
    </w:p>
    <w:p>
      <w:pPr>
        <w:pStyle w:val="BodyText"/>
        <w:spacing w:line="357" w:lineRule="auto" w:before="32"/>
        <w:ind w:right="1127"/>
        <w:jc w:val="both"/>
      </w:pPr>
      <w:r>
        <w:rPr/>
        <w:t>技术能力完善上进行了诸多尝试。针对合同能源管理“技术</w:t>
      </w:r>
      <w:r>
        <w:rPr>
          <w:rFonts w:ascii="宋体" w:hAnsi="宋体" w:cs="宋体" w:eastAsia="宋体" w:hint="default"/>
        </w:rPr>
        <w:t>+</w:t>
      </w:r>
      <w:r>
        <w:rPr/>
        <w:t>金融”的特质，适应客户融资、节能、风险</w:t>
      </w:r>
      <w:r>
        <w:rPr>
          <w:spacing w:val="-22"/>
        </w:rPr>
        <w:t> </w:t>
      </w:r>
      <w:r>
        <w:rPr>
          <w:spacing w:val="-22"/>
        </w:rPr>
      </w:r>
      <w:r>
        <w:rPr>
          <w:spacing w:val="-2"/>
        </w:rPr>
        <w:t>偏好的不同需求，量身定制出不同的合同能源管理方案。针对战略布局需要，与美国开利、永旺永乐、三</w:t>
      </w:r>
      <w:r>
        <w:rPr>
          <w:spacing w:val="-43"/>
        </w:rPr>
        <w:t> </w:t>
      </w:r>
      <w:r>
        <w:rPr>
          <w:spacing w:val="-43"/>
        </w:rPr>
      </w:r>
      <w:r>
        <w:rPr>
          <w:spacing w:val="-2"/>
        </w:rPr>
        <w:t>菱日联等国际公司建立战略合作伙伴关系。同时围绕建筑“能源站”业务，推出面向商业中心、工厂、医</w:t>
      </w:r>
      <w:r>
        <w:rPr>
          <w:spacing w:val="-47"/>
        </w:rPr>
        <w:t> </w:t>
      </w:r>
      <w:r>
        <w:rPr>
          <w:spacing w:val="-47"/>
        </w:rPr>
      </w:r>
      <w:r>
        <w:rPr/>
        <w:t>院的行业解决方案，完成了长安标致雪铁龙等</w:t>
      </w:r>
      <w:r>
        <w:rPr>
          <w:rFonts w:ascii="宋体" w:hAnsi="宋体" w:cs="宋体" w:eastAsia="宋体" w:hint="default"/>
        </w:rPr>
        <w:t>3</w:t>
      </w:r>
      <w:r>
        <w:rPr/>
        <w:t>个建筑“能源站”项目的签约。与此同时，研发了中央空</w:t>
      </w:r>
      <w:r>
        <w:rPr>
          <w:spacing w:val="-23"/>
        </w:rPr>
        <w:t> </w:t>
      </w:r>
      <w:r>
        <w:rPr>
          <w:spacing w:val="-23"/>
        </w:rPr>
      </w:r>
      <w:r>
        <w:rPr/>
        <w:t>调群控、水蓄冷等多项产品，逐步完善了暖通技术设计、工程实施和运营服务完整体系。</w:t>
      </w:r>
    </w:p>
    <w:p>
      <w:pPr>
        <w:spacing w:line="240" w:lineRule="auto" w:before="3"/>
        <w:rPr>
          <w:rFonts w:ascii="宋体" w:hAnsi="宋体" w:cs="宋体" w:eastAsia="宋体" w:hint="default"/>
          <w:sz w:val="29"/>
          <w:szCs w:val="29"/>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z w:val="18"/>
          <w:szCs w:val="18"/>
        </w:rPr>
        <w:t>20%</w:t>
      </w:r>
      <w:r>
        <w:rPr>
          <w:rFonts w:ascii="宋体" w:hAnsi="宋体" w:cs="宋体" w:eastAsia="宋体" w:hint="default"/>
          <w:sz w:val="18"/>
          <w:szCs w:val="18"/>
        </w:rPr>
        <w:t>以上的差异原因</w:t>
      </w:r>
    </w:p>
    <w:p>
      <w:pPr>
        <w:spacing w:before="115"/>
        <w:ind w:left="152"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5"/>
        <w:rPr>
          <w:rFonts w:ascii="宋体" w:hAnsi="宋体" w:cs="宋体" w:eastAsia="宋体" w:hint="default"/>
          <w:b/>
          <w:bCs/>
          <w:sz w:val="20"/>
          <w:szCs w:val="20"/>
        </w:rPr>
      </w:pPr>
    </w:p>
    <w:p>
      <w:pPr>
        <w:pStyle w:val="BodyText"/>
        <w:spacing w:line="240" w:lineRule="auto" w:before="36"/>
        <w:ind w:left="573" w:right="1123"/>
        <w:jc w:val="left"/>
      </w:pPr>
      <w:r>
        <w:rPr>
          <w:rFonts w:ascii="宋体" w:hAnsi="宋体" w:cs="宋体" w:eastAsia="宋体" w:hint="default"/>
        </w:rPr>
        <w:t>2012</w:t>
      </w:r>
      <w:r>
        <w:rPr/>
        <w:t>年度，公司实现营业收入</w:t>
      </w:r>
      <w:r>
        <w:rPr>
          <w:rFonts w:ascii="宋体" w:hAnsi="宋体" w:cs="宋体" w:eastAsia="宋体" w:hint="default"/>
        </w:rPr>
        <w:t>824,070,264.21</w:t>
      </w:r>
      <w:r>
        <w:rPr>
          <w:rFonts w:ascii="宋体" w:hAnsi="宋体" w:cs="宋体" w:eastAsia="宋体" w:hint="default"/>
          <w:spacing w:val="-7"/>
        </w:rPr>
        <w:t> </w:t>
      </w:r>
      <w:r>
        <w:rPr/>
        <w:t>元，较</w:t>
      </w:r>
      <w:r>
        <w:rPr>
          <w:rFonts w:ascii="宋体" w:hAnsi="宋体" w:cs="宋体" w:eastAsia="宋体" w:hint="default"/>
        </w:rPr>
        <w:t>2011</w:t>
      </w:r>
      <w:r>
        <w:rPr/>
        <w:t>年增长</w:t>
      </w:r>
      <w:r>
        <w:rPr>
          <w:rFonts w:ascii="宋体" w:hAnsi="宋体" w:cs="宋体" w:eastAsia="宋体" w:hint="default"/>
        </w:rPr>
        <w:t>55.32%</w:t>
      </w:r>
      <w:r>
        <w:rPr/>
        <w:t>。</w:t>
      </w:r>
    </w:p>
    <w:p>
      <w:pPr>
        <w:pStyle w:val="BodyText"/>
        <w:spacing w:line="240" w:lineRule="auto" w:before="133"/>
        <w:ind w:left="0" w:right="1128"/>
        <w:jc w:val="right"/>
      </w:pPr>
      <w:r>
        <w:rPr>
          <w:spacing w:val="-1"/>
        </w:rPr>
        <w:t>单位：元</w:t>
      </w:r>
    </w:p>
    <w:p>
      <w:pPr>
        <w:spacing w:line="240" w:lineRule="auto" w:before="10"/>
        <w:rPr>
          <w:rFonts w:ascii="宋体" w:hAnsi="宋体" w:cs="宋体" w:eastAsia="宋体" w:hint="default"/>
          <w:sz w:val="12"/>
          <w:szCs w:val="12"/>
        </w:rPr>
      </w:pPr>
    </w:p>
    <w:tbl>
      <w:tblPr>
        <w:tblW w:w="0" w:type="auto"/>
        <w:jc w:val="left"/>
        <w:tblInd w:w="179" w:type="dxa"/>
        <w:tblLayout w:type="fixed"/>
        <w:tblCellMar>
          <w:top w:w="0" w:type="dxa"/>
          <w:left w:w="0" w:type="dxa"/>
          <w:bottom w:w="0" w:type="dxa"/>
          <w:right w:w="0" w:type="dxa"/>
        </w:tblCellMar>
        <w:tblLook w:val="01E0"/>
      </w:tblPr>
      <w:tblGrid>
        <w:gridCol w:w="3373"/>
        <w:gridCol w:w="2062"/>
        <w:gridCol w:w="2064"/>
        <w:gridCol w:w="2074"/>
      </w:tblGrid>
      <w:tr>
        <w:trPr>
          <w:trHeight w:val="427"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4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4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5"/>
              <w:jc w:val="right"/>
              <w:rPr>
                <w:rFonts w:ascii="宋体" w:hAnsi="宋体" w:cs="宋体" w:eastAsia="宋体" w:hint="default"/>
                <w:sz w:val="18"/>
                <w:szCs w:val="18"/>
              </w:rPr>
            </w:pPr>
            <w:r>
              <w:rPr>
                <w:rFonts w:ascii="宋体" w:hAnsi="宋体" w:cs="宋体" w:eastAsia="宋体" w:hint="default"/>
                <w:sz w:val="18"/>
                <w:szCs w:val="18"/>
              </w:rPr>
              <w:t>本年比上年增减幅度（</w:t>
            </w:r>
            <w:r>
              <w:rPr>
                <w:rFonts w:ascii="宋体" w:hAnsi="宋体" w:cs="宋体" w:eastAsia="宋体" w:hint="default"/>
                <w:sz w:val="18"/>
                <w:szCs w:val="18"/>
              </w:rPr>
              <w:t>%</w:t>
            </w:r>
            <w:r>
              <w:rPr>
                <w:rFonts w:ascii="宋体" w:hAnsi="宋体" w:cs="宋体" w:eastAsia="宋体" w:hint="default"/>
                <w:sz w:val="18"/>
                <w:szCs w:val="18"/>
              </w:rPr>
              <w:t>）</w:t>
            </w:r>
          </w:p>
        </w:tc>
      </w:tr>
      <w:tr>
        <w:trPr>
          <w:trHeight w:val="427"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建筑智能化及建筑节能</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605,060,107.30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444,423,645.86</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36.14</w:t>
            </w:r>
          </w:p>
        </w:tc>
      </w:tr>
      <w:tr>
        <w:trPr>
          <w:trHeight w:val="427"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绿色建筑公用工程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120,659,422.08</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w:t>
            </w:r>
          </w:p>
        </w:tc>
      </w:tr>
      <w:tr>
        <w:trPr>
          <w:trHeight w:val="427"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工业自动化</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
              <w:jc w:val="right"/>
              <w:rPr>
                <w:rFonts w:ascii="宋体" w:hAnsi="宋体" w:cs="宋体" w:eastAsia="宋体" w:hint="default"/>
                <w:sz w:val="18"/>
                <w:szCs w:val="18"/>
              </w:rPr>
            </w:pPr>
            <w:r>
              <w:rPr>
                <w:rFonts w:ascii="宋体"/>
                <w:spacing w:val="-1"/>
                <w:sz w:val="18"/>
              </w:rPr>
              <w:t>41,085,627.32</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32,555,026.73</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26.20</w:t>
            </w:r>
          </w:p>
        </w:tc>
      </w:tr>
      <w:tr>
        <w:trPr>
          <w:trHeight w:val="427"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终端产品及其他</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
              <w:jc w:val="right"/>
              <w:rPr>
                <w:rFonts w:ascii="宋体" w:hAnsi="宋体" w:cs="宋体" w:eastAsia="宋体" w:hint="default"/>
                <w:sz w:val="18"/>
                <w:szCs w:val="18"/>
              </w:rPr>
            </w:pPr>
            <w:r>
              <w:rPr>
                <w:rFonts w:ascii="宋体"/>
                <w:spacing w:val="-1"/>
                <w:sz w:val="18"/>
              </w:rPr>
              <w:t>29,926,872.21</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28,510,518.52</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4.97</w:t>
            </w:r>
          </w:p>
        </w:tc>
      </w:tr>
      <w:tr>
        <w:trPr>
          <w:trHeight w:val="425"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
              <w:jc w:val="right"/>
              <w:rPr>
                <w:rFonts w:ascii="宋体" w:hAnsi="宋体" w:cs="宋体" w:eastAsia="宋体" w:hint="default"/>
                <w:sz w:val="18"/>
                <w:szCs w:val="18"/>
              </w:rPr>
            </w:pPr>
            <w:r>
              <w:rPr>
                <w:rFonts w:ascii="宋体"/>
                <w:spacing w:val="-1"/>
                <w:sz w:val="18"/>
              </w:rPr>
              <w:t>27,338,235.30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25,070,850.23</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9.04</w:t>
            </w:r>
          </w:p>
        </w:tc>
      </w:tr>
      <w:tr>
        <w:trPr>
          <w:trHeight w:val="430" w:hRule="exact"/>
        </w:trPr>
        <w:tc>
          <w:tcPr>
            <w:tcW w:w="3373" w:type="dxa"/>
            <w:tcBorders>
              <w:top w:val="single" w:sz="6" w:space="0" w:color="000000"/>
              <w:left w:val="single" w:sz="6" w:space="0" w:color="000000"/>
              <w:bottom w:val="single" w:sz="6" w:space="0" w:color="000000"/>
              <w:right w:val="single" w:sz="6" w:space="0" w:color="000000"/>
            </w:tcBorders>
          </w:tcPr>
          <w:p>
            <w:pPr>
              <w:pStyle w:val="TableParagraph"/>
              <w:tabs>
                <w:tab w:pos="633" w:val="left" w:leader="none"/>
              </w:tabs>
              <w:spacing w:line="240" w:lineRule="auto" w:before="61"/>
              <w:ind w:left="9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824,070,264.21</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530,560,041.34</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55.32</w:t>
            </w:r>
          </w:p>
        </w:tc>
      </w:tr>
    </w:tbl>
    <w:p>
      <w:pPr>
        <w:pStyle w:val="BodyText"/>
        <w:spacing w:line="241" w:lineRule="exact" w:before="0"/>
        <w:ind w:left="573" w:right="1123"/>
        <w:jc w:val="left"/>
      </w:pPr>
      <w:r>
        <w:rPr/>
        <w:t>（</w:t>
      </w:r>
      <w:r>
        <w:rPr>
          <w:rFonts w:ascii="宋体" w:hAnsi="宋体" w:cs="宋体" w:eastAsia="宋体" w:hint="default"/>
        </w:rPr>
        <w:t>1</w:t>
      </w:r>
      <w:r>
        <w:rPr/>
        <w:t>）建筑智能化及建筑节能收入较上年增长</w:t>
      </w:r>
      <w:r>
        <w:rPr>
          <w:rFonts w:ascii="宋体" w:hAnsi="宋体" w:cs="宋体" w:eastAsia="宋体" w:hint="default"/>
        </w:rPr>
        <w:t>36.14%</w:t>
      </w:r>
      <w:r>
        <w:rPr/>
        <w:t>，主要是由于公司业务发展导致收入增加以及新</w:t>
      </w:r>
    </w:p>
    <w:p>
      <w:pPr>
        <w:pStyle w:val="BodyText"/>
        <w:spacing w:line="240" w:lineRule="auto" w:before="133"/>
        <w:ind w:right="1123"/>
        <w:jc w:val="left"/>
      </w:pPr>
      <w:r>
        <w:rPr/>
        <w:t>增两家子公司纳入合并报表所致；</w:t>
      </w:r>
    </w:p>
    <w:p>
      <w:pPr>
        <w:pStyle w:val="BodyText"/>
        <w:spacing w:line="240" w:lineRule="auto" w:before="133"/>
        <w:ind w:left="573" w:right="1123"/>
        <w:jc w:val="left"/>
      </w:pPr>
      <w:r>
        <w:rPr/>
        <w:t>（</w:t>
      </w:r>
      <w:r>
        <w:rPr>
          <w:rFonts w:ascii="宋体" w:hAnsi="宋体" w:cs="宋体" w:eastAsia="宋体" w:hint="default"/>
        </w:rPr>
        <w:t>2</w:t>
      </w:r>
      <w:r>
        <w:rPr/>
        <w:t>）绿色建筑公用工程收入为本期新收购公司达实联欣从事的业务，此前公司未从事此业务。</w:t>
      </w:r>
    </w:p>
    <w:p>
      <w:pPr>
        <w:spacing w:line="240" w:lineRule="auto" w:before="7"/>
        <w:rPr>
          <w:rFonts w:ascii="宋体" w:hAnsi="宋体" w:cs="宋体" w:eastAsia="宋体" w:hint="default"/>
          <w:sz w:val="16"/>
          <w:szCs w:val="1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57" w:lineRule="auto" w:before="117"/>
        <w:ind w:left="152" w:right="877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公司重大的在手订单情况</w:t>
      </w:r>
    </w:p>
    <w:p>
      <w:pPr>
        <w:spacing w:line="360" w:lineRule="auto" w:before="29"/>
        <w:ind w:left="152" w:right="64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公司报告期内产品或服务发生重大变化或调整有关情况</w:t>
      </w:r>
    </w:p>
    <w:p>
      <w:pPr>
        <w:spacing w:line="720" w:lineRule="auto" w:before="25"/>
        <w:ind w:left="152" w:right="8954" w:firstLine="0"/>
        <w:jc w:val="left"/>
        <w:rPr>
          <w:rFonts w:ascii="宋体" w:hAnsi="宋体" w:cs="宋体" w:eastAsia="宋体" w:hint="default"/>
          <w:sz w:val="18"/>
          <w:szCs w:val="18"/>
        </w:rPr>
      </w:pPr>
      <w:r>
        <w:rPr/>
        <w:pict>
          <v:shape style="position:absolute;margin-left:56.459999pt;margin-top:53.64172pt;width:479.2pt;height:40.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19"/>
                    <w:gridCol w:w="4751"/>
                  </w:tblGrid>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190,165,249.08</w:t>
                        </w:r>
                      </w:p>
                    </w:tc>
                  </w:tr>
                  <w:tr>
                    <w:trPr>
                      <w:trHeight w:val="401"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宋体" w:hAnsi="宋体" w:cs="宋体" w:eastAsia="宋体" w:hint="default"/>
                            <w:sz w:val="18"/>
                            <w:szCs w:val="18"/>
                          </w:rPr>
                          <w:t>%</w:t>
                        </w:r>
                        <w:r>
                          <w:rPr>
                            <w:rFonts w:ascii="宋体" w:hAnsi="宋体" w:cs="宋体" w:eastAsia="宋体" w:hint="default"/>
                            <w:sz w:val="18"/>
                            <w:szCs w:val="18"/>
                          </w:rPr>
                          <w:t>）</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23.08</w:t>
                        </w:r>
                      </w:p>
                    </w:tc>
                  </w:tr>
                </w:tbl>
                <w:p>
                  <w:pPr/>
                </w:p>
              </w:txbxContent>
            </v:textbox>
            <w10:wrap type="none"/>
          </v:shape>
        </w:pict>
      </w: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公司主要销售客户情况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大客户资料</w:t>
      </w:r>
    </w:p>
    <w:p>
      <w:pPr>
        <w:spacing w:before="117"/>
        <w:ind w:left="152" w:right="112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80"/>
        <w:gridCol w:w="4017"/>
        <w:gridCol w:w="2138"/>
        <w:gridCol w:w="2624"/>
      </w:tblGrid>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4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9"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02"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1</w:t>
            </w:r>
          </w:p>
        </w:tc>
        <w:tc>
          <w:tcPr>
            <w:tcW w:w="4017"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成都地铁有限责任公司</w:t>
            </w:r>
          </w:p>
        </w:tc>
        <w:tc>
          <w:tcPr>
            <w:tcW w:w="213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44,045,574.06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5.34</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2</w:t>
            </w:r>
          </w:p>
        </w:tc>
        <w:tc>
          <w:tcPr>
            <w:tcW w:w="4017"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世纪互联（佛山）信息技术有限公司</w:t>
            </w:r>
          </w:p>
        </w:tc>
        <w:tc>
          <w:tcPr>
            <w:tcW w:w="213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42,646,283.10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5.18</w:t>
            </w:r>
          </w:p>
        </w:tc>
      </w:tr>
      <w:tr>
        <w:trPr>
          <w:trHeight w:val="402"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3</w:t>
            </w:r>
          </w:p>
        </w:tc>
        <w:tc>
          <w:tcPr>
            <w:tcW w:w="4017"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上海松江万达投资有限公司</w:t>
            </w:r>
          </w:p>
        </w:tc>
        <w:tc>
          <w:tcPr>
            <w:tcW w:w="213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37,500,000.00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4.55</w:t>
            </w:r>
          </w:p>
        </w:tc>
      </w:tr>
      <w:tr>
        <w:trPr>
          <w:trHeight w:val="402"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4</w:t>
            </w:r>
          </w:p>
        </w:tc>
        <w:tc>
          <w:tcPr>
            <w:tcW w:w="4017"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范德兰德物流自动化系统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213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34,024,364.52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4.13</w:t>
            </w:r>
          </w:p>
        </w:tc>
      </w:tr>
      <w:tr>
        <w:trPr>
          <w:trHeight w:val="402"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5</w:t>
            </w:r>
          </w:p>
        </w:tc>
        <w:tc>
          <w:tcPr>
            <w:tcW w:w="4017"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深圳市水务工程建设管理中心</w:t>
            </w:r>
          </w:p>
        </w:tc>
        <w:tc>
          <w:tcPr>
            <w:tcW w:w="213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31,949,027.40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3.88</w:t>
            </w:r>
          </w:p>
        </w:tc>
      </w:tr>
      <w:tr>
        <w:trPr>
          <w:trHeight w:val="402"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190,165,249.08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23.08</w:t>
            </w:r>
          </w:p>
        </w:tc>
      </w:tr>
    </w:tbl>
    <w:p>
      <w:pPr>
        <w:spacing w:after="0" w:line="240" w:lineRule="auto"/>
        <w:jc w:val="right"/>
        <w:rPr>
          <w:rFonts w:ascii="宋体" w:hAnsi="宋体" w:cs="宋体" w:eastAsia="宋体" w:hint="default"/>
          <w:sz w:val="18"/>
          <w:szCs w:val="18"/>
        </w:rPr>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rFonts w:ascii="宋体" w:hAnsi="宋体" w:cs="宋体" w:eastAsia="宋体" w:hint="default"/>
        </w:rPr>
        <w:t>3</w:t>
      </w:r>
      <w:r>
        <w:rPr/>
        <w:t>、成本</w:t>
      </w:r>
      <w:r>
        <w:rPr>
          <w:b w:val="0"/>
          <w:bCs w:val="0"/>
        </w:rPr>
      </w:r>
    </w:p>
    <w:p>
      <w:pPr>
        <w:spacing w:line="240" w:lineRule="auto" w:before="2"/>
        <w:rPr>
          <w:rFonts w:ascii="宋体" w:hAnsi="宋体" w:cs="宋体" w:eastAsia="宋体" w:hint="default"/>
          <w:b/>
          <w:bCs/>
          <w:sz w:val="24"/>
          <w:szCs w:val="24"/>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6"/>
        <w:gridCol w:w="698"/>
        <w:gridCol w:w="1600"/>
        <w:gridCol w:w="1390"/>
        <w:gridCol w:w="1495"/>
        <w:gridCol w:w="1340"/>
        <w:gridCol w:w="924"/>
      </w:tblGrid>
      <w:tr>
        <w:trPr>
          <w:trHeight w:val="402" w:hRule="exact"/>
        </w:trPr>
        <w:tc>
          <w:tcPr>
            <w:tcW w:w="21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21" w:right="95" w:hanging="224"/>
              <w:jc w:val="left"/>
              <w:rPr>
                <w:rFonts w:ascii="宋体" w:hAnsi="宋体" w:cs="宋体" w:eastAsia="宋体" w:hint="default"/>
                <w:sz w:val="18"/>
                <w:szCs w:val="18"/>
              </w:rPr>
            </w:pPr>
            <w:r>
              <w:rPr>
                <w:rFonts w:ascii="宋体" w:hAnsi="宋体" w:cs="宋体" w:eastAsia="宋体" w:hint="default"/>
                <w:sz w:val="18"/>
                <w:szCs w:val="18"/>
              </w:rPr>
              <w:t>同比增减 </w:t>
            </w:r>
            <w:r>
              <w:rPr>
                <w:rFonts w:ascii="宋体" w:hAnsi="宋体" w:cs="宋体" w:eastAsia="宋体" w:hint="default"/>
                <w:sz w:val="18"/>
                <w:szCs w:val="18"/>
              </w:rPr>
              <w:t>(%)</w:t>
            </w:r>
          </w:p>
        </w:tc>
      </w:tr>
      <w:tr>
        <w:trPr>
          <w:trHeight w:val="714" w:hRule="exact"/>
        </w:trPr>
        <w:tc>
          <w:tcPr>
            <w:tcW w:w="2126"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建筑智能化及建筑节能</w:t>
            </w:r>
          </w:p>
        </w:tc>
        <w:tc>
          <w:tcPr>
            <w:tcW w:w="6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600"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439,758,498.66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77.08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344,142,012.68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88.4%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27.78</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绿色建筑公用工程</w:t>
            </w:r>
          </w:p>
        </w:tc>
        <w:tc>
          <w:tcPr>
            <w:tcW w:w="6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600"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80,130,751.05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14.04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工业自动化</w:t>
            </w:r>
          </w:p>
        </w:tc>
        <w:tc>
          <w:tcPr>
            <w:tcW w:w="6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600"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28,806,933.00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23,365,482.85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23.29</w:t>
            </w:r>
          </w:p>
        </w:tc>
      </w:tr>
      <w:tr>
        <w:trPr>
          <w:trHeight w:val="404" w:hRule="exact"/>
        </w:trPr>
        <w:tc>
          <w:tcPr>
            <w:tcW w:w="2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终端产品及其他</w:t>
            </w:r>
          </w:p>
        </w:tc>
        <w:tc>
          <w:tcPr>
            <w:tcW w:w="6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600"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9,189,722.68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1.61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9,732,526.45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-5.58</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6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600"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12,651,173.36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2.22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12,065,638.40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4.85</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600"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570,537,078.75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389,305,660.38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46.55</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6"/>
        <w:gridCol w:w="608"/>
        <w:gridCol w:w="1589"/>
        <w:gridCol w:w="1390"/>
        <w:gridCol w:w="1495"/>
        <w:gridCol w:w="1340"/>
        <w:gridCol w:w="924"/>
      </w:tblGrid>
      <w:tr>
        <w:trPr>
          <w:trHeight w:val="403" w:hRule="exact"/>
        </w:trPr>
        <w:tc>
          <w:tcPr>
            <w:tcW w:w="2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产品分类</w:t>
            </w:r>
          </w:p>
        </w:tc>
        <w:tc>
          <w:tcPr>
            <w:tcW w:w="6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21" w:right="95" w:hanging="224"/>
              <w:jc w:val="left"/>
              <w:rPr>
                <w:rFonts w:ascii="宋体" w:hAnsi="宋体" w:cs="宋体" w:eastAsia="宋体" w:hint="default"/>
                <w:sz w:val="18"/>
                <w:szCs w:val="18"/>
              </w:rPr>
            </w:pPr>
            <w:r>
              <w:rPr>
                <w:rFonts w:ascii="宋体" w:hAnsi="宋体" w:cs="宋体" w:eastAsia="宋体" w:hint="default"/>
                <w:sz w:val="18"/>
                <w:szCs w:val="18"/>
              </w:rPr>
              <w:t>同比增减 </w:t>
            </w:r>
            <w:r>
              <w:rPr>
                <w:rFonts w:ascii="宋体" w:hAnsi="宋体" w:cs="宋体" w:eastAsia="宋体" w:hint="default"/>
                <w:sz w:val="18"/>
                <w:szCs w:val="18"/>
              </w:rPr>
              <w:t>(%)</w:t>
            </w:r>
          </w:p>
        </w:tc>
      </w:tr>
      <w:tr>
        <w:trPr>
          <w:trHeight w:val="713" w:hRule="exact"/>
        </w:trPr>
        <w:tc>
          <w:tcPr>
            <w:tcW w:w="2226" w:type="dxa"/>
            <w:vMerge/>
            <w:tcBorders>
              <w:left w:val="single" w:sz="4" w:space="0" w:color="000000"/>
              <w:bottom w:val="single" w:sz="4" w:space="0" w:color="000000"/>
              <w:right w:val="single" w:sz="4" w:space="0" w:color="000000"/>
            </w:tcBorders>
            <w:shd w:val="clear" w:color="auto" w:fill="D2D2D2"/>
          </w:tcPr>
          <w:p>
            <w:pPr/>
          </w:p>
        </w:tc>
        <w:tc>
          <w:tcPr>
            <w:tcW w:w="608" w:type="dxa"/>
            <w:vMerge/>
            <w:tcBorders>
              <w:left w:val="single" w:sz="4" w:space="0" w:color="000000"/>
              <w:bottom w:val="single" w:sz="4" w:space="0" w:color="000000"/>
              <w:right w:val="single" w:sz="4" w:space="0" w:color="000000"/>
            </w:tcBorders>
            <w:shd w:val="clear" w:color="auto" w:fill="D2D2D2"/>
          </w:tcPr>
          <w:p>
            <w:pP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0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89"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left="290" w:right="0"/>
              <w:jc w:val="left"/>
              <w:rPr>
                <w:rFonts w:ascii="宋体" w:hAnsi="宋体" w:cs="宋体" w:eastAsia="宋体" w:hint="default"/>
                <w:sz w:val="18"/>
                <w:szCs w:val="18"/>
              </w:rPr>
            </w:pPr>
            <w:r>
              <w:rPr>
                <w:rFonts w:ascii="宋体"/>
                <w:sz w:val="18"/>
              </w:rPr>
              <w:t>570,537,078.75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3" w:right="0"/>
              <w:jc w:val="left"/>
              <w:rPr>
                <w:rFonts w:ascii="宋体" w:hAnsi="宋体" w:cs="宋体" w:eastAsia="宋体" w:hint="default"/>
                <w:sz w:val="18"/>
                <w:szCs w:val="18"/>
              </w:rPr>
            </w:pPr>
            <w:r>
              <w:rPr>
                <w:rFonts w:ascii="宋体"/>
                <w:sz w:val="18"/>
              </w:rPr>
              <w:t>389,305,660.38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1" w:right="0"/>
              <w:jc w:val="left"/>
              <w:rPr>
                <w:rFonts w:ascii="宋体" w:hAnsi="宋体" w:cs="宋体" w:eastAsia="宋体" w:hint="default"/>
                <w:sz w:val="18"/>
                <w:szCs w:val="18"/>
              </w:rPr>
            </w:pPr>
            <w:r>
              <w:rPr>
                <w:rFonts w:ascii="宋体"/>
                <w:sz w:val="18"/>
              </w:rPr>
              <w:t>46.55</w:t>
            </w:r>
          </w:p>
        </w:tc>
      </w:tr>
    </w:tbl>
    <w:p>
      <w:pPr>
        <w:spacing w:line="357" w:lineRule="auto" w:before="49"/>
        <w:ind w:left="152" w:right="6434" w:firstLine="0"/>
        <w:jc w:val="left"/>
        <w:rPr>
          <w:rFonts w:ascii="宋体" w:hAnsi="宋体" w:cs="宋体" w:eastAsia="宋体" w:hint="default"/>
          <w:sz w:val="18"/>
          <w:szCs w:val="18"/>
        </w:rPr>
      </w:pPr>
      <w:r>
        <w:rPr>
          <w:rFonts w:ascii="宋体" w:hAnsi="宋体" w:cs="宋体" w:eastAsia="宋体" w:hint="default"/>
          <w:sz w:val="18"/>
          <w:szCs w:val="18"/>
        </w:rPr>
        <w:t>说明 公司以实施工程业务为主，按行业分类，不区分产品。 公司主要供应商情况</w:t>
      </w:r>
    </w:p>
    <w:tbl>
      <w:tblPr>
        <w:tblW w:w="0" w:type="auto"/>
        <w:jc w:val="left"/>
        <w:tblInd w:w="149" w:type="dxa"/>
        <w:tblLayout w:type="fixed"/>
        <w:tblCellMar>
          <w:top w:w="0" w:type="dxa"/>
          <w:left w:w="0" w:type="dxa"/>
          <w:bottom w:w="0" w:type="dxa"/>
          <w:right w:w="0" w:type="dxa"/>
        </w:tblCellMar>
        <w:tblLook w:val="01E0"/>
      </w:tblPr>
      <w:tblGrid>
        <w:gridCol w:w="5813"/>
        <w:gridCol w:w="3757"/>
      </w:tblGrid>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76,111,243.79</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r>
              <w:rPr>
                <w:rFonts w:ascii="宋体" w:hAnsi="宋体" w:cs="宋体" w:eastAsia="宋体" w:hint="default"/>
                <w:sz w:val="18"/>
                <w:szCs w:val="18"/>
              </w:rPr>
              <w:t>%</w:t>
            </w:r>
            <w:r>
              <w:rPr>
                <w:rFonts w:ascii="宋体" w:hAnsi="宋体" w:cs="宋体" w:eastAsia="宋体" w:hint="default"/>
                <w:sz w:val="18"/>
                <w:szCs w:val="18"/>
              </w:rPr>
              <w:t>）</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13.68</w:t>
            </w:r>
          </w:p>
        </w:tc>
      </w:tr>
    </w:tbl>
    <w:p>
      <w:pPr>
        <w:spacing w:before="70"/>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名供应商资料</w:t>
      </w:r>
    </w:p>
    <w:p>
      <w:pPr>
        <w:spacing w:before="115"/>
        <w:ind w:left="152" w:right="112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12"/>
        <w:gridCol w:w="3602"/>
        <w:gridCol w:w="2563"/>
        <w:gridCol w:w="2482"/>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1</w:t>
            </w:r>
          </w:p>
        </w:tc>
        <w:tc>
          <w:tcPr>
            <w:tcW w:w="3602"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深圳市深安视通科技发展有限公司</w:t>
            </w:r>
          </w:p>
        </w:tc>
        <w:tc>
          <w:tcPr>
            <w:tcW w:w="2563"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21,843,968.07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3.93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2</w:t>
            </w:r>
          </w:p>
        </w:tc>
        <w:tc>
          <w:tcPr>
            <w:tcW w:w="3602"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深圳市智安科技发展有限公司</w:t>
            </w:r>
          </w:p>
        </w:tc>
        <w:tc>
          <w:tcPr>
            <w:tcW w:w="2563"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15,231,547.83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2.74</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3</w:t>
            </w:r>
          </w:p>
        </w:tc>
        <w:tc>
          <w:tcPr>
            <w:tcW w:w="3602"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深圳市金世纪工程实业有限公司</w:t>
            </w:r>
          </w:p>
        </w:tc>
        <w:tc>
          <w:tcPr>
            <w:tcW w:w="2563"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14,765,499.91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2.65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4</w:t>
            </w:r>
          </w:p>
        </w:tc>
        <w:tc>
          <w:tcPr>
            <w:tcW w:w="3602"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江苏弘历电气有限公司</w:t>
            </w:r>
          </w:p>
        </w:tc>
        <w:tc>
          <w:tcPr>
            <w:tcW w:w="2563"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12,300,024.32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2.21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5</w:t>
            </w:r>
          </w:p>
        </w:tc>
        <w:tc>
          <w:tcPr>
            <w:tcW w:w="3602"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成都巨安智能化工程有限公司</w:t>
            </w:r>
          </w:p>
        </w:tc>
        <w:tc>
          <w:tcPr>
            <w:tcW w:w="2563"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11,970,203.66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2.15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sz w:val="18"/>
                <w:szCs w:val="18"/>
              </w:rPr>
              <w:t>——</w:t>
            </w:r>
          </w:p>
        </w:tc>
        <w:tc>
          <w:tcPr>
            <w:tcW w:w="25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76,111,243.79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13.68</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4</w:t>
      </w:r>
      <w:r>
        <w:rPr/>
        <w:t>、费用</w:t>
      </w:r>
      <w:r>
        <w:rPr>
          <w:b w:val="0"/>
          <w:bCs w:val="0"/>
        </w:rPr>
      </w:r>
    </w:p>
    <w:p>
      <w:pPr>
        <w:spacing w:after="0" w:line="240" w:lineRule="auto"/>
        <w:jc w:val="left"/>
        <w:sectPr>
          <w:pgSz w:w="11910" w:h="16840"/>
          <w:pgMar w:header="877" w:footer="1340" w:top="1100" w:bottom="1540" w:left="980" w:right="0"/>
        </w:sectPr>
      </w:pPr>
    </w:p>
    <w:p>
      <w:pPr>
        <w:spacing w:line="240" w:lineRule="auto" w:before="9"/>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3289"/>
        <w:gridCol w:w="2132"/>
        <w:gridCol w:w="2131"/>
        <w:gridCol w:w="2132"/>
      </w:tblGrid>
      <w:tr>
        <w:trPr>
          <w:trHeight w:val="427" w:hRule="exact"/>
        </w:trPr>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费用项目</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7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7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3"/>
              <w:jc w:val="right"/>
              <w:rPr>
                <w:rFonts w:ascii="宋体" w:hAnsi="宋体" w:cs="宋体" w:eastAsia="宋体" w:hint="default"/>
                <w:sz w:val="18"/>
                <w:szCs w:val="18"/>
              </w:rPr>
            </w:pPr>
            <w:r>
              <w:rPr>
                <w:rFonts w:ascii="宋体" w:hAnsi="宋体" w:cs="宋体" w:eastAsia="宋体" w:hint="default"/>
                <w:sz w:val="18"/>
                <w:szCs w:val="18"/>
              </w:rPr>
              <w:t>本年比上年增减幅度（</w:t>
            </w:r>
            <w:r>
              <w:rPr>
                <w:rFonts w:ascii="宋体" w:hAnsi="宋体" w:cs="宋体" w:eastAsia="宋体" w:hint="default"/>
                <w:sz w:val="18"/>
                <w:szCs w:val="18"/>
              </w:rPr>
              <w:t>%</w:t>
            </w:r>
            <w:r>
              <w:rPr>
                <w:rFonts w:ascii="宋体" w:hAnsi="宋体" w:cs="宋体" w:eastAsia="宋体" w:hint="default"/>
                <w:sz w:val="18"/>
                <w:szCs w:val="18"/>
              </w:rPr>
              <w:t>）</w:t>
            </w:r>
          </w:p>
        </w:tc>
      </w:tr>
      <w:tr>
        <w:trPr>
          <w:trHeight w:val="427" w:hRule="exact"/>
        </w:trPr>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56,462,601.93</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43,412,398.90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30.06</w:t>
            </w:r>
          </w:p>
        </w:tc>
      </w:tr>
      <w:tr>
        <w:trPr>
          <w:trHeight w:val="427" w:hRule="exact"/>
        </w:trPr>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50,900,322.79</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28,692,119.36</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77.40</w:t>
            </w:r>
          </w:p>
        </w:tc>
      </w:tr>
      <w:tr>
        <w:trPr>
          <w:trHeight w:val="427" w:hRule="exact"/>
        </w:trPr>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-3,718,914.03</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-3,502,539.61</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6.18</w:t>
            </w:r>
          </w:p>
        </w:tc>
      </w:tr>
      <w:tr>
        <w:trPr>
          <w:trHeight w:val="427" w:hRule="exact"/>
        </w:trPr>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22,152,551.38</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pacing w:val="-1"/>
                <w:sz w:val="18"/>
              </w:rPr>
              <w:t>7,390,237.59</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199.75</w:t>
            </w:r>
          </w:p>
        </w:tc>
      </w:tr>
    </w:tbl>
    <w:p>
      <w:pPr>
        <w:spacing w:line="203" w:lineRule="exact"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）销售费用较</w:t>
      </w:r>
      <w:r>
        <w:rPr>
          <w:rFonts w:ascii="宋体" w:hAnsi="宋体" w:cs="宋体" w:eastAsia="宋体" w:hint="default"/>
          <w:sz w:val="18"/>
          <w:szCs w:val="18"/>
        </w:rPr>
        <w:t>2011</w:t>
      </w:r>
      <w:r>
        <w:rPr>
          <w:rFonts w:ascii="宋体" w:hAnsi="宋体" w:cs="宋体" w:eastAsia="宋体" w:hint="default"/>
          <w:sz w:val="18"/>
          <w:szCs w:val="18"/>
        </w:rPr>
        <w:t>年增长</w:t>
      </w:r>
      <w:r>
        <w:rPr>
          <w:rFonts w:ascii="宋体" w:hAnsi="宋体" w:cs="宋体" w:eastAsia="宋体" w:hint="default"/>
          <w:sz w:val="18"/>
          <w:szCs w:val="18"/>
        </w:rPr>
        <w:t>30.06%</w:t>
      </w:r>
      <w:r>
        <w:rPr>
          <w:rFonts w:ascii="宋体" w:hAnsi="宋体" w:cs="宋体" w:eastAsia="宋体" w:hint="default"/>
          <w:sz w:val="18"/>
          <w:szCs w:val="18"/>
        </w:rPr>
        <w:t>，主要原因系公司加大新市场、新业务的开拓力度以及新增两家子公司纳入合并报</w:t>
      </w:r>
    </w:p>
    <w:p>
      <w:pPr>
        <w:spacing w:before="115"/>
        <w:ind w:left="152" w:right="1123" w:firstLine="0"/>
        <w:jc w:val="left"/>
        <w:rPr>
          <w:rFonts w:ascii="宋体" w:hAnsi="宋体" w:cs="宋体" w:eastAsia="宋体" w:hint="default"/>
          <w:sz w:val="18"/>
          <w:szCs w:val="18"/>
        </w:rPr>
      </w:pPr>
      <w:r>
        <w:rPr>
          <w:rFonts w:ascii="宋体" w:hAnsi="宋体" w:cs="宋体" w:eastAsia="宋体" w:hint="default"/>
          <w:sz w:val="18"/>
          <w:szCs w:val="18"/>
        </w:rPr>
        <w:t>表所致；</w:t>
      </w:r>
    </w:p>
    <w:p>
      <w:pPr>
        <w:spacing w:line="355" w:lineRule="auto" w:before="115"/>
        <w:ind w:left="152" w:right="1123" w:firstLine="42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）管理费用较</w:t>
      </w:r>
      <w:r>
        <w:rPr>
          <w:rFonts w:ascii="宋体" w:hAnsi="宋体" w:cs="宋体" w:eastAsia="宋体" w:hint="default"/>
          <w:spacing w:val="-2"/>
          <w:sz w:val="18"/>
          <w:szCs w:val="18"/>
        </w:rPr>
        <w:t>2011</w:t>
      </w:r>
      <w:r>
        <w:rPr>
          <w:rFonts w:ascii="宋体" w:hAnsi="宋体" w:cs="宋体" w:eastAsia="宋体" w:hint="default"/>
          <w:spacing w:val="-2"/>
          <w:sz w:val="18"/>
          <w:szCs w:val="18"/>
        </w:rPr>
        <w:t>年增长</w:t>
      </w:r>
      <w:r>
        <w:rPr>
          <w:rFonts w:ascii="宋体" w:hAnsi="宋体" w:cs="宋体" w:eastAsia="宋体" w:hint="default"/>
          <w:spacing w:val="-2"/>
          <w:sz w:val="18"/>
          <w:szCs w:val="18"/>
        </w:rPr>
        <w:t>77.40%</w:t>
      </w:r>
      <w:r>
        <w:rPr>
          <w:rFonts w:ascii="宋体" w:hAnsi="宋体" w:cs="宋体" w:eastAsia="宋体" w:hint="default"/>
          <w:spacing w:val="-2"/>
          <w:sz w:val="18"/>
          <w:szCs w:val="18"/>
        </w:rPr>
        <w:t>，主要原因是本期薪酬、固定资产折旧等较上期增加、限制性股票成本摊销以及本</w:t>
      </w:r>
      <w:r>
        <w:rPr>
          <w:rFonts w:ascii="宋体" w:hAnsi="宋体" w:cs="宋体" w:eastAsia="宋体" w:hint="default"/>
          <w:sz w:val="18"/>
          <w:szCs w:val="18"/>
        </w:rPr>
        <w:t> 报告期新增两家子公司纳入合并报表所致；</w:t>
      </w:r>
    </w:p>
    <w:p>
      <w:pPr>
        <w:spacing w:before="29"/>
        <w:ind w:left="573" w:right="11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）所得税费用较上年增长</w:t>
      </w:r>
      <w:r>
        <w:rPr>
          <w:rFonts w:ascii="宋体" w:hAnsi="宋体" w:cs="宋体" w:eastAsia="宋体" w:hint="default"/>
          <w:sz w:val="18"/>
          <w:szCs w:val="18"/>
        </w:rPr>
        <w:t>199.75%</w:t>
      </w:r>
      <w:r>
        <w:rPr>
          <w:rFonts w:ascii="宋体" w:hAnsi="宋体" w:cs="宋体" w:eastAsia="宋体" w:hint="default"/>
          <w:sz w:val="18"/>
          <w:szCs w:val="18"/>
        </w:rPr>
        <w:t>主要原因是公司本期利润增长以及本报告期新增两家子公司纳入合并报表所致。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Heading3"/>
        <w:spacing w:line="240" w:lineRule="auto"/>
        <w:ind w:right="1123"/>
        <w:jc w:val="left"/>
        <w:rPr>
          <w:b w:val="0"/>
          <w:bCs w:val="0"/>
        </w:rPr>
      </w:pPr>
      <w:r>
        <w:rPr>
          <w:rFonts w:ascii="宋体" w:hAnsi="宋体" w:cs="宋体" w:eastAsia="宋体" w:hint="default"/>
        </w:rPr>
        <w:t>5</w:t>
      </w:r>
      <w:r>
        <w:rPr/>
        <w:t>、研发支出</w:t>
      </w:r>
      <w:r>
        <w:rPr>
          <w:b w:val="0"/>
          <w:bCs w:val="0"/>
        </w:rPr>
      </w:r>
    </w:p>
    <w:p>
      <w:pPr>
        <w:spacing w:before="13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4820"/>
        <w:gridCol w:w="4820"/>
      </w:tblGrid>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3,209.54</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82,407.03</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占营业收入比重（</w:t>
            </w:r>
            <w:r>
              <w:rPr>
                <w:rFonts w:ascii="宋体" w:hAnsi="宋体" w:cs="宋体" w:eastAsia="宋体" w:hint="default"/>
                <w:sz w:val="18"/>
                <w:szCs w:val="18"/>
              </w:rPr>
              <w:t>%</w:t>
            </w:r>
            <w:r>
              <w:rPr>
                <w:rFonts w:ascii="宋体" w:hAnsi="宋体" w:cs="宋体" w:eastAsia="宋体" w:hint="default"/>
                <w:sz w:val="18"/>
                <w:szCs w:val="18"/>
              </w:rPr>
              <w:t>）</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3.89</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期末归属于母公司净资产</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69,617.29</w:t>
            </w:r>
          </w:p>
        </w:tc>
      </w:tr>
      <w:tr>
        <w:trPr>
          <w:trHeight w:val="40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占归属于母公司净资产比重（</w:t>
            </w:r>
            <w:r>
              <w:rPr>
                <w:rFonts w:ascii="宋体" w:hAnsi="宋体" w:cs="宋体" w:eastAsia="宋体" w:hint="default"/>
                <w:sz w:val="18"/>
                <w:szCs w:val="18"/>
              </w:rPr>
              <w:t>%</w:t>
            </w:r>
            <w:r>
              <w:rPr>
                <w:rFonts w:ascii="宋体" w:hAnsi="宋体" w:cs="宋体" w:eastAsia="宋体" w:hint="default"/>
                <w:sz w:val="18"/>
                <w:szCs w:val="18"/>
              </w:rPr>
              <w:t>）</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4.61</w:t>
            </w:r>
          </w:p>
        </w:tc>
      </w:tr>
    </w:tbl>
    <w:p>
      <w:pPr>
        <w:pStyle w:val="Heading3"/>
        <w:spacing w:line="241" w:lineRule="exact"/>
        <w:ind w:right="1123"/>
        <w:jc w:val="left"/>
        <w:rPr>
          <w:b w:val="0"/>
          <w:bCs w:val="0"/>
        </w:rPr>
      </w:pPr>
      <w:r>
        <w:rPr>
          <w:rFonts w:ascii="宋体" w:hAnsi="宋体" w:cs="宋体" w:eastAsia="宋体" w:hint="default"/>
        </w:rPr>
        <w:t>6</w:t>
      </w:r>
      <w:r>
        <w:rPr/>
        <w:t>、现金流</w:t>
      </w:r>
      <w:r>
        <w:rPr>
          <w:b w:val="0"/>
          <w:bCs w:val="0"/>
        </w:rPr>
      </w:r>
    </w:p>
    <w:p>
      <w:pPr>
        <w:spacing w:before="13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727"/>
        <w:gridCol w:w="2237"/>
        <w:gridCol w:w="2240"/>
        <w:gridCol w:w="1435"/>
      </w:tblGrid>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679,040,721.58</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501,873,530.83</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35.30</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574,730,788.96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493,948,617.00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16.35</w:t>
            </w:r>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104,309,932.62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7,924,913.83</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1,216.23</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18,564,505.97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8,005,495.00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131.9</w:t>
            </w:r>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194,002,420.27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22,331,033.18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768.76</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-175,437,914.30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-14,325,538.18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-1,124.65</w:t>
            </w:r>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25,530,000.00</w:t>
            </w:r>
          </w:p>
        </w:tc>
        <w:tc>
          <w:tcPr>
            <w:tcW w:w="2240"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100</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31,501,899.05</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135,219,496.42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-76.70</w:t>
            </w:r>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-5,971,899.05</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-135,219,496.42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95.58</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-77,099,880.73</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-141,620,120.77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45.56</w:t>
            </w:r>
          </w:p>
        </w:tc>
      </w:tr>
    </w:tbl>
    <w:p>
      <w:pPr>
        <w:spacing w:line="203" w:lineRule="exact"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z w:val="18"/>
          <w:szCs w:val="18"/>
        </w:rPr>
        <w:t>以上的原因说明</w:t>
      </w:r>
    </w:p>
    <w:p>
      <w:pPr>
        <w:spacing w:before="114"/>
        <w:ind w:left="152" w:right="112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340" w:top="1100" w:bottom="1540" w:left="980" w:right="0"/>
        </w:sectPr>
      </w:pPr>
    </w:p>
    <w:p>
      <w:pPr>
        <w:spacing w:line="240" w:lineRule="auto" w:before="9"/>
        <w:rPr>
          <w:rFonts w:ascii="宋体" w:hAnsi="宋体" w:cs="宋体" w:eastAsia="宋体" w:hint="default"/>
          <w:sz w:val="18"/>
          <w:szCs w:val="18"/>
        </w:rPr>
      </w:pPr>
    </w:p>
    <w:p>
      <w:pPr>
        <w:spacing w:line="357" w:lineRule="auto" w:before="44"/>
        <w:ind w:left="152" w:right="1123" w:firstLine="42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、经营活动产生的现金流量净额较上年度增加</w:t>
      </w:r>
      <w:r>
        <w:rPr>
          <w:rFonts w:ascii="宋体" w:hAnsi="宋体" w:cs="宋体" w:eastAsia="宋体" w:hint="default"/>
          <w:sz w:val="18"/>
          <w:szCs w:val="18"/>
        </w:rPr>
        <w:t>1,216.23%</w:t>
      </w:r>
      <w:r>
        <w:rPr>
          <w:rFonts w:ascii="宋体" w:hAnsi="宋体" w:cs="宋体" w:eastAsia="宋体" w:hint="default"/>
          <w:sz w:val="18"/>
          <w:szCs w:val="18"/>
        </w:rPr>
        <w:t>，主要是因为通过商务谈判延长了支付信用期、预收账款增 加、子公司物业收取租金以及本报告期新增两家子公司纳入合并报表；</w:t>
      </w:r>
    </w:p>
    <w:p>
      <w:pPr>
        <w:spacing w:line="357" w:lineRule="auto" w:before="26"/>
        <w:ind w:left="152" w:right="1125" w:firstLine="42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、投资活动产生的现金流量净额较上年度下降</w:t>
      </w:r>
      <w:r>
        <w:rPr>
          <w:rFonts w:ascii="宋体" w:hAnsi="宋体" w:cs="宋体" w:eastAsia="宋体" w:hint="default"/>
          <w:spacing w:val="-1"/>
          <w:sz w:val="18"/>
          <w:szCs w:val="18"/>
        </w:rPr>
        <w:t>1,124.65%</w:t>
      </w:r>
      <w:r>
        <w:rPr>
          <w:rFonts w:ascii="宋体" w:hAnsi="宋体" w:cs="宋体" w:eastAsia="宋体" w:hint="default"/>
          <w:spacing w:val="-1"/>
          <w:sz w:val="18"/>
          <w:szCs w:val="18"/>
        </w:rPr>
        <w:t>，主要是因为母公司支付两家非全资子公司收购款</w:t>
      </w:r>
      <w:r>
        <w:rPr>
          <w:rFonts w:ascii="宋体" w:hAnsi="宋体" w:cs="宋体" w:eastAsia="宋体" w:hint="default"/>
          <w:spacing w:val="-1"/>
          <w:sz w:val="18"/>
          <w:szCs w:val="18"/>
        </w:rPr>
        <w:t>15,404.43</w:t>
      </w:r>
      <w:r>
        <w:rPr>
          <w:rFonts w:ascii="宋体" w:hAnsi="宋体" w:cs="宋体" w:eastAsia="宋体" w:hint="default"/>
          <w:sz w:val="18"/>
          <w:szCs w:val="18"/>
        </w:rPr>
        <w:t> </w:t>
      </w:r>
      <w:r>
        <w:rPr>
          <w:rFonts w:ascii="宋体" w:hAnsi="宋体" w:cs="宋体" w:eastAsia="宋体" w:hint="default"/>
          <w:sz w:val="18"/>
          <w:szCs w:val="18"/>
        </w:rPr>
        <w:t>万元所致；</w:t>
      </w:r>
    </w:p>
    <w:p>
      <w:pPr>
        <w:spacing w:line="355" w:lineRule="auto" w:before="26"/>
        <w:ind w:left="152" w:right="1119" w:firstLine="42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、筹资活动产生的现金流量净额较上年度增长</w:t>
      </w:r>
      <w:r>
        <w:rPr>
          <w:rFonts w:ascii="宋体" w:hAnsi="宋体" w:cs="宋体" w:eastAsia="宋体" w:hint="default"/>
          <w:spacing w:val="-1"/>
          <w:sz w:val="18"/>
          <w:szCs w:val="18"/>
        </w:rPr>
        <w:t>95.58%</w:t>
      </w:r>
      <w:r>
        <w:rPr>
          <w:rFonts w:ascii="宋体" w:hAnsi="宋体" w:cs="宋体" w:eastAsia="宋体" w:hint="default"/>
          <w:spacing w:val="-1"/>
          <w:sz w:val="18"/>
          <w:szCs w:val="18"/>
        </w:rPr>
        <w:t>，，主要是因为本报告期母公司收到限制性股票认购款及上年同</w:t>
      </w:r>
      <w:r>
        <w:rPr>
          <w:rFonts w:ascii="宋体" w:hAnsi="宋体" w:cs="宋体" w:eastAsia="宋体" w:hint="default"/>
          <w:sz w:val="18"/>
          <w:szCs w:val="18"/>
        </w:rPr>
        <w:t> 期母公司和子公司达实信息有大额的归还借款、偿还债务所致。 报告期内公司经营活动的现金流量与本年度净利润存在重大差异的原因说明</w:t>
      </w:r>
    </w:p>
    <w:p>
      <w:pPr>
        <w:spacing w:before="28"/>
        <w:ind w:left="152" w:right="112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2"/>
        <w:spacing w:line="240" w:lineRule="auto"/>
        <w:ind w:right="1123"/>
        <w:jc w:val="left"/>
        <w:rPr>
          <w:b w:val="0"/>
          <w:bCs w:val="0"/>
        </w:rPr>
      </w:pPr>
      <w:r>
        <w:rPr/>
        <w:t>三、主营业务构成情况</w:t>
      </w:r>
      <w:r>
        <w:rPr>
          <w:b w:val="0"/>
          <w:bCs w:val="0"/>
        </w:rPr>
      </w:r>
    </w:p>
    <w:p>
      <w:pPr>
        <w:spacing w:line="240" w:lineRule="auto" w:before="7"/>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1059" w:firstLine="0"/>
        <w:jc w:val="right"/>
        <w:rPr>
          <w:rFonts w:ascii="宋体" w:hAnsi="宋体" w:cs="宋体" w:eastAsia="宋体" w:hint="default"/>
          <w:sz w:val="18"/>
          <w:szCs w:val="18"/>
        </w:rPr>
      </w:pPr>
      <w:r>
        <w:rPr/>
        <w:pict>
          <v:shape style="position:absolute;margin-left:56.400002pt;margin-top:-18.468294pt;width:483.85pt;height:337.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1419"/>
                    <w:gridCol w:w="1330"/>
                    <w:gridCol w:w="1064"/>
                    <w:gridCol w:w="1370"/>
                    <w:gridCol w:w="1345"/>
                    <w:gridCol w:w="1150"/>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6" w:right="48" w:hanging="4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宋体" w:hAnsi="宋体" w:cs="宋体" w:eastAsia="宋体" w:hint="default"/>
                            <w:sz w:val="18"/>
                            <w:szCs w:val="18"/>
                          </w:rPr>
                          <w:t>%</w:t>
                        </w:r>
                        <w:r>
                          <w:rPr>
                            <w:rFonts w:ascii="宋体" w:hAnsi="宋体" w:cs="宋体" w:eastAsia="宋体" w:hint="default"/>
                            <w:sz w:val="18"/>
                            <w:szCs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1" w:right="34" w:hanging="44"/>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宋体" w:hAnsi="宋体" w:cs="宋体" w:eastAsia="宋体" w:hint="default"/>
                            <w:sz w:val="18"/>
                            <w:szCs w:val="18"/>
                          </w:rPr>
                          <w:t>%</w:t>
                        </w:r>
                        <w:r>
                          <w:rPr>
                            <w:rFonts w:ascii="宋体" w:hAnsi="宋体" w:cs="宋体" w:eastAsia="宋体" w:hint="default"/>
                            <w:sz w:val="18"/>
                            <w:szCs w:val="18"/>
                          </w:rPr>
                          <w:t>）</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29" w:firstLine="4"/>
                          <w:jc w:val="left"/>
                          <w:rPr>
                            <w:rFonts w:ascii="宋体" w:hAnsi="宋体" w:cs="宋体" w:eastAsia="宋体" w:hint="default"/>
                            <w:sz w:val="18"/>
                            <w:szCs w:val="18"/>
                          </w:rPr>
                        </w:pPr>
                        <w:r>
                          <w:rPr>
                            <w:rFonts w:ascii="宋体" w:hAnsi="宋体" w:cs="宋体" w:eastAsia="宋体" w:hint="default"/>
                            <w:sz w:val="18"/>
                            <w:szCs w:val="18"/>
                          </w:rPr>
                          <w:t>毛利率比上年 同期增减（</w:t>
                        </w:r>
                        <w:r>
                          <w:rPr>
                            <w:rFonts w:ascii="宋体" w:hAnsi="宋体" w:cs="宋体" w:eastAsia="宋体" w:hint="default"/>
                            <w:sz w:val="18"/>
                            <w:szCs w:val="18"/>
                          </w:rPr>
                          <w:t>%</w:t>
                        </w:r>
                      </w:p>
                    </w:tc>
                  </w:tr>
                  <w:tr>
                    <w:trPr>
                      <w:trHeight w:val="401" w:hRule="exact"/>
                    </w:trPr>
                    <w:tc>
                      <w:tcPr>
                        <w:tcW w:w="966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建筑智能化及建筑节能</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605,060,107.30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439,758,498.66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36.14</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27.78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4.76</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绿色建筑公用工程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120,659,422.08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80,130,751.05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33.59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工业自动化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41,085,627.32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28,806,933.00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23.29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终端产品及其他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29,926,872.21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9,189,722.68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69.29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4.97</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-5.58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3.43</w:t>
                        </w:r>
                      </w:p>
                    </w:tc>
                  </w:tr>
                  <w:tr>
                    <w:trPr>
                      <w:trHeight w:val="402" w:hRule="exact"/>
                    </w:trPr>
                    <w:tc>
                      <w:tcPr>
                        <w:tcW w:w="966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796,732,028.91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557,885,905.39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29.98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57.62%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47.89%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4.61%</w:t>
                        </w:r>
                      </w:p>
                    </w:tc>
                  </w:tr>
                  <w:tr>
                    <w:trPr>
                      <w:trHeight w:val="402" w:hRule="exact"/>
                    </w:trPr>
                    <w:tc>
                      <w:tcPr>
                        <w:tcW w:w="966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329,551,176.77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243,878,583.95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14.53%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14.67%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-0.08%</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234,763,712.66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141,839,449.52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39.58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212.24%</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155.97%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13.28%</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33,051,071.06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22,325,044.00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32.45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-12.09%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-19.87%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6.55%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30,091,508.84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24,500,955.80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113.22%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134.71%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-7.45%</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23,017,204.24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13,688,671.60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40.53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129.78%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126.18%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0.95%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144,567,275.32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110,590,332.39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71.71%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3.96%</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1,690,080.02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1,062,868.13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37.11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112.18%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173.25%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-14.06%</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年按报告期末口径调整后的主营业务数据</w:t>
      </w:r>
    </w:p>
    <w:p>
      <w:pPr>
        <w:spacing w:before="115"/>
        <w:ind w:left="152" w:right="112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、资产项目重大变动情况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2679"/>
        <w:gridCol w:w="2686"/>
        <w:gridCol w:w="883"/>
        <w:gridCol w:w="1943"/>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877" w:footer="1340" w:top="1100" w:bottom="154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467"/>
        <w:gridCol w:w="1212"/>
        <w:gridCol w:w="1443"/>
        <w:gridCol w:w="1243"/>
        <w:gridCol w:w="883"/>
        <w:gridCol w:w="1954"/>
      </w:tblGrid>
      <w:tr>
        <w:trPr>
          <w:trHeight w:val="161"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4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占总资产比例</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4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占总资产比例</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83" w:type="dxa"/>
            <w:vMerge w:val="restart"/>
            <w:tcBorders>
              <w:top w:val="single" w:sz="4" w:space="0" w:color="000000"/>
              <w:left w:val="single" w:sz="10" w:space="0" w:color="D2D2D2"/>
              <w:right w:val="single" w:sz="4" w:space="0" w:color="000000"/>
            </w:tcBorders>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954"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368" w:type="dxa"/>
            <w:vMerge/>
            <w:tcBorders>
              <w:left w:val="single" w:sz="4" w:space="0" w:color="000000"/>
              <w:right w:val="single" w:sz="4" w:space="0" w:color="000000"/>
            </w:tcBorders>
            <w:shd w:val="clear" w:color="auto" w:fill="D2D2D2"/>
          </w:tcPr>
          <w:p>
            <w:pPr/>
          </w:p>
        </w:tc>
        <w:tc>
          <w:tcPr>
            <w:tcW w:w="14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12" w:type="dxa"/>
            <w:vMerge/>
            <w:tcBorders>
              <w:left w:val="single" w:sz="4" w:space="0" w:color="000000"/>
              <w:right w:val="single" w:sz="4" w:space="0" w:color="000000"/>
            </w:tcBorders>
            <w:shd w:val="clear" w:color="auto" w:fill="D2D2D2"/>
          </w:tcPr>
          <w:p>
            <w:pPr/>
          </w:p>
        </w:tc>
        <w:tc>
          <w:tcPr>
            <w:tcW w:w="14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43" w:type="dxa"/>
            <w:vMerge/>
            <w:tcBorders>
              <w:left w:val="single" w:sz="4" w:space="0" w:color="000000"/>
              <w:right w:val="single" w:sz="4" w:space="0" w:color="000000"/>
            </w:tcBorders>
            <w:shd w:val="clear" w:color="auto" w:fill="D2D2D2"/>
          </w:tcPr>
          <w:p>
            <w:pPr/>
          </w:p>
        </w:tc>
        <w:tc>
          <w:tcPr>
            <w:tcW w:w="883" w:type="dxa"/>
            <w:vMerge/>
            <w:tcBorders>
              <w:left w:val="single" w:sz="10" w:space="0" w:color="D2D2D2"/>
              <w:right w:val="single" w:sz="4" w:space="0" w:color="000000"/>
            </w:tcBorders>
          </w:tcPr>
          <w:p>
            <w:pPr/>
          </w:p>
        </w:tc>
        <w:tc>
          <w:tcPr>
            <w:tcW w:w="1954" w:type="dxa"/>
            <w:vMerge/>
            <w:tcBorders>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4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4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10" w:space="0" w:color="D2D2D2"/>
              <w:bottom w:val="single" w:sz="4" w:space="0" w:color="000000"/>
              <w:right w:val="single" w:sz="4" w:space="0" w:color="000000"/>
            </w:tcBorders>
          </w:tcPr>
          <w:p>
            <w:pPr/>
          </w:p>
        </w:tc>
        <w:tc>
          <w:tcPr>
            <w:tcW w:w="195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232,046,262.87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19.04</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300,820,292.64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36.29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-17.25</w:t>
            </w:r>
          </w:p>
        </w:tc>
        <w:tc>
          <w:tcPr>
            <w:tcW w:w="1954"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394"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sz w:val="18"/>
              </w:rPr>
              <w:t>382,434,910.18</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27" w:right="0"/>
              <w:jc w:val="left"/>
              <w:rPr>
                <w:rFonts w:ascii="宋体" w:hAnsi="宋体" w:cs="宋体" w:eastAsia="宋体" w:hint="default"/>
                <w:sz w:val="18"/>
                <w:szCs w:val="18"/>
              </w:rPr>
            </w:pPr>
            <w:r>
              <w:rPr>
                <w:rFonts w:ascii="宋体"/>
                <w:sz w:val="18"/>
              </w:rPr>
              <w:t>31.38</w:t>
            </w:r>
          </w:p>
        </w:tc>
        <w:tc>
          <w:tcPr>
            <w:tcW w:w="14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180,486,152.25</w:t>
            </w:r>
          </w:p>
        </w:tc>
        <w:tc>
          <w:tcPr>
            <w:tcW w:w="12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60" w:right="0"/>
              <w:jc w:val="left"/>
              <w:rPr>
                <w:rFonts w:ascii="宋体" w:hAnsi="宋体" w:cs="宋体" w:eastAsia="宋体" w:hint="default"/>
                <w:sz w:val="18"/>
                <w:szCs w:val="18"/>
              </w:rPr>
            </w:pPr>
            <w:r>
              <w:rPr>
                <w:rFonts w:ascii="宋体"/>
                <w:sz w:val="18"/>
              </w:rPr>
              <w:t>21.77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91" w:right="0"/>
              <w:jc w:val="left"/>
              <w:rPr>
                <w:rFonts w:ascii="宋体" w:hAnsi="宋体" w:cs="宋体" w:eastAsia="宋体" w:hint="default"/>
                <w:sz w:val="18"/>
                <w:szCs w:val="18"/>
              </w:rPr>
            </w:pPr>
            <w:r>
              <w:rPr>
                <w:rFonts w:ascii="宋体"/>
                <w:sz w:val="18"/>
              </w:rPr>
              <w:t>9.61</w:t>
            </w:r>
          </w:p>
        </w:tc>
        <w:tc>
          <w:tcPr>
            <w:tcW w:w="1954" w:type="dxa"/>
            <w:vMerge w:val="restart"/>
            <w:tcBorders>
              <w:top w:val="single" w:sz="4" w:space="0" w:color="000000"/>
              <w:left w:val="single" w:sz="4" w:space="0" w:color="000000"/>
              <w:right w:val="single" w:sz="4" w:space="0" w:color="000000"/>
            </w:tcBorders>
            <w:shd w:val="clear" w:color="auto" w:fill="C6ECCC"/>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报告期营业收入增长</w:t>
            </w:r>
            <w:r>
              <w:rPr>
                <w:rFonts w:ascii="宋体" w:hAnsi="宋体" w:cs="宋体" w:eastAsia="宋体" w:hint="default"/>
                <w:spacing w:val="-82"/>
                <w:sz w:val="18"/>
                <w:szCs w:val="18"/>
              </w:rPr>
              <w:t>，</w:t>
            </w:r>
            <w:r>
              <w:rPr>
                <w:rFonts w:ascii="宋体" w:hAnsi="宋体" w:cs="宋体" w:eastAsia="宋体" w:hint="default"/>
                <w:sz w:val="18"/>
                <w:szCs w:val="18"/>
              </w:rPr>
              <w:t>新</w:t>
            </w:r>
          </w:p>
          <w:p>
            <w:pPr>
              <w:pStyle w:val="TableParagraph"/>
              <w:spacing w:line="237" w:lineRule="auto"/>
              <w:ind w:left="23" w:right="2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家控股子公司纳入 </w:t>
            </w:r>
            <w:r>
              <w:rPr>
                <w:rFonts w:ascii="宋体" w:hAnsi="宋体" w:cs="宋体" w:eastAsia="宋体" w:hint="default"/>
                <w:spacing w:val="-8"/>
                <w:sz w:val="18"/>
                <w:szCs w:val="18"/>
              </w:rPr>
              <w:t>合并报表范围，同时因宏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观调控使客户回款周期 变长</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7" w:type="dxa"/>
            <w:vMerge/>
            <w:tcBorders>
              <w:left w:val="single" w:sz="9" w:space="0" w:color="D2D2D2"/>
              <w:right w:val="single" w:sz="4" w:space="0" w:color="000000"/>
            </w:tcBorders>
          </w:tcPr>
          <w:p>
            <w:pPr/>
          </w:p>
        </w:tc>
        <w:tc>
          <w:tcPr>
            <w:tcW w:w="1212" w:type="dxa"/>
            <w:vMerge/>
            <w:tcBorders>
              <w:left w:val="single" w:sz="4" w:space="0" w:color="000000"/>
              <w:right w:val="single" w:sz="4" w:space="0" w:color="000000"/>
            </w:tcBorders>
          </w:tcPr>
          <w:p>
            <w:pPr/>
          </w:p>
        </w:tc>
        <w:tc>
          <w:tcPr>
            <w:tcW w:w="1443" w:type="dxa"/>
            <w:vMerge/>
            <w:tcBorders>
              <w:left w:val="single" w:sz="4" w:space="0" w:color="000000"/>
              <w:right w:val="single" w:sz="4" w:space="0" w:color="000000"/>
            </w:tcBorders>
          </w:tcPr>
          <w:p>
            <w:pPr/>
          </w:p>
        </w:tc>
        <w:tc>
          <w:tcPr>
            <w:tcW w:w="124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1954" w:type="dxa"/>
            <w:vMerge/>
            <w:tcBorders>
              <w:left w:val="single" w:sz="4" w:space="0" w:color="000000"/>
              <w:right w:val="single" w:sz="4" w:space="0" w:color="000000"/>
            </w:tcBorders>
            <w:shd w:val="clear" w:color="auto" w:fill="C6ECCC"/>
          </w:tcPr>
          <w:p>
            <w:pPr/>
          </w:p>
        </w:tc>
      </w:tr>
      <w:tr>
        <w:trPr>
          <w:trHeight w:val="39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7" w:type="dxa"/>
            <w:vMerge/>
            <w:tcBorders>
              <w:left w:val="single" w:sz="9" w:space="0" w:color="D2D2D2"/>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443" w:type="dxa"/>
            <w:vMerge/>
            <w:tcBorders>
              <w:left w:val="single" w:sz="4" w:space="0" w:color="000000"/>
              <w:bottom w:val="single" w:sz="4" w:space="0" w:color="000000"/>
              <w:right w:val="single" w:sz="4" w:space="0" w:color="000000"/>
            </w:tcBorders>
          </w:tcPr>
          <w:p>
            <w:pPr/>
          </w:p>
        </w:tc>
        <w:tc>
          <w:tcPr>
            <w:tcW w:w="124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1954" w:type="dxa"/>
            <w:vMerge/>
            <w:tcBorders>
              <w:left w:val="single" w:sz="4" w:space="0" w:color="000000"/>
              <w:bottom w:val="single" w:sz="4" w:space="0" w:color="000000"/>
              <w:right w:val="single" w:sz="4" w:space="0" w:color="000000"/>
            </w:tcBorders>
            <w:shd w:val="clear" w:color="auto" w:fill="C6ECCC"/>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120,555,330.22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9.89</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110,700,298.02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13.35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-3.46</w:t>
            </w:r>
          </w:p>
        </w:tc>
        <w:tc>
          <w:tcPr>
            <w:tcW w:w="1954"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78" w:hRule="exact"/>
        </w:trPr>
        <w:tc>
          <w:tcPr>
            <w:tcW w:w="136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6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146,240,343.22</w:t>
            </w:r>
          </w:p>
        </w:tc>
        <w:tc>
          <w:tcPr>
            <w:tcW w:w="121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12</w:t>
            </w:r>
          </w:p>
        </w:tc>
        <w:tc>
          <w:tcPr>
            <w:tcW w:w="144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103,104,840.71</w:t>
            </w:r>
          </w:p>
        </w:tc>
        <w:tc>
          <w:tcPr>
            <w:tcW w:w="124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12.44</w:t>
            </w:r>
          </w:p>
        </w:tc>
        <w:tc>
          <w:tcPr>
            <w:tcW w:w="88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-0.44</w:t>
            </w:r>
          </w:p>
        </w:tc>
        <w:tc>
          <w:tcPr>
            <w:tcW w:w="1954" w:type="dxa"/>
            <w:tcBorders>
              <w:top w:val="single" w:sz="4" w:space="0" w:color="000000"/>
              <w:left w:val="single" w:sz="4" w:space="0" w:color="000000"/>
              <w:bottom w:val="single" w:sz="4" w:space="0" w:color="FFFFFF"/>
              <w:right w:val="single" w:sz="4" w:space="0" w:color="000000"/>
            </w:tcBorders>
            <w:shd w:val="clear" w:color="auto" w:fill="C6ECCC"/>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报告期控股子公司达实</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联欣纳入合并报表范围</w:t>
            </w:r>
          </w:p>
        </w:tc>
      </w:tr>
      <w:tr>
        <w:trPr>
          <w:trHeight w:val="401" w:hRule="exact"/>
        </w:trPr>
        <w:tc>
          <w:tcPr>
            <w:tcW w:w="136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79,421,434.08</w:t>
            </w:r>
          </w:p>
        </w:tc>
        <w:tc>
          <w:tcPr>
            <w:tcW w:w="121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6.52</w:t>
            </w:r>
          </w:p>
        </w:tc>
        <w:tc>
          <w:tcPr>
            <w:tcW w:w="144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62,864,630.49</w:t>
            </w:r>
          </w:p>
        </w:tc>
        <w:tc>
          <w:tcPr>
            <w:tcW w:w="124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7.58</w:t>
            </w:r>
          </w:p>
        </w:tc>
        <w:tc>
          <w:tcPr>
            <w:tcW w:w="88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-1.06</w:t>
            </w:r>
          </w:p>
        </w:tc>
        <w:tc>
          <w:tcPr>
            <w:tcW w:w="1954" w:type="dxa"/>
            <w:tcBorders>
              <w:top w:val="single" w:sz="4" w:space="0" w:color="FFFFFF"/>
              <w:left w:val="single" w:sz="4" w:space="0" w:color="000000"/>
              <w:bottom w:val="single" w:sz="4" w:space="0" w:color="000000"/>
              <w:right w:val="single" w:sz="4" w:space="0" w:color="000000"/>
            </w:tcBorders>
            <w:shd w:val="clear" w:color="auto" w:fill="C6ECCC"/>
          </w:tcPr>
          <w:p>
            <w:pP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18,026,185.51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1.48</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10,417,468.50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1.26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0.22</w:t>
            </w:r>
          </w:p>
        </w:tc>
        <w:tc>
          <w:tcPr>
            <w:tcW w:w="19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报告期内合同能源管理</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项目投入较多</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2036"/>
        <w:gridCol w:w="850"/>
        <w:gridCol w:w="1560"/>
        <w:gridCol w:w="991"/>
        <w:gridCol w:w="994"/>
        <w:gridCol w:w="1771"/>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
        </w:tc>
        <w:tc>
          <w:tcPr>
            <w:tcW w:w="28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5"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98"/>
              <w:jc w:val="left"/>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spacing w:val="-102"/>
                <w:sz w:val="21"/>
                <w:szCs w:val="21"/>
              </w:rPr>
              <w:t> </w:t>
            </w:r>
            <w:r>
              <w:rPr>
                <w:rFonts w:ascii="宋体" w:hAnsi="宋体" w:cs="宋体" w:eastAsia="宋体" w:hint="default"/>
                <w:sz w:val="21"/>
                <w:szCs w:val="21"/>
              </w:rPr>
              <w:t>产比例</w:t>
            </w:r>
          </w:p>
          <w:p>
            <w:pPr>
              <w:pStyle w:val="TableParagraph"/>
              <w:spacing w:line="240" w:lineRule="auto" w:before="7"/>
              <w:ind w:left="1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7" w:firstLine="48"/>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994"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5"/>
        <w:gridCol w:w="946"/>
        <w:gridCol w:w="1271"/>
        <w:gridCol w:w="1275"/>
        <w:gridCol w:w="945"/>
        <w:gridCol w:w="1390"/>
        <w:gridCol w:w="1361"/>
        <w:gridCol w:w="1195"/>
      </w:tblGrid>
      <w:tr>
        <w:trPr>
          <w:trHeight w:val="161" w:hRule="exact"/>
        </w:trPr>
        <w:tc>
          <w:tcPr>
            <w:tcW w:w="1175" w:type="dxa"/>
            <w:vMerge w:val="restart"/>
            <w:tcBorders>
              <w:top w:val="single" w:sz="4" w:space="0" w:color="000000"/>
              <w:left w:val="single" w:sz="4" w:space="0" w:color="000000"/>
              <w:right w:val="single" w:sz="4" w:space="0" w:color="000000"/>
            </w:tcBorders>
            <w:shd w:val="clear" w:color="auto" w:fill="D2D2D2"/>
          </w:tcPr>
          <w:p>
            <w:pPr/>
          </w:p>
        </w:tc>
        <w:tc>
          <w:tcPr>
            <w:tcW w:w="946" w:type="dxa"/>
            <w:vMerge w:val="restart"/>
            <w:tcBorders>
              <w:top w:val="single" w:sz="4" w:space="0" w:color="000000"/>
              <w:left w:val="single" w:sz="4" w:space="0" w:color="000000"/>
              <w:right w:val="single" w:sz="4" w:space="0" w:color="000000"/>
            </w:tcBorders>
            <w:shd w:val="clear" w:color="auto" w:fill="D2D2D2"/>
          </w:tcPr>
          <w:p>
            <w:pPr/>
          </w:p>
        </w:tc>
        <w:tc>
          <w:tcPr>
            <w:tcW w:w="12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0" w:type="dxa"/>
            <w:vMerge w:val="restart"/>
            <w:tcBorders>
              <w:top w:val="single" w:sz="4" w:space="0" w:color="000000"/>
              <w:left w:val="single" w:sz="4" w:space="0" w:color="000000"/>
              <w:right w:val="single" w:sz="4" w:space="0" w:color="000000"/>
            </w:tcBorders>
            <w:shd w:val="clear" w:color="auto" w:fill="D2D2D2"/>
          </w:tcPr>
          <w:p>
            <w:pPr/>
          </w:p>
        </w:tc>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75" w:type="dxa"/>
            <w:vMerge/>
            <w:tcBorders>
              <w:left w:val="single" w:sz="4" w:space="0" w:color="000000"/>
              <w:bottom w:val="nil" w:sz="6" w:space="0" w:color="auto"/>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000000"/>
            </w:tcBorders>
            <w:shd w:val="clear" w:color="auto" w:fill="D2D2D2"/>
          </w:tcPr>
          <w:p>
            <w:pPr/>
          </w:p>
        </w:tc>
        <w:tc>
          <w:tcPr>
            <w:tcW w:w="127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67" w:right="92"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75" w:type="dxa"/>
            <w:vMerge/>
            <w:tcBorders>
              <w:left w:val="single" w:sz="4" w:space="0" w:color="000000"/>
              <w:right w:val="single" w:sz="4" w:space="0" w:color="000000"/>
            </w:tcBorders>
            <w:shd w:val="clear" w:color="auto" w:fill="D2D2D2"/>
          </w:tcPr>
          <w:p>
            <w:pPr/>
          </w:p>
        </w:tc>
        <w:tc>
          <w:tcPr>
            <w:tcW w:w="94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98" w:right="103"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390" w:type="dxa"/>
            <w:vMerge/>
            <w:tcBorders>
              <w:left w:val="single" w:sz="4" w:space="0" w:color="000000"/>
              <w:bottom w:val="nil" w:sz="6" w:space="0" w:color="auto"/>
              <w:right w:val="single" w:sz="4" w:space="0" w:color="000000"/>
            </w:tcBorders>
            <w:shd w:val="clear" w:color="auto" w:fill="D2D2D2"/>
          </w:tcPr>
          <w:p>
            <w:pPr/>
          </w:p>
        </w:tc>
        <w:tc>
          <w:tcPr>
            <w:tcW w:w="1361"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1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9"/>
              <w:jc w:val="right"/>
              <w:rPr>
                <w:rFonts w:ascii="宋体" w:hAnsi="宋体" w:cs="宋体" w:eastAsia="宋体" w:hint="default"/>
                <w:sz w:val="18"/>
                <w:szCs w:val="18"/>
              </w:rPr>
            </w:pPr>
            <w:r>
              <w:rPr>
                <w:rFonts w:ascii="宋体" w:hAnsi="宋体" w:cs="宋体" w:eastAsia="宋体" w:hint="default"/>
                <w:sz w:val="18"/>
                <w:szCs w:val="18"/>
              </w:rPr>
              <w:t>项目</w:t>
            </w:r>
          </w:p>
        </w:tc>
        <w:tc>
          <w:tcPr>
            <w:tcW w:w="9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1"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1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4"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3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75" w:type="dxa"/>
            <w:vMerge w:val="restart"/>
            <w:tcBorders>
              <w:top w:val="nil" w:sz="6" w:space="0" w:color="auto"/>
              <w:left w:val="single" w:sz="4" w:space="0" w:color="000000"/>
              <w:right w:val="single" w:sz="4" w:space="0" w:color="000000"/>
            </w:tcBorders>
            <w:shd w:val="clear" w:color="auto" w:fill="D2D2D2"/>
          </w:tcPr>
          <w:p>
            <w:pPr/>
          </w:p>
        </w:tc>
        <w:tc>
          <w:tcPr>
            <w:tcW w:w="946" w:type="dxa"/>
            <w:vMerge w:val="restart"/>
            <w:tcBorders>
              <w:top w:val="nil" w:sz="6" w:space="0" w:color="auto"/>
              <w:left w:val="single" w:sz="4" w:space="0" w:color="000000"/>
              <w:right w:val="single" w:sz="4" w:space="0" w:color="000000"/>
            </w:tcBorders>
            <w:shd w:val="clear" w:color="auto" w:fill="D2D2D2"/>
          </w:tcPr>
          <w:p>
            <w:pPr/>
          </w:p>
        </w:tc>
        <w:tc>
          <w:tcPr>
            <w:tcW w:w="1271"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945" w:type="dxa"/>
            <w:vMerge/>
            <w:tcBorders>
              <w:left w:val="single" w:sz="4" w:space="0" w:color="000000"/>
              <w:bottom w:val="nil" w:sz="6" w:space="0" w:color="auto"/>
              <w:right w:val="single" w:sz="4" w:space="0" w:color="000000"/>
            </w:tcBorders>
            <w:shd w:val="clear" w:color="auto" w:fill="D2D2D2"/>
          </w:tcPr>
          <w:p>
            <w:pPr/>
          </w:p>
        </w:tc>
        <w:tc>
          <w:tcPr>
            <w:tcW w:w="1390" w:type="dxa"/>
            <w:vMerge w:val="restart"/>
            <w:tcBorders>
              <w:top w:val="nil" w:sz="6" w:space="0" w:color="auto"/>
              <w:left w:val="single" w:sz="4" w:space="0" w:color="000000"/>
              <w:right w:val="single" w:sz="4" w:space="0" w:color="000000"/>
            </w:tcBorders>
            <w:shd w:val="clear" w:color="auto" w:fill="D2D2D2"/>
          </w:tcPr>
          <w:p>
            <w:pPr/>
          </w:p>
        </w:tc>
        <w:tc>
          <w:tcPr>
            <w:tcW w:w="1361"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75"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12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9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0" w:type="dxa"/>
            <w:vMerge/>
            <w:tcBorders>
              <w:left w:val="single" w:sz="4" w:space="0" w:color="000000"/>
              <w:bottom w:val="single" w:sz="4" w:space="0" w:color="000000"/>
              <w:right w:val="single" w:sz="4" w:space="0" w:color="000000"/>
            </w:tcBorders>
            <w:shd w:val="clear" w:color="auto" w:fill="D2D2D2"/>
          </w:tcPr>
          <w:p>
            <w:pPr/>
          </w:p>
        </w:tc>
        <w:tc>
          <w:tcPr>
            <w:tcW w:w="1361"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431"/>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8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1"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8"/>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9" w:lineRule="auto" w:before="19"/>
              <w:ind w:left="12" w:right="71"/>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9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4"/>
              <w:jc w:val="right"/>
              <w:rPr>
                <w:rFonts w:ascii="宋体" w:hAnsi="宋体" w:cs="宋体" w:eastAsia="宋体" w:hint="default"/>
                <w:sz w:val="18"/>
                <w:szCs w:val="18"/>
              </w:rPr>
            </w:pPr>
            <w:r>
              <w:rPr>
                <w:rFonts w:ascii="宋体"/>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2"/>
              <w:jc w:val="right"/>
              <w:rPr>
                <w:rFonts w:ascii="宋体" w:hAnsi="宋体" w:cs="宋体" w:eastAsia="宋体" w:hint="default"/>
                <w:sz w:val="18"/>
                <w:szCs w:val="18"/>
              </w:rPr>
            </w:pPr>
            <w:r>
              <w:rPr>
                <w:rFonts w:ascii="宋体"/>
                <w:spacing w:val="-1"/>
                <w:sz w:val="18"/>
              </w:rPr>
              <w:t>-22,800.45</w:t>
            </w:r>
          </w:p>
        </w:tc>
        <w:tc>
          <w:tcPr>
            <w:tcW w:w="127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8"/>
              <w:jc w:val="right"/>
              <w:rPr>
                <w:rFonts w:ascii="宋体" w:hAnsi="宋体" w:cs="宋体" w:eastAsia="宋体" w:hint="default"/>
                <w:sz w:val="18"/>
                <w:szCs w:val="18"/>
              </w:rPr>
            </w:pPr>
            <w:r>
              <w:rPr>
                <w:rFonts w:ascii="宋体"/>
                <w:spacing w:val="-1"/>
                <w:sz w:val="18"/>
              </w:rPr>
              <w:t>3,458,363.76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0"/>
              <w:jc w:val="right"/>
              <w:rPr>
                <w:rFonts w:ascii="宋体" w:hAnsi="宋体" w:cs="宋体" w:eastAsia="宋体" w:hint="default"/>
                <w:sz w:val="18"/>
                <w:szCs w:val="18"/>
              </w:rPr>
            </w:pPr>
            <w:r>
              <w:rPr>
                <w:rFonts w:ascii="宋体"/>
                <w:spacing w:val="-1"/>
                <w:sz w:val="18"/>
              </w:rPr>
              <w:t>3,457,215.59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1"/>
              <w:jc w:val="right"/>
              <w:rPr>
                <w:rFonts w:ascii="宋体" w:hAnsi="宋体" w:cs="宋体" w:eastAsia="宋体" w:hint="default"/>
                <w:sz w:val="18"/>
                <w:szCs w:val="18"/>
              </w:rPr>
            </w:pPr>
            <w:r>
              <w:rPr>
                <w:rFonts w:ascii="宋体"/>
                <w:spacing w:val="-1"/>
                <w:sz w:val="18"/>
              </w:rPr>
              <w:t>339,591.58</w:t>
            </w:r>
          </w:p>
        </w:tc>
      </w:tr>
      <w:tr>
        <w:trPr>
          <w:trHeight w:val="403"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1"/>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9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-22,800.45</w:t>
            </w:r>
          </w:p>
        </w:tc>
        <w:tc>
          <w:tcPr>
            <w:tcW w:w="127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3,458,363.76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3,457,215.59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339,591.58</w:t>
            </w:r>
          </w:p>
        </w:tc>
      </w:tr>
      <w:tr>
        <w:trPr>
          <w:trHeight w:val="401"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1"/>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9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0.00</w:t>
            </w:r>
          </w:p>
        </w:tc>
        <w:tc>
          <w:tcPr>
            <w:tcW w:w="127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line="340" w:lineRule="auto" w:before="49"/>
        <w:ind w:left="152" w:right="41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交易性金融资产为本报告期内纳入合并报表的控股子公司达实联欣购买基金所致。 报告期内公司主要资产计量属性是否发生重大变化</w:t>
      </w:r>
    </w:p>
    <w:p>
      <w:pPr>
        <w:spacing w:before="39"/>
        <w:ind w:left="152" w:right="1123"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1340" w:top="1100" w:bottom="154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r>
        <w:rPr/>
        <w:t>五、核心竞争力分析</w:t>
      </w:r>
      <w:r>
        <w:rPr>
          <w:b w:val="0"/>
          <w:bCs w:val="0"/>
        </w:rPr>
      </w:r>
    </w:p>
    <w:p>
      <w:pPr>
        <w:spacing w:line="240" w:lineRule="auto" w:before="4"/>
        <w:rPr>
          <w:rFonts w:ascii="宋体" w:hAnsi="宋体" w:cs="宋体" w:eastAsia="宋体" w:hint="default"/>
          <w:b/>
          <w:bCs/>
          <w:sz w:val="23"/>
          <w:szCs w:val="23"/>
        </w:rPr>
      </w:pPr>
    </w:p>
    <w:p>
      <w:pPr>
        <w:pStyle w:val="BodyText"/>
        <w:spacing w:line="355" w:lineRule="auto" w:before="0"/>
        <w:ind w:left="513" w:right="1123"/>
        <w:jc w:val="left"/>
      </w:pPr>
      <w:r>
        <w:rPr>
          <w:rFonts w:ascii="宋体" w:hAnsi="宋体" w:cs="宋体" w:eastAsia="宋体" w:hint="default"/>
        </w:rPr>
        <w:t>1</w:t>
      </w:r>
      <w:r>
        <w:rPr/>
        <w:t>、牢固的团队凝聚力</w:t>
      </w:r>
      <w:r>
        <w:rPr>
          <w:w w:val="100"/>
        </w:rPr>
        <w:t> </w:t>
      </w:r>
      <w:r>
        <w:rPr>
          <w:spacing w:val="-3"/>
        </w:rPr>
        <w:t>公司现有员工</w:t>
      </w:r>
      <w:r>
        <w:rPr>
          <w:rFonts w:ascii="宋体" w:hAnsi="宋体" w:cs="宋体" w:eastAsia="宋体" w:hint="default"/>
          <w:spacing w:val="-3"/>
        </w:rPr>
        <w:t>781</w:t>
      </w:r>
      <w:r>
        <w:rPr>
          <w:spacing w:val="-3"/>
        </w:rPr>
        <w:t>人，本科及以上学历的人数占比为</w:t>
      </w:r>
      <w:r>
        <w:rPr>
          <w:rFonts w:ascii="宋体" w:hAnsi="宋体" w:cs="宋体" w:eastAsia="宋体" w:hint="default"/>
          <w:spacing w:val="-3"/>
        </w:rPr>
        <w:t>51.22%</w:t>
      </w:r>
      <w:r>
        <w:rPr>
          <w:spacing w:val="-3"/>
        </w:rPr>
        <w:t>，团队人员素质高，具有行业丰富的从业经</w:t>
      </w:r>
    </w:p>
    <w:p>
      <w:pPr>
        <w:pStyle w:val="BodyText"/>
        <w:spacing w:line="357" w:lineRule="auto" w:before="32"/>
        <w:ind w:right="1126"/>
        <w:jc w:val="both"/>
      </w:pPr>
      <w:r>
        <w:rPr>
          <w:spacing w:val="-2"/>
        </w:rPr>
        <w:t>历，上市前公司实施了</w:t>
      </w:r>
      <w:r>
        <w:rPr>
          <w:rFonts w:ascii="宋体" w:hAnsi="宋体" w:cs="宋体" w:eastAsia="宋体" w:hint="default"/>
          <w:spacing w:val="-2"/>
        </w:rPr>
        <w:t>6</w:t>
      </w:r>
      <w:r>
        <w:rPr>
          <w:spacing w:val="-2"/>
        </w:rPr>
        <w:t>次员工持股方案及报告期内实施的限制性股票激励计划，使</w:t>
      </w:r>
      <w:r>
        <w:rPr>
          <w:rFonts w:ascii="宋体" w:hAnsi="宋体" w:cs="宋体" w:eastAsia="宋体" w:hint="default"/>
          <w:spacing w:val="-2"/>
        </w:rPr>
        <w:t>141</w:t>
      </w:r>
      <w:r>
        <w:rPr>
          <w:spacing w:val="-2"/>
        </w:rPr>
        <w:t>名员工持有公司股</w:t>
      </w:r>
      <w:r>
        <w:rPr>
          <w:spacing w:val="-43"/>
        </w:rPr>
        <w:t> </w:t>
      </w:r>
      <w:r>
        <w:rPr>
          <w:spacing w:val="-43"/>
        </w:rPr>
      </w:r>
      <w:r>
        <w:rPr>
          <w:spacing w:val="-2"/>
        </w:rPr>
        <w:t>份，个人利益与公司利益紧密绑定，激发了管理层及核心员工的责任感和创造性。公司坚持“达则兼善天</w:t>
      </w:r>
      <w:r>
        <w:rPr>
          <w:spacing w:val="-45"/>
        </w:rPr>
        <w:t> </w:t>
      </w:r>
      <w:r>
        <w:rPr>
          <w:spacing w:val="-45"/>
        </w:rPr>
      </w:r>
      <w:r>
        <w:rPr>
          <w:spacing w:val="-2"/>
        </w:rPr>
        <w:t>下，实则恒心如一”的企业文化，有效规划员工个人需求，使之与公司的远景目标相一致，培养了管理层</w:t>
      </w:r>
      <w:r>
        <w:rPr>
          <w:spacing w:val="-50"/>
        </w:rPr>
        <w:t> </w:t>
      </w:r>
      <w:r>
        <w:rPr>
          <w:spacing w:val="-50"/>
        </w:rPr>
      </w:r>
      <w:r>
        <w:rPr/>
        <w:t>和核心人员的归属感，营造出牢固的团队凝聚力。</w:t>
      </w:r>
    </w:p>
    <w:p>
      <w:pPr>
        <w:pStyle w:val="BodyText"/>
        <w:spacing w:line="355" w:lineRule="auto"/>
        <w:ind w:left="513" w:right="1123"/>
        <w:jc w:val="left"/>
      </w:pPr>
      <w:r>
        <w:rPr>
          <w:rFonts w:ascii="宋体" w:hAnsi="宋体" w:cs="宋体" w:eastAsia="宋体" w:hint="default"/>
        </w:rPr>
        <w:t>2</w:t>
      </w:r>
      <w:r>
        <w:rPr/>
        <w:t>、优秀的自主创新能力</w:t>
      </w:r>
      <w:r>
        <w:rPr>
          <w:w w:val="100"/>
        </w:rPr>
        <w:t> </w:t>
      </w:r>
      <w:r>
        <w:rPr>
          <w:spacing w:val="-1"/>
        </w:rPr>
        <w:t>公司内设国家博士后科研工作站、深圳市自动化工程技术研究开发中心和解决方案研发中心三级研发</w:t>
      </w:r>
    </w:p>
    <w:p>
      <w:pPr>
        <w:pStyle w:val="BodyText"/>
        <w:spacing w:line="357" w:lineRule="auto" w:before="33"/>
        <w:ind w:right="1126"/>
        <w:jc w:val="both"/>
      </w:pPr>
      <w:r>
        <w:rPr>
          <w:spacing w:val="-2"/>
        </w:rPr>
        <w:t>体系，主持起草了四项国家重要节能标准，获得了“智能卡一卡一密方法”等</w:t>
      </w:r>
      <w:r>
        <w:rPr>
          <w:rFonts w:ascii="宋体" w:hAnsi="宋体" w:cs="宋体" w:eastAsia="宋体" w:hint="default"/>
          <w:spacing w:val="-2"/>
        </w:rPr>
        <w:t>32</w:t>
      </w:r>
      <w:r>
        <w:rPr>
          <w:spacing w:val="-2"/>
        </w:rPr>
        <w:t>项国家专利（其中发明专</w:t>
      </w:r>
      <w:r>
        <w:rPr>
          <w:spacing w:val="-41"/>
        </w:rPr>
        <w:t> </w:t>
      </w:r>
      <w:r>
        <w:rPr>
          <w:spacing w:val="-41"/>
        </w:rPr>
      </w:r>
      <w:r>
        <w:rPr>
          <w:spacing w:val="-2"/>
        </w:rPr>
        <w:t>利</w:t>
      </w:r>
      <w:r>
        <w:rPr>
          <w:rFonts w:ascii="宋体" w:hAnsi="宋体" w:cs="宋体" w:eastAsia="宋体" w:hint="default"/>
          <w:spacing w:val="-2"/>
        </w:rPr>
        <w:t>14</w:t>
      </w:r>
      <w:r>
        <w:rPr>
          <w:spacing w:val="-2"/>
        </w:rPr>
        <w:t>项）及</w:t>
      </w:r>
      <w:r>
        <w:rPr>
          <w:rFonts w:ascii="宋体" w:hAnsi="宋体" w:cs="宋体" w:eastAsia="宋体" w:hint="default"/>
          <w:spacing w:val="-2"/>
        </w:rPr>
        <w:t>29</w:t>
      </w:r>
      <w:r>
        <w:rPr>
          <w:spacing w:val="-2"/>
        </w:rPr>
        <w:t>项和软件著作权。公司拥有强大的自主创新能力，具备快速研发系统产品的能力和产业化推</w:t>
      </w:r>
      <w:r>
        <w:rPr>
          <w:spacing w:val="-40"/>
        </w:rPr>
        <w:t> </w:t>
      </w:r>
      <w:r>
        <w:rPr>
          <w:spacing w:val="-40"/>
        </w:rPr>
      </w:r>
      <w:r>
        <w:rPr>
          <w:spacing w:val="-2"/>
        </w:rPr>
        <w:t>广的能力。公司研发从基础做起，不断积累经验，通过十多年的积累，公司已经具备了长足的科研开发实</w:t>
      </w:r>
      <w:r>
        <w:rPr>
          <w:spacing w:val="-47"/>
        </w:rPr>
        <w:t> </w:t>
      </w:r>
      <w:r>
        <w:rPr>
          <w:spacing w:val="-47"/>
        </w:rPr>
      </w:r>
      <w:r>
        <w:rPr>
          <w:spacing w:val="-2"/>
        </w:rPr>
        <w:t>力和技术领先优势，自主研发成果的应用对象从控制一个门开始，到控制一座仓库，一个住宅，进而控制</w:t>
      </w:r>
      <w:r>
        <w:rPr>
          <w:spacing w:val="-47"/>
        </w:rPr>
        <w:t> </w:t>
      </w:r>
      <w:r>
        <w:rPr>
          <w:spacing w:val="-47"/>
        </w:rPr>
      </w:r>
      <w:r>
        <w:rPr/>
        <w:t>一个社区、一栋楼，一个城市的智能化和节能，实现了同一个战略方向上的稳步前进。</w:t>
      </w:r>
    </w:p>
    <w:p>
      <w:pPr>
        <w:pStyle w:val="BodyText"/>
        <w:spacing w:line="357" w:lineRule="auto"/>
        <w:ind w:left="424" w:right="1123"/>
        <w:jc w:val="left"/>
      </w:pPr>
      <w:r>
        <w:rPr>
          <w:rFonts w:ascii="宋体" w:hAnsi="宋体" w:cs="宋体" w:eastAsia="宋体" w:hint="default"/>
        </w:rPr>
        <w:t>3</w:t>
      </w:r>
      <w:r>
        <w:rPr/>
        <w:t>、综合的建筑全生命周期服务能力</w:t>
      </w:r>
      <w:r>
        <w:rPr>
          <w:w w:val="100"/>
        </w:rPr>
        <w:t> </w:t>
      </w:r>
      <w:r>
        <w:rPr>
          <w:spacing w:val="-4"/>
        </w:rPr>
        <w:t>公司以“让建筑更节能”为经营宗旨，以用户需求为中心，以最大幅度的提升建筑形象和功能、降低建</w:t>
      </w:r>
    </w:p>
    <w:p>
      <w:pPr>
        <w:pStyle w:val="BodyText"/>
        <w:spacing w:line="357" w:lineRule="auto"/>
        <w:ind w:right="1023"/>
        <w:jc w:val="both"/>
      </w:pPr>
      <w:r>
        <w:rPr>
          <w:spacing w:val="-2"/>
        </w:rPr>
        <w:t>设和日常运营成本为目标，以物联网及智能技术为基础，满足用户全生命周期的建筑机电节能需求。服务</w:t>
      </w:r>
      <w:r>
        <w:rPr>
          <w:spacing w:val="-44"/>
        </w:rPr>
        <w:t> </w:t>
      </w:r>
      <w:r>
        <w:rPr>
          <w:spacing w:val="-44"/>
        </w:rPr>
      </w:r>
      <w:r>
        <w:rPr>
          <w:spacing w:val="-2"/>
        </w:rPr>
        <w:t>内容包括绿色建筑认证咨询服务，智能化系统专项设计及工程服务，供配电系统专项设计及工程服务，中</w:t>
      </w:r>
      <w:r>
        <w:rPr>
          <w:spacing w:val="-43"/>
        </w:rPr>
        <w:t> </w:t>
      </w:r>
      <w:r>
        <w:rPr>
          <w:spacing w:val="-43"/>
        </w:rPr>
      </w:r>
      <w:r>
        <w:rPr>
          <w:spacing w:val="-2"/>
        </w:rPr>
        <w:t>央空调系统设计、工程及投资运营服务（合同能源管理），以及智能卡产品等。迄今为止，公司的用户遍</w:t>
      </w:r>
      <w:r>
        <w:rPr>
          <w:spacing w:val="-42"/>
        </w:rPr>
        <w:t> </w:t>
      </w:r>
      <w:r>
        <w:rPr>
          <w:spacing w:val="-42"/>
        </w:rPr>
      </w:r>
      <w:r>
        <w:rPr>
          <w:spacing w:val="-5"/>
        </w:rPr>
        <w:t>及全国各地，包括深圳市民中心、深圳地铁、华为、长安标致雪铁龙、沃尔玛、大连万达以及恒大地产等。</w:t>
      </w:r>
    </w:p>
    <w:p>
      <w:pPr>
        <w:pStyle w:val="BodyText"/>
        <w:spacing w:line="355" w:lineRule="auto" w:before="32"/>
        <w:ind w:left="424" w:right="1123"/>
        <w:jc w:val="left"/>
      </w:pPr>
      <w:r>
        <w:rPr>
          <w:rFonts w:ascii="宋体" w:hAnsi="宋体" w:cs="宋体" w:eastAsia="宋体" w:hint="default"/>
        </w:rPr>
        <w:t>4</w:t>
      </w:r>
      <w:r>
        <w:rPr/>
        <w:t>、良好的项目管理能力</w:t>
      </w:r>
      <w:r>
        <w:rPr>
          <w:w w:val="100"/>
        </w:rPr>
        <w:t> </w:t>
      </w:r>
      <w:r>
        <w:rPr>
          <w:spacing w:val="-4"/>
        </w:rPr>
        <w:t>公司利用自主开发的项目管理系统，在项目立项阶段开始做好严格的项目质量策划，确保设计过程的有</w:t>
      </w:r>
    </w:p>
    <w:p>
      <w:pPr>
        <w:pStyle w:val="BodyText"/>
        <w:spacing w:line="357" w:lineRule="auto" w:before="32"/>
        <w:ind w:right="0"/>
        <w:jc w:val="left"/>
      </w:pPr>
      <w:r>
        <w:rPr>
          <w:spacing w:val="-5"/>
        </w:rPr>
        <w:t>序、规范；严格挑选供应商，确保采购产品和分包工程质量的可靠；谨慎编制和签订采购、工程施工合同，</w:t>
      </w:r>
      <w:r>
        <w:rPr>
          <w:spacing w:val="-8"/>
        </w:rPr>
        <w:t> </w:t>
      </w:r>
      <w:r>
        <w:rPr>
          <w:spacing w:val="-8"/>
        </w:rPr>
      </w:r>
      <w:r>
        <w:rPr>
          <w:spacing w:val="-2"/>
        </w:rPr>
        <w:t>加强项目施工现场的监督审核，确保工程项目按进度实施；认真进行系统调试，严格遵守项目竣工验收标</w:t>
      </w:r>
      <w:r>
        <w:rPr>
          <w:spacing w:val="-43"/>
        </w:rPr>
        <w:t> </w:t>
      </w:r>
      <w:r>
        <w:rPr>
          <w:spacing w:val="-43"/>
        </w:rPr>
      </w:r>
      <w:r>
        <w:rPr>
          <w:spacing w:val="-2"/>
        </w:rPr>
        <w:t>准，从项目立项、合同管理、执行项目、项目采购管理、项目监控等环节实行全面监控，从而保证项目有</w:t>
      </w:r>
      <w:r>
        <w:rPr>
          <w:spacing w:val="-42"/>
        </w:rPr>
        <w:t> </w:t>
      </w:r>
      <w:r>
        <w:rPr>
          <w:spacing w:val="-42"/>
        </w:rPr>
      </w:r>
      <w:r>
        <w:rPr>
          <w:spacing w:val="-2"/>
        </w:rPr>
        <w:t>序进行。</w:t>
      </w:r>
      <w:r>
        <w:rPr>
          <w:rFonts w:ascii="宋体" w:hAnsi="宋体" w:cs="宋体" w:eastAsia="宋体" w:hint="default"/>
          <w:spacing w:val="-2"/>
        </w:rPr>
        <w:t>2012</w:t>
      </w:r>
      <w:r>
        <w:rPr>
          <w:spacing w:val="-2"/>
        </w:rPr>
        <w:t>年度，公司多个项目获得中国勘察设计协会工程智能设计分会评选的</w:t>
      </w:r>
      <w:r>
        <w:rPr>
          <w:rFonts w:ascii="宋体" w:hAnsi="宋体" w:cs="宋体" w:eastAsia="宋体" w:hint="default"/>
          <w:spacing w:val="-2"/>
        </w:rPr>
        <w:t>2012</w:t>
      </w:r>
      <w:r>
        <w:rPr>
          <w:spacing w:val="-2"/>
        </w:rPr>
        <w:t>年度全国百栋建筑</w:t>
      </w:r>
      <w:r>
        <w:rPr>
          <w:spacing w:val="-35"/>
        </w:rPr>
        <w:t> </w:t>
      </w:r>
      <w:r>
        <w:rPr>
          <w:spacing w:val="-35"/>
        </w:rPr>
      </w:r>
      <w:r>
        <w:rPr/>
        <w:t>智能化经典项目。</w:t>
      </w:r>
    </w:p>
    <w:p>
      <w:pPr>
        <w:spacing w:line="240" w:lineRule="auto" w:before="12"/>
        <w:rPr>
          <w:rFonts w:ascii="宋体" w:hAnsi="宋体" w:cs="宋体" w:eastAsia="宋体" w:hint="default"/>
          <w:sz w:val="24"/>
          <w:szCs w:val="24"/>
        </w:rPr>
      </w:pPr>
    </w:p>
    <w:p>
      <w:pPr>
        <w:pStyle w:val="Heading2"/>
        <w:spacing w:line="240" w:lineRule="auto"/>
        <w:ind w:right="0"/>
        <w:jc w:val="both"/>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宋体" w:hAnsi="宋体" w:cs="宋体" w:eastAsia="宋体" w:hint="default"/>
        </w:rPr>
        <w:t>1</w:t>
      </w:r>
      <w:r>
        <w:rPr/>
        <w:t>、对外股权投资情况</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宋体" w:hAnsi="宋体" w:cs="宋体" w:eastAsia="宋体" w:hint="default"/>
        </w:rPr>
        <w:t>1</w:t>
      </w:r>
      <w:r>
        <w:rPr/>
        <w:t>）对外投资情况</w:t>
      </w:r>
      <w:r>
        <w:rPr>
          <w:b w:val="0"/>
          <w:bCs w:val="0"/>
        </w:rPr>
      </w:r>
    </w:p>
    <w:p>
      <w:pPr>
        <w:spacing w:line="240" w:lineRule="auto" w:before="7"/>
        <w:rPr>
          <w:rFonts w:ascii="宋体" w:hAnsi="宋体" w:cs="宋体" w:eastAsia="宋体" w:hint="default"/>
          <w:b/>
          <w:bCs/>
          <w:sz w:val="26"/>
          <w:szCs w:val="26"/>
        </w:rPr>
      </w:pPr>
    </w:p>
    <w:p>
      <w:pPr>
        <w:spacing w:line="419"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9560;top:14;width:2;height:392" coordorigin="9560,14" coordsize="2,392">
              <v:shape style="position:absolute;left:9560;top:14;width:2;height:392" coordorigin="9560,14" coordsize="0,392" path="m9560,14l9560,406e" filled="false" stroked="true" strokeweight="1.08pt" strokecolor="#d2d2d2">
                <v:path arrowok="t"/>
              </v:shape>
            </v:group>
            <v:group style="position:absolute;left:34;top:14;width:9516;height:392" coordorigin="34,14" coordsize="9516,392">
              <v:shape style="position:absolute;left:34;top:14;width:9516;height:392" coordorigin="34,14" coordsize="9516,392" path="m34,406l9549,406,9549,14,34,14,34,406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9562;height:2" coordorigin="10,410" coordsize="9562,2">
              <v:shape style="position:absolute;left:10;top:410;width:9562;height:2" coordorigin="10,410" coordsize="9562,0" path="m10,410l9571,410e" filled="false" stroked="true" strokeweight=".4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8pt" strokecolor="#000000">
                <v:path arrowok="t"/>
              </v:shape>
              <v:shape style="position:absolute;left:6;top:10;width:9559;height:401" type="#_x0000_t202" filled="false" stroked="false">
                <v:textbox inset="0,0,0,0">
                  <w:txbxContent>
                    <w:p>
                      <w:pPr>
                        <w:spacing w:before="53"/>
                        <w:ind w:left="12" w:right="0" w:firstLine="0"/>
                        <w:jc w:val="center"/>
                        <w:rPr>
                          <w:rFonts w:ascii="宋体" w:hAnsi="宋体" w:cs="宋体" w:eastAsia="宋体" w:hint="default"/>
                          <w:sz w:val="18"/>
                          <w:szCs w:val="18"/>
                        </w:rPr>
                      </w:pPr>
                      <w:r>
                        <w:rPr>
                          <w:rFonts w:ascii="宋体" w:hAnsi="宋体" w:cs="宋体" w:eastAsia="宋体" w:hint="default"/>
                          <w:sz w:val="18"/>
                          <w:szCs w:val="18"/>
                        </w:rPr>
                        <w:t>对外投资情况</w:t>
                      </w:r>
                    </w:p>
                  </w:txbxContent>
                </v:textbox>
                <w10:wrap type="none"/>
              </v:shape>
            </v:group>
          </v:group>
        </w:pict>
      </w:r>
      <w:r>
        <w:rPr>
          <w:rFonts w:ascii="宋体" w:hAnsi="宋体" w:cs="宋体" w:eastAsia="宋体" w:hint="default"/>
          <w:position w:val="-7"/>
          <w:sz w:val="20"/>
          <w:szCs w:val="20"/>
        </w:rPr>
      </w:r>
    </w:p>
    <w:p>
      <w:pPr>
        <w:spacing w:after="0" w:line="419" w:lineRule="exact"/>
        <w:rPr>
          <w:rFonts w:ascii="宋体" w:hAnsi="宋体" w:cs="宋体" w:eastAsia="宋体" w:hint="default"/>
          <w:sz w:val="20"/>
          <w:szCs w:val="20"/>
        </w:rPr>
        <w:sectPr>
          <w:pgSz w:w="11910" w:h="16840"/>
          <w:pgMar w:header="877" w:footer="1340" w:top="1100" w:bottom="154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696"/>
        <w:gridCol w:w="991"/>
        <w:gridCol w:w="3545"/>
        <w:gridCol w:w="2338"/>
      </w:tblGrid>
      <w:tr>
        <w:trPr>
          <w:trHeight w:val="401" w:hRule="exact"/>
        </w:trPr>
        <w:tc>
          <w:tcPr>
            <w:tcW w:w="36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年投资额（元）</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年投资额（元）</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95" w:right="0"/>
              <w:jc w:val="left"/>
              <w:rPr>
                <w:rFonts w:ascii="宋体" w:hAnsi="宋体" w:cs="宋体" w:eastAsia="宋体" w:hint="default"/>
                <w:sz w:val="18"/>
                <w:szCs w:val="18"/>
              </w:rPr>
            </w:pPr>
            <w:r>
              <w:rPr>
                <w:rFonts w:ascii="宋体"/>
                <w:sz w:val="18"/>
              </w:rPr>
              <w:t>214,644,000.00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sz w:val="18"/>
              </w:rPr>
              <w:t>--</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58" w:right="82" w:hanging="675"/>
              <w:jc w:val="left"/>
              <w:rPr>
                <w:rFonts w:ascii="宋体" w:hAnsi="宋体" w:cs="宋体" w:eastAsia="宋体" w:hint="default"/>
                <w:sz w:val="18"/>
                <w:szCs w:val="18"/>
              </w:rPr>
            </w:pPr>
            <w:r>
              <w:rPr>
                <w:rFonts w:ascii="宋体" w:hAnsi="宋体" w:cs="宋体" w:eastAsia="宋体" w:hint="default"/>
                <w:sz w:val="18"/>
                <w:szCs w:val="18"/>
              </w:rPr>
              <w:t>上市公司占被投资公司权益 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达实德润</w:t>
            </w:r>
          </w:p>
        </w:tc>
        <w:tc>
          <w:tcPr>
            <w:tcW w:w="4536"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绿色建筑咨询认证服务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45</w:t>
            </w:r>
          </w:p>
        </w:tc>
      </w:tr>
      <w:tr>
        <w:trPr>
          <w:trHeight w:val="714" w:hRule="exact"/>
        </w:trPr>
        <w:tc>
          <w:tcPr>
            <w:tcW w:w="26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达实联欣</w:t>
            </w:r>
          </w:p>
        </w:tc>
        <w:tc>
          <w:tcPr>
            <w:tcW w:w="4536"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绿色建筑供电（强电）系统优化咨询、工程及节能服务、 建筑智能化集成及服务、建筑节能工程及节能服务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51</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89"/>
        <w:gridCol w:w="5481"/>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38,954.90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17,590.90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35,593.48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3,818.65</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宋体" w:hAnsi="宋体" w:cs="宋体" w:eastAsia="宋体"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9.80%</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11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04" w:lineRule="exact"/>
              <w:ind w:left="24" w:right="0" w:firstLine="360"/>
              <w:jc w:val="left"/>
              <w:rPr>
                <w:rFonts w:ascii="宋体" w:hAnsi="宋体" w:cs="宋体" w:eastAsia="宋体" w:hint="default"/>
                <w:sz w:val="18"/>
                <w:szCs w:val="18"/>
              </w:rPr>
            </w:pPr>
            <w:r>
              <w:rPr>
                <w:rFonts w:ascii="宋体" w:hAnsi="宋体" w:cs="宋体" w:eastAsia="宋体" w:hint="default"/>
                <w:sz w:val="18"/>
                <w:szCs w:val="18"/>
              </w:rPr>
              <w:t>经中国证券监督管理委员会</w:t>
            </w:r>
            <w:r>
              <w:rPr>
                <w:rFonts w:ascii="宋体" w:hAnsi="宋体" w:cs="宋体" w:eastAsia="宋体" w:hint="default"/>
                <w:spacing w:val="-15"/>
                <w:sz w:val="18"/>
                <w:szCs w:val="18"/>
              </w:rPr>
              <w:t>以</w:t>
            </w:r>
            <w:r>
              <w:rPr>
                <w:rFonts w:ascii="宋体" w:hAnsi="宋体" w:cs="宋体" w:eastAsia="宋体" w:hint="default"/>
                <w:sz w:val="18"/>
                <w:szCs w:val="18"/>
              </w:rPr>
              <w:t>《关于核准深圳达实智能股份有限公司首次公开发行股票的批复</w:t>
            </w:r>
            <w:r>
              <w:rPr>
                <w:rFonts w:ascii="宋体" w:hAnsi="宋体" w:cs="宋体" w:eastAsia="宋体" w:hint="default"/>
                <w:spacing w:val="-106"/>
                <w:sz w:val="18"/>
                <w:szCs w:val="18"/>
              </w:rPr>
              <w:t>》</w:t>
            </w:r>
            <w:r>
              <w:rPr>
                <w:rFonts w:ascii="宋体" w:hAnsi="宋体" w:cs="宋体" w:eastAsia="宋体" w:hint="default"/>
                <w:sz w:val="18"/>
                <w:szCs w:val="18"/>
              </w:rPr>
              <w:t>（证监许</w:t>
            </w:r>
            <w:r>
              <w:rPr>
                <w:rFonts w:ascii="宋体" w:hAnsi="宋体" w:cs="宋体" w:eastAsia="宋体" w:hint="default"/>
                <w:spacing w:val="1"/>
                <w:sz w:val="18"/>
                <w:szCs w:val="18"/>
              </w:rPr>
              <w:t>可</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5</w:t>
            </w:r>
            <w:r>
              <w:rPr>
                <w:rFonts w:ascii="宋体" w:hAnsi="宋体" w:cs="宋体" w:eastAsia="宋体" w:hint="default"/>
                <w:spacing w:val="-2"/>
                <w:sz w:val="18"/>
                <w:szCs w:val="18"/>
              </w:rPr>
              <w:t>9</w:t>
            </w:r>
            <w:r>
              <w:rPr>
                <w:rFonts w:ascii="宋体" w:hAnsi="宋体" w:cs="宋体" w:eastAsia="宋体" w:hint="default"/>
                <w:sz w:val="18"/>
                <w:szCs w:val="18"/>
              </w:rPr>
              <w:t>6</w:t>
            </w: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pacing w:val="-3"/>
                <w:sz w:val="18"/>
                <w:szCs w:val="18"/>
              </w:rPr>
              <w:t>号）核准，公司公开发行人民币</w:t>
            </w:r>
            <w:r>
              <w:rPr>
                <w:rFonts w:ascii="宋体" w:hAnsi="宋体" w:cs="宋体" w:eastAsia="宋体" w:hint="default"/>
                <w:spacing w:val="-51"/>
                <w:sz w:val="18"/>
                <w:szCs w:val="18"/>
              </w:rPr>
              <w:t> </w:t>
            </w:r>
            <w:r>
              <w:rPr>
                <w:rFonts w:ascii="宋体" w:hAnsi="宋体" w:cs="宋体" w:eastAsia="宋体" w:hint="default"/>
                <w:sz w:val="18"/>
                <w:szCs w:val="18"/>
              </w:rPr>
              <w:t>2,000</w:t>
            </w:r>
            <w:r>
              <w:rPr>
                <w:rFonts w:ascii="宋体" w:hAnsi="宋体" w:cs="宋体" w:eastAsia="宋体" w:hint="default"/>
                <w:spacing w:val="-12"/>
                <w:sz w:val="18"/>
                <w:szCs w:val="18"/>
              </w:rPr>
              <w:t> </w:t>
            </w:r>
            <w:r>
              <w:rPr>
                <w:rFonts w:ascii="宋体" w:hAnsi="宋体" w:cs="宋体" w:eastAsia="宋体" w:hint="default"/>
                <w:sz w:val="18"/>
                <w:szCs w:val="18"/>
              </w:rPr>
              <w:t>万股普通股股票，发行价格为</w:t>
            </w:r>
            <w:r>
              <w:rPr>
                <w:rFonts w:ascii="宋体" w:hAnsi="宋体" w:cs="宋体" w:eastAsia="宋体" w:hint="default"/>
                <w:spacing w:val="-51"/>
                <w:sz w:val="18"/>
                <w:szCs w:val="18"/>
              </w:rPr>
              <w:t> </w:t>
            </w:r>
            <w:r>
              <w:rPr>
                <w:rFonts w:ascii="宋体" w:hAnsi="宋体" w:cs="宋体" w:eastAsia="宋体" w:hint="default"/>
                <w:sz w:val="18"/>
                <w:szCs w:val="18"/>
              </w:rPr>
              <w:t>20.50</w:t>
            </w:r>
            <w:r>
              <w:rPr>
                <w:rFonts w:ascii="宋体" w:hAnsi="宋体" w:cs="宋体" w:eastAsia="宋体" w:hint="default"/>
                <w:spacing w:val="-12"/>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股，募集资金总额为人民币</w:t>
            </w:r>
            <w:r>
              <w:rPr>
                <w:rFonts w:ascii="宋体" w:hAnsi="宋体" w:cs="宋体" w:eastAsia="宋体" w:hint="default"/>
                <w:spacing w:val="-51"/>
                <w:sz w:val="18"/>
                <w:szCs w:val="18"/>
              </w:rPr>
              <w:t> </w:t>
            </w:r>
            <w:r>
              <w:rPr>
                <w:rFonts w:ascii="宋体" w:hAnsi="宋体" w:cs="宋体" w:eastAsia="宋体" w:hint="default"/>
                <w:sz w:val="18"/>
                <w:szCs w:val="18"/>
              </w:rPr>
              <w:t>410,000,0000</w:t>
            </w:r>
          </w:p>
          <w:p>
            <w:pPr>
              <w:pStyle w:val="TableParagraph"/>
              <w:spacing w:line="357" w:lineRule="auto" w:before="115"/>
              <w:ind w:left="384" w:right="23" w:hanging="361"/>
              <w:jc w:val="left"/>
              <w:rPr>
                <w:rFonts w:ascii="宋体" w:hAnsi="宋体" w:cs="宋体" w:eastAsia="宋体" w:hint="default"/>
                <w:sz w:val="18"/>
                <w:szCs w:val="18"/>
              </w:rPr>
            </w:pPr>
            <w:r>
              <w:rPr>
                <w:rFonts w:ascii="宋体" w:hAnsi="宋体" w:cs="宋体" w:eastAsia="宋体" w:hint="default"/>
                <w:sz w:val="18"/>
                <w:szCs w:val="18"/>
              </w:rPr>
              <w:t>元，扣除相关费用后，实际募集资金净额为</w:t>
            </w:r>
            <w:r>
              <w:rPr>
                <w:rFonts w:ascii="宋体" w:hAnsi="宋体" w:cs="宋体" w:eastAsia="宋体" w:hint="default"/>
                <w:spacing w:val="-45"/>
                <w:sz w:val="18"/>
                <w:szCs w:val="18"/>
              </w:rPr>
              <w:t> </w:t>
            </w:r>
            <w:r>
              <w:rPr>
                <w:rFonts w:ascii="宋体" w:hAnsi="宋体" w:cs="宋体" w:eastAsia="宋体" w:hint="default"/>
                <w:sz w:val="18"/>
                <w:szCs w:val="18"/>
              </w:rPr>
              <w:t>389,549,000</w:t>
            </w:r>
            <w:r>
              <w:rPr>
                <w:rFonts w:ascii="宋体" w:hAnsi="宋体" w:cs="宋体" w:eastAsia="宋体" w:hint="default"/>
                <w:spacing w:val="-44"/>
                <w:sz w:val="18"/>
                <w:szCs w:val="18"/>
              </w:rPr>
              <w:t> </w:t>
            </w:r>
            <w:r>
              <w:rPr>
                <w:rFonts w:ascii="宋体" w:hAnsi="宋体" w:cs="宋体" w:eastAsia="宋体" w:hint="default"/>
                <w:sz w:val="18"/>
                <w:szCs w:val="18"/>
              </w:rPr>
              <w:t>元，超募资金为</w:t>
            </w:r>
            <w:r>
              <w:rPr>
                <w:rFonts w:ascii="宋体" w:hAnsi="宋体" w:cs="宋体" w:eastAsia="宋体" w:hint="default"/>
                <w:spacing w:val="-46"/>
                <w:sz w:val="18"/>
                <w:szCs w:val="18"/>
              </w:rPr>
              <w:t> </w:t>
            </w:r>
            <w:r>
              <w:rPr>
                <w:rFonts w:ascii="宋体" w:hAnsi="宋体" w:cs="宋体" w:eastAsia="宋体" w:hint="default"/>
                <w:sz w:val="18"/>
                <w:szCs w:val="18"/>
              </w:rPr>
              <w:t>233,609,000</w:t>
            </w:r>
            <w:r>
              <w:rPr>
                <w:rFonts w:ascii="宋体" w:hAnsi="宋体" w:cs="宋体" w:eastAsia="宋体" w:hint="default"/>
                <w:spacing w:val="-44"/>
                <w:sz w:val="18"/>
                <w:szCs w:val="18"/>
              </w:rPr>
              <w:t> </w:t>
            </w:r>
            <w:r>
              <w:rPr>
                <w:rFonts w:ascii="宋体" w:hAnsi="宋体" w:cs="宋体" w:eastAsia="宋体" w:hint="default"/>
                <w:spacing w:val="-3"/>
                <w:sz w:val="18"/>
                <w:szCs w:val="18"/>
              </w:rPr>
              <w:t>元。 </w:t>
            </w:r>
            <w:r>
              <w:rPr>
                <w:rFonts w:ascii="宋体" w:hAnsi="宋体" w:cs="宋体" w:eastAsia="宋体" w:hint="default"/>
                <w:spacing w:val="-1"/>
                <w:sz w:val="18"/>
                <w:szCs w:val="18"/>
              </w:rPr>
              <w:t>募集资金用于“新建建筑智能化业务营运资金”、“基于城市能源监测管理平台的建筑节能服务项目”及“公司研发</w:t>
            </w:r>
          </w:p>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中心建设项目”，总投资</w:t>
            </w:r>
            <w:r>
              <w:rPr>
                <w:rFonts w:ascii="宋体" w:hAnsi="宋体" w:cs="宋体" w:eastAsia="宋体" w:hint="default"/>
                <w:spacing w:val="-48"/>
                <w:sz w:val="18"/>
                <w:szCs w:val="18"/>
              </w:rPr>
              <w:t> </w:t>
            </w:r>
            <w:r>
              <w:rPr>
                <w:rFonts w:ascii="宋体" w:hAnsi="宋体" w:cs="宋体" w:eastAsia="宋体" w:hint="default"/>
                <w:sz w:val="18"/>
                <w:szCs w:val="18"/>
              </w:rPr>
              <w:t>155,940,000</w:t>
            </w:r>
            <w:r>
              <w:rPr>
                <w:rFonts w:ascii="宋体" w:hAnsi="宋体" w:cs="宋体" w:eastAsia="宋体" w:hint="default"/>
                <w:spacing w:val="-45"/>
                <w:sz w:val="18"/>
                <w:szCs w:val="18"/>
              </w:rPr>
              <w:t> </w:t>
            </w:r>
            <w:r>
              <w:rPr>
                <w:rFonts w:ascii="宋体" w:hAnsi="宋体" w:cs="宋体" w:eastAsia="宋体" w:hint="default"/>
                <w:sz w:val="18"/>
                <w:szCs w:val="18"/>
              </w:rPr>
              <w:t>元。</w:t>
            </w:r>
          </w:p>
          <w:p>
            <w:pPr>
              <w:pStyle w:val="TableParagraph"/>
              <w:spacing w:line="240" w:lineRule="auto" w:before="115"/>
              <w:ind w:left="384" w:right="0"/>
              <w:jc w:val="left"/>
              <w:rPr>
                <w:rFonts w:ascii="宋体" w:hAnsi="宋体" w:cs="宋体" w:eastAsia="宋体" w:hint="default"/>
                <w:sz w:val="18"/>
                <w:szCs w:val="18"/>
              </w:rPr>
            </w:pPr>
            <w:r>
              <w:rPr>
                <w:rFonts w:ascii="宋体" w:hAnsi="宋体" w:cs="宋体" w:eastAsia="宋体" w:hint="default"/>
                <w:sz w:val="18"/>
                <w:szCs w:val="18"/>
              </w:rPr>
              <w:t>截止至报告期末，公司共使用募集资金</w:t>
            </w:r>
            <w:r>
              <w:rPr>
                <w:rFonts w:ascii="宋体" w:hAnsi="宋体" w:cs="宋体" w:eastAsia="宋体" w:hint="default"/>
                <w:spacing w:val="-48"/>
                <w:sz w:val="18"/>
                <w:szCs w:val="18"/>
              </w:rPr>
              <w:t> </w:t>
            </w:r>
            <w:r>
              <w:rPr>
                <w:rFonts w:ascii="宋体" w:hAnsi="宋体" w:cs="宋体" w:eastAsia="宋体" w:hint="default"/>
                <w:sz w:val="18"/>
                <w:szCs w:val="18"/>
              </w:rPr>
              <w:t>355,934,797.22</w:t>
            </w:r>
            <w:r>
              <w:rPr>
                <w:rFonts w:ascii="宋体" w:hAnsi="宋体" w:cs="宋体" w:eastAsia="宋体" w:hint="default"/>
                <w:spacing w:val="-46"/>
                <w:sz w:val="18"/>
                <w:szCs w:val="18"/>
              </w:rPr>
              <w:t> </w:t>
            </w:r>
            <w:r>
              <w:rPr>
                <w:rFonts w:ascii="宋体" w:hAnsi="宋体" w:cs="宋体" w:eastAsia="宋体" w:hint="default"/>
                <w:sz w:val="18"/>
                <w:szCs w:val="18"/>
              </w:rPr>
              <w:t>元，募集资金专户余额为</w:t>
            </w:r>
            <w:r>
              <w:rPr>
                <w:rFonts w:ascii="宋体" w:hAnsi="宋体" w:cs="宋体" w:eastAsia="宋体" w:hint="default"/>
                <w:spacing w:val="-49"/>
                <w:sz w:val="18"/>
                <w:szCs w:val="18"/>
              </w:rPr>
              <w:t> </w:t>
            </w:r>
            <w:r>
              <w:rPr>
                <w:rFonts w:ascii="宋体" w:hAnsi="宋体" w:cs="宋体" w:eastAsia="宋体" w:hint="default"/>
                <w:sz w:val="18"/>
                <w:szCs w:val="18"/>
              </w:rPr>
              <w:t>44,017,788.31</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82"/>
        <w:gridCol w:w="701"/>
        <w:gridCol w:w="953"/>
        <w:gridCol w:w="854"/>
        <w:gridCol w:w="898"/>
        <w:gridCol w:w="1004"/>
        <w:gridCol w:w="557"/>
        <w:gridCol w:w="922"/>
        <w:gridCol w:w="639"/>
        <w:gridCol w:w="780"/>
        <w:gridCol w:w="780"/>
      </w:tblGrid>
      <w:tr>
        <w:trPr>
          <w:trHeight w:val="2462"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36"/>
              <w:ind w:left="196" w:right="105" w:hanging="90"/>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57" w:lineRule="auto"/>
              <w:ind w:left="28" w:right="29" w:firstLine="45"/>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57" w:lineRule="auto"/>
              <w:ind w:left="110" w:right="111"/>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57" w:lineRule="auto"/>
              <w:ind w:left="62" w:right="60"/>
              <w:jc w:val="center"/>
              <w:rPr>
                <w:rFonts w:ascii="宋体" w:hAnsi="宋体" w:cs="宋体" w:eastAsia="宋体" w:hint="default"/>
                <w:sz w:val="18"/>
                <w:szCs w:val="18"/>
              </w:rPr>
            </w:pPr>
            <w:r>
              <w:rPr>
                <w:rFonts w:ascii="宋体" w:hAnsi="宋体" w:cs="宋体" w:eastAsia="宋体" w:hint="default"/>
                <w:sz w:val="18"/>
                <w:szCs w:val="18"/>
              </w:rPr>
              <w:t>调整后投 资总额 </w:t>
            </w:r>
            <w:r>
              <w:rPr>
                <w:rFonts w:ascii="宋体" w:hAnsi="宋体" w:cs="宋体" w:eastAsia="宋体" w:hint="default"/>
                <w:sz w:val="18"/>
                <w:szCs w:val="18"/>
              </w:rPr>
              <w:t>(1)</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36"/>
              <w:ind w:left="83" w:right="8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57" w:lineRule="auto"/>
              <w:ind w:left="47" w:right="45"/>
              <w:jc w:val="center"/>
              <w:rPr>
                <w:rFonts w:ascii="宋体" w:hAnsi="宋体" w:cs="宋体" w:eastAsia="宋体" w:hint="default"/>
                <w:sz w:val="18"/>
                <w:szCs w:val="18"/>
              </w:rPr>
            </w:pPr>
            <w:r>
              <w:rPr>
                <w:rFonts w:ascii="宋体" w:hAnsi="宋体" w:cs="宋体" w:eastAsia="宋体" w:hint="default"/>
                <w:sz w:val="18"/>
                <w:szCs w:val="18"/>
              </w:rPr>
              <w:t>截至期末累 计投入金额 </w:t>
            </w:r>
            <w:r>
              <w:rPr>
                <w:rFonts w:ascii="宋体" w:hAnsi="宋体" w:cs="宋体" w:eastAsia="宋体" w:hint="default"/>
                <w:sz w:val="18"/>
                <w:szCs w:val="18"/>
              </w:rPr>
              <w:t>(2)</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96" w:right="0"/>
              <w:jc w:val="both"/>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357" w:lineRule="auto" w:before="115"/>
              <w:ind w:left="50" w:right="42" w:firstLine="45"/>
              <w:jc w:val="both"/>
              <w:rPr>
                <w:rFonts w:ascii="宋体" w:hAnsi="宋体" w:cs="宋体" w:eastAsia="宋体" w:hint="default"/>
                <w:sz w:val="18"/>
                <w:szCs w:val="18"/>
              </w:rPr>
            </w:pPr>
            <w:r>
              <w:rPr>
                <w:rFonts w:ascii="宋体" w:hAnsi="宋体" w:cs="宋体" w:eastAsia="宋体" w:hint="default"/>
                <w:sz w:val="18"/>
                <w:szCs w:val="18"/>
              </w:rPr>
              <w:t>期末 投资 进度 </w:t>
            </w:r>
            <w:r>
              <w:rPr>
                <w:rFonts w:ascii="宋体" w:hAnsi="宋体" w:cs="宋体" w:eastAsia="宋体" w:hint="default"/>
                <w:sz w:val="18"/>
                <w:szCs w:val="18"/>
              </w:rPr>
              <w:t>(%)(3</w:t>
            </w:r>
          </w:p>
          <w:p>
            <w:pPr>
              <w:pStyle w:val="TableParagraph"/>
              <w:spacing w:line="357" w:lineRule="auto" w:before="26"/>
              <w:ind w:left="50" w:right="42" w:firstLine="88"/>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18"/>
                <w:szCs w:val="18"/>
              </w:rPr>
              <w:t>(2)/(</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57" w:lineRule="auto"/>
              <w:ind w:left="95" w:right="95"/>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57" w:lineRule="auto"/>
              <w:ind w:left="43" w:right="4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36"/>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57" w:lineRule="auto"/>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bl>
    <w:p>
      <w:pPr>
        <w:spacing w:after="0" w:line="357" w:lineRule="auto"/>
        <w:jc w:val="center"/>
        <w:rPr>
          <w:rFonts w:ascii="宋体" w:hAnsi="宋体" w:cs="宋体" w:eastAsia="宋体" w:hint="default"/>
          <w:sz w:val="18"/>
          <w:szCs w:val="18"/>
        </w:rPr>
        <w:sectPr>
          <w:pgSz w:w="11910" w:h="16840"/>
          <w:pgMar w:header="877" w:footer="1340" w:top="1100" w:bottom="1540" w:left="980" w:right="0"/>
        </w:sectPr>
      </w:pPr>
    </w:p>
    <w:p>
      <w:pPr>
        <w:spacing w:line="240" w:lineRule="auto" w:before="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1472"/>
        <w:gridCol w:w="700"/>
        <w:gridCol w:w="938"/>
        <w:gridCol w:w="870"/>
        <w:gridCol w:w="898"/>
        <w:gridCol w:w="1004"/>
        <w:gridCol w:w="616"/>
        <w:gridCol w:w="862"/>
        <w:gridCol w:w="639"/>
        <w:gridCol w:w="780"/>
        <w:gridCol w:w="780"/>
      </w:tblGrid>
      <w:tr>
        <w:trPr>
          <w:trHeight w:val="360"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4" w:lineRule="exact"/>
              <w:ind w:left="184" w:right="0"/>
              <w:jc w:val="left"/>
              <w:rPr>
                <w:rFonts w:ascii="宋体" w:hAnsi="宋体" w:cs="宋体" w:eastAsia="宋体" w:hint="default"/>
                <w:sz w:val="18"/>
                <w:szCs w:val="18"/>
              </w:rPr>
            </w:pPr>
            <w:r>
              <w:rPr>
                <w:rFonts w:ascii="宋体"/>
                <w:sz w:val="18"/>
              </w:rPr>
              <w:t>1)</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955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4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9"/>
              <w:ind w:left="12" w:right="188"/>
              <w:jc w:val="left"/>
              <w:rPr>
                <w:rFonts w:ascii="宋体" w:hAnsi="宋体" w:cs="宋体" w:eastAsia="宋体" w:hint="default"/>
                <w:sz w:val="18"/>
                <w:szCs w:val="18"/>
              </w:rPr>
            </w:pPr>
            <w:r>
              <w:rPr>
                <w:rFonts w:ascii="宋体" w:hAnsi="宋体" w:cs="宋体" w:eastAsia="宋体" w:hint="default"/>
                <w:sz w:val="18"/>
                <w:szCs w:val="18"/>
              </w:rPr>
              <w:t>新增建筑智能化 业务营运资金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8,100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3,094.73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8,092.94</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9"/>
              <w:jc w:val="right"/>
              <w:rPr>
                <w:rFonts w:ascii="宋体" w:hAnsi="宋体" w:cs="宋体" w:eastAsia="宋体" w:hint="default"/>
                <w:sz w:val="18"/>
                <w:szCs w:val="18"/>
              </w:rPr>
            </w:pPr>
            <w:r>
              <w:rPr>
                <w:rFonts w:ascii="宋体"/>
                <w:sz w:val="18"/>
              </w:rPr>
              <w:t>99.91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06</w:t>
            </w:r>
          </w:p>
          <w:p>
            <w:pPr>
              <w:pStyle w:val="TableParagraph"/>
              <w:spacing w:line="240" w:lineRule="auto" w:before="74"/>
              <w:ind w:left="12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4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9"/>
              <w:ind w:left="12" w:right="188"/>
              <w:jc w:val="both"/>
              <w:rPr>
                <w:rFonts w:ascii="宋体" w:hAnsi="宋体" w:cs="宋体" w:eastAsia="宋体" w:hint="default"/>
                <w:sz w:val="18"/>
                <w:szCs w:val="18"/>
              </w:rPr>
            </w:pPr>
            <w:r>
              <w:rPr>
                <w:rFonts w:ascii="宋体" w:hAnsi="宋体" w:cs="宋体" w:eastAsia="宋体" w:hint="default"/>
                <w:sz w:val="18"/>
                <w:szCs w:val="18"/>
              </w:rPr>
              <w:t>基于城市能源监 测管理平台的建 筑节能服务项目</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5,956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5,956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1,821.90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3,062.25</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宋体" w:hAnsi="宋体" w:cs="宋体" w:eastAsia="宋体" w:hint="default"/>
                <w:sz w:val="18"/>
                <w:szCs w:val="18"/>
              </w:rPr>
            </w:pPr>
            <w:r>
              <w:rPr>
                <w:rFonts w:ascii="宋体"/>
                <w:sz w:val="18"/>
              </w:rPr>
              <w:t>51.41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06</w:t>
            </w:r>
          </w:p>
          <w:p>
            <w:pPr>
              <w:pStyle w:val="TableParagraph"/>
              <w:spacing w:line="240" w:lineRule="auto" w:before="76"/>
              <w:ind w:left="12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0" w:right="0"/>
              <w:jc w:val="center"/>
              <w:rPr>
                <w:rFonts w:ascii="宋体" w:hAnsi="宋体" w:cs="宋体" w:eastAsia="宋体" w:hint="default"/>
                <w:sz w:val="18"/>
                <w:szCs w:val="18"/>
              </w:rPr>
            </w:pPr>
            <w:r>
              <w:rPr>
                <w:rFonts w:ascii="宋体"/>
                <w:sz w:val="18"/>
              </w:rPr>
              <w:t>406.07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4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9"/>
              <w:ind w:left="12" w:right="188"/>
              <w:jc w:val="left"/>
              <w:rPr>
                <w:rFonts w:ascii="宋体" w:hAnsi="宋体" w:cs="宋体" w:eastAsia="宋体" w:hint="default"/>
                <w:sz w:val="18"/>
                <w:szCs w:val="18"/>
              </w:rPr>
            </w:pPr>
            <w:r>
              <w:rPr>
                <w:rFonts w:ascii="宋体" w:hAnsi="宋体" w:cs="宋体" w:eastAsia="宋体" w:hint="default"/>
                <w:sz w:val="18"/>
                <w:szCs w:val="18"/>
              </w:rPr>
              <w:t>公司研发中心建 设项目</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3,638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1,538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313.37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1,077.39</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9"/>
              <w:jc w:val="right"/>
              <w:rPr>
                <w:rFonts w:ascii="宋体" w:hAnsi="宋体" w:cs="宋体" w:eastAsia="宋体" w:hint="default"/>
                <w:sz w:val="18"/>
                <w:szCs w:val="18"/>
              </w:rPr>
            </w:pPr>
            <w:r>
              <w:rPr>
                <w:rFonts w:ascii="宋体"/>
                <w:sz w:val="18"/>
              </w:rPr>
              <w:t>70.05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03</w:t>
            </w:r>
          </w:p>
          <w:p>
            <w:pPr>
              <w:pStyle w:val="TableParagraph"/>
              <w:spacing w:line="240" w:lineRule="auto" w:before="74"/>
              <w:ind w:left="12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82" w:hRule="exact"/>
        </w:trPr>
        <w:tc>
          <w:tcPr>
            <w:tcW w:w="1472"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9"/>
              <w:ind w:left="12" w:right="368"/>
              <w:jc w:val="left"/>
              <w:rPr>
                <w:rFonts w:ascii="宋体" w:hAnsi="宋体" w:cs="宋体" w:eastAsia="宋体" w:hint="default"/>
                <w:sz w:val="18"/>
                <w:szCs w:val="18"/>
              </w:rPr>
            </w:pPr>
            <w:r>
              <w:rPr>
                <w:rFonts w:ascii="宋体" w:hAnsi="宋体" w:cs="宋体" w:eastAsia="宋体" w:hint="default"/>
                <w:sz w:val="18"/>
                <w:szCs w:val="18"/>
              </w:rPr>
              <w:t>承诺投资项目 小计</w:t>
            </w:r>
          </w:p>
        </w:tc>
        <w:tc>
          <w:tcPr>
            <w:tcW w:w="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8" w:type="dxa"/>
            <w:vMerge w:val="restart"/>
            <w:tcBorders>
              <w:top w:val="single" w:sz="4" w:space="0" w:color="000000"/>
              <w:left w:val="single" w:sz="9" w:space="0" w:color="D2D2D2"/>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56" w:right="0"/>
              <w:jc w:val="left"/>
              <w:rPr>
                <w:rFonts w:ascii="宋体" w:hAnsi="宋体" w:cs="宋体" w:eastAsia="宋体" w:hint="default"/>
                <w:sz w:val="18"/>
                <w:szCs w:val="18"/>
              </w:rPr>
            </w:pPr>
            <w:r>
              <w:rPr>
                <w:rFonts w:ascii="宋体"/>
                <w:sz w:val="18"/>
              </w:rPr>
              <w:t>15,594</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98" w:right="0"/>
              <w:jc w:val="left"/>
              <w:rPr>
                <w:rFonts w:ascii="宋体" w:hAnsi="宋体" w:cs="宋体" w:eastAsia="宋体" w:hint="default"/>
                <w:sz w:val="18"/>
                <w:szCs w:val="18"/>
              </w:rPr>
            </w:pPr>
            <w:r>
              <w:rPr>
                <w:rFonts w:ascii="宋体"/>
                <w:sz w:val="18"/>
              </w:rPr>
              <w:t>15,594</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15" w:right="0"/>
              <w:jc w:val="left"/>
              <w:rPr>
                <w:rFonts w:ascii="宋体" w:hAnsi="宋体" w:cs="宋体" w:eastAsia="宋体" w:hint="default"/>
                <w:sz w:val="18"/>
                <w:szCs w:val="18"/>
              </w:rPr>
            </w:pPr>
            <w:r>
              <w:rPr>
                <w:rFonts w:ascii="宋体"/>
                <w:sz w:val="18"/>
              </w:rPr>
              <w:t>5,230</w:t>
            </w:r>
          </w:p>
        </w:tc>
        <w:tc>
          <w:tcPr>
            <w:tcW w:w="1004" w:type="dxa"/>
            <w:vMerge w:val="restart"/>
            <w:tcBorders>
              <w:top w:val="single" w:sz="4" w:space="0" w:color="000000"/>
              <w:left w:val="single" w:sz="4" w:space="0" w:color="000000"/>
              <w:right w:val="single" w:sz="10" w:space="0" w:color="D2D2D2"/>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60" w:right="0"/>
              <w:jc w:val="left"/>
              <w:rPr>
                <w:rFonts w:ascii="宋体" w:hAnsi="宋体" w:cs="宋体" w:eastAsia="宋体" w:hint="default"/>
                <w:sz w:val="18"/>
                <w:szCs w:val="18"/>
              </w:rPr>
            </w:pPr>
            <w:r>
              <w:rPr>
                <w:rFonts w:ascii="宋体"/>
                <w:sz w:val="18"/>
              </w:rPr>
              <w:t>12,232.58</w:t>
            </w:r>
          </w:p>
        </w:tc>
        <w:tc>
          <w:tcPr>
            <w:tcW w:w="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39" w:type="dxa"/>
            <w:vMerge w:val="restart"/>
            <w:tcBorders>
              <w:top w:val="single" w:sz="4" w:space="0" w:color="000000"/>
              <w:left w:val="single" w:sz="10" w:space="0" w:color="D2D2D2"/>
              <w:right w:val="single" w:sz="10" w:space="0" w:color="D2D2D2"/>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7" w:right="0"/>
              <w:jc w:val="left"/>
              <w:rPr>
                <w:rFonts w:ascii="宋体" w:hAnsi="宋体" w:cs="宋体" w:eastAsia="宋体" w:hint="default"/>
                <w:sz w:val="18"/>
                <w:szCs w:val="18"/>
              </w:rPr>
            </w:pPr>
            <w:r>
              <w:rPr>
                <w:rFonts w:ascii="宋体"/>
                <w:sz w:val="18"/>
              </w:rPr>
              <w:t>406.07</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472" w:type="dxa"/>
            <w:vMerge/>
            <w:tcBorders>
              <w:left w:val="single" w:sz="4" w:space="0" w:color="000000"/>
              <w:right w:val="single" w:sz="4" w:space="0" w:color="000000"/>
            </w:tcBorders>
            <w:shd w:val="clear" w:color="auto" w:fill="D2D2D2"/>
          </w:tcPr>
          <w:p>
            <w:pPr/>
          </w:p>
        </w:tc>
        <w:tc>
          <w:tcPr>
            <w:tcW w:w="7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938"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1004" w:type="dxa"/>
            <w:vMerge/>
            <w:tcBorders>
              <w:left w:val="single" w:sz="4" w:space="0" w:color="000000"/>
              <w:right w:val="single" w:sz="10" w:space="0" w:color="D2D2D2"/>
            </w:tcBorders>
          </w:tcPr>
          <w:p>
            <w:pPr/>
          </w:p>
        </w:tc>
        <w:tc>
          <w:tcPr>
            <w:tcW w:w="6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230" w:right="0"/>
              <w:jc w:val="left"/>
              <w:rPr>
                <w:rFonts w:ascii="宋体" w:hAnsi="宋体" w:cs="宋体" w:eastAsia="宋体" w:hint="default"/>
                <w:sz w:val="18"/>
                <w:szCs w:val="18"/>
              </w:rPr>
            </w:pPr>
            <w:r>
              <w:rPr>
                <w:rFonts w:ascii="宋体"/>
                <w:sz w:val="18"/>
              </w:rPr>
              <w:t>--</w:t>
            </w:r>
          </w:p>
        </w:tc>
        <w:tc>
          <w:tcPr>
            <w:tcW w:w="8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32" w:right="0"/>
              <w:jc w:val="center"/>
              <w:rPr>
                <w:rFonts w:ascii="宋体" w:hAnsi="宋体" w:cs="宋体" w:eastAsia="宋体" w:hint="default"/>
                <w:sz w:val="18"/>
                <w:szCs w:val="18"/>
              </w:rPr>
            </w:pPr>
            <w:r>
              <w:rPr>
                <w:rFonts w:ascii="宋体"/>
                <w:sz w:val="18"/>
              </w:rPr>
              <w:t>--</w:t>
            </w:r>
          </w:p>
        </w:tc>
        <w:tc>
          <w:tcPr>
            <w:tcW w:w="639"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sz w:val="18"/>
              </w:rPr>
              <w:t>--</w:t>
            </w:r>
          </w:p>
        </w:tc>
      </w:tr>
      <w:tr>
        <w:trPr>
          <w:trHeight w:val="185" w:hRule="exact"/>
        </w:trPr>
        <w:tc>
          <w:tcPr>
            <w:tcW w:w="1472" w:type="dxa"/>
            <w:vMerge/>
            <w:tcBorders>
              <w:left w:val="single" w:sz="4" w:space="0" w:color="000000"/>
              <w:bottom w:val="single" w:sz="4" w:space="0" w:color="000000"/>
              <w:right w:val="single" w:sz="4" w:space="0" w:color="000000"/>
            </w:tcBorders>
            <w:shd w:val="clear" w:color="auto" w:fill="D2D2D2"/>
          </w:tcPr>
          <w:p>
            <w:pPr/>
          </w:p>
        </w:tc>
        <w:tc>
          <w:tcPr>
            <w:tcW w:w="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8" w:type="dxa"/>
            <w:vMerge/>
            <w:tcBorders>
              <w:left w:val="single" w:sz="9" w:space="0" w:color="D2D2D2"/>
              <w:bottom w:val="single" w:sz="8" w:space="0" w:color="000000"/>
              <w:right w:val="single" w:sz="4" w:space="0" w:color="000000"/>
            </w:tcBorders>
          </w:tcPr>
          <w:p>
            <w:pPr/>
          </w:p>
        </w:tc>
        <w:tc>
          <w:tcPr>
            <w:tcW w:w="870" w:type="dxa"/>
            <w:vMerge/>
            <w:tcBorders>
              <w:left w:val="single" w:sz="4" w:space="0" w:color="000000"/>
              <w:bottom w:val="single" w:sz="8" w:space="0" w:color="000000"/>
              <w:right w:val="single" w:sz="4" w:space="0" w:color="000000"/>
            </w:tcBorders>
          </w:tcPr>
          <w:p>
            <w:pPr/>
          </w:p>
        </w:tc>
        <w:tc>
          <w:tcPr>
            <w:tcW w:w="898" w:type="dxa"/>
            <w:vMerge/>
            <w:tcBorders>
              <w:left w:val="single" w:sz="4" w:space="0" w:color="000000"/>
              <w:bottom w:val="single" w:sz="8" w:space="0" w:color="000000"/>
              <w:right w:val="single" w:sz="4" w:space="0" w:color="000000"/>
            </w:tcBorders>
          </w:tcPr>
          <w:p>
            <w:pPr/>
          </w:p>
        </w:tc>
        <w:tc>
          <w:tcPr>
            <w:tcW w:w="1004" w:type="dxa"/>
            <w:vMerge/>
            <w:tcBorders>
              <w:left w:val="single" w:sz="4" w:space="0" w:color="000000"/>
              <w:bottom w:val="single" w:sz="8" w:space="0" w:color="000000"/>
              <w:right w:val="single" w:sz="10" w:space="0" w:color="D2D2D2"/>
            </w:tcBorders>
          </w:tcPr>
          <w:p>
            <w:pPr/>
          </w:p>
        </w:tc>
        <w:tc>
          <w:tcPr>
            <w:tcW w:w="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39" w:type="dxa"/>
            <w:vMerge/>
            <w:tcBorders>
              <w:left w:val="single" w:sz="10" w:space="0" w:color="D2D2D2"/>
              <w:bottom w:val="single" w:sz="8"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8" w:hRule="exact"/>
        </w:trPr>
        <w:tc>
          <w:tcPr>
            <w:tcW w:w="955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340" w:hRule="exact"/>
        </w:trPr>
        <w:tc>
          <w:tcPr>
            <w:tcW w:w="14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63"/>
              <w:ind w:left="12" w:right="51"/>
              <w:jc w:val="left"/>
              <w:rPr>
                <w:rFonts w:ascii="宋体" w:hAnsi="宋体" w:cs="宋体" w:eastAsia="宋体" w:hint="default"/>
                <w:sz w:val="18"/>
                <w:szCs w:val="18"/>
              </w:rPr>
            </w:pPr>
            <w:r>
              <w:rPr>
                <w:rFonts w:ascii="宋体" w:hAnsi="宋体" w:cs="宋体" w:eastAsia="宋体" w:hint="default"/>
                <w:sz w:val="18"/>
                <w:szCs w:val="18"/>
              </w:rPr>
              <w:t>对外投资—收购 上海联欣科技发 展有限公司</w:t>
            </w:r>
            <w:r>
              <w:rPr>
                <w:rFonts w:ascii="宋体" w:hAnsi="宋体" w:cs="宋体" w:eastAsia="宋体" w:hint="default"/>
                <w:spacing w:val="-44"/>
                <w:sz w:val="18"/>
                <w:szCs w:val="18"/>
              </w:rPr>
              <w:t> </w:t>
            </w:r>
            <w:r>
              <w:rPr>
                <w:rFonts w:ascii="宋体" w:hAnsi="宋体" w:cs="宋体" w:eastAsia="宋体" w:hint="default"/>
                <w:sz w:val="18"/>
                <w:szCs w:val="18"/>
              </w:rPr>
              <w:t>51%</w:t>
            </w:r>
            <w:r>
              <w:rPr>
                <w:rFonts w:ascii="宋体" w:hAnsi="宋体" w:cs="宋体" w:eastAsia="宋体" w:hint="default"/>
                <w:sz w:val="18"/>
                <w:szCs w:val="18"/>
              </w:rPr>
              <w:t>股 权的部分首期款</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33"/>
              <w:jc w:val="right"/>
              <w:rPr>
                <w:rFonts w:ascii="宋体" w:hAnsi="宋体" w:cs="宋体" w:eastAsia="宋体" w:hint="default"/>
                <w:sz w:val="18"/>
                <w:szCs w:val="18"/>
              </w:rPr>
            </w:pPr>
            <w:r>
              <w:rPr>
                <w:rFonts w:ascii="宋体"/>
                <w:sz w:val="18"/>
              </w:rPr>
              <w:t>11,010.90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20"/>
              <w:jc w:val="right"/>
              <w:rPr>
                <w:rFonts w:ascii="宋体" w:hAnsi="宋体" w:cs="宋体" w:eastAsia="宋体" w:hint="default"/>
                <w:sz w:val="18"/>
                <w:szCs w:val="18"/>
              </w:rPr>
            </w:pPr>
            <w:r>
              <w:rPr>
                <w:rFonts w:ascii="宋体"/>
                <w:spacing w:val="-1"/>
                <w:sz w:val="18"/>
              </w:rPr>
              <w:t>11,010.90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8"/>
              <w:jc w:val="right"/>
              <w:rPr>
                <w:rFonts w:ascii="宋体" w:hAnsi="宋体" w:cs="宋体" w:eastAsia="宋体" w:hint="default"/>
                <w:sz w:val="18"/>
                <w:szCs w:val="18"/>
              </w:rPr>
            </w:pPr>
            <w:r>
              <w:rPr>
                <w:rFonts w:ascii="宋体"/>
                <w:spacing w:val="-1"/>
                <w:sz w:val="18"/>
              </w:rPr>
              <w:t>11,010.90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8"/>
              <w:jc w:val="right"/>
              <w:rPr>
                <w:rFonts w:ascii="宋体" w:hAnsi="宋体" w:cs="宋体" w:eastAsia="宋体" w:hint="default"/>
                <w:sz w:val="18"/>
                <w:szCs w:val="18"/>
              </w:rPr>
            </w:pPr>
            <w:r>
              <w:rPr>
                <w:rFonts w:ascii="宋体"/>
                <w:sz w:val="18"/>
              </w:rPr>
              <w:t>11,010.90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1"/>
              <w:jc w:val="right"/>
              <w:rPr>
                <w:rFonts w:ascii="宋体" w:hAnsi="宋体" w:cs="宋体" w:eastAsia="宋体" w:hint="default"/>
                <w:sz w:val="18"/>
                <w:szCs w:val="18"/>
              </w:rPr>
            </w:pPr>
            <w:r>
              <w:rPr>
                <w:rFonts w:ascii="宋体"/>
                <w:sz w:val="18"/>
              </w:rPr>
              <w:t>100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09</w:t>
            </w:r>
          </w:p>
          <w:p>
            <w:pPr>
              <w:pStyle w:val="TableParagraph"/>
              <w:spacing w:line="240" w:lineRule="auto" w:before="76"/>
              <w:ind w:left="12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1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4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62"/>
              <w:ind w:left="12" w:right="189"/>
              <w:jc w:val="both"/>
              <w:rPr>
                <w:rFonts w:ascii="宋体" w:hAnsi="宋体" w:cs="宋体" w:eastAsia="宋体" w:hint="default"/>
                <w:sz w:val="18"/>
                <w:szCs w:val="18"/>
              </w:rPr>
            </w:pPr>
            <w:r>
              <w:rPr>
                <w:rFonts w:ascii="宋体" w:hAnsi="宋体" w:cs="宋体" w:eastAsia="宋体" w:hint="default"/>
                <w:sz w:val="18"/>
                <w:szCs w:val="18"/>
              </w:rPr>
              <w:t>对外投资—收购 北京启迪德润能 源科技有限公司 </w:t>
            </w:r>
            <w:r>
              <w:rPr>
                <w:rFonts w:ascii="宋体" w:hAnsi="宋体" w:cs="宋体" w:eastAsia="宋体" w:hint="default"/>
                <w:sz w:val="18"/>
                <w:szCs w:val="18"/>
              </w:rPr>
              <w:t>45%</w:t>
            </w:r>
            <w:r>
              <w:rPr>
                <w:rFonts w:ascii="宋体" w:hAnsi="宋体" w:cs="宋体" w:eastAsia="宋体" w:hint="default"/>
                <w:sz w:val="18"/>
                <w:szCs w:val="18"/>
              </w:rPr>
              <w:t>股权</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33"/>
              <w:jc w:val="right"/>
              <w:rPr>
                <w:rFonts w:ascii="宋体" w:hAnsi="宋体" w:cs="宋体" w:eastAsia="宋体" w:hint="default"/>
                <w:sz w:val="18"/>
                <w:szCs w:val="18"/>
              </w:rPr>
            </w:pPr>
            <w:r>
              <w:rPr>
                <w:rFonts w:ascii="宋体"/>
                <w:sz w:val="18"/>
              </w:rPr>
              <w:t>1,350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1"/>
              <w:jc w:val="right"/>
              <w:rPr>
                <w:rFonts w:ascii="宋体" w:hAnsi="宋体" w:cs="宋体" w:eastAsia="宋体" w:hint="default"/>
                <w:sz w:val="18"/>
                <w:szCs w:val="18"/>
              </w:rPr>
            </w:pPr>
            <w:r>
              <w:rPr>
                <w:rFonts w:ascii="宋体"/>
                <w:sz w:val="18"/>
              </w:rPr>
              <w:t>1,350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8"/>
              <w:jc w:val="right"/>
              <w:rPr>
                <w:rFonts w:ascii="宋体" w:hAnsi="宋体" w:cs="宋体" w:eastAsia="宋体" w:hint="default"/>
                <w:sz w:val="18"/>
                <w:szCs w:val="18"/>
              </w:rPr>
            </w:pPr>
            <w:r>
              <w:rPr>
                <w:rFonts w:ascii="宋体"/>
                <w:sz w:val="18"/>
              </w:rPr>
              <w:t>1,350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8"/>
              <w:jc w:val="right"/>
              <w:rPr>
                <w:rFonts w:ascii="宋体" w:hAnsi="宋体" w:cs="宋体" w:eastAsia="宋体" w:hint="default"/>
                <w:sz w:val="18"/>
                <w:szCs w:val="18"/>
              </w:rPr>
            </w:pPr>
            <w:r>
              <w:rPr>
                <w:rFonts w:ascii="宋体"/>
                <w:sz w:val="18"/>
              </w:rPr>
              <w:t>1,350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1"/>
              <w:jc w:val="right"/>
              <w:rPr>
                <w:rFonts w:ascii="宋体" w:hAnsi="宋体" w:cs="宋体" w:eastAsia="宋体" w:hint="default"/>
                <w:sz w:val="18"/>
                <w:szCs w:val="18"/>
              </w:rPr>
            </w:pPr>
            <w:r>
              <w:rPr>
                <w:rFonts w:ascii="宋体"/>
                <w:sz w:val="18"/>
              </w:rPr>
              <w:t>100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07</w:t>
            </w:r>
          </w:p>
          <w:p>
            <w:pPr>
              <w:pStyle w:val="TableParagraph"/>
              <w:spacing w:line="240" w:lineRule="auto" w:before="74"/>
              <w:ind w:left="12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1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80" w:hRule="exact"/>
        </w:trPr>
        <w:tc>
          <w:tcPr>
            <w:tcW w:w="14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归还银行贷款</w:t>
            </w:r>
          </w:p>
          <w:p>
            <w:pPr>
              <w:pStyle w:val="TableParagraph"/>
              <w:spacing w:line="240" w:lineRule="auto" w:before="115"/>
              <w:ind w:left="1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8" w:type="dxa"/>
            <w:vMerge w:val="restart"/>
            <w:tcBorders>
              <w:top w:val="single" w:sz="4" w:space="0" w:color="000000"/>
              <w:left w:val="single" w:sz="9" w:space="0" w:color="D2D2D2"/>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35" w:right="0"/>
              <w:jc w:val="left"/>
              <w:rPr>
                <w:rFonts w:ascii="宋体" w:hAnsi="宋体" w:cs="宋体" w:eastAsia="宋体" w:hint="default"/>
                <w:sz w:val="18"/>
                <w:szCs w:val="18"/>
              </w:rPr>
            </w:pPr>
            <w:r>
              <w:rPr>
                <w:rFonts w:ascii="宋体"/>
                <w:sz w:val="18"/>
              </w:rPr>
              <w:t>2,000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384" w:right="0"/>
              <w:jc w:val="left"/>
              <w:rPr>
                <w:rFonts w:ascii="宋体" w:hAnsi="宋体" w:cs="宋体" w:eastAsia="宋体" w:hint="default"/>
                <w:sz w:val="18"/>
                <w:szCs w:val="18"/>
              </w:rPr>
            </w:pPr>
            <w:r>
              <w:rPr>
                <w:rFonts w:ascii="宋体"/>
                <w:sz w:val="18"/>
              </w:rPr>
              <w:t>2,000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521" w:right="0"/>
              <w:jc w:val="left"/>
              <w:rPr>
                <w:rFonts w:ascii="宋体" w:hAnsi="宋体" w:cs="宋体" w:eastAsia="宋体" w:hint="default"/>
                <w:sz w:val="18"/>
                <w:szCs w:val="18"/>
              </w:rPr>
            </w:pPr>
            <w:r>
              <w:rPr>
                <w:rFonts w:ascii="宋体"/>
                <w:sz w:val="18"/>
              </w:rPr>
              <w:t>2,000</w:t>
            </w:r>
          </w:p>
        </w:tc>
        <w:tc>
          <w:tcPr>
            <w:tcW w:w="616" w:type="dxa"/>
            <w:vMerge w:val="restart"/>
            <w:tcBorders>
              <w:top w:val="single" w:sz="4" w:space="0" w:color="000000"/>
              <w:left w:val="single" w:sz="4" w:space="0" w:color="000000"/>
              <w:right w:val="single" w:sz="10" w:space="0" w:color="D2D2D2"/>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343" w:right="-18"/>
              <w:jc w:val="left"/>
              <w:rPr>
                <w:rFonts w:ascii="宋体" w:hAnsi="宋体" w:cs="宋体" w:eastAsia="宋体" w:hint="default"/>
                <w:sz w:val="18"/>
                <w:szCs w:val="18"/>
              </w:rPr>
            </w:pPr>
            <w:r>
              <w:rPr>
                <w:rFonts w:ascii="宋体"/>
                <w:sz w:val="18"/>
              </w:rPr>
              <w:t>100</w:t>
            </w:r>
          </w:p>
        </w:tc>
        <w:tc>
          <w:tcPr>
            <w:tcW w:w="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472" w:type="dxa"/>
            <w:vMerge/>
            <w:tcBorders>
              <w:left w:val="single" w:sz="4" w:space="0" w:color="000000"/>
              <w:right w:val="single" w:sz="4" w:space="0" w:color="000000"/>
            </w:tcBorders>
            <w:shd w:val="clear" w:color="auto" w:fill="D2D2D2"/>
          </w:tcPr>
          <w:p>
            <w:pPr/>
          </w:p>
        </w:tc>
        <w:tc>
          <w:tcPr>
            <w:tcW w:w="7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938"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616" w:type="dxa"/>
            <w:vMerge/>
            <w:tcBorders>
              <w:left w:val="single" w:sz="4" w:space="0" w:color="000000"/>
              <w:right w:val="single" w:sz="10" w:space="0" w:color="D2D2D2"/>
            </w:tcBorders>
          </w:tcPr>
          <w:p>
            <w:pPr/>
          </w:p>
        </w:tc>
        <w:tc>
          <w:tcPr>
            <w:tcW w:w="8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32" w:right="0"/>
              <w:jc w:val="center"/>
              <w:rPr>
                <w:rFonts w:ascii="宋体" w:hAnsi="宋体" w:cs="宋体" w:eastAsia="宋体" w:hint="default"/>
                <w:sz w:val="18"/>
                <w:szCs w:val="18"/>
              </w:rPr>
            </w:pPr>
            <w:r>
              <w:rPr>
                <w:rFonts w:ascii="宋体"/>
                <w:sz w:val="18"/>
              </w:rPr>
              <w:t>--</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sz w:val="18"/>
              </w:rPr>
              <w:t>--</w:t>
            </w:r>
          </w:p>
        </w:tc>
      </w:tr>
      <w:tr>
        <w:trPr>
          <w:trHeight w:val="180" w:hRule="exact"/>
        </w:trPr>
        <w:tc>
          <w:tcPr>
            <w:tcW w:w="1472" w:type="dxa"/>
            <w:vMerge/>
            <w:tcBorders>
              <w:left w:val="single" w:sz="4" w:space="0" w:color="000000"/>
              <w:bottom w:val="single" w:sz="4" w:space="0" w:color="000000"/>
              <w:right w:val="single" w:sz="4" w:space="0" w:color="000000"/>
            </w:tcBorders>
            <w:shd w:val="clear" w:color="auto" w:fill="D2D2D2"/>
          </w:tcPr>
          <w:p>
            <w:pPr/>
          </w:p>
        </w:tc>
        <w:tc>
          <w:tcPr>
            <w:tcW w:w="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8"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616" w:type="dxa"/>
            <w:vMerge/>
            <w:tcBorders>
              <w:left w:val="single" w:sz="4" w:space="0" w:color="000000"/>
              <w:bottom w:val="single" w:sz="4" w:space="0" w:color="000000"/>
              <w:right w:val="single" w:sz="10" w:space="0" w:color="D2D2D2"/>
            </w:tcBorders>
          </w:tcPr>
          <w:p>
            <w:pPr/>
          </w:p>
        </w:tc>
        <w:tc>
          <w:tcPr>
            <w:tcW w:w="8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82" w:hRule="exact"/>
        </w:trPr>
        <w:tc>
          <w:tcPr>
            <w:tcW w:w="14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补充流动资金</w:t>
            </w:r>
          </w:p>
          <w:p>
            <w:pPr>
              <w:pStyle w:val="TableParagraph"/>
              <w:spacing w:line="240" w:lineRule="auto" w:before="117"/>
              <w:ind w:left="1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8" w:type="dxa"/>
            <w:vMerge w:val="restart"/>
            <w:tcBorders>
              <w:top w:val="single" w:sz="4" w:space="0" w:color="000000"/>
              <w:left w:val="single" w:sz="9" w:space="0" w:color="D2D2D2"/>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35" w:right="0"/>
              <w:jc w:val="left"/>
              <w:rPr>
                <w:rFonts w:ascii="宋体" w:hAnsi="宋体" w:cs="宋体" w:eastAsia="宋体" w:hint="default"/>
                <w:sz w:val="18"/>
                <w:szCs w:val="18"/>
              </w:rPr>
            </w:pPr>
            <w:r>
              <w:rPr>
                <w:rFonts w:ascii="宋体"/>
                <w:sz w:val="18"/>
              </w:rPr>
              <w:t>9,000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84" w:right="0"/>
              <w:jc w:val="left"/>
              <w:rPr>
                <w:rFonts w:ascii="宋体" w:hAnsi="宋体" w:cs="宋体" w:eastAsia="宋体" w:hint="default"/>
                <w:sz w:val="18"/>
                <w:szCs w:val="18"/>
              </w:rPr>
            </w:pPr>
            <w:r>
              <w:rPr>
                <w:rFonts w:ascii="宋体"/>
                <w:sz w:val="18"/>
              </w:rPr>
              <w:t>9,000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21" w:right="0"/>
              <w:jc w:val="left"/>
              <w:rPr>
                <w:rFonts w:ascii="宋体" w:hAnsi="宋体" w:cs="宋体" w:eastAsia="宋体" w:hint="default"/>
                <w:sz w:val="18"/>
                <w:szCs w:val="18"/>
              </w:rPr>
            </w:pPr>
            <w:r>
              <w:rPr>
                <w:rFonts w:ascii="宋体"/>
                <w:sz w:val="18"/>
              </w:rPr>
              <w:t>9,000</w:t>
            </w:r>
          </w:p>
        </w:tc>
        <w:tc>
          <w:tcPr>
            <w:tcW w:w="616" w:type="dxa"/>
            <w:vMerge w:val="restart"/>
            <w:tcBorders>
              <w:top w:val="single" w:sz="4" w:space="0" w:color="000000"/>
              <w:left w:val="single" w:sz="4" w:space="0" w:color="000000"/>
              <w:right w:val="single" w:sz="10" w:space="0" w:color="D2D2D2"/>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43" w:right="-18"/>
              <w:jc w:val="left"/>
              <w:rPr>
                <w:rFonts w:ascii="宋体" w:hAnsi="宋体" w:cs="宋体" w:eastAsia="宋体" w:hint="default"/>
                <w:sz w:val="18"/>
                <w:szCs w:val="18"/>
              </w:rPr>
            </w:pPr>
            <w:r>
              <w:rPr>
                <w:rFonts w:ascii="宋体"/>
                <w:sz w:val="18"/>
              </w:rPr>
              <w:t>100</w:t>
            </w:r>
          </w:p>
        </w:tc>
        <w:tc>
          <w:tcPr>
            <w:tcW w:w="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472" w:type="dxa"/>
            <w:vMerge/>
            <w:tcBorders>
              <w:left w:val="single" w:sz="4" w:space="0" w:color="000000"/>
              <w:right w:val="single" w:sz="4" w:space="0" w:color="000000"/>
            </w:tcBorders>
            <w:shd w:val="clear" w:color="auto" w:fill="D2D2D2"/>
          </w:tcPr>
          <w:p>
            <w:pPr/>
          </w:p>
        </w:tc>
        <w:tc>
          <w:tcPr>
            <w:tcW w:w="7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938"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616" w:type="dxa"/>
            <w:vMerge/>
            <w:tcBorders>
              <w:left w:val="single" w:sz="4" w:space="0" w:color="000000"/>
              <w:right w:val="single" w:sz="10" w:space="0" w:color="D2D2D2"/>
            </w:tcBorders>
          </w:tcPr>
          <w:p>
            <w:pPr/>
          </w:p>
        </w:tc>
        <w:tc>
          <w:tcPr>
            <w:tcW w:w="8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32" w:right="0"/>
              <w:jc w:val="center"/>
              <w:rPr>
                <w:rFonts w:ascii="宋体" w:hAnsi="宋体" w:cs="宋体" w:eastAsia="宋体" w:hint="default"/>
                <w:sz w:val="18"/>
                <w:szCs w:val="18"/>
              </w:rPr>
            </w:pPr>
            <w:r>
              <w:rPr>
                <w:rFonts w:ascii="宋体"/>
                <w:sz w:val="18"/>
              </w:rPr>
              <w:t>--</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sz w:val="18"/>
              </w:rPr>
              <w:t>--</w:t>
            </w:r>
          </w:p>
        </w:tc>
      </w:tr>
      <w:tr>
        <w:trPr>
          <w:trHeight w:val="180" w:hRule="exact"/>
        </w:trPr>
        <w:tc>
          <w:tcPr>
            <w:tcW w:w="1472" w:type="dxa"/>
            <w:vMerge/>
            <w:tcBorders>
              <w:left w:val="single" w:sz="4" w:space="0" w:color="000000"/>
              <w:bottom w:val="single" w:sz="4" w:space="0" w:color="000000"/>
              <w:right w:val="single" w:sz="4" w:space="0" w:color="000000"/>
            </w:tcBorders>
            <w:shd w:val="clear" w:color="auto" w:fill="D2D2D2"/>
          </w:tcPr>
          <w:p>
            <w:pPr/>
          </w:p>
        </w:tc>
        <w:tc>
          <w:tcPr>
            <w:tcW w:w="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8"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616" w:type="dxa"/>
            <w:vMerge/>
            <w:tcBorders>
              <w:left w:val="single" w:sz="4" w:space="0" w:color="000000"/>
              <w:bottom w:val="single" w:sz="4" w:space="0" w:color="000000"/>
              <w:right w:val="single" w:sz="10" w:space="0" w:color="D2D2D2"/>
            </w:tcBorders>
          </w:tcPr>
          <w:p>
            <w:pPr/>
          </w:p>
        </w:tc>
        <w:tc>
          <w:tcPr>
            <w:tcW w:w="8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82" w:hRule="exact"/>
        </w:trPr>
        <w:tc>
          <w:tcPr>
            <w:tcW w:w="1472"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9"/>
              <w:ind w:left="12" w:right="368"/>
              <w:jc w:val="left"/>
              <w:rPr>
                <w:rFonts w:ascii="宋体" w:hAnsi="宋体" w:cs="宋体" w:eastAsia="宋体" w:hint="default"/>
                <w:sz w:val="18"/>
                <w:szCs w:val="18"/>
              </w:rPr>
            </w:pPr>
            <w:r>
              <w:rPr>
                <w:rFonts w:ascii="宋体" w:hAnsi="宋体" w:cs="宋体" w:eastAsia="宋体" w:hint="default"/>
                <w:sz w:val="18"/>
                <w:szCs w:val="18"/>
              </w:rPr>
              <w:t>超募资金投向 小计</w:t>
            </w:r>
          </w:p>
        </w:tc>
        <w:tc>
          <w:tcPr>
            <w:tcW w:w="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8" w:type="dxa"/>
            <w:vMerge w:val="restart"/>
            <w:tcBorders>
              <w:top w:val="single" w:sz="4" w:space="0" w:color="000000"/>
              <w:left w:val="single" w:sz="9" w:space="0" w:color="D2D2D2"/>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8"/>
                <w:szCs w:val="18"/>
              </w:rPr>
            </w:pPr>
            <w:r>
              <w:rPr>
                <w:rFonts w:ascii="宋体"/>
                <w:sz w:val="18"/>
              </w:rPr>
              <w:t>23,360.90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sz w:val="18"/>
              </w:rPr>
              <w:t>23,360.90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5" w:right="0"/>
              <w:jc w:val="left"/>
              <w:rPr>
                <w:rFonts w:ascii="宋体" w:hAnsi="宋体" w:cs="宋体" w:eastAsia="宋体" w:hint="default"/>
                <w:sz w:val="18"/>
                <w:szCs w:val="18"/>
              </w:rPr>
            </w:pPr>
            <w:r>
              <w:rPr>
                <w:rFonts w:ascii="宋体"/>
                <w:sz w:val="18"/>
              </w:rPr>
              <w:t>12,360.90</w:t>
            </w:r>
          </w:p>
        </w:tc>
        <w:tc>
          <w:tcPr>
            <w:tcW w:w="1004" w:type="dxa"/>
            <w:vMerge w:val="restart"/>
            <w:tcBorders>
              <w:top w:val="single" w:sz="4" w:space="0" w:color="000000"/>
              <w:left w:val="single" w:sz="4" w:space="0" w:color="000000"/>
              <w:right w:val="single" w:sz="10" w:space="0" w:color="D2D2D2"/>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60" w:right="0"/>
              <w:jc w:val="left"/>
              <w:rPr>
                <w:rFonts w:ascii="宋体" w:hAnsi="宋体" w:cs="宋体" w:eastAsia="宋体" w:hint="default"/>
                <w:sz w:val="18"/>
                <w:szCs w:val="18"/>
              </w:rPr>
            </w:pPr>
            <w:r>
              <w:rPr>
                <w:rFonts w:ascii="宋体"/>
                <w:sz w:val="18"/>
              </w:rPr>
              <w:t>23,360.90</w:t>
            </w:r>
          </w:p>
        </w:tc>
        <w:tc>
          <w:tcPr>
            <w:tcW w:w="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39" w:type="dxa"/>
            <w:vMerge w:val="restart"/>
            <w:tcBorders>
              <w:top w:val="single" w:sz="4" w:space="0" w:color="000000"/>
              <w:left w:val="single" w:sz="10" w:space="0" w:color="D2D2D2"/>
              <w:right w:val="single" w:sz="10" w:space="0" w:color="D2D2D2"/>
            </w:tcBorders>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472" w:type="dxa"/>
            <w:vMerge/>
            <w:tcBorders>
              <w:left w:val="single" w:sz="4" w:space="0" w:color="000000"/>
              <w:right w:val="single" w:sz="4" w:space="0" w:color="000000"/>
            </w:tcBorders>
            <w:shd w:val="clear" w:color="auto" w:fill="D2D2D2"/>
          </w:tcPr>
          <w:p>
            <w:pPr/>
          </w:p>
        </w:tc>
        <w:tc>
          <w:tcPr>
            <w:tcW w:w="7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938"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1004" w:type="dxa"/>
            <w:vMerge/>
            <w:tcBorders>
              <w:left w:val="single" w:sz="4" w:space="0" w:color="000000"/>
              <w:right w:val="single" w:sz="10" w:space="0" w:color="D2D2D2"/>
            </w:tcBorders>
          </w:tcPr>
          <w:p>
            <w:pPr/>
          </w:p>
        </w:tc>
        <w:tc>
          <w:tcPr>
            <w:tcW w:w="6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230" w:right="0"/>
              <w:jc w:val="left"/>
              <w:rPr>
                <w:rFonts w:ascii="宋体" w:hAnsi="宋体" w:cs="宋体" w:eastAsia="宋体" w:hint="default"/>
                <w:sz w:val="18"/>
                <w:szCs w:val="18"/>
              </w:rPr>
            </w:pPr>
            <w:r>
              <w:rPr>
                <w:rFonts w:ascii="宋体"/>
                <w:sz w:val="18"/>
              </w:rPr>
              <w:t>--</w:t>
            </w:r>
          </w:p>
        </w:tc>
        <w:tc>
          <w:tcPr>
            <w:tcW w:w="8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32" w:right="0"/>
              <w:jc w:val="center"/>
              <w:rPr>
                <w:rFonts w:ascii="宋体" w:hAnsi="宋体" w:cs="宋体" w:eastAsia="宋体" w:hint="default"/>
                <w:sz w:val="18"/>
                <w:szCs w:val="18"/>
              </w:rPr>
            </w:pPr>
            <w:r>
              <w:rPr>
                <w:rFonts w:ascii="宋体"/>
                <w:sz w:val="18"/>
              </w:rPr>
              <w:t>--</w:t>
            </w:r>
          </w:p>
        </w:tc>
        <w:tc>
          <w:tcPr>
            <w:tcW w:w="639"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sz w:val="18"/>
              </w:rPr>
              <w:t>--</w:t>
            </w:r>
          </w:p>
        </w:tc>
      </w:tr>
      <w:tr>
        <w:trPr>
          <w:trHeight w:val="180" w:hRule="exact"/>
        </w:trPr>
        <w:tc>
          <w:tcPr>
            <w:tcW w:w="1472" w:type="dxa"/>
            <w:vMerge/>
            <w:tcBorders>
              <w:left w:val="single" w:sz="4" w:space="0" w:color="000000"/>
              <w:bottom w:val="single" w:sz="4" w:space="0" w:color="000000"/>
              <w:right w:val="single" w:sz="4" w:space="0" w:color="000000"/>
            </w:tcBorders>
            <w:shd w:val="clear" w:color="auto" w:fill="D2D2D2"/>
          </w:tcPr>
          <w:p>
            <w:pPr/>
          </w:p>
        </w:tc>
        <w:tc>
          <w:tcPr>
            <w:tcW w:w="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8"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10" w:space="0" w:color="D2D2D2"/>
            </w:tcBorders>
          </w:tcPr>
          <w:p>
            <w:pPr/>
          </w:p>
        </w:tc>
        <w:tc>
          <w:tcPr>
            <w:tcW w:w="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39"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sz w:val="18"/>
              </w:rPr>
              <w:t>--</w:t>
            </w:r>
          </w:p>
        </w:tc>
        <w:tc>
          <w:tcPr>
            <w:tcW w:w="9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2"/>
              <w:ind w:right="33"/>
              <w:jc w:val="right"/>
              <w:rPr>
                <w:rFonts w:ascii="宋体" w:hAnsi="宋体" w:cs="宋体" w:eastAsia="宋体" w:hint="default"/>
                <w:sz w:val="18"/>
                <w:szCs w:val="18"/>
              </w:rPr>
            </w:pPr>
            <w:r>
              <w:rPr>
                <w:rFonts w:ascii="宋体"/>
                <w:sz w:val="18"/>
              </w:rPr>
              <w:t>38,954.90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18"/>
                <w:szCs w:val="18"/>
              </w:rPr>
            </w:pPr>
            <w:r>
              <w:rPr>
                <w:rFonts w:ascii="宋体"/>
                <w:spacing w:val="-1"/>
                <w:sz w:val="18"/>
              </w:rPr>
              <w:t>38,954.90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宋体" w:hAnsi="宋体" w:cs="宋体" w:eastAsia="宋体" w:hint="default"/>
                <w:sz w:val="18"/>
                <w:szCs w:val="18"/>
              </w:rPr>
            </w:pPr>
            <w:r>
              <w:rPr>
                <w:rFonts w:ascii="宋体"/>
                <w:spacing w:val="-1"/>
                <w:sz w:val="18"/>
              </w:rPr>
              <w:t>17,590.90</w:t>
            </w:r>
          </w:p>
        </w:tc>
        <w:tc>
          <w:tcPr>
            <w:tcW w:w="1004"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62"/>
              <w:ind w:right="6"/>
              <w:jc w:val="right"/>
              <w:rPr>
                <w:rFonts w:ascii="宋体" w:hAnsi="宋体" w:cs="宋体" w:eastAsia="宋体" w:hint="default"/>
                <w:sz w:val="18"/>
                <w:szCs w:val="18"/>
              </w:rPr>
            </w:pPr>
            <w:r>
              <w:rPr>
                <w:rFonts w:ascii="宋体"/>
                <w:spacing w:val="-1"/>
                <w:sz w:val="18"/>
              </w:rPr>
              <w:t>35,593.48</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30" w:right="0"/>
              <w:jc w:val="left"/>
              <w:rPr>
                <w:rFonts w:ascii="宋体" w:hAnsi="宋体" w:cs="宋体" w:eastAsia="宋体" w:hint="default"/>
                <w:sz w:val="18"/>
                <w:szCs w:val="18"/>
              </w:rPr>
            </w:pPr>
            <w:r>
              <w:rPr>
                <w:rFonts w:ascii="宋体"/>
                <w:sz w:val="18"/>
              </w:rPr>
              <w:t>--</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2" w:right="0"/>
              <w:jc w:val="center"/>
              <w:rPr>
                <w:rFonts w:ascii="宋体" w:hAnsi="宋体" w:cs="宋体" w:eastAsia="宋体" w:hint="default"/>
                <w:sz w:val="18"/>
                <w:szCs w:val="18"/>
              </w:rPr>
            </w:pPr>
            <w:r>
              <w:rPr>
                <w:rFonts w:ascii="宋体"/>
                <w:sz w:val="18"/>
              </w:rPr>
              <w:t>--</w:t>
            </w:r>
          </w:p>
        </w:tc>
        <w:tc>
          <w:tcPr>
            <w:tcW w:w="63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62"/>
              <w:ind w:left="40" w:right="0"/>
              <w:jc w:val="center"/>
              <w:rPr>
                <w:rFonts w:ascii="宋体" w:hAnsi="宋体" w:cs="宋体" w:eastAsia="宋体" w:hint="default"/>
                <w:sz w:val="18"/>
                <w:szCs w:val="18"/>
              </w:rPr>
            </w:pPr>
            <w:r>
              <w:rPr>
                <w:rFonts w:ascii="宋体"/>
                <w:sz w:val="18"/>
              </w:rPr>
              <w:t>406.07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 w:right="0"/>
              <w:jc w:val="center"/>
              <w:rPr>
                <w:rFonts w:ascii="宋体" w:hAnsi="宋体" w:cs="宋体" w:eastAsia="宋体" w:hint="default"/>
                <w:sz w:val="18"/>
                <w:szCs w:val="18"/>
              </w:rPr>
            </w:pPr>
            <w:r>
              <w:rPr>
                <w:rFonts w:ascii="宋体"/>
                <w:sz w:val="18"/>
              </w:rPr>
              <w:t>--</w:t>
            </w:r>
          </w:p>
        </w:tc>
      </w:tr>
      <w:tr>
        <w:trPr>
          <w:trHeight w:val="1369" w:hRule="exact"/>
        </w:trPr>
        <w:tc>
          <w:tcPr>
            <w:tcW w:w="1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87" w:type="dxa"/>
            <w:gridSpan w:val="10"/>
            <w:vMerge w:val="restart"/>
            <w:tcBorders>
              <w:top w:val="single" w:sz="4" w:space="0" w:color="000000"/>
              <w:left w:val="single" w:sz="10" w:space="0" w:color="D2D2D2"/>
              <w:right w:val="single" w:sz="4" w:space="0" w:color="000000"/>
            </w:tcBorders>
            <w:shd w:val="clear" w:color="auto" w:fill="C6ECCC"/>
          </w:tcPr>
          <w:p>
            <w:pPr>
              <w:pStyle w:val="TableParagraph"/>
              <w:spacing w:line="240" w:lineRule="auto" w:before="55"/>
              <w:ind w:left="37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、基于城市能源监测管理平台的建筑节能服务项目</w:t>
            </w:r>
          </w:p>
          <w:p>
            <w:pPr>
              <w:pStyle w:val="TableParagraph"/>
              <w:spacing w:line="240" w:lineRule="auto" w:before="115"/>
              <w:ind w:left="37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年度，因新签项目开工延期及项目管理的原因，导致了该项目资金使用滞后。根据与客户沟</w:t>
            </w:r>
          </w:p>
          <w:p>
            <w:pPr>
              <w:pStyle w:val="TableParagraph"/>
              <w:spacing w:line="316" w:lineRule="auto" w:before="76"/>
              <w:ind w:left="16" w:right="22"/>
              <w:jc w:val="left"/>
              <w:rPr>
                <w:rFonts w:ascii="宋体" w:hAnsi="宋体" w:cs="宋体" w:eastAsia="宋体" w:hint="default"/>
                <w:sz w:val="18"/>
                <w:szCs w:val="18"/>
              </w:rPr>
            </w:pPr>
            <w:r>
              <w:rPr>
                <w:rFonts w:ascii="宋体" w:hAnsi="宋体" w:cs="宋体" w:eastAsia="宋体" w:hint="default"/>
                <w:spacing w:val="-3"/>
                <w:sz w:val="18"/>
                <w:szCs w:val="18"/>
              </w:rPr>
              <w:t>通后的项目进度及业务拓展情况，预计</w:t>
            </w:r>
            <w:r>
              <w:rPr>
                <w:rFonts w:ascii="宋体" w:hAnsi="宋体" w:cs="宋体" w:eastAsia="宋体" w:hint="default"/>
                <w:spacing w:val="-49"/>
                <w:sz w:val="18"/>
                <w:szCs w:val="18"/>
              </w:rPr>
              <w:t> </w:t>
            </w:r>
            <w:r>
              <w:rPr>
                <w:rFonts w:ascii="宋体" w:hAnsi="宋体" w:cs="宋体" w:eastAsia="宋体" w:hint="default"/>
                <w:sz w:val="18"/>
                <w:szCs w:val="18"/>
              </w:rPr>
              <w:t>2013</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6</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30</w:t>
            </w:r>
            <w:r>
              <w:rPr>
                <w:rFonts w:ascii="宋体" w:hAnsi="宋体" w:cs="宋体" w:eastAsia="宋体" w:hint="default"/>
                <w:spacing w:val="-49"/>
                <w:sz w:val="18"/>
                <w:szCs w:val="18"/>
              </w:rPr>
              <w:t> </w:t>
            </w:r>
            <w:r>
              <w:rPr>
                <w:rFonts w:ascii="宋体" w:hAnsi="宋体" w:cs="宋体" w:eastAsia="宋体" w:hint="default"/>
                <w:sz w:val="18"/>
                <w:szCs w:val="18"/>
              </w:rPr>
              <w:t>日，该项目承诺的募集资金投资总额可以如期使 用完毕。</w:t>
            </w:r>
          </w:p>
          <w:p>
            <w:pPr>
              <w:pStyle w:val="TableParagraph"/>
              <w:spacing w:line="240" w:lineRule="auto" w:before="60"/>
              <w:ind w:left="37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、公司研发中心建设项目</w:t>
            </w:r>
          </w:p>
          <w:p>
            <w:pPr>
              <w:pStyle w:val="TableParagraph"/>
              <w:spacing w:line="240" w:lineRule="auto" w:before="117"/>
              <w:ind w:left="376" w:right="0"/>
              <w:jc w:val="left"/>
              <w:rPr>
                <w:rFonts w:ascii="宋体" w:hAnsi="宋体" w:cs="宋体" w:eastAsia="宋体" w:hint="default"/>
                <w:sz w:val="18"/>
                <w:szCs w:val="18"/>
              </w:rPr>
            </w:pPr>
            <w:r>
              <w:rPr>
                <w:rFonts w:ascii="宋体" w:hAnsi="宋体" w:cs="宋体" w:eastAsia="宋体" w:hint="default"/>
                <w:sz w:val="18"/>
                <w:szCs w:val="18"/>
              </w:rPr>
              <w:t>按照投资金额，该项目完工进度为</w:t>
            </w:r>
            <w:r>
              <w:rPr>
                <w:rFonts w:ascii="宋体" w:hAnsi="宋体" w:cs="宋体" w:eastAsia="宋体" w:hint="default"/>
                <w:spacing w:val="-47"/>
                <w:sz w:val="18"/>
                <w:szCs w:val="18"/>
              </w:rPr>
              <w:t> </w:t>
            </w:r>
            <w:r>
              <w:rPr>
                <w:rFonts w:ascii="宋体" w:hAnsi="宋体" w:cs="宋体" w:eastAsia="宋体" w:hint="default"/>
                <w:sz w:val="18"/>
                <w:szCs w:val="18"/>
              </w:rPr>
              <w:t>70.05%</w:t>
            </w:r>
            <w:r>
              <w:rPr>
                <w:rFonts w:ascii="宋体" w:hAnsi="宋体" w:cs="宋体" w:eastAsia="宋体" w:hint="default"/>
                <w:sz w:val="18"/>
                <w:szCs w:val="18"/>
              </w:rPr>
              <w:t>，落后于原计划的投资进度。主要原因是：</w:t>
            </w:r>
          </w:p>
          <w:p>
            <w:pPr>
              <w:pStyle w:val="TableParagraph"/>
              <w:spacing w:line="316" w:lineRule="auto" w:before="115"/>
              <w:ind w:left="16" w:right="4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）由于该项目的实施地点、募集资金投资计划均进行了调整与变更，且变更后的实施场地因装 修进度延迟等原因，使本项目的投资进度未能及时完成；</w:t>
            </w:r>
          </w:p>
          <w:p>
            <w:pPr>
              <w:pStyle w:val="TableParagraph"/>
              <w:spacing w:line="360" w:lineRule="auto" w:before="59"/>
              <w:ind w:left="376" w:right="2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年公司对研发组织及研发体系进行了优化，结构调整影响了本项目的投资进度。 截止到</w:t>
            </w:r>
            <w:r>
              <w:rPr>
                <w:rFonts w:ascii="宋体" w:hAnsi="宋体" w:cs="宋体" w:eastAsia="宋体" w:hint="default"/>
                <w:spacing w:val="-42"/>
                <w:sz w:val="18"/>
                <w:szCs w:val="18"/>
              </w:rPr>
              <w:t> </w:t>
            </w: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41"/>
                <w:sz w:val="18"/>
                <w:szCs w:val="18"/>
              </w:rPr>
              <w:t> </w:t>
            </w:r>
            <w:r>
              <w:rPr>
                <w:rFonts w:ascii="宋体" w:hAnsi="宋体" w:cs="宋体" w:eastAsia="宋体" w:hint="default"/>
                <w:spacing w:val="-3"/>
                <w:sz w:val="18"/>
                <w:szCs w:val="18"/>
              </w:rPr>
              <w:t>日，该项目已达到可使用状态，公司已对此项目做结余处理。具体内容详见</w:t>
            </w:r>
          </w:p>
          <w:p>
            <w:pPr>
              <w:pStyle w:val="TableParagraph"/>
              <w:spacing w:line="222" w:lineRule="exact"/>
              <w:ind w:left="16" w:right="0"/>
              <w:jc w:val="left"/>
              <w:rPr>
                <w:rFonts w:ascii="宋体" w:hAnsi="宋体" w:cs="宋体" w:eastAsia="宋体" w:hint="default"/>
                <w:sz w:val="18"/>
                <w:szCs w:val="18"/>
              </w:rPr>
            </w:pPr>
            <w:r>
              <w:rPr>
                <w:rFonts w:ascii="宋体" w:hAnsi="宋体" w:cs="宋体" w:eastAsia="宋体" w:hint="default"/>
                <w:sz w:val="18"/>
                <w:szCs w:val="18"/>
              </w:rPr>
              <w:t>《关于募集资金投资项目结余并用于其他募集资金投资项目的公告</w:t>
            </w:r>
            <w:r>
              <w:rPr>
                <w:rFonts w:ascii="宋体" w:hAnsi="宋体" w:cs="宋体" w:eastAsia="宋体" w:hint="default"/>
                <w:spacing w:val="-92"/>
                <w:sz w:val="18"/>
                <w:szCs w:val="18"/>
              </w:rPr>
              <w:t>》</w:t>
            </w:r>
            <w:r>
              <w:rPr>
                <w:rFonts w:ascii="宋体" w:hAnsi="宋体" w:cs="宋体" w:eastAsia="宋体" w:hint="default"/>
                <w:sz w:val="18"/>
                <w:szCs w:val="18"/>
              </w:rPr>
              <w:t>，详见</w:t>
            </w:r>
            <w:r>
              <w:rPr>
                <w:rFonts w:ascii="宋体" w:hAnsi="宋体" w:cs="宋体" w:eastAsia="宋体" w:hint="default"/>
                <w:spacing w:val="-44"/>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日《证券时</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报》及巨潮资讯网。</w:t>
            </w:r>
          </w:p>
        </w:tc>
      </w:tr>
      <w:tr>
        <w:trPr>
          <w:trHeight w:val="1327" w:hRule="exact"/>
        </w:trPr>
        <w:tc>
          <w:tcPr>
            <w:tcW w:w="1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9"/>
              <w:ind w:left="12" w:right="20"/>
              <w:jc w:val="left"/>
              <w:rPr>
                <w:rFonts w:ascii="宋体" w:hAnsi="宋体" w:cs="宋体" w:eastAsia="宋体" w:hint="default"/>
                <w:sz w:val="18"/>
                <w:szCs w:val="18"/>
              </w:rPr>
            </w:pPr>
            <w:r>
              <w:rPr>
                <w:rFonts w:ascii="宋体" w:hAnsi="宋体" w:cs="宋体" w:eastAsia="宋体" w:hint="default"/>
                <w:sz w:val="18"/>
                <w:szCs w:val="18"/>
              </w:rPr>
              <w:t>未达到计划进度 或预计收益的情 </w:t>
            </w:r>
            <w:r>
              <w:rPr>
                <w:rFonts w:ascii="宋体" w:hAnsi="宋体" w:cs="宋体" w:eastAsia="宋体" w:hint="default"/>
                <w:spacing w:val="-2"/>
                <w:sz w:val="18"/>
                <w:szCs w:val="18"/>
              </w:rPr>
              <w:t>况和原因（分具体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项目）</w:t>
            </w:r>
          </w:p>
        </w:tc>
        <w:tc>
          <w:tcPr>
            <w:tcW w:w="8087" w:type="dxa"/>
            <w:gridSpan w:val="10"/>
            <w:vMerge/>
            <w:tcBorders>
              <w:left w:val="single" w:sz="10" w:space="0" w:color="D2D2D2"/>
              <w:right w:val="single" w:sz="4" w:space="0" w:color="000000"/>
            </w:tcBorders>
            <w:shd w:val="clear" w:color="auto" w:fill="C6ECCC"/>
          </w:tcPr>
          <w:p>
            <w:pPr/>
          </w:p>
        </w:tc>
      </w:tr>
      <w:tr>
        <w:trPr>
          <w:trHeight w:val="1374" w:hRule="exact"/>
        </w:trPr>
        <w:tc>
          <w:tcPr>
            <w:tcW w:w="1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87" w:type="dxa"/>
            <w:gridSpan w:val="10"/>
            <w:vMerge/>
            <w:tcBorders>
              <w:left w:val="single" w:sz="10" w:space="0" w:color="D2D2D2"/>
              <w:bottom w:val="single" w:sz="4" w:space="0" w:color="000000"/>
              <w:right w:val="single" w:sz="4" w:space="0" w:color="000000"/>
            </w:tcBorders>
            <w:shd w:val="clear" w:color="auto" w:fill="C6ECCC"/>
          </w:tcPr>
          <w:p>
            <w:pPr/>
          </w:p>
        </w:tc>
      </w:tr>
    </w:tbl>
    <w:p>
      <w:pPr>
        <w:spacing w:after="0"/>
        <w:sectPr>
          <w:pgSz w:w="11910" w:h="16840"/>
          <w:pgMar w:header="877" w:footer="1340" w:top="1100" w:bottom="16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5"/>
          <w:szCs w:val="15"/>
        </w:rPr>
      </w:pPr>
    </w:p>
    <w:p>
      <w:pPr>
        <w:spacing w:before="0"/>
        <w:ind w:left="0" w:right="1138" w:firstLine="0"/>
        <w:jc w:val="right"/>
        <w:rPr>
          <w:rFonts w:ascii="宋体" w:hAnsi="宋体" w:cs="宋体" w:eastAsia="宋体" w:hint="default"/>
          <w:sz w:val="18"/>
          <w:szCs w:val="18"/>
        </w:rPr>
      </w:pPr>
      <w:r>
        <w:rPr/>
        <w:pict>
          <v:shape style="position:absolute;margin-left:56.459999pt;margin-top:-245.858292pt;width:479.2pt;height:637.8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2"/>
                    <w:gridCol w:w="8087"/>
                  </w:tblGrid>
                  <w:tr>
                    <w:trPr>
                      <w:trHeight w:val="1025"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89"/>
                          <w:jc w:val="both"/>
                          <w:rPr>
                            <w:rFonts w:ascii="宋体" w:hAnsi="宋体" w:cs="宋体" w:eastAsia="宋体" w:hint="default"/>
                            <w:sz w:val="18"/>
                            <w:szCs w:val="18"/>
                          </w:rPr>
                        </w:pPr>
                        <w:r>
                          <w:rPr>
                            <w:rFonts w:ascii="宋体" w:hAnsi="宋体" w:cs="宋体" w:eastAsia="宋体" w:hint="default"/>
                            <w:sz w:val="18"/>
                            <w:szCs w:val="18"/>
                          </w:rPr>
                          <w:t>项目可行性发生 重大变化的情况 说明</w:t>
                        </w:r>
                      </w:p>
                    </w:tc>
                    <w:tc>
                      <w:tcPr>
                        <w:tcW w:w="80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4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16" w:lineRule="auto"/>
                          <w:ind w:left="22" w:right="9"/>
                          <w:jc w:val="left"/>
                          <w:rPr>
                            <w:rFonts w:ascii="宋体" w:hAnsi="宋体" w:cs="宋体" w:eastAsia="宋体" w:hint="default"/>
                            <w:sz w:val="18"/>
                            <w:szCs w:val="18"/>
                          </w:rPr>
                        </w:pPr>
                        <w:r>
                          <w:rPr>
                            <w:rFonts w:ascii="宋体" w:hAnsi="宋体" w:cs="宋体" w:eastAsia="宋体" w:hint="default"/>
                            <w:sz w:val="18"/>
                            <w:szCs w:val="18"/>
                          </w:rPr>
                          <w:t>超募资金的金额、 用途及使用进展 情况</w:t>
                        </w:r>
                      </w:p>
                    </w:tc>
                    <w:tc>
                      <w:tcPr>
                        <w:tcW w:w="8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26" w:hRule="exact"/>
                    </w:trPr>
                    <w:tc>
                      <w:tcPr>
                        <w:tcW w:w="1482" w:type="dxa"/>
                        <w:vMerge/>
                        <w:tcBorders>
                          <w:left w:val="single" w:sz="4" w:space="0" w:color="000000"/>
                          <w:bottom w:val="single" w:sz="4" w:space="0" w:color="000000"/>
                          <w:right w:val="single" w:sz="4" w:space="0" w:color="000000"/>
                        </w:tcBorders>
                        <w:shd w:val="clear" w:color="auto" w:fill="D2D2D2"/>
                      </w:tcPr>
                      <w:p>
                        <w:pPr/>
                      </w:p>
                    </w:tc>
                    <w:tc>
                      <w:tcPr>
                        <w:tcW w:w="80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为更好的发挥募集资金的效能，提高现有资金的使用效率，经公司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年第二次临时股东大会审</w:t>
                        </w:r>
                      </w:p>
                      <w:p>
                        <w:pPr>
                          <w:pStyle w:val="TableParagraph"/>
                          <w:spacing w:line="240" w:lineRule="auto" w:before="76"/>
                          <w:ind w:left="23" w:right="-49"/>
                          <w:jc w:val="left"/>
                          <w:rPr>
                            <w:rFonts w:ascii="宋体" w:hAnsi="宋体" w:cs="宋体" w:eastAsia="宋体" w:hint="default"/>
                            <w:sz w:val="18"/>
                            <w:szCs w:val="18"/>
                          </w:rPr>
                        </w:pPr>
                        <w:r>
                          <w:rPr>
                            <w:rFonts w:ascii="宋体" w:hAnsi="宋体" w:cs="宋体" w:eastAsia="宋体" w:hint="default"/>
                            <w:sz w:val="18"/>
                            <w:szCs w:val="18"/>
                          </w:rPr>
                          <w:t>议通过，公司使用超募资金</w:t>
                        </w:r>
                        <w:r>
                          <w:rPr>
                            <w:rFonts w:ascii="宋体" w:hAnsi="宋体" w:cs="宋体" w:eastAsia="宋体" w:hint="default"/>
                            <w:spacing w:val="-47"/>
                            <w:sz w:val="18"/>
                            <w:szCs w:val="18"/>
                          </w:rPr>
                          <w:t> </w:t>
                        </w: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万元用于归还银行贷款，使用</w:t>
                        </w:r>
                        <w:r>
                          <w:rPr>
                            <w:rFonts w:ascii="宋体" w:hAnsi="宋体" w:cs="宋体" w:eastAsia="宋体" w:hint="default"/>
                            <w:spacing w:val="-48"/>
                            <w:sz w:val="18"/>
                            <w:szCs w:val="18"/>
                          </w:rPr>
                          <w:t> </w:t>
                        </w: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万元用于永久性补充流动资金；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50"/>
                            <w:sz w:val="18"/>
                            <w:szCs w:val="18"/>
                          </w:rPr>
                          <w:t> </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pacing w:val="-3"/>
                            <w:sz w:val="18"/>
                            <w:szCs w:val="18"/>
                          </w:rPr>
                          <w:t>年第一次临时股东大会审议通过，公司使用</w:t>
                        </w:r>
                        <w:r>
                          <w:rPr>
                            <w:rFonts w:ascii="宋体" w:hAnsi="宋体" w:cs="宋体" w:eastAsia="宋体" w:hint="default"/>
                            <w:spacing w:val="-49"/>
                            <w:sz w:val="18"/>
                            <w:szCs w:val="18"/>
                          </w:rPr>
                          <w:t> </w:t>
                        </w:r>
                        <w:r>
                          <w:rPr>
                            <w:rFonts w:ascii="宋体" w:hAnsi="宋体" w:cs="宋体" w:eastAsia="宋体" w:hint="default"/>
                            <w:sz w:val="18"/>
                            <w:szCs w:val="18"/>
                          </w:rPr>
                          <w:t>7000</w:t>
                        </w:r>
                        <w:r>
                          <w:rPr>
                            <w:rFonts w:ascii="宋体" w:hAnsi="宋体" w:cs="宋体" w:eastAsia="宋体" w:hint="default"/>
                            <w:spacing w:val="-51"/>
                            <w:sz w:val="18"/>
                            <w:szCs w:val="18"/>
                          </w:rPr>
                          <w:t> </w:t>
                        </w:r>
                        <w:r>
                          <w:rPr>
                            <w:rFonts w:ascii="宋体" w:hAnsi="宋体" w:cs="宋体" w:eastAsia="宋体" w:hint="default"/>
                            <w:sz w:val="18"/>
                            <w:szCs w:val="18"/>
                          </w:rPr>
                          <w:t>万元用于永久性补充流动资金；经公司第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四届董事会第十四次会议批准，公司使用超募资金</w:t>
                        </w:r>
                        <w:r>
                          <w:rPr>
                            <w:rFonts w:ascii="宋体" w:hAnsi="宋体" w:cs="宋体" w:eastAsia="宋体" w:hint="default"/>
                            <w:spacing w:val="-55"/>
                            <w:sz w:val="18"/>
                            <w:szCs w:val="18"/>
                          </w:rPr>
                          <w:t> </w:t>
                        </w:r>
                        <w:r>
                          <w:rPr>
                            <w:rFonts w:ascii="宋体" w:hAnsi="宋体" w:cs="宋体" w:eastAsia="宋体" w:hint="default"/>
                            <w:sz w:val="18"/>
                            <w:szCs w:val="18"/>
                          </w:rPr>
                          <w:t>1,350</w:t>
                        </w:r>
                        <w:r>
                          <w:rPr>
                            <w:rFonts w:ascii="宋体" w:hAnsi="宋体" w:cs="宋体" w:eastAsia="宋体" w:hint="default"/>
                            <w:spacing w:val="-55"/>
                            <w:sz w:val="18"/>
                            <w:szCs w:val="18"/>
                          </w:rPr>
                          <w:t> </w:t>
                        </w:r>
                        <w:r>
                          <w:rPr>
                            <w:rFonts w:ascii="宋体" w:hAnsi="宋体" w:cs="宋体" w:eastAsia="宋体" w:hint="default"/>
                            <w:sz w:val="18"/>
                            <w:szCs w:val="18"/>
                          </w:rPr>
                          <w:t>万元收购北京启迪德润能源科技有限公司</w:t>
                        </w:r>
                        <w:r>
                          <w:rPr>
                            <w:rFonts w:ascii="宋体" w:hAnsi="宋体" w:cs="宋体" w:eastAsia="宋体" w:hint="default"/>
                            <w:spacing w:val="-55"/>
                            <w:sz w:val="18"/>
                            <w:szCs w:val="18"/>
                          </w:rPr>
                          <w:t> </w:t>
                        </w:r>
                        <w:r>
                          <w:rPr>
                            <w:rFonts w:ascii="宋体" w:hAnsi="宋体" w:cs="宋体" w:eastAsia="宋体" w:hint="default"/>
                            <w:sz w:val="18"/>
                            <w:szCs w:val="18"/>
                          </w:rPr>
                          <w:t>45%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的股权，使用超募资金</w:t>
                        </w:r>
                        <w:r>
                          <w:rPr>
                            <w:rFonts w:ascii="宋体" w:hAnsi="宋体" w:cs="宋体" w:eastAsia="宋体" w:hint="default"/>
                            <w:spacing w:val="-45"/>
                            <w:sz w:val="18"/>
                            <w:szCs w:val="18"/>
                          </w:rPr>
                          <w:t> </w:t>
                        </w:r>
                        <w:r>
                          <w:rPr>
                            <w:rFonts w:ascii="宋体" w:hAnsi="宋体" w:cs="宋体" w:eastAsia="宋体" w:hint="default"/>
                            <w:sz w:val="18"/>
                            <w:szCs w:val="18"/>
                          </w:rPr>
                          <w:t>2,000</w:t>
                        </w:r>
                        <w:r>
                          <w:rPr>
                            <w:rFonts w:ascii="宋体" w:hAnsi="宋体" w:cs="宋体" w:eastAsia="宋体" w:hint="default"/>
                            <w:spacing w:val="-47"/>
                            <w:sz w:val="18"/>
                            <w:szCs w:val="18"/>
                          </w:rPr>
                          <w:t> </w:t>
                        </w:r>
                        <w:r>
                          <w:rPr>
                            <w:rFonts w:ascii="宋体" w:hAnsi="宋体" w:cs="宋体" w:eastAsia="宋体" w:hint="default"/>
                            <w:sz w:val="18"/>
                            <w:szCs w:val="18"/>
                          </w:rPr>
                          <w:t>万元用于暂时性补充流动资金，公司已于</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日将</w:t>
                        </w:r>
                        <w:r>
                          <w:rPr>
                            <w:rFonts w:ascii="宋体" w:hAnsi="宋体" w:cs="宋体" w:eastAsia="宋体" w:hint="default"/>
                            <w:spacing w:val="-46"/>
                            <w:sz w:val="18"/>
                            <w:szCs w:val="18"/>
                          </w:rPr>
                          <w:t> </w:t>
                        </w:r>
                        <w:r>
                          <w:rPr>
                            <w:rFonts w:ascii="宋体" w:hAnsi="宋体" w:cs="宋体" w:eastAsia="宋体" w:hint="default"/>
                            <w:sz w:val="18"/>
                            <w:szCs w:val="18"/>
                          </w:rPr>
                          <w:t>2,000</w:t>
                        </w:r>
                        <w:r>
                          <w:rPr>
                            <w:rFonts w:ascii="宋体" w:hAnsi="宋体" w:cs="宋体" w:eastAsia="宋体" w:hint="default"/>
                            <w:spacing w:val="-44"/>
                            <w:sz w:val="18"/>
                            <w:szCs w:val="18"/>
                          </w:rPr>
                          <w:t> </w:t>
                        </w:r>
                        <w:r>
                          <w:rPr>
                            <w:rFonts w:ascii="宋体" w:hAnsi="宋体" w:cs="宋体" w:eastAsia="宋体" w:hint="default"/>
                            <w:sz w:val="18"/>
                            <w:szCs w:val="18"/>
                          </w:rPr>
                          <w:t>万元</w:t>
                        </w:r>
                      </w:p>
                      <w:p>
                        <w:pPr>
                          <w:pStyle w:val="TableParagraph"/>
                          <w:spacing w:line="316" w:lineRule="auto" w:before="76"/>
                          <w:ind w:left="23" w:right="39"/>
                          <w:jc w:val="left"/>
                          <w:rPr>
                            <w:rFonts w:ascii="宋体" w:hAnsi="宋体" w:cs="宋体" w:eastAsia="宋体" w:hint="default"/>
                            <w:sz w:val="18"/>
                            <w:szCs w:val="18"/>
                          </w:rPr>
                        </w:pPr>
                        <w:r>
                          <w:rPr>
                            <w:rFonts w:ascii="宋体" w:hAnsi="宋体" w:cs="宋体" w:eastAsia="宋体" w:hint="default"/>
                            <w:sz w:val="18"/>
                            <w:szCs w:val="18"/>
                          </w:rPr>
                          <w:t>人民币全部归还至公司超募资金专用账户；经公司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年第二次临时股东大会审议通过，公司使用超 募资金</w:t>
                        </w:r>
                        <w:r>
                          <w:rPr>
                            <w:rFonts w:ascii="宋体" w:hAnsi="宋体" w:cs="宋体" w:eastAsia="宋体" w:hint="default"/>
                            <w:spacing w:val="-47"/>
                            <w:sz w:val="18"/>
                            <w:szCs w:val="18"/>
                          </w:rPr>
                          <w:t> </w:t>
                        </w:r>
                        <w:r>
                          <w:rPr>
                            <w:rFonts w:ascii="宋体" w:hAnsi="宋体" w:cs="宋体" w:eastAsia="宋体" w:hint="default"/>
                            <w:sz w:val="18"/>
                            <w:szCs w:val="18"/>
                          </w:rPr>
                          <w:t>11,010.9</w:t>
                        </w:r>
                        <w:r>
                          <w:rPr>
                            <w:rFonts w:ascii="宋体" w:hAnsi="宋体" w:cs="宋体" w:eastAsia="宋体" w:hint="default"/>
                            <w:spacing w:val="-44"/>
                            <w:sz w:val="18"/>
                            <w:szCs w:val="18"/>
                          </w:rPr>
                          <w:t> </w:t>
                        </w:r>
                        <w:r>
                          <w:rPr>
                            <w:rFonts w:ascii="宋体" w:hAnsi="宋体" w:cs="宋体" w:eastAsia="宋体" w:hint="default"/>
                            <w:sz w:val="18"/>
                            <w:szCs w:val="18"/>
                          </w:rPr>
                          <w:t>万元支付收购上海联欣科技发展有限公司</w:t>
                        </w:r>
                        <w:r>
                          <w:rPr>
                            <w:rFonts w:ascii="宋体" w:hAnsi="宋体" w:cs="宋体" w:eastAsia="宋体" w:hint="default"/>
                            <w:spacing w:val="-47"/>
                            <w:sz w:val="18"/>
                            <w:szCs w:val="18"/>
                          </w:rPr>
                          <w:t> </w:t>
                        </w:r>
                        <w:r>
                          <w:rPr>
                            <w:rFonts w:ascii="宋体" w:hAnsi="宋体" w:cs="宋体" w:eastAsia="宋体" w:hint="default"/>
                            <w:sz w:val="18"/>
                            <w:szCs w:val="18"/>
                          </w:rPr>
                          <w:t>51%</w:t>
                        </w:r>
                        <w:r>
                          <w:rPr>
                            <w:rFonts w:ascii="宋体" w:hAnsi="宋体" w:cs="宋体" w:eastAsia="宋体" w:hint="default"/>
                            <w:sz w:val="18"/>
                            <w:szCs w:val="18"/>
                          </w:rPr>
                          <w:t>的股权的部分首期款。</w:t>
                        </w:r>
                      </w:p>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截止至</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日，超募资金全部使用完毕。</w:t>
                        </w:r>
                      </w:p>
                    </w:tc>
                  </w:tr>
                  <w:tr>
                    <w:trPr>
                      <w:trHeight w:val="403" w:hRule="exact"/>
                    </w:trPr>
                    <w:tc>
                      <w:tcPr>
                        <w:tcW w:w="14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2" w:right="189"/>
                          <w:jc w:val="both"/>
                          <w:rPr>
                            <w:rFonts w:ascii="宋体" w:hAnsi="宋体" w:cs="宋体" w:eastAsia="宋体" w:hint="default"/>
                            <w:sz w:val="18"/>
                            <w:szCs w:val="18"/>
                          </w:rPr>
                        </w:pPr>
                        <w:r>
                          <w:rPr>
                            <w:rFonts w:ascii="宋体" w:hAnsi="宋体" w:cs="宋体" w:eastAsia="宋体" w:hint="default"/>
                            <w:sz w:val="18"/>
                            <w:szCs w:val="18"/>
                          </w:rPr>
                          <w:t>募集资金投资项 目实施地点变更 情况</w:t>
                        </w:r>
                      </w:p>
                    </w:tc>
                    <w:tc>
                      <w:tcPr>
                        <w:tcW w:w="8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482" w:type="dxa"/>
                        <w:vMerge/>
                        <w:tcBorders>
                          <w:left w:val="single" w:sz="4" w:space="0" w:color="000000"/>
                          <w:right w:val="single" w:sz="4" w:space="0" w:color="000000"/>
                        </w:tcBorders>
                        <w:shd w:val="clear" w:color="auto" w:fill="D2D2D2"/>
                      </w:tcPr>
                      <w:p>
                        <w:pPr/>
                      </w:p>
                    </w:tc>
                    <w:tc>
                      <w:tcPr>
                        <w:tcW w:w="8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042" w:hRule="exact"/>
                    </w:trPr>
                    <w:tc>
                      <w:tcPr>
                        <w:tcW w:w="1482" w:type="dxa"/>
                        <w:vMerge/>
                        <w:tcBorders>
                          <w:left w:val="single" w:sz="4" w:space="0" w:color="000000"/>
                          <w:bottom w:val="single" w:sz="4" w:space="0" w:color="000000"/>
                          <w:right w:val="single" w:sz="4" w:space="0" w:color="000000"/>
                        </w:tcBorders>
                        <w:shd w:val="clear" w:color="auto" w:fill="D2D2D2"/>
                      </w:tcPr>
                      <w:p>
                        <w:pPr/>
                      </w:p>
                    </w:tc>
                    <w:tc>
                      <w:tcPr>
                        <w:tcW w:w="80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、基于城市能源监测管理平台的建筑节能服务项目，实施地点由购买及装修财富大厦第</w:t>
                        </w:r>
                        <w:r>
                          <w:rPr>
                            <w:rFonts w:ascii="宋体" w:hAnsi="宋体" w:cs="宋体" w:eastAsia="宋体" w:hint="default"/>
                            <w:spacing w:val="-54"/>
                            <w:sz w:val="18"/>
                            <w:szCs w:val="18"/>
                          </w:rPr>
                          <w:t> </w:t>
                        </w:r>
                        <w:r>
                          <w:rPr>
                            <w:rFonts w:ascii="宋体" w:hAnsi="宋体" w:cs="宋体" w:eastAsia="宋体" w:hint="default"/>
                            <w:sz w:val="18"/>
                            <w:szCs w:val="18"/>
                          </w:rPr>
                          <w:t>1</w:t>
                        </w:r>
                        <w:r>
                          <w:rPr>
                            <w:rFonts w:ascii="宋体" w:hAnsi="宋体" w:cs="宋体" w:eastAsia="宋体" w:hint="default"/>
                            <w:spacing w:val="-56"/>
                            <w:sz w:val="18"/>
                            <w:szCs w:val="18"/>
                          </w:rPr>
                          <w:t> </w:t>
                        </w:r>
                        <w:r>
                          <w:rPr>
                            <w:rFonts w:ascii="宋体" w:hAnsi="宋体" w:cs="宋体" w:eastAsia="宋体" w:hint="default"/>
                            <w:sz w:val="18"/>
                            <w:szCs w:val="18"/>
                          </w:rPr>
                          <w:t>栋</w:t>
                        </w:r>
                        <w:r>
                          <w:rPr>
                            <w:rFonts w:ascii="宋体" w:hAnsi="宋体" w:cs="宋体" w:eastAsia="宋体" w:hint="default"/>
                            <w:spacing w:val="-55"/>
                            <w:sz w:val="18"/>
                            <w:szCs w:val="18"/>
                          </w:rPr>
                          <w:t> </w:t>
                        </w:r>
                        <w:r>
                          <w:rPr>
                            <w:rFonts w:ascii="宋体" w:hAnsi="宋体" w:cs="宋体" w:eastAsia="宋体" w:hint="default"/>
                            <w:sz w:val="18"/>
                            <w:szCs w:val="18"/>
                          </w:rPr>
                          <w:t>52E</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53B</w:t>
                        </w:r>
                        <w:r>
                          <w:rPr>
                            <w:rFonts w:ascii="宋体" w:hAnsi="宋体" w:cs="宋体" w:eastAsia="宋体" w:hint="default"/>
                            <w:spacing w:val="-46"/>
                            <w:sz w:val="18"/>
                            <w:szCs w:val="18"/>
                          </w:rPr>
                          <w:t> </w:t>
                        </w:r>
                        <w:r>
                          <w:rPr>
                            <w:rFonts w:ascii="宋体" w:hAnsi="宋体" w:cs="宋体" w:eastAsia="宋体" w:hint="default"/>
                            <w:sz w:val="18"/>
                            <w:szCs w:val="18"/>
                          </w:rPr>
                          <w:t>部分单元变更为租赁高新工业村</w:t>
                        </w:r>
                        <w:r>
                          <w:rPr>
                            <w:rFonts w:ascii="宋体" w:hAnsi="宋体" w:cs="宋体" w:eastAsia="宋体" w:hint="default"/>
                            <w:spacing w:val="-46"/>
                            <w:sz w:val="18"/>
                            <w:szCs w:val="18"/>
                          </w:rPr>
                          <w:t> </w:t>
                        </w:r>
                        <w:r>
                          <w:rPr>
                            <w:rFonts w:ascii="宋体" w:hAnsi="宋体" w:cs="宋体" w:eastAsia="宋体" w:hint="default"/>
                            <w:sz w:val="18"/>
                            <w:szCs w:val="18"/>
                          </w:rPr>
                          <w:t>C2</w:t>
                        </w:r>
                        <w:r>
                          <w:rPr>
                            <w:rFonts w:ascii="宋体" w:hAnsi="宋体" w:cs="宋体" w:eastAsia="宋体" w:hint="default"/>
                            <w:spacing w:val="-46"/>
                            <w:sz w:val="18"/>
                            <w:szCs w:val="18"/>
                          </w:rPr>
                          <w:t> </w:t>
                        </w:r>
                        <w:r>
                          <w:rPr>
                            <w:rFonts w:ascii="宋体" w:hAnsi="宋体" w:cs="宋体" w:eastAsia="宋体" w:hint="default"/>
                            <w:sz w:val="18"/>
                            <w:szCs w:val="18"/>
                          </w:rPr>
                          <w:t>厂房（子公司物业）</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层西侧；</w:t>
                        </w:r>
                      </w:p>
                      <w:p>
                        <w:pPr>
                          <w:pStyle w:val="TableParagraph"/>
                          <w:spacing w:line="316" w:lineRule="auto" w:before="117"/>
                          <w:ind w:left="23" w:right="39"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、公司研发中心建设项目，实施地点由购买及装修财富大厦第</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宋体" w:hAnsi="宋体" w:cs="宋体" w:eastAsia="宋体" w:hint="default"/>
                            <w:sz w:val="18"/>
                            <w:szCs w:val="18"/>
                          </w:rPr>
                          <w:t>53B</w:t>
                        </w:r>
                        <w:r>
                          <w:rPr>
                            <w:rFonts w:ascii="宋体" w:hAnsi="宋体" w:cs="宋体" w:eastAsia="宋体" w:hint="default"/>
                            <w:spacing w:val="-45"/>
                            <w:sz w:val="18"/>
                            <w:szCs w:val="18"/>
                          </w:rPr>
                          <w:t> </w:t>
                        </w:r>
                        <w:r>
                          <w:rPr>
                            <w:rFonts w:ascii="宋体" w:hAnsi="宋体" w:cs="宋体" w:eastAsia="宋体" w:hint="default"/>
                            <w:sz w:val="18"/>
                            <w:szCs w:val="18"/>
                          </w:rPr>
                          <w:t>部分单元变更为租赁高新 工业村</w:t>
                        </w:r>
                        <w:r>
                          <w:rPr>
                            <w:rFonts w:ascii="宋体" w:hAnsi="宋体" w:cs="宋体" w:eastAsia="宋体" w:hint="default"/>
                            <w:spacing w:val="-46"/>
                            <w:sz w:val="18"/>
                            <w:szCs w:val="18"/>
                          </w:rPr>
                          <w:t> </w:t>
                        </w:r>
                        <w:r>
                          <w:rPr>
                            <w:rFonts w:ascii="宋体" w:hAnsi="宋体" w:cs="宋体" w:eastAsia="宋体" w:hint="default"/>
                            <w:sz w:val="18"/>
                            <w:szCs w:val="18"/>
                          </w:rPr>
                          <w:t>C2</w:t>
                        </w:r>
                        <w:r>
                          <w:rPr>
                            <w:rFonts w:ascii="宋体" w:hAnsi="宋体" w:cs="宋体" w:eastAsia="宋体" w:hint="default"/>
                            <w:spacing w:val="-45"/>
                            <w:sz w:val="18"/>
                            <w:szCs w:val="18"/>
                          </w:rPr>
                          <w:t> </w:t>
                        </w:r>
                        <w:r>
                          <w:rPr>
                            <w:rFonts w:ascii="宋体" w:hAnsi="宋体" w:cs="宋体" w:eastAsia="宋体" w:hint="default"/>
                            <w:sz w:val="18"/>
                            <w:szCs w:val="18"/>
                          </w:rPr>
                          <w:t>厂房（子公司物业）</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层西侧。</w:t>
                        </w:r>
                      </w:p>
                      <w:p>
                        <w:pPr>
                          <w:pStyle w:val="TableParagraph"/>
                          <w:spacing w:line="240" w:lineRule="auto" w:before="57"/>
                          <w:ind w:left="383" w:right="0"/>
                          <w:jc w:val="left"/>
                          <w:rPr>
                            <w:rFonts w:ascii="宋体" w:hAnsi="宋体" w:cs="宋体" w:eastAsia="宋体" w:hint="default"/>
                            <w:sz w:val="18"/>
                            <w:szCs w:val="18"/>
                          </w:rPr>
                        </w:pPr>
                        <w:r>
                          <w:rPr>
                            <w:rFonts w:ascii="宋体" w:hAnsi="宋体" w:cs="宋体" w:eastAsia="宋体" w:hint="default"/>
                            <w:sz w:val="18"/>
                            <w:szCs w:val="18"/>
                          </w:rPr>
                          <w:t>上述事宜已经公司</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年第一次临时股东大会审议通过，相关内容刊登</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日《证券时报》和巨潮资讯网。</w:t>
                        </w:r>
                      </w:p>
                    </w:tc>
                  </w:tr>
                  <w:tr>
                    <w:trPr>
                      <w:trHeight w:val="1025"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89"/>
                          <w:jc w:val="both"/>
                          <w:rPr>
                            <w:rFonts w:ascii="宋体" w:hAnsi="宋体" w:cs="宋体" w:eastAsia="宋体" w:hint="default"/>
                            <w:sz w:val="18"/>
                            <w:szCs w:val="18"/>
                          </w:rPr>
                        </w:pPr>
                        <w:r>
                          <w:rPr>
                            <w:rFonts w:ascii="宋体" w:hAnsi="宋体" w:cs="宋体" w:eastAsia="宋体" w:hint="default"/>
                            <w:sz w:val="18"/>
                            <w:szCs w:val="18"/>
                          </w:rPr>
                          <w:t>募集资金投资项 目实施方式调整 情况</w:t>
                        </w:r>
                      </w:p>
                    </w:tc>
                    <w:tc>
                      <w:tcPr>
                        <w:tcW w:w="8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募集资金投资项 目先期投入及置 换情况</w:t>
                        </w:r>
                      </w:p>
                    </w:tc>
                    <w:tc>
                      <w:tcPr>
                        <w:tcW w:w="8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9"/>
                          <w:jc w:val="both"/>
                          <w:rPr>
                            <w:rFonts w:ascii="宋体" w:hAnsi="宋体" w:cs="宋体" w:eastAsia="宋体" w:hint="default"/>
                            <w:sz w:val="18"/>
                            <w:szCs w:val="18"/>
                          </w:rPr>
                        </w:pPr>
                        <w:r>
                          <w:rPr>
                            <w:rFonts w:ascii="宋体" w:hAnsi="宋体" w:cs="宋体" w:eastAsia="宋体" w:hint="default"/>
                            <w:sz w:val="18"/>
                            <w:szCs w:val="18"/>
                          </w:rPr>
                          <w:t>用闲置募集资金 暂时补充流动资 金情况</w:t>
                        </w:r>
                      </w:p>
                    </w:tc>
                    <w:tc>
                      <w:tcPr>
                        <w:tcW w:w="8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项目实施出现募 集资金结余的金 额及原因</w:t>
                        </w:r>
                      </w:p>
                    </w:tc>
                    <w:tc>
                      <w:tcPr>
                        <w:tcW w:w="8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9"/>
                          <w:jc w:val="left"/>
                          <w:rPr>
                            <w:rFonts w:ascii="宋体" w:hAnsi="宋体" w:cs="宋体" w:eastAsia="宋体" w:hint="default"/>
                            <w:sz w:val="18"/>
                            <w:szCs w:val="18"/>
                          </w:rPr>
                        </w:pPr>
                        <w:r>
                          <w:rPr>
                            <w:rFonts w:ascii="宋体" w:hAnsi="宋体" w:cs="宋体" w:eastAsia="宋体" w:hint="default"/>
                            <w:sz w:val="18"/>
                            <w:szCs w:val="18"/>
                          </w:rPr>
                          <w:t>尚未使用的募集 资金用途及去向</w:t>
                        </w:r>
                      </w:p>
                    </w:tc>
                    <w:tc>
                      <w:tcPr>
                        <w:tcW w:w="80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以活期存款或定期存单形式存储于经批准的银行募集资金账户中。</w:t>
                        </w:r>
                      </w:p>
                    </w:tc>
                  </w:tr>
                  <w:tr>
                    <w:trPr>
                      <w:trHeight w:val="1026"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89"/>
                          <w:jc w:val="both"/>
                          <w:rPr>
                            <w:rFonts w:ascii="宋体" w:hAnsi="宋体" w:cs="宋体" w:eastAsia="宋体" w:hint="default"/>
                            <w:sz w:val="18"/>
                            <w:szCs w:val="18"/>
                          </w:rPr>
                        </w:pPr>
                        <w:r>
                          <w:rPr>
                            <w:rFonts w:ascii="宋体" w:hAnsi="宋体" w:cs="宋体" w:eastAsia="宋体" w:hint="default"/>
                            <w:sz w:val="18"/>
                            <w:szCs w:val="18"/>
                          </w:rPr>
                          <w:t>募集资金使用及 披露中存在的问 题或其他情况</w:t>
                        </w:r>
                      </w:p>
                    </w:tc>
                    <w:tc>
                      <w:tcPr>
                        <w:tcW w:w="80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报告期内，不存在此情况。</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0" w:right="1131" w:firstLine="0"/>
        <w:jc w:val="right"/>
        <w:rPr>
          <w:rFonts w:ascii="宋体" w:hAnsi="宋体" w:cs="宋体" w:eastAsia="宋体" w:hint="default"/>
          <w:sz w:val="18"/>
          <w:szCs w:val="18"/>
        </w:rPr>
      </w:pPr>
      <w:r>
        <w:rPr/>
        <w:pict>
          <v:shape style="position:absolute;margin-left:56.459999pt;margin-top:-488.25827pt;width:479.35pt;height:636.8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1133"/>
                    <w:gridCol w:w="1006"/>
                    <w:gridCol w:w="912"/>
                    <w:gridCol w:w="910"/>
                    <w:gridCol w:w="826"/>
                    <w:gridCol w:w="1008"/>
                    <w:gridCol w:w="869"/>
                    <w:gridCol w:w="816"/>
                    <w:gridCol w:w="958"/>
                  </w:tblGrid>
                  <w:tr>
                    <w:trPr>
                      <w:trHeight w:val="94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472" w:right="111"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92" w:right="108"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变更后项目</w:t>
                        </w:r>
                      </w:p>
                      <w:p>
                        <w:pPr>
                          <w:pStyle w:val="TableParagraph"/>
                          <w:spacing w:line="232" w:lineRule="exact" w:before="24"/>
                          <w:ind w:left="40" w:right="53"/>
                          <w:jc w:val="center"/>
                          <w:rPr>
                            <w:rFonts w:ascii="宋体" w:hAnsi="宋体" w:cs="宋体" w:eastAsia="宋体" w:hint="default"/>
                            <w:sz w:val="18"/>
                            <w:szCs w:val="18"/>
                          </w:rPr>
                        </w:pPr>
                        <w:r>
                          <w:rPr>
                            <w:rFonts w:ascii="宋体" w:hAnsi="宋体" w:cs="宋体" w:eastAsia="宋体" w:hint="default"/>
                            <w:sz w:val="18"/>
                            <w:szCs w:val="18"/>
                          </w:rPr>
                          <w:t>拟投入募集 资金总额 </w:t>
                        </w:r>
                        <w:r>
                          <w:rPr>
                            <w:rFonts w:ascii="宋体" w:hAnsi="宋体" w:cs="宋体" w:eastAsia="宋体" w:hint="default"/>
                            <w:sz w:val="18"/>
                            <w:szCs w:val="18"/>
                          </w:rPr>
                          <w:t>(1)</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9"/>
                          <w:ind w:left="86" w:right="95"/>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截至期末</w:t>
                        </w:r>
                      </w:p>
                      <w:p>
                        <w:pPr>
                          <w:pStyle w:val="TableParagraph"/>
                          <w:spacing w:line="232" w:lineRule="exact" w:before="24"/>
                          <w:ind w:left="91" w:right="86"/>
                          <w:jc w:val="center"/>
                          <w:rPr>
                            <w:rFonts w:ascii="宋体" w:hAnsi="宋体" w:cs="宋体" w:eastAsia="宋体" w:hint="default"/>
                            <w:sz w:val="18"/>
                            <w:szCs w:val="18"/>
                          </w:rPr>
                        </w:pPr>
                        <w:r>
                          <w:rPr>
                            <w:rFonts w:ascii="宋体" w:hAnsi="宋体" w:cs="宋体" w:eastAsia="宋体" w:hint="default"/>
                            <w:sz w:val="18"/>
                            <w:szCs w:val="18"/>
                          </w:rPr>
                          <w:t>实际累计 投入金额 </w:t>
                        </w:r>
                        <w:r>
                          <w:rPr>
                            <w:rFonts w:ascii="宋体" w:hAnsi="宋体" w:cs="宋体" w:eastAsia="宋体" w:hint="default"/>
                            <w:sz w:val="18"/>
                            <w:szCs w:val="18"/>
                          </w:rPr>
                          <w:t>(2)</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7" w:right="0"/>
                          <w:jc w:val="left"/>
                          <w:rPr>
                            <w:rFonts w:ascii="宋体" w:hAnsi="宋体" w:cs="宋体" w:eastAsia="宋体" w:hint="default"/>
                            <w:sz w:val="18"/>
                            <w:szCs w:val="18"/>
                          </w:rPr>
                        </w:pPr>
                        <w:r>
                          <w:rPr>
                            <w:rFonts w:ascii="宋体" w:hAnsi="宋体" w:cs="宋体" w:eastAsia="宋体" w:hint="default"/>
                            <w:sz w:val="18"/>
                            <w:szCs w:val="18"/>
                          </w:rPr>
                          <w:t>截至期末</w:t>
                        </w:r>
                      </w:p>
                      <w:p>
                        <w:pPr>
                          <w:pStyle w:val="TableParagraph"/>
                          <w:spacing w:line="232" w:lineRule="exact" w:before="24"/>
                          <w:ind w:left="91" w:right="46" w:hanging="44"/>
                          <w:jc w:val="left"/>
                          <w:rPr>
                            <w:rFonts w:ascii="宋体" w:hAnsi="宋体" w:cs="宋体" w:eastAsia="宋体" w:hint="default"/>
                            <w:sz w:val="18"/>
                            <w:szCs w:val="18"/>
                          </w:rPr>
                        </w:pPr>
                        <w:r>
                          <w:rPr>
                            <w:rFonts w:ascii="宋体" w:hAnsi="宋体" w:cs="宋体" w:eastAsia="宋体" w:hint="default"/>
                            <w:sz w:val="18"/>
                            <w:szCs w:val="18"/>
                          </w:rPr>
                          <w:t>投资进度 </w:t>
                        </w:r>
                        <w:r>
                          <w:rPr>
                            <w:rFonts w:ascii="宋体" w:hAnsi="宋体" w:cs="宋体" w:eastAsia="宋体" w:hint="default"/>
                            <w:sz w:val="18"/>
                            <w:szCs w:val="18"/>
                          </w:rPr>
                          <w:t>(%)(3)=</w:t>
                        </w:r>
                      </w:p>
                      <w:p>
                        <w:pPr>
                          <w:pStyle w:val="TableParagraph"/>
                          <w:spacing w:line="212" w:lineRule="exact"/>
                          <w:ind w:left="91" w:right="0"/>
                          <w:jc w:val="left"/>
                          <w:rPr>
                            <w:rFonts w:ascii="宋体" w:hAnsi="宋体" w:cs="宋体" w:eastAsia="宋体" w:hint="default"/>
                            <w:sz w:val="18"/>
                            <w:szCs w:val="18"/>
                          </w:rPr>
                        </w:pPr>
                        <w:r>
                          <w:rPr>
                            <w:rFonts w:ascii="宋体"/>
                            <w:sz w:val="18"/>
                          </w:rPr>
                          <w:t>(2)/(1)</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9"/>
                          <w:ind w:left="50" w:right="47"/>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9"/>
                          <w:ind w:left="69" w:right="68"/>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43" w:right="41"/>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变更后的项</w:t>
                        </w:r>
                      </w:p>
                      <w:p>
                        <w:pPr>
                          <w:pStyle w:val="TableParagraph"/>
                          <w:spacing w:line="232" w:lineRule="exact" w:before="24"/>
                          <w:ind w:left="23" w:right="23"/>
                          <w:jc w:val="center"/>
                          <w:rPr>
                            <w:rFonts w:ascii="宋体" w:hAnsi="宋体" w:cs="宋体" w:eastAsia="宋体" w:hint="default"/>
                            <w:sz w:val="18"/>
                            <w:szCs w:val="18"/>
                          </w:rPr>
                        </w:pPr>
                        <w:r>
                          <w:rPr>
                            <w:rFonts w:ascii="宋体" w:hAnsi="宋体" w:cs="宋体" w:eastAsia="宋体" w:hint="default"/>
                            <w:sz w:val="18"/>
                            <w:szCs w:val="18"/>
                          </w:rPr>
                          <w:t>目可行性是 否发生重大 变化</w:t>
                        </w:r>
                      </w:p>
                    </w:tc>
                  </w:tr>
                  <w:tr>
                    <w:trPr>
                      <w:trHeight w:val="1027"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新增建筑智 能化业务营 运资金</w:t>
                        </w:r>
                      </w:p>
                    </w:tc>
                    <w:tc>
                      <w:tcPr>
                        <w:tcW w:w="11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197"/>
                          <w:jc w:val="both"/>
                          <w:rPr>
                            <w:rFonts w:ascii="宋体" w:hAnsi="宋体" w:cs="宋体" w:eastAsia="宋体" w:hint="default"/>
                            <w:sz w:val="18"/>
                            <w:szCs w:val="18"/>
                          </w:rPr>
                        </w:pPr>
                        <w:r>
                          <w:rPr>
                            <w:rFonts w:ascii="宋体" w:hAnsi="宋体" w:cs="宋体" w:eastAsia="宋体" w:hint="default"/>
                            <w:sz w:val="18"/>
                            <w:szCs w:val="18"/>
                          </w:rPr>
                          <w:t>新增建筑智 能化业务营 运资金</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3"/>
                          <w:jc w:val="right"/>
                          <w:rPr>
                            <w:rFonts w:ascii="宋体" w:hAnsi="宋体" w:cs="宋体" w:eastAsia="宋体" w:hint="default"/>
                            <w:sz w:val="18"/>
                            <w:szCs w:val="18"/>
                          </w:rPr>
                        </w:pPr>
                        <w:r>
                          <w:rPr>
                            <w:rFonts w:ascii="宋体"/>
                            <w:sz w:val="18"/>
                          </w:rPr>
                          <w:t>8,100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3,094.73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8,092.94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1" w:right="0"/>
                          <w:jc w:val="left"/>
                          <w:rPr>
                            <w:rFonts w:ascii="宋体" w:hAnsi="宋体" w:cs="宋体" w:eastAsia="宋体" w:hint="default"/>
                            <w:sz w:val="18"/>
                            <w:szCs w:val="18"/>
                          </w:rPr>
                        </w:pPr>
                        <w:r>
                          <w:rPr>
                            <w:rFonts w:ascii="宋体"/>
                            <w:sz w:val="18"/>
                          </w:rPr>
                          <w:t>99.91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06</w:t>
                        </w:r>
                      </w:p>
                      <w:p>
                        <w:pPr>
                          <w:pStyle w:val="TableParagraph"/>
                          <w:spacing w:line="240" w:lineRule="auto" w:before="74"/>
                          <w:ind w:left="18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1"/>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201"/>
                          <w:jc w:val="both"/>
                          <w:rPr>
                            <w:rFonts w:ascii="宋体" w:hAnsi="宋体" w:cs="宋体" w:eastAsia="宋体" w:hint="default"/>
                            <w:sz w:val="18"/>
                            <w:szCs w:val="18"/>
                          </w:rPr>
                        </w:pPr>
                        <w:r>
                          <w:rPr>
                            <w:rFonts w:ascii="宋体" w:hAnsi="宋体" w:cs="宋体" w:eastAsia="宋体" w:hint="default"/>
                            <w:sz w:val="18"/>
                            <w:szCs w:val="18"/>
                          </w:rPr>
                          <w:t>基于城市能 源监测管理 平台的建筑 节能服务项 目</w:t>
                        </w:r>
                      </w:p>
                    </w:tc>
                    <w:tc>
                      <w:tcPr>
                        <w:tcW w:w="11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3" w:right="197"/>
                          <w:jc w:val="both"/>
                          <w:rPr>
                            <w:rFonts w:ascii="宋体" w:hAnsi="宋体" w:cs="宋体" w:eastAsia="宋体" w:hint="default"/>
                            <w:sz w:val="18"/>
                            <w:szCs w:val="18"/>
                          </w:rPr>
                        </w:pPr>
                        <w:r>
                          <w:rPr>
                            <w:rFonts w:ascii="宋体" w:hAnsi="宋体" w:cs="宋体" w:eastAsia="宋体" w:hint="default"/>
                            <w:sz w:val="18"/>
                            <w:szCs w:val="18"/>
                          </w:rPr>
                          <w:t>基于城市能 源监测管理 平台的建筑 节能服务项 目</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z w:val="18"/>
                          </w:rPr>
                          <w:t>5,956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1,821.9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3,062.25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sz w:val="18"/>
                          </w:rPr>
                          <w:t>51.41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06</w:t>
                        </w:r>
                      </w:p>
                      <w:p>
                        <w:pPr>
                          <w:pStyle w:val="TableParagraph"/>
                          <w:spacing w:line="240" w:lineRule="auto" w:before="77"/>
                          <w:ind w:left="18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406.07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公司研发中 心建设项目</w:t>
                        </w:r>
                      </w:p>
                    </w:tc>
                    <w:tc>
                      <w:tcPr>
                        <w:tcW w:w="11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公司研发中 心建设项目</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z w:val="18"/>
                          </w:rPr>
                          <w:t>1,538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313.37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1,077.39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sz w:val="18"/>
                          </w:rPr>
                          <w:t>70.05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03</w:t>
                        </w:r>
                      </w:p>
                      <w:p>
                        <w:pPr>
                          <w:pStyle w:val="TableParagraph"/>
                          <w:spacing w:line="240" w:lineRule="auto" w:before="74"/>
                          <w:ind w:left="18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15,594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5,230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12,232.58</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sz w:val="18"/>
                          </w:rPr>
                          <w:t>--</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406.07</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4307" w:hRule="exact"/>
                    </w:trPr>
                    <w:tc>
                      <w:tcPr>
                        <w:tcW w:w="3273" w:type="dxa"/>
                        <w:gridSpan w:val="3"/>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2"/>
                            <w:sz w:val="18"/>
                            <w:szCs w:val="18"/>
                          </w:rPr>
                          <w:t>变更原因、决策程序及信息披露情况说明</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分具体项目</w:t>
                        </w:r>
                        <w:r>
                          <w:rPr>
                            <w:rFonts w:ascii="宋体" w:hAnsi="宋体" w:cs="宋体" w:eastAsia="宋体" w:hint="default"/>
                            <w:sz w:val="18"/>
                            <w:szCs w:val="18"/>
                          </w:rPr>
                          <w:t>)</w:t>
                        </w:r>
                      </w:p>
                    </w:tc>
                    <w:tc>
                      <w:tcPr>
                        <w:tcW w:w="6299" w:type="dxa"/>
                        <w:gridSpan w:val="7"/>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11" w:right="23" w:firstLine="360"/>
                          <w:jc w:val="both"/>
                          <w:rPr>
                            <w:rFonts w:ascii="宋体" w:hAnsi="宋体" w:cs="宋体" w:eastAsia="宋体" w:hint="default"/>
                            <w:sz w:val="18"/>
                            <w:szCs w:val="18"/>
                          </w:rPr>
                        </w:pPr>
                        <w:r>
                          <w:rPr>
                            <w:rFonts w:ascii="宋体" w:hAnsi="宋体" w:cs="宋体" w:eastAsia="宋体" w:hint="default"/>
                            <w:sz w:val="18"/>
                            <w:szCs w:val="18"/>
                          </w:rPr>
                          <w:t>由于公司收购的全资子公司拥有建筑面积为</w:t>
                        </w:r>
                        <w:r>
                          <w:rPr>
                            <w:rFonts w:ascii="宋体" w:hAnsi="宋体" w:cs="宋体" w:eastAsia="宋体" w:hint="default"/>
                            <w:spacing w:val="-46"/>
                            <w:sz w:val="18"/>
                            <w:szCs w:val="18"/>
                          </w:rPr>
                          <w:t> </w:t>
                        </w:r>
                        <w:r>
                          <w:rPr>
                            <w:rFonts w:ascii="宋体" w:hAnsi="宋体" w:cs="宋体" w:eastAsia="宋体" w:hint="default"/>
                            <w:sz w:val="18"/>
                            <w:szCs w:val="18"/>
                          </w:rPr>
                          <w:t>18627.28</w:t>
                        </w:r>
                        <w:r>
                          <w:rPr>
                            <w:rFonts w:ascii="宋体" w:hAnsi="宋体" w:cs="宋体" w:eastAsia="宋体" w:hint="default"/>
                            <w:spacing w:val="-44"/>
                            <w:sz w:val="18"/>
                            <w:szCs w:val="18"/>
                          </w:rPr>
                          <w:t> </w:t>
                        </w:r>
                        <w:r>
                          <w:rPr>
                            <w:rFonts w:ascii="宋体" w:hAnsi="宋体" w:cs="宋体" w:eastAsia="宋体" w:hint="default"/>
                            <w:sz w:val="18"/>
                            <w:szCs w:val="18"/>
                          </w:rPr>
                          <w:t>㎡的自有物业，且与 </w:t>
                        </w:r>
                        <w:r>
                          <w:rPr>
                            <w:rFonts w:ascii="宋体" w:hAnsi="宋体" w:cs="宋体" w:eastAsia="宋体" w:hint="default"/>
                            <w:spacing w:val="-2"/>
                            <w:sz w:val="18"/>
                            <w:szCs w:val="18"/>
                          </w:rPr>
                          <w:t>公司现有办公场地相邻，公司将募集资金投资项目的实施地点由购买财富大厦第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宋体" w:hAnsi="宋体" w:cs="宋体" w:eastAsia="宋体" w:hint="default"/>
                            <w:sz w:val="18"/>
                            <w:szCs w:val="18"/>
                          </w:rPr>
                          <w:t>52E</w:t>
                        </w:r>
                        <w:r>
                          <w:rPr>
                            <w:rFonts w:ascii="宋体" w:hAnsi="宋体" w:cs="宋体" w:eastAsia="宋体" w:hint="default"/>
                            <w:sz w:val="18"/>
                            <w:szCs w:val="18"/>
                          </w:rPr>
                          <w:t>、</w:t>
                        </w:r>
                        <w:r>
                          <w:rPr>
                            <w:rFonts w:ascii="宋体" w:hAnsi="宋体" w:cs="宋体" w:eastAsia="宋体" w:hint="default"/>
                            <w:sz w:val="18"/>
                            <w:szCs w:val="18"/>
                          </w:rPr>
                          <w:t>53B</w:t>
                        </w:r>
                        <w:r>
                          <w:rPr>
                            <w:rFonts w:ascii="宋体" w:hAnsi="宋体" w:cs="宋体" w:eastAsia="宋体" w:hint="default"/>
                            <w:spacing w:val="-47"/>
                            <w:sz w:val="18"/>
                            <w:szCs w:val="18"/>
                          </w:rPr>
                          <w:t> </w:t>
                        </w:r>
                        <w:r>
                          <w:rPr>
                            <w:rFonts w:ascii="宋体" w:hAnsi="宋体" w:cs="宋体" w:eastAsia="宋体" w:hint="default"/>
                            <w:sz w:val="18"/>
                            <w:szCs w:val="18"/>
                          </w:rPr>
                          <w:t>部分单元变更为租赁子公司物业。其中：</w:t>
                        </w:r>
                      </w:p>
                      <w:p>
                        <w:pPr>
                          <w:pStyle w:val="TableParagraph"/>
                          <w:spacing w:line="319" w:lineRule="auto" w:before="59"/>
                          <w:ind w:left="11" w:right="63" w:firstLine="36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、基于城市能源监测管理平台的建筑节能服务项目实施场地由购买变更为 租赁后，节余的资金</w:t>
                        </w:r>
                        <w:r>
                          <w:rPr>
                            <w:rFonts w:ascii="宋体" w:hAnsi="宋体" w:cs="宋体" w:eastAsia="宋体" w:hint="default"/>
                            <w:spacing w:val="-46"/>
                            <w:sz w:val="18"/>
                            <w:szCs w:val="18"/>
                          </w:rPr>
                          <w:t> </w:t>
                        </w:r>
                        <w:r>
                          <w:rPr>
                            <w:rFonts w:ascii="宋体" w:hAnsi="宋体" w:cs="宋体" w:eastAsia="宋体" w:hint="default"/>
                            <w:sz w:val="18"/>
                            <w:szCs w:val="18"/>
                          </w:rPr>
                          <w:t>1,286.65</w:t>
                        </w:r>
                        <w:r>
                          <w:rPr>
                            <w:rFonts w:ascii="宋体" w:hAnsi="宋体" w:cs="宋体" w:eastAsia="宋体" w:hint="default"/>
                            <w:spacing w:val="-46"/>
                            <w:sz w:val="18"/>
                            <w:szCs w:val="18"/>
                          </w:rPr>
                          <w:t> </w:t>
                        </w:r>
                        <w:r>
                          <w:rPr>
                            <w:rFonts w:ascii="宋体" w:hAnsi="宋体" w:cs="宋体" w:eastAsia="宋体" w:hint="default"/>
                            <w:sz w:val="18"/>
                            <w:szCs w:val="18"/>
                          </w:rPr>
                          <w:t>万元用于补充本项目的管理节能系统与节能改造 系统的设备投资及办公场地改造与装修；</w:t>
                        </w:r>
                      </w:p>
                      <w:p>
                        <w:pPr>
                          <w:pStyle w:val="TableParagraph"/>
                          <w:spacing w:line="316" w:lineRule="auto" w:before="58"/>
                          <w:ind w:left="11" w:right="63"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、公司研发中心建设项目实施场地由购买变更为租赁后，节余的资金用于 追加本项目办公场地装修及改造费用</w:t>
                        </w:r>
                        <w:r>
                          <w:rPr>
                            <w:rFonts w:ascii="宋体" w:hAnsi="宋体" w:cs="宋体" w:eastAsia="宋体" w:hint="default"/>
                            <w:spacing w:val="-45"/>
                            <w:sz w:val="18"/>
                            <w:szCs w:val="18"/>
                          </w:rPr>
                          <w:t> </w:t>
                        </w:r>
                        <w:r>
                          <w:rPr>
                            <w:rFonts w:ascii="宋体" w:hAnsi="宋体" w:cs="宋体" w:eastAsia="宋体" w:hint="default"/>
                            <w:sz w:val="18"/>
                            <w:szCs w:val="18"/>
                          </w:rPr>
                          <w:t>432</w:t>
                        </w:r>
                        <w:r>
                          <w:rPr>
                            <w:rFonts w:ascii="宋体" w:hAnsi="宋体" w:cs="宋体" w:eastAsia="宋体" w:hint="default"/>
                            <w:spacing w:val="-45"/>
                            <w:sz w:val="18"/>
                            <w:szCs w:val="18"/>
                          </w:rPr>
                          <w:t> </w:t>
                        </w:r>
                        <w:r>
                          <w:rPr>
                            <w:rFonts w:ascii="宋体" w:hAnsi="宋体" w:cs="宋体" w:eastAsia="宋体" w:hint="default"/>
                            <w:sz w:val="18"/>
                            <w:szCs w:val="18"/>
                          </w:rPr>
                          <w:t>万元及补充“新增建筑智能化业务营 运资金”2,100</w:t>
                        </w:r>
                        <w:r>
                          <w:rPr>
                            <w:rFonts w:ascii="宋体" w:hAnsi="宋体" w:cs="宋体" w:eastAsia="宋体" w:hint="default"/>
                            <w:spacing w:val="-45"/>
                            <w:sz w:val="18"/>
                            <w:szCs w:val="18"/>
                          </w:rPr>
                          <w:t> </w:t>
                        </w:r>
                        <w:r>
                          <w:rPr>
                            <w:rFonts w:ascii="宋体" w:hAnsi="宋体" w:cs="宋体" w:eastAsia="宋体" w:hint="default"/>
                            <w:sz w:val="18"/>
                            <w:szCs w:val="18"/>
                          </w:rPr>
                          <w:t>万元；</w:t>
                        </w:r>
                      </w:p>
                      <w:p>
                        <w:pPr>
                          <w:pStyle w:val="TableParagraph"/>
                          <w:spacing w:line="316" w:lineRule="auto" w:before="57"/>
                          <w:ind w:left="11" w:right="62" w:firstLine="36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、新增建筑智能化业务营运资金的投资金额增加</w:t>
                        </w:r>
                        <w:r>
                          <w:rPr>
                            <w:rFonts w:ascii="宋体" w:hAnsi="宋体" w:cs="宋体" w:eastAsia="宋体" w:hint="default"/>
                            <w:spacing w:val="-46"/>
                            <w:sz w:val="18"/>
                            <w:szCs w:val="18"/>
                          </w:rPr>
                          <w:t> </w:t>
                        </w:r>
                        <w:r>
                          <w:rPr>
                            <w:rFonts w:ascii="宋体" w:hAnsi="宋体" w:cs="宋体" w:eastAsia="宋体" w:hint="default"/>
                            <w:sz w:val="18"/>
                            <w:szCs w:val="18"/>
                          </w:rPr>
                          <w:t>2,100</w:t>
                        </w:r>
                        <w:r>
                          <w:rPr>
                            <w:rFonts w:ascii="宋体" w:hAnsi="宋体" w:cs="宋体" w:eastAsia="宋体" w:hint="default"/>
                            <w:spacing w:val="-45"/>
                            <w:sz w:val="18"/>
                            <w:szCs w:val="18"/>
                          </w:rPr>
                          <w:t> </w:t>
                        </w:r>
                        <w:r>
                          <w:rPr>
                            <w:rFonts w:ascii="宋体" w:hAnsi="宋体" w:cs="宋体" w:eastAsia="宋体" w:hint="default"/>
                            <w:sz w:val="18"/>
                            <w:szCs w:val="18"/>
                          </w:rPr>
                          <w:t>万，是由于公司研 发中心建设项目实施场地由购买变更为租赁后，节余的资金转入所致。</w:t>
                        </w:r>
                      </w:p>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上述变更情况已经公司</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会审议通过，相关内容刊登于</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日《证券时报》和巨潮资讯网。</w:t>
                        </w:r>
                      </w:p>
                    </w:tc>
                  </w:tr>
                  <w:tr>
                    <w:trPr>
                      <w:trHeight w:val="3682" w:hRule="exact"/>
                    </w:trPr>
                    <w:tc>
                      <w:tcPr>
                        <w:tcW w:w="3273" w:type="dxa"/>
                        <w:gridSpan w:val="3"/>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68"/>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 因</w:t>
                        </w:r>
                        <w:r>
                          <w:rPr>
                            <w:rFonts w:ascii="宋体" w:hAnsi="宋体" w:cs="宋体" w:eastAsia="宋体" w:hint="default"/>
                            <w:sz w:val="18"/>
                            <w:szCs w:val="18"/>
                          </w:rPr>
                          <w:t>(</w:t>
                        </w:r>
                        <w:r>
                          <w:rPr>
                            <w:rFonts w:ascii="宋体" w:hAnsi="宋体" w:cs="宋体" w:eastAsia="宋体" w:hint="default"/>
                            <w:sz w:val="18"/>
                            <w:szCs w:val="18"/>
                          </w:rPr>
                          <w:t>分具体项目</w:t>
                        </w:r>
                        <w:r>
                          <w:rPr>
                            <w:rFonts w:ascii="宋体" w:hAnsi="宋体" w:cs="宋体" w:eastAsia="宋体" w:hint="default"/>
                            <w:sz w:val="18"/>
                            <w:szCs w:val="18"/>
                          </w:rPr>
                          <w:t>)</w:t>
                        </w:r>
                      </w:p>
                    </w:tc>
                    <w:tc>
                      <w:tcPr>
                        <w:tcW w:w="6299" w:type="dxa"/>
                        <w:gridSpan w:val="7"/>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、基于城市能源监测管理平台的建筑节能服务项目</w:t>
                        </w:r>
                      </w:p>
                      <w:p>
                        <w:pPr>
                          <w:pStyle w:val="TableParagraph"/>
                          <w:spacing w:line="240" w:lineRule="auto" w:before="115"/>
                          <w:ind w:left="37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年度，因新签项目开工延期及项目管理的原因，导致了该项目资金使</w:t>
                        </w:r>
                      </w:p>
                      <w:p>
                        <w:pPr>
                          <w:pStyle w:val="TableParagraph"/>
                          <w:spacing w:line="319" w:lineRule="auto" w:before="76"/>
                          <w:ind w:left="11" w:right="107"/>
                          <w:jc w:val="left"/>
                          <w:rPr>
                            <w:rFonts w:ascii="宋体" w:hAnsi="宋体" w:cs="宋体" w:eastAsia="宋体" w:hint="default"/>
                            <w:sz w:val="18"/>
                            <w:szCs w:val="18"/>
                          </w:rPr>
                        </w:pPr>
                        <w:r>
                          <w:rPr>
                            <w:rFonts w:ascii="宋体" w:hAnsi="宋体" w:cs="宋体" w:eastAsia="宋体" w:hint="default"/>
                            <w:spacing w:val="-6"/>
                            <w:sz w:val="18"/>
                            <w:szCs w:val="18"/>
                          </w:rPr>
                          <w:t>用滞后。根据与客户沟通后的项目进度及业务拓展情况，预计</w:t>
                        </w:r>
                        <w:r>
                          <w:rPr>
                            <w:rFonts w:ascii="宋体" w:hAnsi="宋体" w:cs="宋体" w:eastAsia="宋体" w:hint="default"/>
                            <w:spacing w:val="-41"/>
                            <w:sz w:val="18"/>
                            <w:szCs w:val="18"/>
                          </w:rPr>
                          <w:t> </w:t>
                        </w: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30</w:t>
                        </w:r>
                        <w:r>
                          <w:rPr>
                            <w:rFonts w:ascii="宋体" w:hAnsi="宋体" w:cs="宋体" w:eastAsia="宋体" w:hint="default"/>
                            <w:spacing w:val="-41"/>
                            <w:sz w:val="18"/>
                            <w:szCs w:val="18"/>
                          </w:rPr>
                          <w:t> </w:t>
                        </w:r>
                        <w:r>
                          <w:rPr>
                            <w:rFonts w:ascii="宋体" w:hAnsi="宋体" w:cs="宋体" w:eastAsia="宋体" w:hint="default"/>
                            <w:sz w:val="18"/>
                            <w:szCs w:val="18"/>
                          </w:rPr>
                          <w:t>日 该项目承诺的募集资金投资总额可以如期使用完毕。</w:t>
                        </w:r>
                      </w:p>
                      <w:p>
                        <w:pPr>
                          <w:pStyle w:val="TableParagraph"/>
                          <w:spacing w:line="316" w:lineRule="auto" w:before="58"/>
                          <w:ind w:left="11" w:right="107" w:firstLine="360"/>
                          <w:jc w:val="left"/>
                          <w:rPr>
                            <w:rFonts w:ascii="宋体" w:hAnsi="宋体" w:cs="宋体" w:eastAsia="宋体" w:hint="default"/>
                            <w:sz w:val="18"/>
                            <w:szCs w:val="18"/>
                          </w:rPr>
                        </w:pPr>
                        <w:r>
                          <w:rPr>
                            <w:rFonts w:ascii="宋体" w:hAnsi="宋体" w:cs="宋体" w:eastAsia="宋体" w:hint="default"/>
                            <w:w w:val="95"/>
                            <w:sz w:val="18"/>
                            <w:szCs w:val="18"/>
                          </w:rPr>
                          <w:t>2</w:t>
                        </w:r>
                        <w:r>
                          <w:rPr>
                            <w:rFonts w:ascii="宋体" w:hAnsi="宋体" w:cs="宋体" w:eastAsia="宋体" w:hint="default"/>
                            <w:w w:val="95"/>
                            <w:sz w:val="18"/>
                            <w:szCs w:val="18"/>
                          </w:rPr>
                          <w:t>、公司研发中心建设项目</w:t>
                        </w:r>
                        <w:r>
                          <w:rPr>
                            <w:rFonts w:ascii="宋体" w:hAnsi="宋体" w:cs="宋体" w:eastAsia="宋体" w:hint="default"/>
                            <w:w w:val="95"/>
                            <w:sz w:val="18"/>
                            <w:szCs w:val="18"/>
                          </w:rPr>
                          <w:t>’</w:t>
                        </w:r>
                        <w:r>
                          <w:rPr>
                            <w:rFonts w:ascii="宋体" w:hAnsi="宋体" w:cs="宋体" w:eastAsia="宋体" w:hint="default"/>
                            <w:w w:val="95"/>
                            <w:sz w:val="18"/>
                            <w:szCs w:val="18"/>
                          </w:rPr>
                          <w:t>按照投资金额，该项目完工进度为</w:t>
                        </w:r>
                        <w:r>
                          <w:rPr>
                            <w:rFonts w:ascii="宋体" w:hAnsi="宋体" w:cs="宋体" w:eastAsia="宋体" w:hint="default"/>
                            <w:spacing w:val="25"/>
                            <w:w w:val="95"/>
                            <w:sz w:val="18"/>
                            <w:szCs w:val="18"/>
                          </w:rPr>
                          <w:t> </w:t>
                        </w:r>
                        <w:r>
                          <w:rPr>
                            <w:rFonts w:ascii="宋体" w:hAnsi="宋体" w:cs="宋体" w:eastAsia="宋体" w:hint="default"/>
                            <w:w w:val="95"/>
                            <w:sz w:val="18"/>
                            <w:szCs w:val="18"/>
                          </w:rPr>
                          <w:t>70.05%</w:t>
                        </w:r>
                        <w:r>
                          <w:rPr>
                            <w:rFonts w:ascii="宋体" w:hAnsi="宋体" w:cs="宋体" w:eastAsia="宋体" w:hint="default"/>
                            <w:w w:val="95"/>
                            <w:sz w:val="18"/>
                            <w:szCs w:val="18"/>
                          </w:rPr>
                          <w:t>，落</w:t>
                        </w:r>
                        <w:r>
                          <w:rPr>
                            <w:rFonts w:ascii="宋体" w:hAnsi="宋体" w:cs="宋体" w:eastAsia="宋体" w:hint="default"/>
                            <w:sz w:val="18"/>
                            <w:szCs w:val="18"/>
                          </w:rPr>
                          <w:t> 后于原计划的投资进度。主要原因是：</w:t>
                        </w:r>
                      </w:p>
                      <w:p>
                        <w:pPr>
                          <w:pStyle w:val="TableParagraph"/>
                          <w:spacing w:line="316" w:lineRule="auto" w:before="57"/>
                          <w:ind w:left="11" w:right="-2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）由于该项目的实施地点、募集资金投资计划均进行了调整与变更，且 变更后的实施场地因装修进度延迟等原因，使本项目的投资进度未能及时完成；</w:t>
                        </w:r>
                      </w:p>
                      <w:p>
                        <w:pPr>
                          <w:pStyle w:val="TableParagraph"/>
                          <w:spacing w:line="316" w:lineRule="auto" w:before="59"/>
                          <w:ind w:left="11" w:right="2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年公司对研发组织及研发体系进行了优化，结构调整影响了本项 目的投资进度。</w:t>
                        </w:r>
                      </w:p>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截止到</w:t>
                        </w:r>
                        <w:r>
                          <w:rPr>
                            <w:rFonts w:ascii="宋体" w:hAnsi="宋体" w:cs="宋体" w:eastAsia="宋体" w:hint="default"/>
                            <w:spacing w:val="-43"/>
                            <w:sz w:val="18"/>
                            <w:szCs w:val="18"/>
                          </w:rPr>
                          <w:t> </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pacing w:val="-3"/>
                            <w:sz w:val="18"/>
                            <w:szCs w:val="18"/>
                          </w:rPr>
                          <w:t>日，该项目已达到可使用状态，公司已对此项目做结</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340" w:top="1100" w:bottom="1540" w:left="980" w:right="0"/>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772384" type="#_x0000_t75" stroked="false">
            <v:imagedata r:id="rId6" o:title=""/>
          </v:shape>
        </w:pict>
      </w:r>
    </w:p>
    <w:tbl>
      <w:tblPr>
        <w:tblW w:w="0" w:type="auto"/>
        <w:jc w:val="left"/>
        <w:tblInd w:w="149" w:type="dxa"/>
        <w:tblLayout w:type="fixed"/>
        <w:tblCellMar>
          <w:top w:w="0" w:type="dxa"/>
          <w:left w:w="0" w:type="dxa"/>
          <w:bottom w:w="0" w:type="dxa"/>
          <w:right w:w="0" w:type="dxa"/>
        </w:tblCellMar>
        <w:tblLook w:val="01E0"/>
      </w:tblPr>
      <w:tblGrid>
        <w:gridCol w:w="3261"/>
        <w:gridCol w:w="6311"/>
      </w:tblGrid>
      <w:tr>
        <w:trPr>
          <w:trHeight w:val="675"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1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4" w:right="22"/>
              <w:jc w:val="left"/>
              <w:rPr>
                <w:rFonts w:ascii="宋体" w:hAnsi="宋体" w:cs="宋体" w:eastAsia="宋体" w:hint="default"/>
                <w:sz w:val="18"/>
                <w:szCs w:val="18"/>
              </w:rPr>
            </w:pPr>
            <w:r>
              <w:rPr>
                <w:rFonts w:ascii="宋体" w:hAnsi="宋体" w:cs="宋体" w:eastAsia="宋体" w:hint="default"/>
                <w:spacing w:val="-2"/>
                <w:sz w:val="18"/>
                <w:szCs w:val="18"/>
              </w:rPr>
              <w:t>余处理。具体内容详见《关于募集资金投资项目结余并用于其他募集资金投资项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目的公告》，详见</w:t>
            </w:r>
            <w:r>
              <w:rPr>
                <w:rFonts w:ascii="宋体" w:hAnsi="宋体" w:cs="宋体" w:eastAsia="宋体" w:hint="default"/>
                <w:spacing w:val="-43"/>
                <w:sz w:val="18"/>
                <w:szCs w:val="18"/>
              </w:rPr>
              <w:t> </w:t>
            </w:r>
            <w:r>
              <w:rPr>
                <w:rFonts w:ascii="宋体" w:hAnsi="宋体" w:cs="宋体" w:eastAsia="宋体" w:hint="default"/>
                <w:sz w:val="18"/>
                <w:szCs w:val="18"/>
              </w:rPr>
              <w:t>2013</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2"/>
                <w:sz w:val="18"/>
                <w:szCs w:val="18"/>
              </w:rPr>
              <w:t> </w:t>
            </w:r>
            <w:r>
              <w:rPr>
                <w:rFonts w:ascii="宋体" w:hAnsi="宋体" w:cs="宋体" w:eastAsia="宋体" w:hint="default"/>
                <w:spacing w:val="-1"/>
                <w:sz w:val="18"/>
                <w:szCs w:val="18"/>
              </w:rPr>
              <w:t>日《证券时报》及巨潮资讯网。</w:t>
            </w:r>
          </w:p>
        </w:tc>
      </w:tr>
      <w:tr>
        <w:trPr>
          <w:trHeight w:val="71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 况说明</w:t>
            </w:r>
          </w:p>
        </w:tc>
        <w:tc>
          <w:tcPr>
            <w:tcW w:w="631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变更后，项目可行性未发生重大变化。</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841"/>
        <w:gridCol w:w="995"/>
        <w:gridCol w:w="1008"/>
        <w:gridCol w:w="941"/>
        <w:gridCol w:w="944"/>
        <w:gridCol w:w="943"/>
        <w:gridCol w:w="943"/>
        <w:gridCol w:w="944"/>
        <w:gridCol w:w="943"/>
      </w:tblGrid>
      <w:tr>
        <w:trPr>
          <w:trHeight w:val="70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69"/>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1345" w:hRule="exact"/>
        </w:trPr>
        <w:tc>
          <w:tcPr>
            <w:tcW w:w="10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达实自动化</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2" w:right="62"/>
              <w:jc w:val="left"/>
              <w:rPr>
                <w:rFonts w:ascii="宋体" w:hAnsi="宋体" w:cs="宋体" w:eastAsia="宋体" w:hint="default"/>
                <w:sz w:val="18"/>
                <w:szCs w:val="18"/>
              </w:rPr>
            </w:pPr>
            <w:r>
              <w:rPr>
                <w:rFonts w:ascii="宋体" w:hAnsi="宋体" w:cs="宋体" w:eastAsia="宋体" w:hint="default"/>
                <w:sz w:val="18"/>
                <w:szCs w:val="18"/>
              </w:rPr>
              <w:t>建筑智能化 安防行业</w:t>
            </w:r>
          </w:p>
        </w:tc>
        <w:tc>
          <w:tcPr>
            <w:tcW w:w="10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3"/>
              <w:ind w:left="24" w:right="26"/>
              <w:jc w:val="left"/>
              <w:rPr>
                <w:rFonts w:ascii="宋体" w:hAnsi="宋体" w:cs="宋体" w:eastAsia="宋体" w:hint="default"/>
                <w:sz w:val="18"/>
                <w:szCs w:val="18"/>
              </w:rPr>
            </w:pPr>
            <w:r>
              <w:rPr>
                <w:rFonts w:ascii="宋体" w:hAnsi="宋体" w:cs="宋体" w:eastAsia="宋体" w:hint="default"/>
                <w:sz w:val="18"/>
                <w:szCs w:val="18"/>
              </w:rPr>
              <w:t>楼宇自动 化、</w:t>
            </w:r>
            <w:r>
              <w:rPr>
                <w:rFonts w:ascii="Times New Roman" w:hAnsi="Times New Roman" w:cs="Times New Roman" w:eastAsia="Times New Roman" w:hint="default"/>
                <w:sz w:val="18"/>
                <w:szCs w:val="18"/>
              </w:rPr>
              <w:t>IC </w:t>
            </w:r>
            <w:r>
              <w:rPr>
                <w:rFonts w:ascii="宋体" w:hAnsi="宋体" w:cs="宋体" w:eastAsia="宋体" w:hint="default"/>
                <w:sz w:val="18"/>
                <w:szCs w:val="18"/>
              </w:rPr>
              <w:t>卡读 写设备与终 端产品。</w:t>
            </w:r>
          </w:p>
        </w:tc>
        <w:tc>
          <w:tcPr>
            <w:tcW w:w="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7"/>
              <w:jc w:val="right"/>
              <w:rPr>
                <w:rFonts w:ascii="宋体" w:hAnsi="宋体" w:cs="宋体" w:eastAsia="宋体" w:hint="default"/>
                <w:sz w:val="18"/>
                <w:szCs w:val="18"/>
              </w:rPr>
            </w:pPr>
            <w:r>
              <w:rPr>
                <w:rFonts w:ascii="宋体"/>
                <w:spacing w:val="-1"/>
                <w:sz w:val="18"/>
              </w:rPr>
              <w:t>6,702,170</w:t>
            </w:r>
          </w:p>
          <w:p>
            <w:pPr>
              <w:pStyle w:val="TableParagraph"/>
              <w:spacing w:line="240" w:lineRule="auto" w:before="76"/>
              <w:ind w:right="14"/>
              <w:jc w:val="right"/>
              <w:rPr>
                <w:rFonts w:ascii="宋体" w:hAnsi="宋体" w:cs="宋体" w:eastAsia="宋体" w:hint="default"/>
                <w:sz w:val="18"/>
                <w:szCs w:val="18"/>
              </w:rPr>
            </w:pPr>
            <w:r>
              <w:rPr>
                <w:rFonts w:ascii="宋体"/>
                <w:sz w:val="18"/>
              </w:rPr>
              <w:t>.19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9"/>
              <w:jc w:val="right"/>
              <w:rPr>
                <w:rFonts w:ascii="宋体" w:hAnsi="宋体" w:cs="宋体" w:eastAsia="宋体" w:hint="default"/>
                <w:sz w:val="18"/>
                <w:szCs w:val="18"/>
              </w:rPr>
            </w:pPr>
            <w:r>
              <w:rPr>
                <w:rFonts w:ascii="宋体"/>
                <w:spacing w:val="-1"/>
                <w:sz w:val="18"/>
              </w:rPr>
              <w:t>5,326,996</w:t>
            </w:r>
          </w:p>
          <w:p>
            <w:pPr>
              <w:pStyle w:val="TableParagraph"/>
              <w:spacing w:line="240" w:lineRule="auto" w:before="76"/>
              <w:ind w:right="17"/>
              <w:jc w:val="right"/>
              <w:rPr>
                <w:rFonts w:ascii="宋体" w:hAnsi="宋体" w:cs="宋体" w:eastAsia="宋体" w:hint="default"/>
                <w:sz w:val="18"/>
                <w:szCs w:val="18"/>
              </w:rPr>
            </w:pPr>
            <w:r>
              <w:rPr>
                <w:rFonts w:ascii="宋体"/>
                <w:sz w:val="18"/>
              </w:rPr>
              <w:t>.85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0" w:right="0"/>
              <w:jc w:val="left"/>
              <w:rPr>
                <w:rFonts w:ascii="宋体" w:hAnsi="宋体" w:cs="宋体" w:eastAsia="宋体" w:hint="default"/>
                <w:sz w:val="18"/>
                <w:szCs w:val="18"/>
              </w:rPr>
            </w:pPr>
            <w:r>
              <w:rPr>
                <w:rFonts w:ascii="宋体"/>
                <w:sz w:val="18"/>
              </w:rPr>
              <w:t>11,319,95</w:t>
            </w:r>
          </w:p>
          <w:p>
            <w:pPr>
              <w:pStyle w:val="TableParagraph"/>
              <w:spacing w:line="240" w:lineRule="auto" w:before="76"/>
              <w:ind w:left="551" w:right="0"/>
              <w:jc w:val="left"/>
              <w:rPr>
                <w:rFonts w:ascii="宋体" w:hAnsi="宋体" w:cs="宋体" w:eastAsia="宋体" w:hint="default"/>
                <w:sz w:val="18"/>
                <w:szCs w:val="18"/>
              </w:rPr>
            </w:pPr>
            <w:r>
              <w:rPr>
                <w:rFonts w:ascii="宋体"/>
                <w:sz w:val="18"/>
              </w:rPr>
              <w:t>7.65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9"/>
              <w:jc w:val="right"/>
              <w:rPr>
                <w:rFonts w:ascii="宋体" w:hAnsi="宋体" w:cs="宋体" w:eastAsia="宋体" w:hint="default"/>
                <w:sz w:val="18"/>
                <w:szCs w:val="18"/>
              </w:rPr>
            </w:pPr>
            <w:r>
              <w:rPr>
                <w:rFonts w:ascii="宋体"/>
                <w:spacing w:val="-1"/>
                <w:sz w:val="18"/>
              </w:rPr>
              <w:t>629,381.2</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9"/>
              <w:jc w:val="right"/>
              <w:rPr>
                <w:rFonts w:ascii="宋体" w:hAnsi="宋体" w:cs="宋体" w:eastAsia="宋体" w:hint="default"/>
                <w:sz w:val="18"/>
                <w:szCs w:val="18"/>
              </w:rPr>
            </w:pPr>
            <w:r>
              <w:rPr>
                <w:rFonts w:ascii="宋体"/>
                <w:spacing w:val="-1"/>
                <w:sz w:val="18"/>
              </w:rPr>
              <w:t>554,124.3</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达实信息</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建筑智能化 安防行业</w:t>
            </w:r>
          </w:p>
        </w:tc>
        <w:tc>
          <w:tcPr>
            <w:tcW w:w="10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49"/>
              <w:ind w:left="24"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卡读写设</w:t>
            </w:r>
            <w:r>
              <w:rPr>
                <w:rFonts w:ascii="宋体" w:hAnsi="宋体" w:cs="宋体" w:eastAsia="宋体" w:hint="default"/>
                <w:w w:val="99"/>
                <w:sz w:val="18"/>
                <w:szCs w:val="18"/>
              </w:rPr>
              <w:t> </w:t>
            </w:r>
            <w:r>
              <w:rPr>
                <w:rFonts w:ascii="宋体" w:hAnsi="宋体" w:cs="宋体" w:eastAsia="宋体" w:hint="default"/>
                <w:sz w:val="18"/>
                <w:szCs w:val="18"/>
              </w:rPr>
              <w:t>备与终端产</w:t>
            </w:r>
            <w:r>
              <w:rPr>
                <w:rFonts w:ascii="宋体" w:hAnsi="宋体" w:cs="宋体" w:eastAsia="宋体" w:hint="default"/>
                <w:w w:val="99"/>
                <w:sz w:val="18"/>
                <w:szCs w:val="18"/>
              </w:rPr>
              <w:t> </w:t>
            </w:r>
            <w:r>
              <w:rPr>
                <w:rFonts w:ascii="宋体" w:hAnsi="宋体" w:cs="宋体" w:eastAsia="宋体" w:hint="default"/>
                <w:sz w:val="18"/>
                <w:szCs w:val="18"/>
              </w:rPr>
              <w:t>品</w:t>
            </w:r>
          </w:p>
        </w:tc>
        <w:tc>
          <w:tcPr>
            <w:tcW w:w="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87,244,87</w:t>
            </w:r>
          </w:p>
          <w:p>
            <w:pPr>
              <w:pStyle w:val="TableParagraph"/>
              <w:spacing w:line="240" w:lineRule="auto" w:before="76"/>
              <w:ind w:left="554" w:right="0"/>
              <w:jc w:val="left"/>
              <w:rPr>
                <w:rFonts w:ascii="宋体" w:hAnsi="宋体" w:cs="宋体" w:eastAsia="宋体" w:hint="default"/>
                <w:sz w:val="18"/>
                <w:szCs w:val="18"/>
              </w:rPr>
            </w:pPr>
            <w:r>
              <w:rPr>
                <w:rFonts w:ascii="宋体"/>
                <w:sz w:val="18"/>
              </w:rPr>
              <w:t>0.23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20,043,67</w:t>
            </w:r>
          </w:p>
          <w:p>
            <w:pPr>
              <w:pStyle w:val="TableParagraph"/>
              <w:spacing w:line="240" w:lineRule="auto" w:before="76"/>
              <w:ind w:left="552" w:right="0"/>
              <w:jc w:val="left"/>
              <w:rPr>
                <w:rFonts w:ascii="宋体" w:hAnsi="宋体" w:cs="宋体" w:eastAsia="宋体" w:hint="default"/>
                <w:sz w:val="18"/>
                <w:szCs w:val="18"/>
              </w:rPr>
            </w:pPr>
            <w:r>
              <w:rPr>
                <w:rFonts w:ascii="宋体"/>
                <w:sz w:val="18"/>
              </w:rPr>
              <w:t>8.22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79,290,24</w:t>
            </w:r>
          </w:p>
          <w:p>
            <w:pPr>
              <w:pStyle w:val="TableParagraph"/>
              <w:spacing w:line="240" w:lineRule="auto" w:before="76"/>
              <w:ind w:left="551" w:right="0"/>
              <w:jc w:val="left"/>
              <w:rPr>
                <w:rFonts w:ascii="宋体" w:hAnsi="宋体" w:cs="宋体" w:eastAsia="宋体" w:hint="default"/>
                <w:sz w:val="18"/>
                <w:szCs w:val="18"/>
              </w:rPr>
            </w:pPr>
            <w:r>
              <w:rPr>
                <w:rFonts w:ascii="宋体"/>
                <w:sz w:val="18"/>
              </w:rPr>
              <w:t>4.32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sz w:val="18"/>
              </w:rPr>
              <w:t>18,450,61</w:t>
            </w:r>
          </w:p>
          <w:p>
            <w:pPr>
              <w:pStyle w:val="TableParagraph"/>
              <w:spacing w:line="240" w:lineRule="auto" w:before="76"/>
              <w:ind w:left="552" w:right="0"/>
              <w:jc w:val="left"/>
              <w:rPr>
                <w:rFonts w:ascii="宋体" w:hAnsi="宋体" w:cs="宋体" w:eastAsia="宋体" w:hint="default"/>
                <w:sz w:val="18"/>
                <w:szCs w:val="18"/>
              </w:rPr>
            </w:pPr>
            <w:r>
              <w:rPr>
                <w:rFonts w:ascii="宋体"/>
                <w:sz w:val="18"/>
              </w:rPr>
              <w:t>0.03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15,869,97</w:t>
            </w:r>
          </w:p>
          <w:p>
            <w:pPr>
              <w:pStyle w:val="TableParagraph"/>
              <w:spacing w:line="240" w:lineRule="auto" w:before="76"/>
              <w:ind w:left="551" w:right="0"/>
              <w:jc w:val="left"/>
              <w:rPr>
                <w:rFonts w:ascii="宋体" w:hAnsi="宋体" w:cs="宋体" w:eastAsia="宋体" w:hint="default"/>
                <w:sz w:val="18"/>
                <w:szCs w:val="18"/>
              </w:rPr>
            </w:pPr>
            <w:r>
              <w:rPr>
                <w:rFonts w:ascii="宋体"/>
                <w:sz w:val="18"/>
              </w:rPr>
              <w:t>6.10</w:t>
            </w:r>
          </w:p>
        </w:tc>
      </w:tr>
      <w:tr>
        <w:trPr>
          <w:trHeight w:val="754" w:hRule="exact"/>
        </w:trPr>
        <w:tc>
          <w:tcPr>
            <w:tcW w:w="10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达实德润</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70"/>
              <w:ind w:left="22" w:right="62"/>
              <w:jc w:val="left"/>
              <w:rPr>
                <w:rFonts w:ascii="宋体" w:hAnsi="宋体" w:cs="宋体" w:eastAsia="宋体" w:hint="default"/>
                <w:sz w:val="18"/>
                <w:szCs w:val="18"/>
              </w:rPr>
            </w:pPr>
            <w:r>
              <w:rPr>
                <w:rFonts w:ascii="宋体" w:hAnsi="宋体" w:cs="宋体" w:eastAsia="宋体" w:hint="default"/>
                <w:sz w:val="18"/>
                <w:szCs w:val="18"/>
              </w:rPr>
              <w:t>绿色建筑咨 询认证服务</w:t>
            </w:r>
          </w:p>
        </w:tc>
        <w:tc>
          <w:tcPr>
            <w:tcW w:w="10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70"/>
              <w:ind w:left="24" w:right="72"/>
              <w:jc w:val="left"/>
              <w:rPr>
                <w:rFonts w:ascii="宋体" w:hAnsi="宋体" w:cs="宋体" w:eastAsia="宋体" w:hint="default"/>
                <w:sz w:val="18"/>
                <w:szCs w:val="18"/>
              </w:rPr>
            </w:pPr>
            <w:r>
              <w:rPr>
                <w:rFonts w:ascii="宋体" w:hAnsi="宋体" w:cs="宋体" w:eastAsia="宋体" w:hint="default"/>
                <w:sz w:val="18"/>
                <w:szCs w:val="18"/>
              </w:rPr>
              <w:t>绿色建筑咨 询认证服务</w:t>
            </w:r>
          </w:p>
        </w:tc>
        <w:tc>
          <w:tcPr>
            <w:tcW w:w="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273.9726</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sz w:val="18"/>
              </w:rPr>
              <w:t>16,179,78</w:t>
            </w:r>
          </w:p>
          <w:p>
            <w:pPr>
              <w:pStyle w:val="TableParagraph"/>
              <w:spacing w:line="240" w:lineRule="auto" w:before="74"/>
              <w:ind w:left="554" w:right="0"/>
              <w:jc w:val="left"/>
              <w:rPr>
                <w:rFonts w:ascii="宋体" w:hAnsi="宋体" w:cs="宋体" w:eastAsia="宋体" w:hint="default"/>
                <w:sz w:val="18"/>
                <w:szCs w:val="18"/>
              </w:rPr>
            </w:pPr>
            <w:r>
              <w:rPr>
                <w:rFonts w:ascii="宋体"/>
                <w:sz w:val="18"/>
              </w:rPr>
              <w:t>3.77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0" w:right="0"/>
              <w:jc w:val="left"/>
              <w:rPr>
                <w:rFonts w:ascii="宋体" w:hAnsi="宋体" w:cs="宋体" w:eastAsia="宋体" w:hint="default"/>
                <w:sz w:val="18"/>
                <w:szCs w:val="18"/>
              </w:rPr>
            </w:pPr>
            <w:r>
              <w:rPr>
                <w:rFonts w:ascii="宋体"/>
                <w:sz w:val="18"/>
              </w:rPr>
              <w:t>14,761,69</w:t>
            </w:r>
          </w:p>
          <w:p>
            <w:pPr>
              <w:pStyle w:val="TableParagraph"/>
              <w:spacing w:line="240" w:lineRule="auto" w:before="74"/>
              <w:ind w:left="552" w:right="0"/>
              <w:jc w:val="left"/>
              <w:rPr>
                <w:rFonts w:ascii="宋体" w:hAnsi="宋体" w:cs="宋体" w:eastAsia="宋体" w:hint="default"/>
                <w:sz w:val="18"/>
                <w:szCs w:val="18"/>
              </w:rPr>
            </w:pPr>
            <w:r>
              <w:rPr>
                <w:rFonts w:ascii="宋体"/>
                <w:sz w:val="18"/>
              </w:rPr>
              <w:t>1.34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8"/>
                <w:szCs w:val="18"/>
              </w:rPr>
            </w:pPr>
            <w:r>
              <w:rPr>
                <w:rFonts w:ascii="宋体"/>
                <w:spacing w:val="-1"/>
                <w:sz w:val="18"/>
              </w:rPr>
              <w:t>6,373,932</w:t>
            </w:r>
          </w:p>
          <w:p>
            <w:pPr>
              <w:pStyle w:val="TableParagraph"/>
              <w:spacing w:line="240" w:lineRule="auto" w:before="74"/>
              <w:ind w:right="17"/>
              <w:jc w:val="right"/>
              <w:rPr>
                <w:rFonts w:ascii="宋体" w:hAnsi="宋体" w:cs="宋体" w:eastAsia="宋体" w:hint="default"/>
                <w:sz w:val="18"/>
                <w:szCs w:val="18"/>
              </w:rPr>
            </w:pPr>
            <w:r>
              <w:rPr>
                <w:rFonts w:ascii="宋体"/>
                <w:sz w:val="18"/>
              </w:rPr>
              <w:t>.87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8"/>
                <w:szCs w:val="18"/>
              </w:rPr>
            </w:pPr>
            <w:r>
              <w:rPr>
                <w:rFonts w:ascii="宋体"/>
                <w:spacing w:val="-1"/>
                <w:sz w:val="18"/>
              </w:rPr>
              <w:t>1,045,607</w:t>
            </w:r>
          </w:p>
          <w:p>
            <w:pPr>
              <w:pStyle w:val="TableParagraph"/>
              <w:spacing w:line="240" w:lineRule="auto" w:before="74"/>
              <w:ind w:right="17"/>
              <w:jc w:val="right"/>
              <w:rPr>
                <w:rFonts w:ascii="宋体" w:hAnsi="宋体" w:cs="宋体" w:eastAsia="宋体" w:hint="default"/>
                <w:sz w:val="18"/>
                <w:szCs w:val="18"/>
              </w:rPr>
            </w:pPr>
            <w:r>
              <w:rPr>
                <w:rFonts w:ascii="宋体"/>
                <w:sz w:val="18"/>
              </w:rPr>
              <w:t>.29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8"/>
                <w:szCs w:val="18"/>
              </w:rPr>
            </w:pPr>
            <w:r>
              <w:rPr>
                <w:rFonts w:ascii="宋体"/>
                <w:spacing w:val="-1"/>
                <w:sz w:val="18"/>
              </w:rPr>
              <w:t>886,955.2</w:t>
            </w:r>
          </w:p>
          <w:p>
            <w:pPr>
              <w:pStyle w:val="TableParagraph"/>
              <w:spacing w:line="240" w:lineRule="auto" w:before="74"/>
              <w:ind w:right="20"/>
              <w:jc w:val="right"/>
              <w:rPr>
                <w:rFonts w:ascii="宋体" w:hAnsi="宋体" w:cs="宋体" w:eastAsia="宋体" w:hint="default"/>
                <w:sz w:val="18"/>
                <w:szCs w:val="18"/>
              </w:rPr>
            </w:pPr>
            <w:r>
              <w:rPr>
                <w:rFonts w:ascii="宋体"/>
                <w:sz w:val="18"/>
              </w:rPr>
              <w:t>8</w:t>
            </w:r>
          </w:p>
        </w:tc>
      </w:tr>
      <w:tr>
        <w:trPr>
          <w:trHeight w:val="3212" w:hRule="exact"/>
        </w:trPr>
        <w:tc>
          <w:tcPr>
            <w:tcW w:w="10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达实联欣</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2" w:right="62"/>
              <w:jc w:val="left"/>
              <w:rPr>
                <w:rFonts w:ascii="宋体" w:hAnsi="宋体" w:cs="宋体" w:eastAsia="宋体" w:hint="default"/>
                <w:sz w:val="18"/>
                <w:szCs w:val="18"/>
              </w:rPr>
            </w:pPr>
            <w:r>
              <w:rPr>
                <w:rFonts w:ascii="宋体" w:hAnsi="宋体" w:cs="宋体" w:eastAsia="宋体" w:hint="default"/>
                <w:sz w:val="18"/>
                <w:szCs w:val="18"/>
              </w:rPr>
              <w:t>绿色建筑公 用工程服务</w:t>
            </w:r>
          </w:p>
        </w:tc>
        <w:tc>
          <w:tcPr>
            <w:tcW w:w="10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绿色建筑供 电（强电） 系统优化咨 询、工程及 节能服务、 建筑智能化 集成及服 务、建筑节 能工程及节 能服务</w:t>
            </w:r>
          </w:p>
        </w:tc>
        <w:tc>
          <w:tcPr>
            <w:tcW w:w="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sz w:val="18"/>
              </w:rPr>
              <w:t>209,453,6</w:t>
            </w:r>
          </w:p>
          <w:p>
            <w:pPr>
              <w:pStyle w:val="TableParagraph"/>
              <w:spacing w:line="240" w:lineRule="auto" w:before="74"/>
              <w:ind w:left="463" w:right="0"/>
              <w:jc w:val="left"/>
              <w:rPr>
                <w:rFonts w:ascii="宋体" w:hAnsi="宋体" w:cs="宋体" w:eastAsia="宋体" w:hint="default"/>
                <w:sz w:val="18"/>
                <w:szCs w:val="18"/>
              </w:rPr>
            </w:pPr>
            <w:r>
              <w:rPr>
                <w:rFonts w:ascii="宋体"/>
                <w:sz w:val="18"/>
              </w:rPr>
              <w:t>45.49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0" w:right="0"/>
              <w:jc w:val="left"/>
              <w:rPr>
                <w:rFonts w:ascii="宋体" w:hAnsi="宋体" w:cs="宋体" w:eastAsia="宋体" w:hint="default"/>
                <w:sz w:val="18"/>
                <w:szCs w:val="18"/>
              </w:rPr>
            </w:pPr>
            <w:r>
              <w:rPr>
                <w:rFonts w:ascii="宋体"/>
                <w:sz w:val="18"/>
              </w:rPr>
              <w:t>105,855,5</w:t>
            </w:r>
          </w:p>
          <w:p>
            <w:pPr>
              <w:pStyle w:val="TableParagraph"/>
              <w:spacing w:line="240" w:lineRule="auto" w:before="74"/>
              <w:ind w:left="460" w:right="0"/>
              <w:jc w:val="left"/>
              <w:rPr>
                <w:rFonts w:ascii="宋体" w:hAnsi="宋体" w:cs="宋体" w:eastAsia="宋体" w:hint="default"/>
                <w:sz w:val="18"/>
                <w:szCs w:val="18"/>
              </w:rPr>
            </w:pPr>
            <w:r>
              <w:rPr>
                <w:rFonts w:ascii="宋体"/>
                <w:sz w:val="18"/>
              </w:rPr>
              <w:t>83.24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0" w:right="0"/>
              <w:jc w:val="left"/>
              <w:rPr>
                <w:rFonts w:ascii="宋体" w:hAnsi="宋体" w:cs="宋体" w:eastAsia="宋体" w:hint="default"/>
                <w:sz w:val="18"/>
                <w:szCs w:val="18"/>
              </w:rPr>
            </w:pPr>
            <w:r>
              <w:rPr>
                <w:rFonts w:ascii="宋体"/>
                <w:sz w:val="18"/>
              </w:rPr>
              <w:t>177,951,4</w:t>
            </w:r>
          </w:p>
          <w:p>
            <w:pPr>
              <w:pStyle w:val="TableParagraph"/>
              <w:spacing w:line="240" w:lineRule="auto" w:before="74"/>
              <w:ind w:left="460" w:right="0"/>
              <w:jc w:val="left"/>
              <w:rPr>
                <w:rFonts w:ascii="宋体" w:hAnsi="宋体" w:cs="宋体" w:eastAsia="宋体" w:hint="default"/>
                <w:sz w:val="18"/>
                <w:szCs w:val="18"/>
              </w:rPr>
            </w:pPr>
            <w:r>
              <w:rPr>
                <w:rFonts w:ascii="宋体"/>
                <w:sz w:val="18"/>
              </w:rPr>
              <w:t>93.14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1" w:right="0"/>
              <w:jc w:val="left"/>
              <w:rPr>
                <w:rFonts w:ascii="宋体" w:hAnsi="宋体" w:cs="宋体" w:eastAsia="宋体" w:hint="default"/>
                <w:sz w:val="18"/>
                <w:szCs w:val="18"/>
              </w:rPr>
            </w:pPr>
            <w:r>
              <w:rPr>
                <w:rFonts w:ascii="宋体"/>
                <w:sz w:val="18"/>
              </w:rPr>
              <w:t>60,313,06</w:t>
            </w:r>
          </w:p>
          <w:p>
            <w:pPr>
              <w:pStyle w:val="TableParagraph"/>
              <w:spacing w:line="240" w:lineRule="auto" w:before="74"/>
              <w:ind w:left="552" w:right="0"/>
              <w:jc w:val="left"/>
              <w:rPr>
                <w:rFonts w:ascii="宋体" w:hAnsi="宋体" w:cs="宋体" w:eastAsia="宋体" w:hint="default"/>
                <w:sz w:val="18"/>
                <w:szCs w:val="18"/>
              </w:rPr>
            </w:pPr>
            <w:r>
              <w:rPr>
                <w:rFonts w:ascii="宋体"/>
                <w:sz w:val="18"/>
              </w:rPr>
              <w:t>6.47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0" w:right="0"/>
              <w:jc w:val="left"/>
              <w:rPr>
                <w:rFonts w:ascii="宋体" w:hAnsi="宋体" w:cs="宋体" w:eastAsia="宋体" w:hint="default"/>
                <w:sz w:val="18"/>
                <w:szCs w:val="18"/>
              </w:rPr>
            </w:pPr>
            <w:r>
              <w:rPr>
                <w:rFonts w:ascii="宋体"/>
                <w:sz w:val="18"/>
              </w:rPr>
              <w:t>50,508,03</w:t>
            </w:r>
          </w:p>
          <w:p>
            <w:pPr>
              <w:pStyle w:val="TableParagraph"/>
              <w:spacing w:line="240" w:lineRule="auto" w:before="74"/>
              <w:ind w:left="551" w:right="0"/>
              <w:jc w:val="left"/>
              <w:rPr>
                <w:rFonts w:ascii="宋体" w:hAnsi="宋体" w:cs="宋体" w:eastAsia="宋体" w:hint="default"/>
                <w:sz w:val="18"/>
                <w:szCs w:val="18"/>
              </w:rPr>
            </w:pPr>
            <w:r>
              <w:rPr>
                <w:rFonts w:ascii="宋体"/>
                <w:sz w:val="18"/>
              </w:rPr>
              <w:t>1.87</w:t>
            </w:r>
          </w:p>
        </w:tc>
      </w:tr>
    </w:tbl>
    <w:p>
      <w:pPr>
        <w:spacing w:line="357" w:lineRule="auto" w:before="49"/>
        <w:ind w:left="152" w:right="7334" w:firstLine="0"/>
        <w:jc w:val="left"/>
        <w:rPr>
          <w:rFonts w:ascii="宋体" w:hAnsi="宋体" w:cs="宋体" w:eastAsia="宋体" w:hint="default"/>
          <w:sz w:val="18"/>
          <w:szCs w:val="18"/>
        </w:rPr>
      </w:pPr>
      <w:r>
        <w:rPr>
          <w:rFonts w:ascii="宋体" w:hAnsi="宋体" w:cs="宋体" w:eastAsia="宋体" w:hint="default"/>
          <w:sz w:val="18"/>
          <w:szCs w:val="18"/>
        </w:rPr>
        <w:t>注：达实德润、达实联欣为合并期间数据。 主要子公司、参股公司情况说明 报告期内取得和处置子公司的情况</w:t>
      </w:r>
    </w:p>
    <w:p>
      <w:pPr>
        <w:spacing w:before="29"/>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3"/>
        <w:gridCol w:w="4962"/>
        <w:gridCol w:w="1844"/>
        <w:gridCol w:w="1771"/>
      </w:tblGrid>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16"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67" w:right="104" w:hanging="360"/>
              <w:jc w:val="left"/>
              <w:rPr>
                <w:rFonts w:ascii="宋体" w:hAnsi="宋体" w:cs="宋体" w:eastAsia="宋体" w:hint="default"/>
                <w:sz w:val="18"/>
                <w:szCs w:val="18"/>
              </w:rPr>
            </w:pPr>
            <w:r>
              <w:rPr>
                <w:rFonts w:ascii="宋体" w:hAnsi="宋体" w:cs="宋体" w:eastAsia="宋体" w:hint="default"/>
                <w:sz w:val="18"/>
                <w:szCs w:val="18"/>
              </w:rPr>
              <w:t>报告期内取得和处置 子公司方式</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00" w:right="67" w:hanging="629"/>
              <w:jc w:val="left"/>
              <w:rPr>
                <w:rFonts w:ascii="宋体" w:hAnsi="宋体" w:cs="宋体" w:eastAsia="宋体" w:hint="default"/>
                <w:sz w:val="18"/>
                <w:szCs w:val="18"/>
              </w:rPr>
            </w:pPr>
            <w:r>
              <w:rPr>
                <w:rFonts w:ascii="宋体" w:hAnsi="宋体" w:cs="宋体" w:eastAsia="宋体" w:hint="default"/>
                <w:sz w:val="18"/>
                <w:szCs w:val="18"/>
              </w:rPr>
              <w:t>对整体生产和业绩的 影响</w:t>
            </w:r>
          </w:p>
        </w:tc>
      </w:tr>
      <w:tr>
        <w:trPr>
          <w:trHeight w:val="1025" w:hRule="exact"/>
        </w:trPr>
        <w:tc>
          <w:tcPr>
            <w:tcW w:w="9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达实德润</w:t>
            </w:r>
          </w:p>
        </w:tc>
        <w:tc>
          <w:tcPr>
            <w:tcW w:w="49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66"/>
              <w:jc w:val="both"/>
              <w:rPr>
                <w:rFonts w:ascii="宋体" w:hAnsi="宋体" w:cs="宋体" w:eastAsia="宋体" w:hint="default"/>
                <w:sz w:val="18"/>
                <w:szCs w:val="18"/>
              </w:rPr>
            </w:pPr>
            <w:r>
              <w:rPr>
                <w:rFonts w:ascii="宋体" w:hAnsi="宋体" w:cs="宋体" w:eastAsia="宋体" w:hint="default"/>
                <w:sz w:val="18"/>
                <w:szCs w:val="18"/>
              </w:rPr>
              <w:t>提升公司在绿色建筑领域服务于高端用户的咨询顾问能力，延 伸了节能服务范围并与公司节能及智能化业务存在战略协同效 应，打造咨询、设计、实施、投资、服务的节能完整产业链。</w:t>
            </w:r>
          </w:p>
        </w:tc>
        <w:tc>
          <w:tcPr>
            <w:tcW w:w="18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8"/>
              <w:jc w:val="left"/>
              <w:rPr>
                <w:rFonts w:ascii="宋体" w:hAnsi="宋体" w:cs="宋体" w:eastAsia="宋体" w:hint="default"/>
                <w:sz w:val="18"/>
                <w:szCs w:val="18"/>
              </w:rPr>
            </w:pPr>
            <w:r>
              <w:rPr>
                <w:rFonts w:ascii="宋体" w:hAnsi="宋体" w:cs="宋体" w:eastAsia="宋体" w:hint="default"/>
                <w:sz w:val="18"/>
                <w:szCs w:val="18"/>
              </w:rPr>
              <w:t>现金增资及股权转让 取得</w:t>
            </w:r>
          </w:p>
        </w:tc>
        <w:tc>
          <w:tcPr>
            <w:tcW w:w="17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对公司财务状况和经 营成果均产生积极的 影响。</w:t>
            </w:r>
          </w:p>
        </w:tc>
      </w:tr>
      <w:tr>
        <w:trPr>
          <w:trHeight w:val="986" w:hRule="exact"/>
        </w:trPr>
        <w:tc>
          <w:tcPr>
            <w:tcW w:w="9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达实联欣</w:t>
            </w:r>
          </w:p>
        </w:tc>
        <w:tc>
          <w:tcPr>
            <w:tcW w:w="49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66"/>
              <w:jc w:val="both"/>
              <w:rPr>
                <w:rFonts w:ascii="宋体" w:hAnsi="宋体" w:cs="宋体" w:eastAsia="宋体" w:hint="default"/>
                <w:sz w:val="18"/>
                <w:szCs w:val="18"/>
              </w:rPr>
            </w:pPr>
            <w:r>
              <w:rPr>
                <w:rFonts w:ascii="宋体" w:hAnsi="宋体" w:cs="宋体" w:eastAsia="宋体" w:hint="default"/>
                <w:sz w:val="18"/>
                <w:szCs w:val="18"/>
              </w:rPr>
              <w:t>公司现有的建筑智能化（弱电）业务向绿色建筑供电（强电） 系统优化咨询、工程及节能服务方向延伸，能够更好地为客户 提供包括弱电系统、强电系统、机电系统一体化的整体集成服</w:t>
            </w:r>
          </w:p>
        </w:tc>
        <w:tc>
          <w:tcPr>
            <w:tcW w:w="18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股权转让取得</w:t>
            </w:r>
          </w:p>
        </w:tc>
        <w:tc>
          <w:tcPr>
            <w:tcW w:w="17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5"/>
              <w:jc w:val="left"/>
              <w:rPr>
                <w:rFonts w:ascii="宋体" w:hAnsi="宋体" w:cs="宋体" w:eastAsia="宋体" w:hint="default"/>
                <w:sz w:val="18"/>
                <w:szCs w:val="18"/>
              </w:rPr>
            </w:pPr>
            <w:r>
              <w:rPr>
                <w:rFonts w:ascii="宋体" w:hAnsi="宋体" w:cs="宋体" w:eastAsia="宋体" w:hint="default"/>
                <w:sz w:val="18"/>
                <w:szCs w:val="18"/>
              </w:rPr>
              <w:t>对公司财务状况和经 营成果均产生积极的</w:t>
            </w:r>
          </w:p>
        </w:tc>
      </w:tr>
    </w:tbl>
    <w:p>
      <w:pPr>
        <w:spacing w:after="0" w:line="316" w:lineRule="auto"/>
        <w:jc w:val="left"/>
        <w:rPr>
          <w:rFonts w:ascii="宋体" w:hAnsi="宋体" w:cs="宋体" w:eastAsia="宋体" w:hint="default"/>
          <w:sz w:val="18"/>
          <w:szCs w:val="18"/>
        </w:rPr>
        <w:sectPr>
          <w:footerReference w:type="default" r:id="rId12"/>
          <w:pgSz w:w="11910" w:h="16840"/>
          <w:pgMar w:footer="1227" w:header="877" w:top="1100" w:bottom="1420" w:left="980" w:right="0"/>
          <w:pgNumType w:start="22"/>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1264" type="#_x0000_t75" stroked="false">
            <v:imagedata r:id="rId6" o:title=""/>
          </v:shape>
        </w:pict>
      </w:r>
    </w:p>
    <w:tbl>
      <w:tblPr>
        <w:tblW w:w="0" w:type="auto"/>
        <w:jc w:val="left"/>
        <w:tblInd w:w="149" w:type="dxa"/>
        <w:tblLayout w:type="fixed"/>
        <w:tblCellMar>
          <w:top w:w="0" w:type="dxa"/>
          <w:left w:w="0" w:type="dxa"/>
          <w:bottom w:w="0" w:type="dxa"/>
          <w:right w:w="0" w:type="dxa"/>
        </w:tblCellMar>
        <w:tblLook w:val="01E0"/>
      </w:tblPr>
      <w:tblGrid>
        <w:gridCol w:w="993"/>
        <w:gridCol w:w="4962"/>
        <w:gridCol w:w="1844"/>
        <w:gridCol w:w="1771"/>
      </w:tblGrid>
      <w:tr>
        <w:trPr>
          <w:trHeight w:val="675" w:hRule="exact"/>
        </w:trPr>
        <w:tc>
          <w:tcPr>
            <w:tcW w:w="99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49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3" w:right="66"/>
              <w:jc w:val="left"/>
              <w:rPr>
                <w:rFonts w:ascii="宋体" w:hAnsi="宋体" w:cs="宋体" w:eastAsia="宋体" w:hint="default"/>
                <w:sz w:val="18"/>
                <w:szCs w:val="18"/>
              </w:rPr>
            </w:pPr>
            <w:r>
              <w:rPr>
                <w:rFonts w:ascii="宋体" w:hAnsi="宋体" w:cs="宋体" w:eastAsia="宋体" w:hint="default"/>
                <w:sz w:val="18"/>
                <w:szCs w:val="18"/>
              </w:rPr>
              <w:t>务及节能解决方案、增加建筑节能服务手段及范围、加快区域 布局、以业务协同实现快速发展。</w:t>
            </w:r>
          </w:p>
        </w:tc>
        <w:tc>
          <w:tcPr>
            <w:tcW w:w="184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影响。</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七、公司未来发展的展望</w:t>
      </w:r>
      <w:r>
        <w:rPr>
          <w:b w:val="0"/>
          <w:bCs w:val="0"/>
        </w:rPr>
      </w:r>
    </w:p>
    <w:p>
      <w:pPr>
        <w:spacing w:line="240" w:lineRule="auto" w:before="3"/>
        <w:rPr>
          <w:rFonts w:ascii="宋体" w:hAnsi="宋体" w:cs="宋体" w:eastAsia="宋体" w:hint="default"/>
          <w:b/>
          <w:bCs/>
          <w:sz w:val="23"/>
          <w:szCs w:val="23"/>
        </w:rPr>
      </w:pPr>
    </w:p>
    <w:p>
      <w:pPr>
        <w:pStyle w:val="BodyText"/>
        <w:spacing w:line="355" w:lineRule="auto" w:before="0"/>
        <w:ind w:right="1023" w:firstLine="420"/>
        <w:jc w:val="both"/>
      </w:pPr>
      <w:r>
        <w:rPr/>
        <w:t>改革开放</w:t>
      </w:r>
      <w:r>
        <w:rPr>
          <w:rFonts w:ascii="宋体" w:hAnsi="宋体" w:cs="宋体" w:eastAsia="宋体" w:hint="default"/>
        </w:rPr>
        <w:t>35</w:t>
      </w:r>
      <w:r>
        <w:rPr/>
        <w:t>年来的城市化进程，驱动建筑领域相关行业的高增长，技术进步与人们追求舒适、便捷、</w:t>
      </w:r>
      <w:r>
        <w:rPr>
          <w:w w:val="100"/>
        </w:rPr>
        <w:t> </w:t>
      </w:r>
      <w:r>
        <w:rPr>
          <w:spacing w:val="-2"/>
        </w:rPr>
        <w:t>节能的需求，驱动建筑智能化与节能行业的高增长。但显而易见，目前我们处在变革的关口，经济增长和</w:t>
      </w:r>
      <w:r>
        <w:rPr>
          <w:spacing w:val="-47"/>
        </w:rPr>
        <w:t> </w:t>
      </w:r>
      <w:r>
        <w:rPr>
          <w:spacing w:val="-47"/>
        </w:rPr>
      </w:r>
      <w:r>
        <w:rPr>
          <w:spacing w:val="-2"/>
        </w:rPr>
        <w:t>固定资产投资的减速，不可避免地给公司带来发展的压力。另一方面，我们确信，推动行业增长的基础仍</w:t>
      </w:r>
      <w:r>
        <w:rPr>
          <w:spacing w:val="-47"/>
        </w:rPr>
        <w:t> </w:t>
      </w:r>
      <w:r>
        <w:rPr>
          <w:spacing w:val="-47"/>
        </w:rPr>
      </w:r>
      <w:r>
        <w:rPr>
          <w:spacing w:val="-5"/>
        </w:rPr>
        <w:t>然坚实，技术革新、节能减排是未来推动需求结构调整，推动建筑智能化与建筑节能持续增长的两大力量。</w:t>
      </w:r>
    </w:p>
    <w:p>
      <w:pPr>
        <w:pStyle w:val="BodyText"/>
        <w:spacing w:line="357" w:lineRule="auto" w:before="32"/>
        <w:ind w:right="1126" w:firstLine="420"/>
        <w:jc w:val="both"/>
      </w:pPr>
      <w:r>
        <w:rPr>
          <w:rFonts w:ascii="宋体" w:hAnsi="宋体" w:cs="宋体" w:eastAsia="宋体" w:hint="default"/>
          <w:spacing w:val="-2"/>
        </w:rPr>
        <w:t>2013</w:t>
      </w:r>
      <w:r>
        <w:rPr>
          <w:spacing w:val="-2"/>
        </w:rPr>
        <w:t>年，市场的结构化差异预计将会持续，传统业务领域的竞争在行业减速的背景下会更加激烈，从</w:t>
      </w:r>
      <w:r>
        <w:rPr>
          <w:w w:val="100"/>
        </w:rPr>
        <w:t> </w:t>
      </w:r>
      <w:r>
        <w:rPr>
          <w:spacing w:val="-2"/>
        </w:rPr>
        <w:t>而带来经营绩效的下降。但与此同时，“智慧、绿色、节能”的发展趋势，使具有核心技术能力、创新商</w:t>
      </w:r>
      <w:r>
        <w:rPr>
          <w:spacing w:val="-41"/>
        </w:rPr>
        <w:t> </w:t>
      </w:r>
      <w:r>
        <w:rPr>
          <w:spacing w:val="-41"/>
        </w:rPr>
      </w:r>
      <w:r>
        <w:rPr/>
        <w:t>业模式的企业能够取得超出行业增速的发展机会。</w:t>
      </w:r>
    </w:p>
    <w:p>
      <w:pPr>
        <w:pStyle w:val="BodyText"/>
        <w:spacing w:line="355" w:lineRule="auto"/>
        <w:ind w:right="1128" w:firstLine="420"/>
        <w:jc w:val="both"/>
      </w:pPr>
      <w:r>
        <w:rPr>
          <w:spacing w:val="-2"/>
        </w:rPr>
        <w:t>公司在</w:t>
      </w:r>
      <w:r>
        <w:rPr>
          <w:rFonts w:ascii="宋体" w:hAnsi="宋体" w:cs="宋体" w:eastAsia="宋体" w:hint="default"/>
          <w:spacing w:val="-2"/>
        </w:rPr>
        <w:t>2013</w:t>
      </w:r>
      <w:r>
        <w:rPr>
          <w:spacing w:val="-2"/>
        </w:rPr>
        <w:t>年，将继续聚焦于建筑智能化与建筑节能业务，将继续沿着行业进行业务拓展，同时，战</w:t>
      </w:r>
      <w:r>
        <w:rPr>
          <w:w w:val="100"/>
        </w:rPr>
        <w:t> </w:t>
      </w:r>
      <w:r>
        <w:rPr/>
        <w:t>略布局上侧重于产业链与区域并重，管理上侧重于内部协同与管理的精细化。</w:t>
      </w:r>
    </w:p>
    <w:p>
      <w:pPr>
        <w:pStyle w:val="BodyText"/>
        <w:spacing w:line="240" w:lineRule="auto" w:before="32"/>
        <w:ind w:left="573" w:right="1123"/>
        <w:jc w:val="left"/>
      </w:pPr>
      <w:r>
        <w:rPr>
          <w:rFonts w:ascii="宋体" w:hAnsi="宋体" w:cs="宋体" w:eastAsia="宋体" w:hint="default"/>
        </w:rPr>
        <w:t>1</w:t>
      </w:r>
      <w:r>
        <w:rPr/>
        <w:t>、</w:t>
      </w:r>
      <w:r>
        <w:rPr>
          <w:rFonts w:ascii="宋体" w:hAnsi="宋体" w:cs="宋体" w:eastAsia="宋体" w:hint="default"/>
        </w:rPr>
        <w:t>2013</w:t>
      </w:r>
      <w:r>
        <w:rPr/>
        <w:t>年经营计划</w:t>
      </w:r>
    </w:p>
    <w:p>
      <w:pPr>
        <w:pStyle w:val="BodyText"/>
        <w:spacing w:line="355" w:lineRule="auto" w:before="135"/>
        <w:ind w:right="0" w:firstLine="420"/>
        <w:jc w:val="left"/>
      </w:pPr>
      <w:r>
        <w:rPr/>
        <w:t>（</w:t>
      </w:r>
      <w:r>
        <w:rPr>
          <w:rFonts w:ascii="宋体" w:hAnsi="宋体" w:cs="宋体" w:eastAsia="宋体" w:hint="default"/>
        </w:rPr>
        <w:t>1</w:t>
      </w:r>
      <w:r>
        <w:rPr/>
        <w:t>）业务模式与商业模式创新。将建筑智能化的工程业务模式与建筑节能的合同能源管理模式相结</w:t>
      </w:r>
      <w:r>
        <w:rPr>
          <w:w w:val="100"/>
        </w:rPr>
        <w:t> </w:t>
      </w:r>
      <w:r>
        <w:rPr/>
        <w:t>合，将技术与金融相结合，根据用户对风险、融资、资产管理的需求，应客户所需定制不同的业务模式。</w:t>
      </w:r>
      <w:r>
        <w:rPr>
          <w:w w:val="100"/>
        </w:rPr>
        <w:t> </w:t>
      </w:r>
      <w:r>
        <w:rPr>
          <w:spacing w:val="-5"/>
        </w:rPr>
        <w:t>以项目资金流为血液，以系统集成能力为支撑，尝试将融资租赁、项目融资、工程实施与节能服务相结合，</w:t>
      </w:r>
      <w:r>
        <w:rPr>
          <w:spacing w:val="-12"/>
        </w:rPr>
        <w:t> </w:t>
      </w:r>
      <w:r>
        <w:rPr>
          <w:spacing w:val="-12"/>
        </w:rPr>
      </w:r>
      <w:r>
        <w:rPr/>
        <w:t>组建节能融资租赁公司，设计不同的商业模式，形成“工程</w:t>
      </w:r>
      <w:r>
        <w:rPr>
          <w:rFonts w:ascii="宋体" w:hAnsi="宋体" w:cs="宋体" w:eastAsia="宋体" w:hint="default"/>
        </w:rPr>
        <w:t>+</w:t>
      </w:r>
      <w:r>
        <w:rPr/>
        <w:t>服务”、“技术</w:t>
      </w:r>
      <w:r>
        <w:rPr>
          <w:rFonts w:ascii="宋体" w:hAnsi="宋体" w:cs="宋体" w:eastAsia="宋体" w:hint="default"/>
        </w:rPr>
        <w:t>+</w:t>
      </w:r>
      <w:r>
        <w:rPr/>
        <w:t>金融”的新结构。</w:t>
      </w:r>
    </w:p>
    <w:p>
      <w:pPr>
        <w:pStyle w:val="BodyText"/>
        <w:spacing w:line="355" w:lineRule="auto" w:before="35"/>
        <w:ind w:right="1126" w:firstLine="420"/>
        <w:jc w:val="both"/>
      </w:pPr>
      <w:r>
        <w:rPr/>
        <w:t>（</w:t>
      </w:r>
      <w:r>
        <w:rPr>
          <w:rFonts w:ascii="宋体" w:hAnsi="宋体" w:cs="宋体" w:eastAsia="宋体" w:hint="default"/>
        </w:rPr>
        <w:t>2</w:t>
      </w:r>
      <w:r>
        <w:rPr/>
        <w:t>）贯彻聚焦与沿着行业内生发展战略。</w:t>
      </w:r>
      <w:r>
        <w:rPr>
          <w:rFonts w:ascii="宋体" w:hAnsi="宋体" w:cs="宋体" w:eastAsia="宋体" w:hint="default"/>
        </w:rPr>
        <w:t>2013</w:t>
      </w:r>
      <w:r>
        <w:rPr/>
        <w:t>年，公司将继续聚焦于建筑智能化与建筑节能业务，</w:t>
      </w:r>
      <w:r>
        <w:rPr>
          <w:w w:val="100"/>
        </w:rPr>
        <w:t> </w:t>
      </w:r>
      <w:r>
        <w:rPr>
          <w:spacing w:val="-2"/>
        </w:rPr>
        <w:t>专注于形成核心竞争优势，通过聚焦形成在特定细分行业的相对竞争优势，集中力量，使专业化促进规模</w:t>
      </w:r>
      <w:r>
        <w:rPr>
          <w:spacing w:val="-44"/>
        </w:rPr>
        <w:t> </w:t>
      </w:r>
      <w:r>
        <w:rPr>
          <w:spacing w:val="-44"/>
        </w:rPr>
      </w:r>
      <w:r>
        <w:rPr>
          <w:spacing w:val="-2"/>
        </w:rPr>
        <w:t>化。利用轨道交通、酒店与商业综合体、数据中心等细分市场较高的投资强度与景气，实现公司的内生发</w:t>
      </w:r>
      <w:r>
        <w:rPr>
          <w:spacing w:val="-47"/>
        </w:rPr>
        <w:t> </w:t>
      </w:r>
      <w:r>
        <w:rPr>
          <w:spacing w:val="-47"/>
        </w:rPr>
      </w:r>
      <w:r>
        <w:rPr/>
        <w:t>展。</w:t>
      </w:r>
    </w:p>
    <w:p>
      <w:pPr>
        <w:pStyle w:val="BodyText"/>
        <w:spacing w:line="357" w:lineRule="auto" w:before="32"/>
        <w:ind w:right="1131" w:firstLine="420"/>
        <w:jc w:val="both"/>
      </w:pPr>
      <w:r>
        <w:rPr/>
        <w:t>（</w:t>
      </w:r>
      <w:r>
        <w:rPr>
          <w:rFonts w:ascii="宋体" w:hAnsi="宋体" w:cs="宋体" w:eastAsia="宋体" w:hint="default"/>
        </w:rPr>
        <w:t>3</w:t>
      </w:r>
      <w:r>
        <w:rPr/>
        <w:t>）继续行业整合与外延发展。</w:t>
      </w:r>
      <w:r>
        <w:rPr>
          <w:rFonts w:ascii="宋体" w:hAnsi="宋体" w:cs="宋体" w:eastAsia="宋体" w:hint="default"/>
        </w:rPr>
        <w:t>2013</w:t>
      </w:r>
      <w:r>
        <w:rPr/>
        <w:t>年，公司将继续沿着产业链进行行业整合，通过战略联盟、并</w:t>
      </w:r>
      <w:r>
        <w:rPr>
          <w:w w:val="100"/>
        </w:rPr>
        <w:t> </w:t>
      </w:r>
      <w:r>
        <w:rPr>
          <w:spacing w:val="-2"/>
        </w:rPr>
        <w:t>购等方式，完善基于服务的系统集成能力。在发展上借助资本市场平台，寻求横向、纵向的产业投资并购</w:t>
      </w:r>
      <w:r>
        <w:rPr>
          <w:spacing w:val="-50"/>
        </w:rPr>
        <w:t> </w:t>
      </w:r>
      <w:r>
        <w:rPr>
          <w:spacing w:val="-50"/>
        </w:rPr>
      </w:r>
      <w:r>
        <w:rPr/>
        <w:t>机会，从而完成产业布局与区域布局。</w:t>
      </w:r>
    </w:p>
    <w:p>
      <w:pPr>
        <w:pStyle w:val="BodyText"/>
        <w:spacing w:line="357" w:lineRule="auto"/>
        <w:ind w:right="0" w:firstLine="420"/>
        <w:jc w:val="left"/>
      </w:pPr>
      <w:r>
        <w:rPr>
          <w:spacing w:val="-2"/>
        </w:rPr>
        <w:t>（</w:t>
      </w:r>
      <w:r>
        <w:rPr>
          <w:rFonts w:ascii="宋体" w:hAnsi="宋体" w:cs="宋体" w:eastAsia="宋体" w:hint="default"/>
          <w:spacing w:val="-2"/>
        </w:rPr>
        <w:t>4</w:t>
      </w:r>
      <w:r>
        <w:rPr>
          <w:spacing w:val="-2"/>
        </w:rPr>
        <w:t>）加强内部协同。公司建立覆盖咨询、设计、投资、实施、运营的建筑物全生命周期的服务能力，</w:t>
      </w:r>
      <w:r>
        <w:rPr>
          <w:w w:val="100"/>
        </w:rPr>
        <w:t> </w:t>
      </w:r>
      <w:r>
        <w:rPr>
          <w:spacing w:val="-2"/>
        </w:rPr>
        <w:t>对内部不同业务单元之间的协同提出了很高要求。基于效率的事业部制，规模扩张与外延式发展，均使业</w:t>
      </w:r>
      <w:r>
        <w:rPr>
          <w:spacing w:val="-44"/>
        </w:rPr>
        <w:t> </w:t>
      </w:r>
      <w:r>
        <w:rPr>
          <w:spacing w:val="-44"/>
        </w:rPr>
      </w:r>
      <w:r>
        <w:rPr>
          <w:spacing w:val="-2"/>
        </w:rPr>
        <w:t>务协同的难度增加。</w:t>
      </w:r>
      <w:r>
        <w:rPr>
          <w:rFonts w:ascii="宋体" w:hAnsi="宋体" w:cs="宋体" w:eastAsia="宋体" w:hint="default"/>
          <w:spacing w:val="-2"/>
        </w:rPr>
        <w:t>2013</w:t>
      </w:r>
      <w:r>
        <w:rPr>
          <w:spacing w:val="-2"/>
        </w:rPr>
        <w:t>年，公司将积极推进以节能为核心，以客户为中心的技术方案整合，营销方案整</w:t>
      </w:r>
      <w:r>
        <w:rPr>
          <w:spacing w:val="-46"/>
        </w:rPr>
        <w:t> </w:t>
      </w:r>
      <w:r>
        <w:rPr>
          <w:spacing w:val="-46"/>
        </w:rPr>
      </w:r>
      <w:r>
        <w:rPr/>
        <w:t>合，客户资源整合。</w:t>
      </w:r>
    </w:p>
    <w:p>
      <w:pPr>
        <w:pStyle w:val="BodyText"/>
        <w:spacing w:line="240" w:lineRule="auto"/>
        <w:ind w:left="573" w:right="1123"/>
        <w:jc w:val="left"/>
      </w:pPr>
      <w:r>
        <w:rPr/>
        <w:t>（</w:t>
      </w:r>
      <w:r>
        <w:rPr>
          <w:rFonts w:ascii="宋体" w:hAnsi="宋体" w:cs="宋体" w:eastAsia="宋体" w:hint="default"/>
        </w:rPr>
        <w:t>5</w:t>
      </w:r>
      <w:r>
        <w:rPr/>
        <w:t>）加强应收账款催收，提高应收账款周转率，保障健康的现金流与资产结构，以控制经营风险。</w:t>
      </w:r>
    </w:p>
    <w:p>
      <w:pPr>
        <w:pStyle w:val="BodyText"/>
        <w:spacing w:line="357" w:lineRule="auto" w:before="133"/>
        <w:ind w:right="1126" w:firstLine="420"/>
        <w:jc w:val="both"/>
      </w:pPr>
      <w:r>
        <w:rPr/>
        <w:t>（</w:t>
      </w:r>
      <w:r>
        <w:rPr>
          <w:rFonts w:ascii="宋体" w:hAnsi="宋体" w:cs="宋体" w:eastAsia="宋体" w:hint="default"/>
        </w:rPr>
        <w:t>6</w:t>
      </w:r>
      <w:r>
        <w:rPr/>
        <w:t>）精细管理、提高效益。</w:t>
      </w:r>
      <w:r>
        <w:rPr>
          <w:rFonts w:ascii="宋体" w:hAnsi="宋体" w:cs="宋体" w:eastAsia="宋体" w:hint="default"/>
        </w:rPr>
        <w:t>2013</w:t>
      </w:r>
      <w:r>
        <w:rPr/>
        <w:t>年将继续以单位人力资本产出为衡量经营效益的指标，通过精细管</w:t>
      </w:r>
      <w:r>
        <w:rPr>
          <w:w w:val="100"/>
        </w:rPr>
        <w:t> </w:t>
      </w:r>
      <w:r>
        <w:rPr>
          <w:spacing w:val="-2"/>
        </w:rPr>
        <w:t>理，规范业务流程，提高组织效率，降低组织成本，降低毛利率波动、人员费用增加等侵蚀盈利因素的不</w:t>
      </w:r>
      <w:r>
        <w:rPr>
          <w:spacing w:val="-42"/>
        </w:rPr>
        <w:t> </w:t>
      </w:r>
      <w:r>
        <w:rPr>
          <w:spacing w:val="-42"/>
        </w:rPr>
      </w:r>
      <w:r>
        <w:rPr/>
        <w:t>利影响，使公司发展具备可靠基础。</w:t>
      </w:r>
    </w:p>
    <w:p>
      <w:pPr>
        <w:pStyle w:val="BodyText"/>
        <w:spacing w:line="240" w:lineRule="auto"/>
        <w:ind w:left="573" w:right="1123"/>
        <w:jc w:val="left"/>
      </w:pPr>
      <w:r>
        <w:rPr>
          <w:rFonts w:ascii="宋体" w:hAnsi="宋体" w:cs="宋体" w:eastAsia="宋体" w:hint="default"/>
        </w:rPr>
        <w:t>2</w:t>
      </w:r>
      <w:r>
        <w:rPr/>
        <w:t>、面临的风险</w:t>
      </w:r>
    </w:p>
    <w:p>
      <w:pPr>
        <w:spacing w:after="0" w:line="240" w:lineRule="auto"/>
        <w:jc w:val="left"/>
        <w:sectPr>
          <w:pgSz w:w="11910" w:h="16840"/>
          <w:pgMar w:header="877" w:footer="1227" w:top="1100" w:bottom="1420" w:left="980" w:right="0"/>
        </w:sectPr>
      </w:pPr>
    </w:p>
    <w:p>
      <w:pPr>
        <w:spacing w:line="240" w:lineRule="auto" w:before="3"/>
        <w:rPr>
          <w:rFonts w:ascii="宋体" w:hAnsi="宋体" w:cs="宋体" w:eastAsia="宋体" w:hint="default"/>
          <w:sz w:val="19"/>
          <w:szCs w:val="19"/>
        </w:rPr>
      </w:pPr>
    </w:p>
    <w:p>
      <w:pPr>
        <w:pStyle w:val="BodyText"/>
        <w:spacing w:line="357" w:lineRule="auto" w:before="36"/>
        <w:ind w:left="573" w:right="1123"/>
        <w:jc w:val="left"/>
      </w:pPr>
      <w:r>
        <w:rPr/>
        <w:t>（</w:t>
      </w:r>
      <w:r>
        <w:rPr>
          <w:rFonts w:ascii="宋体" w:hAnsi="宋体" w:cs="宋体" w:eastAsia="宋体" w:hint="default"/>
        </w:rPr>
        <w:t>1</w:t>
      </w:r>
      <w:r>
        <w:rPr/>
        <w:t>）应收账款发生坏账的风险</w:t>
      </w:r>
      <w:r>
        <w:rPr>
          <w:w w:val="100"/>
        </w:rPr>
        <w:t> </w:t>
      </w:r>
      <w:r>
        <w:rPr>
          <w:spacing w:val="-2"/>
        </w:rPr>
        <w:t>截止</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日，公司应收账款净额为</w:t>
      </w:r>
      <w:r>
        <w:rPr>
          <w:rFonts w:ascii="宋体" w:hAnsi="宋体" w:cs="宋体" w:eastAsia="宋体" w:hint="default"/>
          <w:spacing w:val="-2"/>
        </w:rPr>
        <w:t>382,434,910.18</w:t>
      </w:r>
      <w:r>
        <w:rPr>
          <w:spacing w:val="-2"/>
        </w:rPr>
        <w:t>，较上年增长</w:t>
      </w:r>
      <w:r>
        <w:rPr>
          <w:rFonts w:ascii="宋体" w:hAnsi="宋体" w:cs="宋体" w:eastAsia="宋体" w:hint="default"/>
          <w:spacing w:val="-2"/>
        </w:rPr>
        <w:t>111.89%</w:t>
      </w:r>
      <w:r>
        <w:rPr>
          <w:spacing w:val="-2"/>
        </w:rPr>
        <w:t>。其中，</w:t>
      </w:r>
      <w:r>
        <w:rPr>
          <w:rFonts w:ascii="宋体" w:hAnsi="宋体" w:cs="宋体" w:eastAsia="宋体" w:hint="default"/>
          <w:spacing w:val="-2"/>
        </w:rPr>
        <w:t>1</w:t>
      </w:r>
      <w:r>
        <w:rPr>
          <w:spacing w:val="-2"/>
        </w:rPr>
        <w:t>年期内的</w:t>
      </w:r>
    </w:p>
    <w:p>
      <w:pPr>
        <w:pStyle w:val="BodyText"/>
        <w:spacing w:line="357" w:lineRule="auto"/>
        <w:ind w:right="1131"/>
        <w:jc w:val="both"/>
      </w:pPr>
      <w:r>
        <w:rPr/>
        <w:t>应收账款所占比例为</w:t>
      </w:r>
      <w:r>
        <w:rPr>
          <w:rFonts w:ascii="宋体" w:hAnsi="宋体" w:cs="宋体" w:eastAsia="宋体" w:hint="default"/>
        </w:rPr>
        <w:t>86.98%</w:t>
      </w:r>
      <w:r>
        <w:rPr/>
        <w:t>，</w:t>
      </w:r>
      <w:r>
        <w:rPr>
          <w:rFonts w:ascii="宋体" w:hAnsi="宋体" w:cs="宋体" w:eastAsia="宋体" w:hint="default"/>
        </w:rPr>
        <w:t>1-2</w:t>
      </w:r>
      <w:r>
        <w:rPr/>
        <w:t>年期内的比例为</w:t>
      </w:r>
      <w:r>
        <w:rPr>
          <w:rFonts w:ascii="宋体" w:hAnsi="宋体" w:cs="宋体" w:eastAsia="宋体" w:hint="default"/>
        </w:rPr>
        <w:t>7.43%</w:t>
      </w:r>
      <w:r>
        <w:rPr/>
        <w:t>，</w:t>
      </w:r>
      <w:r>
        <w:rPr>
          <w:rFonts w:ascii="宋体" w:hAnsi="宋体" w:cs="宋体" w:eastAsia="宋体" w:hint="default"/>
        </w:rPr>
        <w:t>2-3</w:t>
      </w:r>
      <w:r>
        <w:rPr/>
        <w:t>年期内的比例为</w:t>
      </w:r>
      <w:r>
        <w:rPr>
          <w:rFonts w:ascii="宋体" w:hAnsi="宋体" w:cs="宋体" w:eastAsia="宋体" w:hint="default"/>
        </w:rPr>
        <w:t>3.66%</w:t>
      </w:r>
      <w:r>
        <w:rPr/>
        <w:t>，</w:t>
      </w:r>
      <w:r>
        <w:rPr>
          <w:rFonts w:ascii="宋体" w:hAnsi="宋体" w:cs="宋体" w:eastAsia="宋体" w:hint="default"/>
        </w:rPr>
        <w:t>3</w:t>
      </w:r>
      <w:r>
        <w:rPr/>
        <w:t>年期以上的比例为</w:t>
      </w:r>
      <w:r>
        <w:rPr>
          <w:spacing w:val="-33"/>
        </w:rPr>
        <w:t> </w:t>
      </w:r>
      <w:r>
        <w:rPr>
          <w:spacing w:val="-33"/>
        </w:rPr>
      </w:r>
      <w:r>
        <w:rPr>
          <w:rFonts w:ascii="宋体" w:hAnsi="宋体" w:cs="宋体" w:eastAsia="宋体" w:hint="default"/>
        </w:rPr>
        <w:t>1.93%</w:t>
      </w:r>
      <w:r>
        <w:rPr/>
        <w:t>。虽然一年期内的应收账款占比较大，且主要客户的资信状况良好，但若宏观经济环境、客户经营</w:t>
      </w:r>
      <w:r>
        <w:rPr>
          <w:spacing w:val="-29"/>
        </w:rPr>
        <w:t> </w:t>
      </w:r>
      <w:r>
        <w:rPr>
          <w:spacing w:val="-29"/>
        </w:rPr>
      </w:r>
      <w:r>
        <w:rPr/>
        <w:t>状况等发生重大不利变化，将导致公司面临坏账的风险。</w:t>
      </w:r>
    </w:p>
    <w:p>
      <w:pPr>
        <w:pStyle w:val="BodyText"/>
        <w:spacing w:line="355" w:lineRule="auto"/>
        <w:ind w:left="573" w:right="1123"/>
        <w:jc w:val="left"/>
      </w:pPr>
      <w:r>
        <w:rPr/>
        <w:t>（</w:t>
      </w:r>
      <w:r>
        <w:rPr>
          <w:rFonts w:ascii="宋体" w:hAnsi="宋体" w:cs="宋体" w:eastAsia="宋体" w:hint="default"/>
        </w:rPr>
        <w:t>2</w:t>
      </w:r>
      <w:r>
        <w:rPr/>
        <w:t>）公司规模扩大引致的管理风险</w:t>
      </w:r>
      <w:r>
        <w:rPr>
          <w:w w:val="100"/>
        </w:rPr>
        <w:t> </w:t>
      </w:r>
      <w:r>
        <w:rPr>
          <w:rFonts w:ascii="宋体" w:hAnsi="宋体" w:cs="宋体" w:eastAsia="宋体" w:hint="default"/>
          <w:spacing w:val="-2"/>
        </w:rPr>
        <w:t>2012</w:t>
      </w:r>
      <w:r>
        <w:rPr>
          <w:spacing w:val="-2"/>
        </w:rPr>
        <w:t>年度，随着公司业务的发展及并购行为的增多，公司业务规模较大增长。虽然公司通过实施限制</w:t>
      </w:r>
    </w:p>
    <w:p>
      <w:pPr>
        <w:pStyle w:val="BodyText"/>
        <w:spacing w:line="355" w:lineRule="auto" w:before="34"/>
        <w:ind w:right="1105"/>
        <w:jc w:val="both"/>
      </w:pPr>
      <w:r>
        <w:rPr>
          <w:spacing w:val="-2"/>
        </w:rPr>
        <w:t>性股票激励及健全薪酬体系等方式逐渐形成有效的激励机制及内部管理机制，但如果公司不能及时调整、</w:t>
      </w:r>
      <w:r>
        <w:rPr>
          <w:spacing w:val="-21"/>
        </w:rPr>
        <w:t> </w:t>
      </w:r>
      <w:r>
        <w:rPr>
          <w:spacing w:val="-21"/>
        </w:rPr>
      </w:r>
      <w:r>
        <w:rPr>
          <w:spacing w:val="-2"/>
        </w:rPr>
        <w:t>完善管理体制及做好对子公司的监督和管控以满足规模增长产生的人员增加和业务整合的需要，将给公司</w:t>
      </w:r>
      <w:r>
        <w:rPr>
          <w:spacing w:val="-43"/>
        </w:rPr>
        <w:t> </w:t>
      </w:r>
      <w:r>
        <w:rPr>
          <w:spacing w:val="-43"/>
        </w:rPr>
      </w:r>
      <w:r>
        <w:rPr/>
        <w:t>生产经营带来一定的管理风险。</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r>
        <w:rPr/>
        <w:t>八、与上年度财务报告相比，合并报表范围发生变化的情况说明</w:t>
      </w:r>
      <w:r>
        <w:rPr>
          <w:b w:val="0"/>
          <w:bCs w:val="0"/>
        </w:rPr>
      </w:r>
    </w:p>
    <w:p>
      <w:pPr>
        <w:spacing w:line="240" w:lineRule="auto" w:before="3"/>
        <w:rPr>
          <w:rFonts w:ascii="宋体" w:hAnsi="宋体" w:cs="宋体" w:eastAsia="宋体" w:hint="default"/>
          <w:b/>
          <w:bCs/>
          <w:sz w:val="23"/>
          <w:szCs w:val="23"/>
        </w:rPr>
      </w:pPr>
    </w:p>
    <w:p>
      <w:pPr>
        <w:pStyle w:val="BodyText"/>
        <w:spacing w:line="355" w:lineRule="auto" w:before="0"/>
        <w:ind w:left="573" w:right="1123"/>
        <w:jc w:val="left"/>
      </w:pPr>
      <w:r>
        <w:rPr/>
        <w:t>报告期内，公司收购的两家控股子公司，本期纳入合并报告范围，分别是达实德润、达实联欣。</w:t>
      </w:r>
      <w:r>
        <w:rPr>
          <w:w w:val="100"/>
        </w:rPr>
        <w:t> </w:t>
      </w:r>
      <w:r>
        <w:rPr>
          <w:rFonts w:ascii="宋体" w:hAnsi="宋体" w:cs="宋体" w:eastAsia="宋体" w:hint="default"/>
          <w:spacing w:val="-2"/>
        </w:rPr>
        <w:t>1</w:t>
      </w:r>
      <w:r>
        <w:rPr>
          <w:spacing w:val="-2"/>
        </w:rPr>
        <w:t>、公司持有达实德润</w:t>
      </w:r>
      <w:r>
        <w:rPr>
          <w:rFonts w:ascii="宋体" w:hAnsi="宋体" w:cs="宋体" w:eastAsia="宋体" w:hint="default"/>
          <w:spacing w:val="-2"/>
        </w:rPr>
        <w:t>45%</w:t>
      </w:r>
      <w:r>
        <w:rPr>
          <w:spacing w:val="-2"/>
        </w:rPr>
        <w:t>的股权，是其最大的股东，属于相对控股，该公司于</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6</w:t>
      </w:r>
      <w:r>
        <w:rPr>
          <w:spacing w:val="-2"/>
        </w:rPr>
        <w:t>日完成了工</w:t>
      </w:r>
    </w:p>
    <w:p>
      <w:pPr>
        <w:pStyle w:val="BodyText"/>
        <w:spacing w:line="355" w:lineRule="auto" w:before="32"/>
        <w:ind w:left="573" w:right="1123" w:hanging="421"/>
        <w:jc w:val="left"/>
      </w:pPr>
      <w:r>
        <w:rPr/>
        <w:t>商登记变更，报告期内本公司对该公司合并期间为</w:t>
      </w:r>
      <w:r>
        <w:rPr>
          <w:rFonts w:ascii="宋体" w:hAnsi="宋体" w:cs="宋体" w:eastAsia="宋体" w:hint="default"/>
        </w:rPr>
        <w:t>2012</w:t>
      </w:r>
      <w:r>
        <w:rPr/>
        <w:t>年</w:t>
      </w:r>
      <w:r>
        <w:rPr>
          <w:rFonts w:ascii="宋体" w:hAnsi="宋体" w:cs="宋体" w:eastAsia="宋体" w:hint="default"/>
        </w:rPr>
        <w:t>7-12</w:t>
      </w:r>
      <w:r>
        <w:rPr/>
        <w:t>月；</w:t>
      </w:r>
      <w:r>
        <w:rPr>
          <w:w w:val="100"/>
        </w:rPr>
        <w:t> </w:t>
      </w:r>
      <w:r>
        <w:rPr>
          <w:rFonts w:ascii="宋体" w:hAnsi="宋体" w:cs="宋体" w:eastAsia="宋体" w:hint="default"/>
        </w:rPr>
        <w:t>2</w:t>
      </w:r>
      <w:r>
        <w:rPr/>
        <w:t>、公司持有达实联欣</w:t>
      </w:r>
      <w:r>
        <w:rPr>
          <w:rFonts w:ascii="宋体" w:hAnsi="宋体" w:cs="宋体" w:eastAsia="宋体" w:hint="default"/>
        </w:rPr>
        <w:t>51%</w:t>
      </w:r>
      <w:r>
        <w:rPr/>
        <w:t>股权，绝对控股，该公司于</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29</w:t>
      </w:r>
      <w:r>
        <w:rPr/>
        <w:t>日完成了工商登记变更，报告期内</w:t>
      </w:r>
    </w:p>
    <w:p>
      <w:pPr>
        <w:pStyle w:val="BodyText"/>
        <w:spacing w:line="240" w:lineRule="auto" w:before="34"/>
        <w:ind w:right="0"/>
        <w:jc w:val="both"/>
      </w:pPr>
      <w:r>
        <w:rPr/>
        <w:t>本公司对该公司合并期间为</w:t>
      </w:r>
      <w:r>
        <w:rPr>
          <w:rFonts w:ascii="宋体" w:hAnsi="宋体" w:cs="宋体" w:eastAsia="宋体" w:hint="default"/>
        </w:rPr>
        <w:t>2012</w:t>
      </w:r>
      <w:r>
        <w:rPr/>
        <w:t>年</w:t>
      </w:r>
      <w:r>
        <w:rPr>
          <w:rFonts w:ascii="宋体" w:hAnsi="宋体" w:cs="宋体" w:eastAsia="宋体" w:hint="default"/>
        </w:rPr>
        <w:t>9-12</w:t>
      </w:r>
      <w:r>
        <w:rPr/>
        <w:t>月。</w:t>
      </w:r>
    </w:p>
    <w:p>
      <w:pPr>
        <w:spacing w:line="240" w:lineRule="auto" w:before="0"/>
        <w:rPr>
          <w:rFonts w:ascii="宋体" w:hAnsi="宋体" w:cs="宋体" w:eastAsia="宋体" w:hint="default"/>
          <w:sz w:val="20"/>
          <w:szCs w:val="20"/>
        </w:rPr>
      </w:pPr>
    </w:p>
    <w:p>
      <w:pPr>
        <w:pStyle w:val="Heading2"/>
        <w:spacing w:line="240" w:lineRule="auto" w:before="168"/>
        <w:ind w:right="0"/>
        <w:jc w:val="both"/>
        <w:rPr>
          <w:b w:val="0"/>
          <w:bCs w:val="0"/>
        </w:rPr>
      </w:pPr>
      <w:r>
        <w:rPr/>
        <w:t>九、公司利润分配及分红派息情况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pStyle w:val="BodyText"/>
        <w:spacing w:line="357" w:lineRule="auto" w:before="75"/>
        <w:ind w:right="0" w:firstLine="420"/>
        <w:jc w:val="left"/>
      </w:pPr>
      <w:r>
        <w:rPr/>
        <w:t>根据中国证监会《关于进一步落实上市公司现金分红有关事项的通知》及深圳证监局有关文件的规定</w:t>
      </w:r>
      <w:r>
        <w:rPr>
          <w:w w:val="100"/>
        </w:rPr>
        <w:t> </w:t>
      </w:r>
      <w:r>
        <w:rPr>
          <w:spacing w:val="-2"/>
        </w:rPr>
        <w:t>和要求，结合实际情况，公司对《公司章程》中涉及利润分配事项的部分条款进行了修订，对现金分红政</w:t>
      </w:r>
      <w:r>
        <w:rPr>
          <w:spacing w:val="-43"/>
        </w:rPr>
        <w:t> </w:t>
      </w:r>
      <w:r>
        <w:rPr>
          <w:spacing w:val="-43"/>
        </w:rPr>
      </w:r>
      <w:r>
        <w:rPr>
          <w:spacing w:val="-2"/>
        </w:rPr>
        <w:t>策进行了细化。修订后的《公司章程》规定：在公司盈利且现金能够满足公司持续经营和长期发展的前提</w:t>
      </w:r>
      <w:r>
        <w:rPr>
          <w:spacing w:val="-44"/>
        </w:rPr>
        <w:t> </w:t>
      </w:r>
      <w:r>
        <w:rPr>
          <w:spacing w:val="-44"/>
        </w:rPr>
      </w:r>
      <w:r>
        <w:rPr>
          <w:spacing w:val="-2"/>
        </w:rPr>
        <w:t>下，且没有重大投资或重大现金支出计划，每年以现金方式分配的净利润不低于当年实现的可分配利润的</w:t>
      </w:r>
      <w:r>
        <w:rPr>
          <w:spacing w:val="-44"/>
        </w:rPr>
        <w:t> </w:t>
      </w:r>
      <w:r>
        <w:rPr>
          <w:spacing w:val="-44"/>
        </w:rPr>
      </w:r>
      <w:r>
        <w:rPr>
          <w:rFonts w:ascii="宋体" w:hAnsi="宋体" w:cs="宋体" w:eastAsia="宋体" w:hint="default"/>
          <w:spacing w:val="-4"/>
        </w:rPr>
        <w:t>10%</w:t>
      </w:r>
      <w:r>
        <w:rPr>
          <w:spacing w:val="-4"/>
        </w:rPr>
        <w:t>，任何三个连续年度内，公司以现金方式累计分配的利润不少于最近三年实现的年均可分配利润的</w:t>
      </w:r>
      <w:r>
        <w:rPr>
          <w:rFonts w:ascii="宋体" w:hAnsi="宋体" w:cs="宋体" w:eastAsia="宋体" w:hint="default"/>
          <w:spacing w:val="-4"/>
        </w:rPr>
        <w:t>30%</w:t>
      </w:r>
      <w:r>
        <w:rPr>
          <w:spacing w:val="-4"/>
        </w:rPr>
        <w:t>，</w:t>
      </w:r>
      <w:r>
        <w:rPr>
          <w:spacing w:val="-43"/>
        </w:rPr>
        <w:t> </w:t>
      </w:r>
      <w:r>
        <w:rPr>
          <w:spacing w:val="-2"/>
        </w:rPr>
        <w:t>公司也可以进行中期现金分红。《公司章程》还明确了董事会、股东大会对利润分配尤其是现金分红事项</w:t>
      </w:r>
      <w:r>
        <w:rPr>
          <w:spacing w:val="-44"/>
        </w:rPr>
        <w:t> </w:t>
      </w:r>
      <w:r>
        <w:rPr>
          <w:spacing w:val="-44"/>
        </w:rPr>
      </w:r>
      <w:r>
        <w:rPr>
          <w:spacing w:val="-2"/>
        </w:rPr>
        <w:t>的决策程序和机制，充分听取中小股东的诉求和意见，维护了中小股东的合法权益。同时，公司还制定了</w:t>
      </w:r>
    </w:p>
    <w:p>
      <w:pPr>
        <w:pStyle w:val="BodyText"/>
        <w:spacing w:line="357" w:lineRule="auto" w:before="31"/>
        <w:ind w:right="1131"/>
        <w:jc w:val="both"/>
      </w:pPr>
      <w:r>
        <w:rPr>
          <w:spacing w:val="-2"/>
        </w:rPr>
        <w:t>《未来三年（</w:t>
      </w:r>
      <w:r>
        <w:rPr>
          <w:rFonts w:ascii="宋体" w:hAnsi="宋体" w:cs="宋体" w:eastAsia="宋体" w:hint="default"/>
          <w:spacing w:val="-2"/>
        </w:rPr>
        <w:t>2012</w:t>
      </w:r>
      <w:r>
        <w:rPr>
          <w:spacing w:val="-2"/>
        </w:rPr>
        <w:t>～</w:t>
      </w:r>
      <w:r>
        <w:rPr>
          <w:rFonts w:ascii="宋体" w:hAnsi="宋体" w:cs="宋体" w:eastAsia="宋体" w:hint="default"/>
          <w:spacing w:val="-2"/>
        </w:rPr>
        <w:t>2014</w:t>
      </w:r>
      <w:r>
        <w:rPr>
          <w:spacing w:val="-2"/>
        </w:rPr>
        <w:t>年）股东回报规划》。上述利润分配政策已经公司</w:t>
      </w:r>
      <w:r>
        <w:rPr>
          <w:rFonts w:ascii="宋体" w:hAnsi="宋体" w:cs="宋体" w:eastAsia="宋体" w:hint="default"/>
          <w:spacing w:val="-2"/>
        </w:rPr>
        <w:t>2012</w:t>
      </w:r>
      <w:r>
        <w:rPr>
          <w:spacing w:val="-2"/>
        </w:rPr>
        <w:t>年第二次临时股东大会审</w:t>
      </w:r>
      <w:r>
        <w:rPr>
          <w:spacing w:val="-37"/>
        </w:rPr>
        <w:t> </w:t>
      </w:r>
      <w:r>
        <w:rPr>
          <w:spacing w:val="-37"/>
        </w:rPr>
      </w:r>
      <w:r>
        <w:rPr/>
        <w:t>议通过，独立董事发表了独立意见。</w:t>
      </w:r>
    </w:p>
    <w:p>
      <w:pPr>
        <w:spacing w:before="113"/>
        <w:ind w:left="152" w:right="0" w:firstLine="0"/>
        <w:jc w:val="both"/>
        <w:rPr>
          <w:rFonts w:ascii="宋体" w:hAnsi="宋体" w:cs="宋体" w:eastAsia="宋体" w:hint="default"/>
          <w:sz w:val="18"/>
          <w:szCs w:val="18"/>
        </w:rPr>
      </w:pPr>
      <w:r>
        <w:rPr>
          <w:rFonts w:ascii="宋体" w:hAnsi="宋体" w:cs="宋体" w:eastAsia="宋体" w:hint="default"/>
          <w:sz w:val="18"/>
          <w:szCs w:val="18"/>
        </w:rPr>
        <w:t>本年度利润分配及资本公积金转增股本预案</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0.5</w:t>
            </w:r>
          </w:p>
        </w:tc>
      </w:tr>
    </w:tbl>
    <w:p>
      <w:pPr>
        <w:spacing w:after="0" w:line="240" w:lineRule="auto"/>
        <w:jc w:val="right"/>
        <w:rPr>
          <w:rFonts w:ascii="宋体" w:hAnsi="宋体" w:cs="宋体" w:eastAsia="宋体" w:hint="default"/>
          <w:sz w:val="18"/>
          <w:szCs w:val="18"/>
        </w:rPr>
        <w:sectPr>
          <w:footerReference w:type="default" r:id="rId13"/>
          <w:pgSz w:w="11910" w:h="16840"/>
          <w:pgMar w:footer="1316" w:header="877" w:top="1100" w:bottom="1500" w:left="980" w:right="0"/>
          <w:pgNumType w:start="24"/>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07"/>
        <w:gridCol w:w="5863"/>
      </w:tblGrid>
      <w:tr>
        <w:trPr>
          <w:trHeight w:val="402"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2"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10,440,000.00</w:t>
            </w:r>
          </w:p>
        </w:tc>
      </w:tr>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20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2" w:right="17" w:firstLine="360"/>
              <w:jc w:val="left"/>
              <w:rPr>
                <w:rFonts w:ascii="宋体" w:hAnsi="宋体" w:cs="宋体" w:eastAsia="宋体" w:hint="default"/>
                <w:sz w:val="18"/>
                <w:szCs w:val="18"/>
              </w:rPr>
            </w:pPr>
            <w:r>
              <w:rPr>
                <w:rFonts w:ascii="宋体" w:hAnsi="宋体" w:cs="宋体" w:eastAsia="宋体" w:hint="default"/>
                <w:sz w:val="18"/>
                <w:szCs w:val="18"/>
              </w:rPr>
              <w:t>经中勤万信会计师事务所有限公司审计，</w:t>
            </w:r>
            <w:r>
              <w:rPr>
                <w:rFonts w:ascii="宋体" w:hAnsi="宋体" w:cs="宋体" w:eastAsia="宋体" w:hint="default"/>
                <w:sz w:val="18"/>
                <w:szCs w:val="18"/>
              </w:rPr>
              <w:t>2012</w:t>
            </w:r>
            <w:r>
              <w:rPr>
                <w:rFonts w:ascii="宋体" w:hAnsi="宋体" w:cs="宋体" w:eastAsia="宋体" w:hint="default"/>
                <w:spacing w:val="-55"/>
                <w:sz w:val="18"/>
                <w:szCs w:val="18"/>
              </w:rPr>
              <w:t> </w:t>
            </w:r>
            <w:r>
              <w:rPr>
                <w:rFonts w:ascii="宋体" w:hAnsi="宋体" w:cs="宋体" w:eastAsia="宋体" w:hint="default"/>
                <w:sz w:val="18"/>
                <w:szCs w:val="18"/>
              </w:rPr>
              <w:t>年度归属于上市公司股东的净利润为</w:t>
            </w:r>
            <w:r>
              <w:rPr>
                <w:rFonts w:ascii="宋体" w:hAnsi="宋体" w:cs="宋体" w:eastAsia="宋体" w:hint="default"/>
                <w:spacing w:val="-57"/>
                <w:sz w:val="18"/>
                <w:szCs w:val="18"/>
              </w:rPr>
              <w:t> </w:t>
            </w:r>
            <w:r>
              <w:rPr>
                <w:rFonts w:ascii="宋体" w:hAnsi="宋体" w:cs="宋体" w:eastAsia="宋体" w:hint="default"/>
                <w:sz w:val="18"/>
                <w:szCs w:val="18"/>
              </w:rPr>
              <w:t>77,801,320.40</w:t>
            </w:r>
            <w:r>
              <w:rPr>
                <w:rFonts w:ascii="宋体" w:hAnsi="宋体" w:cs="宋体" w:eastAsia="宋体" w:hint="default"/>
                <w:spacing w:val="-55"/>
                <w:sz w:val="18"/>
                <w:szCs w:val="18"/>
              </w:rPr>
              <w:t> </w:t>
            </w:r>
            <w:r>
              <w:rPr>
                <w:rFonts w:ascii="宋体" w:hAnsi="宋体" w:cs="宋体" w:eastAsia="宋体" w:hint="default"/>
                <w:spacing w:val="-5"/>
                <w:sz w:val="18"/>
                <w:szCs w:val="18"/>
              </w:rPr>
              <w:t>元，母公司净利润</w:t>
            </w:r>
            <w:r>
              <w:rPr>
                <w:rFonts w:ascii="宋体" w:hAnsi="宋体" w:cs="宋体" w:eastAsia="宋体" w:hint="default"/>
                <w:sz w:val="18"/>
                <w:szCs w:val="18"/>
              </w:rPr>
              <w:t> 为</w:t>
            </w:r>
            <w:r>
              <w:rPr>
                <w:rFonts w:ascii="宋体" w:hAnsi="宋体" w:cs="宋体" w:eastAsia="宋体" w:hint="default"/>
                <w:spacing w:val="-47"/>
                <w:sz w:val="18"/>
                <w:szCs w:val="18"/>
              </w:rPr>
              <w:t> </w:t>
            </w:r>
            <w:r>
              <w:rPr>
                <w:rFonts w:ascii="宋体" w:hAnsi="宋体" w:cs="宋体" w:eastAsia="宋体" w:hint="default"/>
                <w:sz w:val="18"/>
                <w:szCs w:val="18"/>
              </w:rPr>
              <w:t>42,269,636.32</w:t>
            </w:r>
            <w:r>
              <w:rPr>
                <w:rFonts w:ascii="宋体" w:hAnsi="宋体" w:cs="宋体" w:eastAsia="宋体" w:hint="default"/>
                <w:spacing w:val="-46"/>
                <w:sz w:val="18"/>
                <w:szCs w:val="18"/>
              </w:rPr>
              <w:t> </w:t>
            </w:r>
            <w:r>
              <w:rPr>
                <w:rFonts w:ascii="宋体" w:hAnsi="宋体" w:cs="宋体" w:eastAsia="宋体" w:hint="default"/>
                <w:spacing w:val="-4"/>
                <w:sz w:val="18"/>
                <w:szCs w:val="18"/>
              </w:rPr>
              <w:t>元。以</w:t>
            </w:r>
            <w:r>
              <w:rPr>
                <w:rFonts w:ascii="宋体" w:hAnsi="宋体" w:cs="宋体" w:eastAsia="宋体" w:hint="default"/>
                <w:spacing w:val="-50"/>
                <w:sz w:val="18"/>
                <w:szCs w:val="18"/>
              </w:rPr>
              <w:t> </w:t>
            </w:r>
            <w:r>
              <w:rPr>
                <w:rFonts w:ascii="宋体" w:hAnsi="宋体" w:cs="宋体" w:eastAsia="宋体" w:hint="default"/>
                <w:sz w:val="18"/>
                <w:szCs w:val="18"/>
              </w:rPr>
              <w:t>2012</w:t>
            </w:r>
            <w:r>
              <w:rPr>
                <w:rFonts w:ascii="宋体" w:hAnsi="宋体" w:cs="宋体" w:eastAsia="宋体" w:hint="default"/>
                <w:spacing w:val="-49"/>
                <w:sz w:val="18"/>
                <w:szCs w:val="18"/>
              </w:rPr>
              <w:t> </w:t>
            </w:r>
            <w:r>
              <w:rPr>
                <w:rFonts w:ascii="宋体" w:hAnsi="宋体" w:cs="宋体" w:eastAsia="宋体" w:hint="default"/>
                <w:sz w:val="18"/>
                <w:szCs w:val="18"/>
              </w:rPr>
              <w:t>年度母公司净利润</w:t>
            </w:r>
            <w:r>
              <w:rPr>
                <w:rFonts w:ascii="宋体" w:hAnsi="宋体" w:cs="宋体" w:eastAsia="宋体" w:hint="default"/>
                <w:spacing w:val="-47"/>
                <w:sz w:val="18"/>
                <w:szCs w:val="18"/>
              </w:rPr>
              <w:t> </w:t>
            </w:r>
            <w:r>
              <w:rPr>
                <w:rFonts w:ascii="宋体" w:hAnsi="宋体" w:cs="宋体" w:eastAsia="宋体" w:hint="default"/>
                <w:sz w:val="18"/>
                <w:szCs w:val="18"/>
              </w:rPr>
              <w:t>42,269,636.32</w:t>
            </w:r>
            <w:r>
              <w:rPr>
                <w:rFonts w:ascii="宋体" w:hAnsi="宋体" w:cs="宋体" w:eastAsia="宋体" w:hint="default"/>
                <w:spacing w:val="-46"/>
                <w:sz w:val="18"/>
                <w:szCs w:val="18"/>
              </w:rPr>
              <w:t> </w:t>
            </w:r>
            <w:r>
              <w:rPr>
                <w:rFonts w:ascii="宋体" w:hAnsi="宋体" w:cs="宋体" w:eastAsia="宋体" w:hint="default"/>
                <w:sz w:val="18"/>
                <w:szCs w:val="18"/>
              </w:rPr>
              <w:t>元为基数，提取</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z w:val="18"/>
                <w:szCs w:val="18"/>
              </w:rPr>
              <w:t>法定公积金</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9"/>
                <w:sz w:val="18"/>
                <w:szCs w:val="18"/>
              </w:rPr>
              <w:t> </w:t>
            </w:r>
            <w:r>
              <w:rPr>
                <w:rFonts w:ascii="宋体" w:hAnsi="宋体" w:cs="宋体" w:eastAsia="宋体" w:hint="default"/>
                <w:sz w:val="18"/>
                <w:szCs w:val="18"/>
              </w:rPr>
              <w:t>226,963.63</w:t>
            </w:r>
            <w:r>
              <w:rPr>
                <w:rFonts w:ascii="宋体" w:hAnsi="宋体" w:cs="宋体" w:eastAsia="宋体" w:hint="default"/>
                <w:spacing w:val="-45"/>
                <w:sz w:val="18"/>
                <w:szCs w:val="18"/>
              </w:rPr>
              <w:t> </w:t>
            </w:r>
            <w:r>
              <w:rPr>
                <w:rFonts w:ascii="宋体" w:hAnsi="宋体" w:cs="宋体" w:eastAsia="宋体" w:hint="default"/>
                <w:spacing w:val="-3"/>
                <w:sz w:val="18"/>
                <w:szCs w:val="18"/>
              </w:rPr>
              <w:t>元，减去</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年度实施了现金分红</w:t>
            </w:r>
            <w:r>
              <w:rPr>
                <w:rFonts w:ascii="宋体" w:hAnsi="宋体" w:cs="宋体" w:eastAsia="宋体" w:hint="default"/>
                <w:spacing w:val="-50"/>
                <w:sz w:val="18"/>
                <w:szCs w:val="18"/>
              </w:rPr>
              <w:t> </w:t>
            </w:r>
            <w:r>
              <w:rPr>
                <w:rFonts w:ascii="宋体" w:hAnsi="宋体" w:cs="宋体" w:eastAsia="宋体" w:hint="default"/>
                <w:sz w:val="18"/>
                <w:szCs w:val="18"/>
              </w:rPr>
              <w:t>20,280,000</w:t>
            </w:r>
            <w:r>
              <w:rPr>
                <w:rFonts w:ascii="宋体" w:hAnsi="宋体" w:cs="宋体" w:eastAsia="宋体" w:hint="default"/>
                <w:spacing w:val="-45"/>
                <w:sz w:val="18"/>
                <w:szCs w:val="18"/>
              </w:rPr>
              <w:t> </w:t>
            </w:r>
            <w:r>
              <w:rPr>
                <w:rFonts w:ascii="宋体" w:hAnsi="宋体" w:cs="宋体" w:eastAsia="宋体" w:hint="default"/>
                <w:sz w:val="18"/>
                <w:szCs w:val="18"/>
              </w:rPr>
              <w:t>元，加上期初未分配利润</w:t>
            </w:r>
            <w:r>
              <w:rPr>
                <w:rFonts w:ascii="宋体" w:hAnsi="宋体" w:cs="宋体" w:eastAsia="宋体" w:hint="default"/>
                <w:spacing w:val="-48"/>
                <w:sz w:val="18"/>
                <w:szCs w:val="18"/>
              </w:rPr>
              <w:t> </w:t>
            </w:r>
            <w:r>
              <w:rPr>
                <w:rFonts w:ascii="宋体" w:hAnsi="宋体" w:cs="宋体" w:eastAsia="宋体" w:hint="default"/>
                <w:sz w:val="18"/>
                <w:szCs w:val="18"/>
              </w:rPr>
              <w:t>115,504,141.66</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2012</w:t>
            </w:r>
            <w:r>
              <w:rPr>
                <w:rFonts w:ascii="宋体" w:hAnsi="宋体" w:cs="宋体" w:eastAsia="宋体" w:hint="default"/>
                <w:spacing w:val="-49"/>
                <w:sz w:val="18"/>
                <w:szCs w:val="18"/>
              </w:rPr>
              <w:t> </w:t>
            </w:r>
            <w:r>
              <w:rPr>
                <w:rFonts w:ascii="宋体" w:hAnsi="宋体" w:cs="宋体" w:eastAsia="宋体" w:hint="default"/>
                <w:sz w:val="18"/>
                <w:szCs w:val="18"/>
              </w:rPr>
              <w:t>年度可供股东分配的利润为</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133,266,814.35</w:t>
            </w:r>
            <w:r>
              <w:rPr>
                <w:rFonts w:ascii="宋体" w:hAnsi="宋体" w:cs="宋体" w:eastAsia="宋体" w:hint="default"/>
                <w:spacing w:val="-46"/>
                <w:sz w:val="18"/>
                <w:szCs w:val="18"/>
              </w:rPr>
              <w:t> </w:t>
            </w:r>
            <w:r>
              <w:rPr>
                <w:rFonts w:ascii="宋体" w:hAnsi="宋体" w:cs="宋体" w:eastAsia="宋体" w:hint="default"/>
                <w:sz w:val="18"/>
                <w:szCs w:val="18"/>
              </w:rPr>
              <w:t>元。公司拟按照以下方案实施</w:t>
            </w:r>
            <w:r>
              <w:rPr>
                <w:rFonts w:ascii="宋体" w:hAnsi="宋体" w:cs="宋体" w:eastAsia="宋体" w:hint="default"/>
                <w:spacing w:val="-48"/>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年度利润分配：</w:t>
            </w:r>
          </w:p>
          <w:p>
            <w:pPr>
              <w:pStyle w:val="TableParagraph"/>
              <w:spacing w:line="240" w:lineRule="auto" w:before="117"/>
              <w:ind w:left="383"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日的总</w:t>
            </w:r>
            <w:r>
              <w:rPr>
                <w:rFonts w:ascii="宋体" w:hAnsi="宋体" w:cs="宋体" w:eastAsia="宋体" w:hint="default"/>
                <w:spacing w:val="-3"/>
                <w:sz w:val="18"/>
                <w:szCs w:val="18"/>
              </w:rPr>
              <w:t>股</w:t>
            </w:r>
            <w:r>
              <w:rPr>
                <w:rFonts w:ascii="宋体" w:hAnsi="宋体" w:cs="宋体" w:eastAsia="宋体" w:hint="default"/>
                <w:sz w:val="18"/>
                <w:szCs w:val="18"/>
              </w:rPr>
              <w:t>本</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8</w:t>
            </w:r>
            <w:r>
              <w:rPr>
                <w:rFonts w:ascii="宋体" w:hAnsi="宋体" w:cs="宋体" w:eastAsia="宋体" w:hint="default"/>
                <w:spacing w:val="-2"/>
                <w:sz w:val="18"/>
                <w:szCs w:val="18"/>
              </w:rPr>
              <w:t>,</w:t>
            </w:r>
            <w:r>
              <w:rPr>
                <w:rFonts w:ascii="宋体" w:hAnsi="宋体" w:cs="宋体" w:eastAsia="宋体" w:hint="default"/>
                <w:spacing w:val="1"/>
                <w:sz w:val="18"/>
                <w:szCs w:val="18"/>
              </w:rPr>
              <w:t>8</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股为基数，</w:t>
            </w:r>
            <w:r>
              <w:rPr>
                <w:rFonts w:ascii="宋体" w:hAnsi="宋体" w:cs="宋体" w:eastAsia="宋体" w:hint="default"/>
                <w:spacing w:val="-3"/>
                <w:sz w:val="18"/>
                <w:szCs w:val="18"/>
              </w:rPr>
              <w:t>拟</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，共计派</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发现金</w:t>
            </w:r>
            <w:r>
              <w:rPr>
                <w:rFonts w:ascii="宋体" w:hAnsi="宋体" w:cs="宋体" w:eastAsia="宋体" w:hint="default"/>
                <w:spacing w:val="-47"/>
                <w:sz w:val="18"/>
                <w:szCs w:val="18"/>
              </w:rPr>
              <w:t> </w:t>
            </w:r>
            <w:r>
              <w:rPr>
                <w:rFonts w:ascii="宋体" w:hAnsi="宋体" w:cs="宋体" w:eastAsia="宋体" w:hint="default"/>
                <w:sz w:val="18"/>
                <w:szCs w:val="18"/>
              </w:rPr>
              <w:t>10,440,000</w:t>
            </w:r>
            <w:r>
              <w:rPr>
                <w:rFonts w:ascii="宋体" w:hAnsi="宋体" w:cs="宋体" w:eastAsia="宋体" w:hint="default"/>
                <w:spacing w:val="-46"/>
                <w:sz w:val="18"/>
                <w:szCs w:val="18"/>
              </w:rPr>
              <w:t> </w:t>
            </w:r>
            <w:r>
              <w:rPr>
                <w:rFonts w:ascii="宋体" w:hAnsi="宋体" w:cs="宋体" w:eastAsia="宋体" w:hint="default"/>
                <w:sz w:val="18"/>
                <w:szCs w:val="18"/>
              </w:rPr>
              <w:t>元。本年度不转增，不送红股。剩余未分配利润结转以后年度进行分配。</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pStyle w:val="BodyText"/>
        <w:spacing w:line="357" w:lineRule="auto" w:before="59"/>
        <w:ind w:right="1123" w:firstLine="420"/>
        <w:jc w:val="left"/>
      </w:pPr>
      <w:r>
        <w:rPr>
          <w:rFonts w:ascii="宋体" w:hAnsi="宋体" w:cs="宋体" w:eastAsia="宋体" w:hint="default"/>
          <w:spacing w:val="-2"/>
        </w:rPr>
        <w:t>2010</w:t>
      </w:r>
      <w:r>
        <w:rPr>
          <w:spacing w:val="-2"/>
        </w:rPr>
        <w:t>年度的分派方案为：以公司</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78,000,000</w:t>
      </w:r>
      <w:r>
        <w:rPr>
          <w:spacing w:val="-2"/>
        </w:rPr>
        <w:t>股为基数，以资本公积金向全体股</w:t>
      </w:r>
      <w:r>
        <w:rPr>
          <w:w w:val="100"/>
        </w:rPr>
        <w:t> </w:t>
      </w:r>
      <w:r>
        <w:rPr/>
        <w:t>东每</w:t>
      </w:r>
      <w:r>
        <w:rPr>
          <w:rFonts w:ascii="宋体" w:hAnsi="宋体" w:cs="宋体" w:eastAsia="宋体" w:hint="default"/>
        </w:rPr>
        <w:t>10</w:t>
      </w:r>
      <w:r>
        <w:rPr/>
        <w:t>股转增</w:t>
      </w:r>
      <w:r>
        <w:rPr>
          <w:rFonts w:ascii="宋体" w:hAnsi="宋体" w:cs="宋体" w:eastAsia="宋体" w:hint="default"/>
        </w:rPr>
        <w:t>3</w:t>
      </w:r>
      <w:r>
        <w:rPr/>
        <w:t>股，转增后，公司总股本增加至</w:t>
      </w:r>
      <w:r>
        <w:rPr>
          <w:rFonts w:ascii="宋体" w:hAnsi="宋体" w:cs="宋体" w:eastAsia="宋体" w:hint="default"/>
        </w:rPr>
        <w:t>101,400,000</w:t>
      </w:r>
      <w:r>
        <w:rPr/>
        <w:t>股。</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29</w:t>
      </w:r>
      <w:r>
        <w:rPr/>
        <w:t>日，该方案得以实施；</w:t>
      </w:r>
    </w:p>
    <w:p>
      <w:pPr>
        <w:pStyle w:val="BodyText"/>
        <w:spacing w:line="355" w:lineRule="auto" w:before="32"/>
        <w:ind w:right="1123" w:firstLine="420"/>
        <w:jc w:val="left"/>
      </w:pPr>
      <w:r>
        <w:rPr>
          <w:rFonts w:ascii="宋体" w:hAnsi="宋体" w:cs="宋体" w:eastAsia="宋体" w:hint="default"/>
          <w:spacing w:val="-2"/>
        </w:rPr>
        <w:t>2011</w:t>
      </w:r>
      <w:r>
        <w:rPr>
          <w:spacing w:val="-2"/>
        </w:rPr>
        <w:t>年度的分派方案为：以公司</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101,400,000</w:t>
      </w:r>
      <w:r>
        <w:rPr>
          <w:spacing w:val="-2"/>
        </w:rPr>
        <w:t>股为基数，向全体股东每</w:t>
      </w:r>
      <w:r>
        <w:rPr>
          <w:rFonts w:ascii="宋体" w:hAnsi="宋体" w:cs="宋体" w:eastAsia="宋体" w:hint="default"/>
          <w:spacing w:val="-2"/>
        </w:rPr>
        <w:t>10</w:t>
      </w:r>
      <w:r>
        <w:rPr>
          <w:spacing w:val="-2"/>
        </w:rPr>
        <w:t>股派</w:t>
      </w:r>
      <w:r>
        <w:rPr>
          <w:rFonts w:ascii="宋体" w:hAnsi="宋体" w:cs="宋体" w:eastAsia="宋体" w:hint="default"/>
          <w:spacing w:val="-2"/>
        </w:rPr>
        <w:t>2</w:t>
      </w:r>
      <w:r>
        <w:rPr>
          <w:rFonts w:ascii="宋体" w:hAnsi="宋体" w:cs="宋体" w:eastAsia="宋体" w:hint="default"/>
          <w:w w:val="100"/>
        </w:rPr>
        <w:t> </w:t>
      </w:r>
      <w:r>
        <w:rPr/>
        <w:t>元人民币现金</w:t>
      </w:r>
      <w:r>
        <w:rPr>
          <w:rFonts w:ascii="宋体" w:hAnsi="宋体" w:cs="宋体" w:eastAsia="宋体" w:hint="default"/>
        </w:rPr>
        <w:t>,</w:t>
      </w:r>
      <w:r>
        <w:rPr>
          <w:rFonts w:ascii="宋体" w:hAnsi="宋体" w:cs="宋体" w:eastAsia="宋体" w:hint="default"/>
          <w:spacing w:val="-6"/>
        </w:rPr>
        <w:t> </w:t>
      </w:r>
      <w:r>
        <w:rPr/>
        <w:t>共计派发现金</w:t>
      </w:r>
      <w:r>
        <w:rPr>
          <w:rFonts w:ascii="宋体" w:hAnsi="宋体" w:cs="宋体" w:eastAsia="宋体" w:hint="default"/>
        </w:rPr>
        <w:t>20,280,000</w:t>
      </w:r>
      <w:r>
        <w:rPr/>
        <w:t>元，剩余未分配利润结转以后年度进行分配。</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10</w:t>
      </w:r>
      <w:r>
        <w:rPr/>
        <w:t>日，</w:t>
      </w:r>
      <w:r>
        <w:rPr>
          <w:spacing w:val="-3"/>
          <w:w w:val="100"/>
        </w:rPr>
        <w:t> </w:t>
      </w:r>
      <w:r>
        <w:rPr/>
        <w:t>该方案得以实施；</w:t>
      </w:r>
    </w:p>
    <w:p>
      <w:pPr>
        <w:pStyle w:val="BodyText"/>
        <w:spacing w:line="355" w:lineRule="auto" w:before="32"/>
        <w:ind w:right="0" w:firstLine="420"/>
        <w:jc w:val="left"/>
      </w:pPr>
      <w:r>
        <w:rPr>
          <w:rFonts w:ascii="宋体" w:hAnsi="宋体" w:cs="宋体" w:eastAsia="宋体" w:hint="default"/>
          <w:spacing w:val="-2"/>
        </w:rPr>
        <w:t>2012</w:t>
      </w:r>
      <w:r>
        <w:rPr>
          <w:spacing w:val="-2"/>
        </w:rPr>
        <w:t>年半年度的分派方案为：以公司</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日总股本</w:t>
      </w:r>
      <w:r>
        <w:rPr>
          <w:rFonts w:ascii="宋体" w:hAnsi="宋体" w:cs="宋体" w:eastAsia="宋体" w:hint="default"/>
          <w:spacing w:val="-2"/>
        </w:rPr>
        <w:t>104,400,000</w:t>
      </w:r>
      <w:r>
        <w:rPr>
          <w:spacing w:val="-2"/>
        </w:rPr>
        <w:t>股为基数，以资本公积金向全</w:t>
      </w:r>
      <w:r>
        <w:rPr>
          <w:w w:val="100"/>
        </w:rPr>
        <w:t> </w:t>
      </w:r>
      <w:r>
        <w:rPr>
          <w:spacing w:val="-2"/>
        </w:rPr>
        <w:t>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股，转增后，公司总股本增加至</w:t>
      </w:r>
      <w:r>
        <w:rPr>
          <w:rFonts w:ascii="宋体" w:hAnsi="宋体" w:cs="宋体" w:eastAsia="宋体" w:hint="default"/>
          <w:spacing w:val="-2"/>
        </w:rPr>
        <w:t>208,800,000</w:t>
      </w:r>
      <w:r>
        <w:rPr>
          <w:spacing w:val="-2"/>
        </w:rPr>
        <w:t>股。</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16</w:t>
      </w:r>
      <w:r>
        <w:rPr>
          <w:spacing w:val="-2"/>
        </w:rPr>
        <w:t>日，该方案得以实施；</w:t>
      </w:r>
    </w:p>
    <w:p>
      <w:pPr>
        <w:pStyle w:val="BodyText"/>
        <w:spacing w:line="240" w:lineRule="auto" w:before="34"/>
        <w:ind w:left="573" w:right="1123"/>
        <w:jc w:val="left"/>
      </w:pPr>
      <w:r>
        <w:rPr>
          <w:rFonts w:ascii="宋体" w:hAnsi="宋体" w:cs="宋体" w:eastAsia="宋体" w:hint="default"/>
        </w:rPr>
        <w:t>2012</w:t>
      </w:r>
      <w:r>
        <w:rPr/>
        <w:t>年度的分派预案为：以公司</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208,800,000</w:t>
      </w:r>
      <w:r>
        <w:rPr/>
        <w:t>股为基数，向全体股东每</w:t>
      </w:r>
      <w:r>
        <w:rPr>
          <w:rFonts w:ascii="宋体" w:hAnsi="宋体" w:cs="宋体" w:eastAsia="宋体" w:hint="default"/>
        </w:rPr>
        <w:t>10</w:t>
      </w:r>
      <w:r>
        <w:rPr/>
        <w:t>股派</w:t>
      </w:r>
    </w:p>
    <w:p>
      <w:pPr>
        <w:pStyle w:val="BodyText"/>
        <w:spacing w:line="357" w:lineRule="auto" w:before="133"/>
        <w:ind w:right="1123"/>
        <w:jc w:val="left"/>
      </w:pPr>
      <w:r>
        <w:rPr>
          <w:rFonts w:ascii="宋体" w:hAnsi="宋体" w:cs="宋体" w:eastAsia="宋体" w:hint="default"/>
          <w:spacing w:val="-2"/>
        </w:rPr>
        <w:t>0.5</w:t>
      </w:r>
      <w:r>
        <w:rPr>
          <w:spacing w:val="-2"/>
        </w:rPr>
        <w:t>元人民币现金，共计派发现金</w:t>
      </w:r>
      <w:r>
        <w:rPr>
          <w:rFonts w:ascii="宋体" w:hAnsi="宋体" w:cs="宋体" w:eastAsia="宋体" w:hint="default"/>
          <w:spacing w:val="-2"/>
        </w:rPr>
        <w:t>10,440,000</w:t>
      </w:r>
      <w:r>
        <w:rPr>
          <w:spacing w:val="-2"/>
        </w:rPr>
        <w:t>元，剩余未分配利润结转以后年度进行分配。该方案尚需股</w:t>
      </w:r>
      <w:r>
        <w:rPr>
          <w:spacing w:val="-11"/>
        </w:rPr>
        <w:t> </w:t>
      </w:r>
      <w:r>
        <w:rPr>
          <w:spacing w:val="-11"/>
        </w:rPr>
      </w:r>
      <w:r>
        <w:rPr/>
        <w:t>东大会批准。</w:t>
      </w:r>
    </w:p>
    <w:p>
      <w:pPr>
        <w:spacing w:before="113"/>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4" w:right="65" w:firstLine="45"/>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394"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77,801,320.40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13.42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20,280,000.00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44,962,647.11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45.10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31,572,240.50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1123"/>
        <w:jc w:val="left"/>
        <w:rPr>
          <w:b w:val="0"/>
          <w:bCs w:val="0"/>
        </w:rPr>
      </w:pPr>
      <w:r>
        <w:rPr/>
        <w:t>十、社会责任情况</w:t>
      </w:r>
      <w:r>
        <w:rPr>
          <w:b w:val="0"/>
          <w:bCs w:val="0"/>
        </w:rPr>
      </w:r>
    </w:p>
    <w:p>
      <w:pPr>
        <w:spacing w:line="240" w:lineRule="auto" w:before="3"/>
        <w:rPr>
          <w:rFonts w:ascii="宋体" w:hAnsi="宋体" w:cs="宋体" w:eastAsia="宋体" w:hint="default"/>
          <w:b/>
          <w:bCs/>
          <w:sz w:val="23"/>
          <w:szCs w:val="23"/>
        </w:rPr>
      </w:pPr>
    </w:p>
    <w:p>
      <w:pPr>
        <w:pStyle w:val="BodyText"/>
        <w:spacing w:line="357" w:lineRule="auto" w:before="0"/>
        <w:ind w:left="573" w:right="1414"/>
        <w:jc w:val="left"/>
      </w:pPr>
      <w:r>
        <w:rPr/>
        <w:t>公司秉承“让建筑更节能”的公司使命，为客户提供建筑智能化及建筑节能服务。</w:t>
      </w:r>
      <w:r>
        <w:rPr>
          <w:w w:val="100"/>
        </w:rPr>
        <w:t> </w:t>
      </w:r>
      <w:r>
        <w:rPr/>
        <w:t>在诚信经营、确保产品与服务质量方面，公司连续十年被评为</w:t>
      </w:r>
      <w:r>
        <w:rPr>
          <w:rFonts w:ascii="宋体" w:hAnsi="宋体" w:cs="宋体" w:eastAsia="宋体" w:hint="default"/>
        </w:rPr>
        <w:t>AAA</w:t>
      </w:r>
      <w:r>
        <w:rPr>
          <w:rFonts w:ascii="宋体" w:hAnsi="宋体" w:cs="宋体" w:eastAsia="宋体" w:hint="default"/>
          <w:spacing w:val="-6"/>
        </w:rPr>
        <w:t> </w:t>
      </w:r>
      <w:r>
        <w:rPr/>
        <w:t>资信等级，并通过了</w:t>
      </w:r>
      <w:r>
        <w:rPr>
          <w:rFonts w:ascii="宋体" w:hAnsi="宋体" w:cs="宋体" w:eastAsia="宋体" w:hint="default"/>
        </w:rPr>
        <w:t>ISO9001</w:t>
      </w:r>
      <w:r>
        <w:rPr/>
        <w:t>、</w:t>
      </w:r>
    </w:p>
    <w:p>
      <w:pPr>
        <w:pStyle w:val="BodyText"/>
        <w:spacing w:line="355" w:lineRule="auto"/>
        <w:ind w:right="1123"/>
        <w:jc w:val="left"/>
      </w:pPr>
      <w:r>
        <w:rPr>
          <w:rFonts w:ascii="宋体" w:hAnsi="宋体" w:cs="宋体" w:eastAsia="宋体" w:hint="default"/>
          <w:spacing w:val="-2"/>
        </w:rPr>
        <w:t>ISO14001</w:t>
      </w:r>
      <w:r>
        <w:rPr>
          <w:spacing w:val="-2"/>
        </w:rPr>
        <w:t>体系认证；在保护职工健康和确保职工待遇方面，公司为员工购买“三险”以及商业保险，积极</w:t>
      </w:r>
      <w:r>
        <w:rPr>
          <w:spacing w:val="-34"/>
        </w:rPr>
        <w:t> </w:t>
      </w:r>
      <w:r>
        <w:rPr>
          <w:spacing w:val="-34"/>
        </w:rPr>
      </w:r>
      <w:r>
        <w:rPr>
          <w:spacing w:val="-2"/>
        </w:rPr>
        <w:t>做好劳动安全防护措施；在可持续发展与节约资源方面，公司推出建筑节能与工业节能产品，以合同能源</w:t>
      </w:r>
    </w:p>
    <w:p>
      <w:pPr>
        <w:pStyle w:val="BodyText"/>
        <w:spacing w:line="240" w:lineRule="auto" w:before="32"/>
        <w:ind w:right="1123"/>
        <w:jc w:val="left"/>
      </w:pPr>
      <w:r>
        <w:rPr/>
        <w:t>管理（</w:t>
      </w:r>
      <w:r>
        <w:rPr>
          <w:rFonts w:ascii="宋体" w:hAnsi="宋体" w:cs="宋体" w:eastAsia="宋体" w:hint="default"/>
        </w:rPr>
        <w:t>EPC</w:t>
      </w:r>
      <w:r>
        <w:rPr/>
        <w:t>）投资方式，帮助客户节能减排，同时，对总部办公大楼进行节能改造，获得了美国</w:t>
      </w:r>
      <w:r>
        <w:rPr>
          <w:rFonts w:ascii="宋体" w:hAnsi="宋体" w:cs="宋体" w:eastAsia="宋体" w:hint="default"/>
        </w:rPr>
        <w:t>LEED</w:t>
      </w:r>
      <w:r>
        <w:rPr/>
        <w:t>金级</w:t>
      </w:r>
    </w:p>
    <w:p>
      <w:pPr>
        <w:spacing w:after="0" w:line="240" w:lineRule="auto"/>
        <w:jc w:val="left"/>
        <w:sectPr>
          <w:pgSz w:w="11910" w:h="16840"/>
          <w:pgMar w:header="877" w:footer="1316" w:top="1100" w:bottom="1500" w:left="980" w:right="0"/>
        </w:sectPr>
      </w:pPr>
    </w:p>
    <w:p>
      <w:pPr>
        <w:spacing w:line="240" w:lineRule="auto" w:before="3"/>
        <w:rPr>
          <w:rFonts w:ascii="宋体" w:hAnsi="宋体" w:cs="宋体" w:eastAsia="宋体" w:hint="default"/>
          <w:sz w:val="19"/>
          <w:szCs w:val="19"/>
        </w:rPr>
      </w:pPr>
      <w:r>
        <w:rPr/>
        <w:pict>
          <v:shape style="position:absolute;margin-left:420.77301pt;margin-top:316.969971pt;width:114.2pt;height:31.2pt;mso-position-horizontal-relative:page;mso-position-vertical-relative:page;z-index:-772336"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元证券、</w:t>
                  </w:r>
                </w:p>
              </w:txbxContent>
            </v:textbox>
            <w10:wrap type="none"/>
          </v:shape>
        </w:pict>
      </w:r>
      <w:r>
        <w:rPr/>
        <w:pict>
          <v:shape style="position:absolute;margin-left:420.77301pt;margin-top:415.005981pt;width:114.2pt;height:31.25pt;mso-position-horizontal-relative:page;mso-position-vertical-relative:page;z-index:-772312"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森投资、</w:t>
                  </w:r>
                </w:p>
              </w:txbxContent>
            </v:textbox>
            <w10:wrap type="none"/>
          </v:shape>
        </w:pict>
      </w:r>
      <w:r>
        <w:rPr/>
        <w:pict>
          <v:shape style="position:absolute;margin-left:420.77301pt;margin-top:498.069977pt;width:114.2pt;height:31.2pt;mso-position-horizontal-relative:page;mso-position-vertical-relative:page;z-index:-77228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城基金、</w:t>
                  </w:r>
                </w:p>
              </w:txbxContent>
            </v:textbox>
            <w10:wrap type="none"/>
          </v:shape>
        </w:pict>
      </w:r>
      <w:r>
        <w:rPr/>
        <w:pict>
          <v:shape style="position:absolute;margin-left:420.77301pt;margin-top:548.829956pt;width:114.2pt;height:31.2pt;mso-position-horizontal-relative:page;mso-position-vertical-relative:page;z-index:-772264"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森投资、</w:t>
                  </w:r>
                </w:p>
              </w:txbxContent>
            </v:textbox>
            <w10:wrap type="none"/>
          </v:shape>
        </w:pict>
      </w:r>
    </w:p>
    <w:p>
      <w:pPr>
        <w:pStyle w:val="BodyText"/>
        <w:spacing w:line="357" w:lineRule="auto" w:before="36"/>
        <w:ind w:right="1123"/>
        <w:jc w:val="left"/>
      </w:pPr>
      <w:r>
        <w:rPr>
          <w:spacing w:val="-2"/>
        </w:rPr>
        <w:t>绿色建筑认证；在节能宣传方面，公司利用自有办公场地建设的展厅，被评为“广东省科普教育基地”，</w:t>
      </w:r>
      <w:r>
        <w:rPr>
          <w:spacing w:val="-21"/>
        </w:rPr>
        <w:t> </w:t>
      </w:r>
      <w:r>
        <w:rPr>
          <w:spacing w:val="-21"/>
        </w:rPr>
      </w:r>
      <w:r>
        <w:rPr/>
        <w:t>免费向市民开放，大力宣传节能科普知识。</w:t>
      </w:r>
    </w:p>
    <w:p>
      <w:pPr>
        <w:spacing w:line="240" w:lineRule="auto" w:before="12"/>
        <w:rPr>
          <w:rFonts w:ascii="宋体" w:hAnsi="宋体" w:cs="宋体" w:eastAsia="宋体" w:hint="default"/>
          <w:sz w:val="24"/>
          <w:szCs w:val="24"/>
        </w:rPr>
      </w:pPr>
    </w:p>
    <w:p>
      <w:pPr>
        <w:pStyle w:val="Heading2"/>
        <w:spacing w:line="240" w:lineRule="auto"/>
        <w:ind w:right="1123"/>
        <w:jc w:val="left"/>
        <w:rPr>
          <w:b w:val="0"/>
          <w:bCs w:val="0"/>
        </w:rPr>
      </w:pPr>
      <w:r>
        <w:rPr/>
        <w:t>十一、报告期内接待调研、沟通、采访等活动登记表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056"/>
        <w:gridCol w:w="1033"/>
        <w:gridCol w:w="1332"/>
        <w:gridCol w:w="3025"/>
        <w:gridCol w:w="1630"/>
      </w:tblGrid>
      <w:tr>
        <w:trPr>
          <w:trHeight w:val="708"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0" w:right="86" w:hanging="269"/>
              <w:jc w:val="left"/>
              <w:rPr>
                <w:rFonts w:ascii="宋体" w:hAnsi="宋体" w:cs="宋体" w:eastAsia="宋体" w:hint="default"/>
                <w:sz w:val="18"/>
                <w:szCs w:val="18"/>
              </w:rPr>
            </w:pPr>
            <w:r>
              <w:rPr>
                <w:rFonts w:ascii="宋体" w:hAnsi="宋体" w:cs="宋体" w:eastAsia="宋体" w:hint="default"/>
                <w:sz w:val="18"/>
                <w:szCs w:val="18"/>
              </w:rPr>
              <w:t>谈论的主要内容及 提供的资料</w:t>
            </w:r>
          </w:p>
        </w:tc>
      </w:tr>
      <w:tr>
        <w:trPr>
          <w:trHeight w:val="40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兴业全球基金、华创证券、平安证券</w:t>
            </w:r>
          </w:p>
        </w:tc>
        <w:tc>
          <w:tcPr>
            <w:tcW w:w="16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公司主营业务情况</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04</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方正证券</w:t>
            </w:r>
          </w:p>
        </w:tc>
        <w:tc>
          <w:tcPr>
            <w:tcW w:w="16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55"/>
              <w:jc w:val="left"/>
              <w:rPr>
                <w:rFonts w:ascii="宋体" w:hAnsi="宋体" w:cs="宋体" w:eastAsia="宋体" w:hint="default"/>
                <w:sz w:val="18"/>
                <w:szCs w:val="18"/>
              </w:rPr>
            </w:pPr>
            <w:r>
              <w:rPr>
                <w:rFonts w:ascii="宋体" w:hAnsi="宋体" w:cs="宋体" w:eastAsia="宋体" w:hint="default"/>
                <w:sz w:val="18"/>
                <w:szCs w:val="18"/>
              </w:rPr>
              <w:t>公司主营业务的服 务内容及拓展情况</w:t>
            </w:r>
          </w:p>
        </w:tc>
      </w:tr>
      <w:tr>
        <w:trPr>
          <w:trHeight w:val="196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110"/>
              <w:jc w:val="left"/>
              <w:rPr>
                <w:rFonts w:ascii="宋体" w:hAnsi="宋体" w:cs="宋体" w:eastAsia="宋体" w:hint="default"/>
                <w:sz w:val="18"/>
                <w:szCs w:val="18"/>
              </w:rPr>
            </w:pPr>
            <w:r>
              <w:rPr>
                <w:rFonts w:ascii="宋体" w:hAnsi="宋体" w:cs="宋体" w:eastAsia="宋体" w:hint="default"/>
                <w:sz w:val="18"/>
                <w:szCs w:val="18"/>
              </w:rPr>
              <w:t>汇添富基金、中信产业基金、嘉实基 金、中证投资、泰康资产、信达澳银 基金、海富通基金、浙商基金、中信 证券、海通证券、华泰证券、国信证 券、长城证券、英大证券、金 广发证券等</w:t>
            </w:r>
          </w:p>
        </w:tc>
        <w:tc>
          <w:tcPr>
            <w:tcW w:w="16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155"/>
              <w:jc w:val="left"/>
              <w:rPr>
                <w:rFonts w:ascii="宋体" w:hAnsi="宋体" w:cs="宋体" w:eastAsia="宋体" w:hint="default"/>
                <w:sz w:val="18"/>
                <w:szCs w:val="18"/>
              </w:rPr>
            </w:pPr>
            <w:r>
              <w:rPr>
                <w:rFonts w:ascii="宋体" w:hAnsi="宋体" w:cs="宋体" w:eastAsia="宋体" w:hint="default"/>
                <w:sz w:val="18"/>
                <w:szCs w:val="18"/>
              </w:rPr>
              <w:t>公司主营业务情况 及并购规划</w:t>
            </w:r>
          </w:p>
        </w:tc>
      </w:tr>
      <w:tr>
        <w:trPr>
          <w:trHeight w:val="196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4"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09"/>
              <w:jc w:val="left"/>
              <w:rPr>
                <w:rFonts w:ascii="宋体" w:hAnsi="宋体" w:cs="宋体" w:eastAsia="宋体" w:hint="default"/>
                <w:sz w:val="18"/>
                <w:szCs w:val="18"/>
              </w:rPr>
            </w:pPr>
            <w:r>
              <w:rPr>
                <w:rFonts w:ascii="宋体" w:hAnsi="宋体" w:cs="宋体" w:eastAsia="宋体" w:hint="default"/>
                <w:sz w:val="18"/>
                <w:szCs w:val="18"/>
              </w:rPr>
              <w:t>民生证券、国信证券、国金证券、生 命人寿、西域投资、新华资管、远策 投资、国海证券、长安基金、融通基 金、中证投资、华林证券、中国出口 信用保险、光大永明资产、民 恒运盛投资</w:t>
            </w:r>
          </w:p>
        </w:tc>
        <w:tc>
          <w:tcPr>
            <w:tcW w:w="16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155"/>
              <w:jc w:val="left"/>
              <w:rPr>
                <w:rFonts w:ascii="宋体" w:hAnsi="宋体" w:cs="宋体" w:eastAsia="宋体" w:hint="default"/>
                <w:sz w:val="18"/>
                <w:szCs w:val="18"/>
              </w:rPr>
            </w:pPr>
            <w:r>
              <w:rPr>
                <w:rFonts w:ascii="宋体" w:hAnsi="宋体" w:cs="宋体" w:eastAsia="宋体" w:hint="default"/>
                <w:sz w:val="18"/>
                <w:szCs w:val="18"/>
              </w:rPr>
              <w:t>公司主营业务情况 及并购规划</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02</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pacing w:val="-3"/>
                <w:sz w:val="18"/>
                <w:szCs w:val="18"/>
              </w:rPr>
              <w:t>中银基金、兴业全球基金、华泰资产、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国金金融、新华基金、富安达基金、</w:t>
            </w:r>
            <w:r>
              <w:rPr>
                <w:rFonts w:ascii="宋体" w:hAnsi="宋体" w:cs="宋体" w:eastAsia="宋体" w:hint="default"/>
                <w:sz w:val="18"/>
                <w:szCs w:val="18"/>
              </w:rPr>
              <w:t> 申万菱信基金</w:t>
            </w:r>
          </w:p>
        </w:tc>
        <w:tc>
          <w:tcPr>
            <w:tcW w:w="16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25"/>
              <w:jc w:val="left"/>
              <w:rPr>
                <w:rFonts w:ascii="宋体" w:hAnsi="宋体" w:cs="宋体" w:eastAsia="宋体" w:hint="default"/>
                <w:sz w:val="18"/>
                <w:szCs w:val="18"/>
              </w:rPr>
            </w:pPr>
            <w:r>
              <w:rPr>
                <w:rFonts w:ascii="宋体" w:hAnsi="宋体" w:cs="宋体" w:eastAsia="宋体" w:hint="default"/>
                <w:sz w:val="18"/>
                <w:szCs w:val="18"/>
              </w:rPr>
              <w:t>公司主营业务情况、 行业竞争情况及并 购规划</w:t>
            </w:r>
          </w:p>
        </w:tc>
      </w:tr>
      <w:tr>
        <w:trPr>
          <w:trHeight w:val="164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09"/>
              <w:jc w:val="left"/>
              <w:rPr>
                <w:rFonts w:ascii="宋体" w:hAnsi="宋体" w:cs="宋体" w:eastAsia="宋体" w:hint="default"/>
                <w:sz w:val="18"/>
                <w:szCs w:val="18"/>
              </w:rPr>
            </w:pPr>
            <w:r>
              <w:rPr>
                <w:rFonts w:ascii="宋体" w:hAnsi="宋体" w:cs="宋体" w:eastAsia="宋体" w:hint="default"/>
                <w:sz w:val="18"/>
                <w:szCs w:val="18"/>
              </w:rPr>
              <w:t>融通基金、博时基金、景顺长 易方达基金、平安大华基金、海富通 基金、信达澳银基金、中金公司、广 发证券、广东新价值投资、民 龙腾资产、英国施罗德集团</w:t>
            </w:r>
          </w:p>
        </w:tc>
        <w:tc>
          <w:tcPr>
            <w:tcW w:w="16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公司主营业务情况</w:t>
            </w:r>
          </w:p>
        </w:tc>
      </w:tr>
      <w:tr>
        <w:trPr>
          <w:trHeight w:val="102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南方基金、宝盈基金、第一创业证券</w:t>
            </w:r>
          </w:p>
        </w:tc>
        <w:tc>
          <w:tcPr>
            <w:tcW w:w="16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25"/>
              <w:jc w:val="left"/>
              <w:rPr>
                <w:rFonts w:ascii="宋体" w:hAnsi="宋体" w:cs="宋体" w:eastAsia="宋体" w:hint="default"/>
                <w:sz w:val="18"/>
                <w:szCs w:val="18"/>
              </w:rPr>
            </w:pPr>
            <w:r>
              <w:rPr>
                <w:rFonts w:ascii="宋体" w:hAnsi="宋体" w:cs="宋体" w:eastAsia="宋体" w:hint="default"/>
                <w:sz w:val="18"/>
                <w:szCs w:val="18"/>
              </w:rPr>
              <w:t>公司主营业务情况、 并购规划及政府补 贴情况</w:t>
            </w:r>
          </w:p>
        </w:tc>
      </w:tr>
    </w:tbl>
    <w:p>
      <w:pPr>
        <w:spacing w:after="0" w:line="316" w:lineRule="auto"/>
        <w:jc w:val="left"/>
        <w:rPr>
          <w:rFonts w:ascii="宋体" w:hAnsi="宋体" w:cs="宋体" w:eastAsia="宋体" w:hint="default"/>
          <w:sz w:val="18"/>
          <w:szCs w:val="18"/>
        </w:rPr>
        <w:sectPr>
          <w:pgSz w:w="11910" w:h="16840"/>
          <w:pgMar w:header="877" w:footer="1316" w:top="1100" w:bottom="150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right="1109"/>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一、重大诉讼仲裁事项</w:t>
      </w:r>
      <w:r>
        <w:rPr>
          <w:b w:val="0"/>
          <w:bCs w:val="0"/>
        </w:rPr>
      </w:r>
    </w:p>
    <w:p>
      <w:pPr>
        <w:spacing w:line="240" w:lineRule="auto" w:before="2"/>
        <w:rPr>
          <w:rFonts w:ascii="宋体" w:hAnsi="宋体" w:cs="宋体" w:eastAsia="宋体" w:hint="default"/>
          <w:b/>
          <w:bCs/>
          <w:sz w:val="23"/>
          <w:szCs w:val="23"/>
        </w:rPr>
      </w:pPr>
    </w:p>
    <w:p>
      <w:pPr>
        <w:spacing w:line="357" w:lineRule="auto" w:before="0"/>
        <w:ind w:left="152" w:right="78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本年度公司无重大诉讼、仲裁事项。 媒体质疑情况</w:t>
      </w:r>
    </w:p>
    <w:p>
      <w:pPr>
        <w:spacing w:line="357" w:lineRule="auto" w:before="26"/>
        <w:ind w:left="152" w:right="84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本年度公司无媒体质疑事项。</w:t>
      </w:r>
    </w:p>
    <w:p>
      <w:pPr>
        <w:spacing w:line="240" w:lineRule="auto" w:before="8"/>
        <w:rPr>
          <w:rFonts w:ascii="宋体" w:hAnsi="宋体" w:cs="宋体" w:eastAsia="宋体" w:hint="default"/>
          <w:sz w:val="24"/>
          <w:szCs w:val="24"/>
        </w:rPr>
      </w:pPr>
    </w:p>
    <w:p>
      <w:pPr>
        <w:pStyle w:val="Heading2"/>
        <w:spacing w:line="240" w:lineRule="auto"/>
        <w:ind w:right="1123"/>
        <w:jc w:val="left"/>
        <w:rPr>
          <w:b w:val="0"/>
          <w:bCs w:val="0"/>
        </w:rPr>
      </w:pPr>
      <w:r>
        <w:rPr/>
        <w:t>二、上市公司发生控股股东及其关联方非经营性占用资金情况</w:t>
      </w:r>
      <w:r>
        <w:rPr>
          <w:b w:val="0"/>
          <w:bCs w:val="0"/>
        </w:rPr>
      </w:r>
    </w:p>
    <w:p>
      <w:pPr>
        <w:spacing w:line="240" w:lineRule="auto" w:before="2"/>
        <w:rPr>
          <w:rFonts w:ascii="宋体" w:hAnsi="宋体" w:cs="宋体" w:eastAsia="宋体" w:hint="default"/>
          <w:b/>
          <w:bCs/>
          <w:sz w:val="23"/>
          <w:szCs w:val="23"/>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2"/>
        <w:spacing w:line="240" w:lineRule="auto"/>
        <w:ind w:right="1123"/>
        <w:jc w:val="left"/>
        <w:rPr>
          <w:b w:val="0"/>
          <w:bCs w:val="0"/>
        </w:rPr>
      </w:pPr>
      <w:r>
        <w:rPr/>
        <w:t>三、资产交易事项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78"/>
        <w:gridCol w:w="912"/>
        <w:gridCol w:w="868"/>
        <w:gridCol w:w="503"/>
        <w:gridCol w:w="1121"/>
        <w:gridCol w:w="1121"/>
        <w:gridCol w:w="965"/>
        <w:gridCol w:w="490"/>
        <w:gridCol w:w="771"/>
        <w:gridCol w:w="846"/>
        <w:gridCol w:w="995"/>
      </w:tblGrid>
      <w:tr>
        <w:trPr>
          <w:trHeight w:val="2583" w:hRule="exact"/>
        </w:trPr>
        <w:tc>
          <w:tcPr>
            <w:tcW w:w="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34" w:right="33"/>
              <w:jc w:val="left"/>
              <w:rPr>
                <w:rFonts w:ascii="宋体" w:hAnsi="宋体" w:cs="宋体" w:eastAsia="宋体" w:hint="default"/>
                <w:sz w:val="18"/>
                <w:szCs w:val="18"/>
              </w:rPr>
            </w:pPr>
            <w:r>
              <w:rPr>
                <w:rFonts w:ascii="宋体" w:hAnsi="宋体" w:cs="宋体" w:eastAsia="宋体" w:hint="default"/>
                <w:sz w:val="18"/>
                <w:szCs w:val="18"/>
              </w:rPr>
              <w:t>交易对方或 最终控制方</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91" w:right="89"/>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5" w:right="65"/>
              <w:jc w:val="left"/>
              <w:rPr>
                <w:rFonts w:ascii="宋体" w:hAnsi="宋体" w:cs="宋体" w:eastAsia="宋体" w:hint="default"/>
                <w:sz w:val="18"/>
                <w:szCs w:val="18"/>
              </w:rPr>
            </w:pPr>
            <w:r>
              <w:rPr>
                <w:rFonts w:ascii="宋体" w:hAnsi="宋体" w:cs="宋体" w:eastAsia="宋体" w:hint="default"/>
                <w:sz w:val="18"/>
                <w:szCs w:val="18"/>
              </w:rPr>
              <w:t>进展 情况</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hanging="1"/>
              <w:jc w:val="center"/>
              <w:rPr>
                <w:rFonts w:ascii="宋体" w:hAnsi="宋体" w:cs="宋体" w:eastAsia="宋体" w:hint="default"/>
                <w:sz w:val="18"/>
                <w:szCs w:val="18"/>
              </w:rPr>
            </w:pPr>
            <w:r>
              <w:rPr>
                <w:rFonts w:ascii="宋体" w:hAnsi="宋体" w:cs="宋体" w:eastAsia="宋体" w:hint="default"/>
                <w:sz w:val="18"/>
                <w:szCs w:val="18"/>
              </w:rPr>
              <w:t>自购买日起 至报告期末 为上市公司 贡献的净利 </w:t>
            </w:r>
            <w:r>
              <w:rPr>
                <w:rFonts w:ascii="宋体" w:hAnsi="宋体" w:cs="宋体" w:eastAsia="宋体" w:hint="default"/>
                <w:spacing w:val="-29"/>
                <w:sz w:val="18"/>
                <w:szCs w:val="18"/>
              </w:rPr>
              <w:t>润（万元）（适</w:t>
            </w:r>
            <w:r>
              <w:rPr>
                <w:rFonts w:ascii="宋体" w:hAnsi="宋体" w:cs="宋体" w:eastAsia="宋体" w:hint="default"/>
                <w:sz w:val="18"/>
                <w:szCs w:val="18"/>
              </w:rPr>
              <w:t> 用于非同一 控制下的企 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5" w:right="105"/>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316" w:lineRule="auto" w:before="17"/>
              <w:ind w:left="60" w:right="60"/>
              <w:jc w:val="center"/>
              <w:rPr>
                <w:rFonts w:ascii="宋体" w:hAnsi="宋体" w:cs="宋体" w:eastAsia="宋体" w:hint="default"/>
                <w:sz w:val="18"/>
                <w:szCs w:val="18"/>
              </w:rPr>
            </w:pPr>
            <w:r>
              <w:rPr>
                <w:rFonts w:ascii="宋体" w:hAnsi="宋体" w:cs="宋体" w:eastAsia="宋体" w:hint="default"/>
                <w:spacing w:val="-16"/>
                <w:sz w:val="18"/>
                <w:szCs w:val="18"/>
              </w:rPr>
              <w:t>（万元）（适</w:t>
            </w:r>
            <w:r>
              <w:rPr>
                <w:rFonts w:ascii="宋体" w:hAnsi="宋体" w:cs="宋体" w:eastAsia="宋体" w:hint="default"/>
                <w:sz w:val="18"/>
                <w:szCs w:val="18"/>
              </w:rPr>
              <w:t> 用于同一控 制下的企业 合并）</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9" w:lineRule="auto"/>
              <w:ind w:left="28" w:right="24"/>
              <w:jc w:val="center"/>
              <w:rPr>
                <w:rFonts w:ascii="宋体" w:hAnsi="宋体" w:cs="宋体" w:eastAsia="宋体" w:hint="default"/>
                <w:sz w:val="18"/>
                <w:szCs w:val="18"/>
              </w:rPr>
            </w:pPr>
            <w:r>
              <w:rPr>
                <w:rFonts w:ascii="宋体" w:hAnsi="宋体" w:cs="宋体" w:eastAsia="宋体" w:hint="default"/>
                <w:sz w:val="18"/>
                <w:szCs w:val="18"/>
              </w:rPr>
              <w:t>该资产为上 市公司贡献 的净利润占 利润总额的 比率</w:t>
            </w:r>
            <w:r>
              <w:rPr>
                <w:rFonts w:ascii="宋体" w:hAnsi="宋体" w:cs="宋体" w:eastAsia="宋体" w:hint="default"/>
                <w:sz w:val="18"/>
                <w:szCs w:val="18"/>
              </w:rPr>
              <w:t>(%)</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9" w:lineRule="auto"/>
              <w:ind w:left="60" w:right="59"/>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22"/>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2"/>
                <w:sz w:val="18"/>
                <w:szCs w:val="18"/>
              </w:rPr>
              <w:t>系（适用</w:t>
            </w:r>
            <w:r>
              <w:rPr>
                <w:rFonts w:ascii="宋体" w:hAnsi="宋体" w:cs="宋体" w:eastAsia="宋体" w:hint="default"/>
                <w:sz w:val="18"/>
                <w:szCs w:val="18"/>
              </w:rPr>
              <w:t> 关联交 易情形</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4" w:hRule="exact"/>
        </w:trPr>
        <w:tc>
          <w:tcPr>
            <w:tcW w:w="9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沈宏明、北 京启迪筑能 建筑信息技 术有限公司</w:t>
            </w:r>
          </w:p>
        </w:tc>
        <w:tc>
          <w:tcPr>
            <w:tcW w:w="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19"/>
              <w:jc w:val="left"/>
              <w:rPr>
                <w:rFonts w:ascii="宋体" w:hAnsi="宋体" w:cs="宋体" w:eastAsia="宋体" w:hint="default"/>
                <w:sz w:val="18"/>
                <w:szCs w:val="18"/>
              </w:rPr>
            </w:pPr>
            <w:r>
              <w:rPr>
                <w:rFonts w:ascii="宋体" w:hAnsi="宋体" w:cs="宋体" w:eastAsia="宋体" w:hint="default"/>
                <w:sz w:val="18"/>
                <w:szCs w:val="18"/>
              </w:rPr>
              <w:t>北京启迪 德润能源 科技有限 公司</w:t>
            </w:r>
            <w:r>
              <w:rPr>
                <w:rFonts w:ascii="宋体" w:hAnsi="宋体" w:cs="宋体" w:eastAsia="宋体" w:hint="default"/>
                <w:spacing w:val="-45"/>
                <w:sz w:val="18"/>
                <w:szCs w:val="18"/>
              </w:rPr>
              <w:t> </w:t>
            </w:r>
            <w:r>
              <w:rPr>
                <w:rFonts w:ascii="宋体" w:hAnsi="宋体" w:cs="宋体" w:eastAsia="宋体" w:hint="default"/>
                <w:sz w:val="18"/>
                <w:szCs w:val="18"/>
              </w:rPr>
              <w:t>45%</w:t>
            </w:r>
            <w:r>
              <w:rPr>
                <w:rFonts w:ascii="宋体" w:hAnsi="宋体" w:cs="宋体" w:eastAsia="宋体" w:hint="default"/>
                <w:sz w:val="18"/>
                <w:szCs w:val="18"/>
              </w:rPr>
              <w:t>股 权</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1,350</w:t>
            </w:r>
          </w:p>
        </w:tc>
        <w:tc>
          <w:tcPr>
            <w:tcW w:w="5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314" w:lineRule="auto"/>
              <w:ind w:left="65" w:right="65"/>
              <w:jc w:val="left"/>
              <w:rPr>
                <w:rFonts w:ascii="宋体" w:hAnsi="宋体" w:cs="宋体" w:eastAsia="宋体" w:hint="default"/>
                <w:sz w:val="18"/>
                <w:szCs w:val="18"/>
              </w:rPr>
            </w:pPr>
            <w:r>
              <w:rPr>
                <w:rFonts w:ascii="宋体" w:hAnsi="宋体" w:cs="宋体" w:eastAsia="宋体" w:hint="default"/>
                <w:sz w:val="18"/>
                <w:szCs w:val="18"/>
              </w:rPr>
              <w:t>收购 完成</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39.91</w:t>
            </w:r>
          </w:p>
        </w:tc>
        <w:tc>
          <w:tcPr>
            <w:tcW w:w="112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0.51%</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7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03</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3"/>
              <w:ind w:left="22" w:right="59"/>
              <w:jc w:val="left"/>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z w:val="18"/>
                <w:szCs w:val="18"/>
              </w:rPr>
              <w:t>2012-010</w:t>
            </w:r>
            <w:r>
              <w:rPr>
                <w:rFonts w:ascii="宋体" w:hAnsi="宋体" w:cs="宋体" w:eastAsia="宋体" w:hint="default"/>
                <w:sz w:val="18"/>
                <w:szCs w:val="18"/>
              </w:rPr>
              <w:t>，</w:t>
            </w:r>
          </w:p>
          <w:p>
            <w:pPr>
              <w:pStyle w:val="TableParagraph"/>
              <w:spacing w:line="316" w:lineRule="auto" w:before="20"/>
              <w:ind w:left="22" w:right="22"/>
              <w:jc w:val="left"/>
              <w:rPr>
                <w:rFonts w:ascii="宋体" w:hAnsi="宋体" w:cs="宋体" w:eastAsia="宋体" w:hint="default"/>
                <w:sz w:val="18"/>
                <w:szCs w:val="18"/>
              </w:rPr>
            </w:pPr>
            <w:r>
              <w:rPr>
                <w:rFonts w:ascii="宋体" w:hAnsi="宋体" w:cs="宋体" w:eastAsia="宋体" w:hint="default"/>
                <w:sz w:val="18"/>
                <w:szCs w:val="18"/>
              </w:rPr>
              <w:t>《证券时 </w:t>
            </w:r>
            <w:r>
              <w:rPr>
                <w:rFonts w:ascii="宋体" w:hAnsi="宋体" w:cs="宋体" w:eastAsia="宋体" w:hint="default"/>
                <w:spacing w:val="-24"/>
                <w:sz w:val="18"/>
                <w:szCs w:val="18"/>
              </w:rPr>
              <w:t>报》、巨潮资</w:t>
            </w:r>
            <w:r>
              <w:rPr>
                <w:rFonts w:ascii="宋体" w:hAnsi="宋体" w:cs="宋体" w:eastAsia="宋体" w:hint="default"/>
                <w:sz w:val="18"/>
                <w:szCs w:val="18"/>
              </w:rPr>
              <w:t> 讯网</w:t>
            </w:r>
          </w:p>
        </w:tc>
      </w:tr>
      <w:tr>
        <w:trPr>
          <w:trHeight w:val="2276" w:hRule="exact"/>
        </w:trPr>
        <w:tc>
          <w:tcPr>
            <w:tcW w:w="9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45"/>
              <w:jc w:val="both"/>
              <w:rPr>
                <w:rFonts w:ascii="宋体" w:hAnsi="宋体" w:cs="宋体" w:eastAsia="宋体" w:hint="default"/>
                <w:sz w:val="18"/>
                <w:szCs w:val="18"/>
              </w:rPr>
            </w:pPr>
            <w:r>
              <w:rPr>
                <w:rFonts w:ascii="宋体" w:hAnsi="宋体" w:cs="宋体" w:eastAsia="宋体" w:hint="default"/>
                <w:sz w:val="18"/>
                <w:szCs w:val="18"/>
              </w:rPr>
              <w:t>上海臻龙投 资管理合伙 企业、上海 益憬投资管 理事务所、 青岛邦源创 业投资中心</w:t>
            </w:r>
          </w:p>
        </w:tc>
        <w:tc>
          <w:tcPr>
            <w:tcW w:w="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156"/>
              <w:jc w:val="both"/>
              <w:rPr>
                <w:rFonts w:ascii="宋体" w:hAnsi="宋体" w:cs="宋体" w:eastAsia="宋体" w:hint="default"/>
                <w:sz w:val="18"/>
                <w:szCs w:val="18"/>
              </w:rPr>
            </w:pPr>
            <w:r>
              <w:rPr>
                <w:rFonts w:ascii="宋体" w:hAnsi="宋体" w:cs="宋体" w:eastAsia="宋体" w:hint="default"/>
                <w:sz w:val="18"/>
                <w:szCs w:val="18"/>
              </w:rPr>
              <w:t>上海联欣 科技发展 有限公司 </w:t>
            </w:r>
            <w:r>
              <w:rPr>
                <w:rFonts w:ascii="宋体" w:hAnsi="宋体" w:cs="宋体" w:eastAsia="宋体" w:hint="default"/>
                <w:sz w:val="18"/>
                <w:szCs w:val="18"/>
              </w:rPr>
              <w:t>51%</w:t>
            </w:r>
            <w:r>
              <w:rPr>
                <w:rFonts w:ascii="宋体" w:hAnsi="宋体" w:cs="宋体" w:eastAsia="宋体" w:hint="default"/>
                <w:sz w:val="18"/>
                <w:szCs w:val="18"/>
              </w:rPr>
              <w:t>股权</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20,114.40</w:t>
            </w:r>
          </w:p>
        </w:tc>
        <w:tc>
          <w:tcPr>
            <w:tcW w:w="5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65" w:right="65"/>
              <w:jc w:val="left"/>
              <w:rPr>
                <w:rFonts w:ascii="宋体" w:hAnsi="宋体" w:cs="宋体" w:eastAsia="宋体" w:hint="default"/>
                <w:sz w:val="18"/>
                <w:szCs w:val="18"/>
              </w:rPr>
            </w:pPr>
            <w:r>
              <w:rPr>
                <w:rFonts w:ascii="宋体" w:hAnsi="宋体" w:cs="宋体" w:eastAsia="宋体" w:hint="default"/>
                <w:sz w:val="18"/>
                <w:szCs w:val="18"/>
              </w:rPr>
              <w:t>收购 完成</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2,575.91</w:t>
            </w:r>
          </w:p>
        </w:tc>
        <w:tc>
          <w:tcPr>
            <w:tcW w:w="112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33.11%</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7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2" w:right="59"/>
              <w:jc w:val="left"/>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z w:val="18"/>
                <w:szCs w:val="18"/>
              </w:rPr>
              <w:t>2012-032</w:t>
            </w:r>
            <w:r>
              <w:rPr>
                <w:rFonts w:ascii="宋体" w:hAnsi="宋体" w:cs="宋体" w:eastAsia="宋体" w:hint="default"/>
                <w:sz w:val="18"/>
                <w:szCs w:val="18"/>
              </w:rPr>
              <w:t>，</w:t>
            </w:r>
          </w:p>
          <w:p>
            <w:pPr>
              <w:pStyle w:val="TableParagraph"/>
              <w:spacing w:line="316"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《证券时 </w:t>
            </w:r>
            <w:r>
              <w:rPr>
                <w:rFonts w:ascii="宋体" w:hAnsi="宋体" w:cs="宋体" w:eastAsia="宋体" w:hint="default"/>
                <w:spacing w:val="-24"/>
                <w:sz w:val="18"/>
                <w:szCs w:val="18"/>
              </w:rPr>
              <w:t>报》、巨潮资</w:t>
            </w:r>
            <w:r>
              <w:rPr>
                <w:rFonts w:ascii="宋体" w:hAnsi="宋体" w:cs="宋体" w:eastAsia="宋体" w:hint="default"/>
                <w:sz w:val="18"/>
                <w:szCs w:val="18"/>
              </w:rPr>
              <w:t> 讯网</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收购资产情况概述</w:t>
      </w:r>
    </w:p>
    <w:p>
      <w:pPr>
        <w:pStyle w:val="BodyText"/>
        <w:spacing w:line="240" w:lineRule="auto" w:before="72"/>
        <w:ind w:left="573" w:right="1123"/>
        <w:jc w:val="left"/>
        <w:rPr>
          <w:rFonts w:ascii="宋体" w:hAnsi="宋体" w:cs="宋体" w:eastAsia="宋体" w:hint="default"/>
        </w:rPr>
      </w:pPr>
      <w:r>
        <w:rPr>
          <w:spacing w:val="-4"/>
        </w:rPr>
        <w:t>经第四届董事会第十四次会议批准，公司收购了北京启迪德润能源科技有限公司的</w:t>
      </w:r>
      <w:r>
        <w:rPr>
          <w:rFonts w:ascii="宋体" w:hAnsi="宋体" w:cs="宋体" w:eastAsia="宋体" w:hint="default"/>
          <w:spacing w:val="-4"/>
        </w:rPr>
        <w:t>45%</w:t>
      </w:r>
      <w:r>
        <w:rPr>
          <w:spacing w:val="-4"/>
        </w:rPr>
        <w:t>股权，并于</w:t>
      </w:r>
      <w:r>
        <w:rPr>
          <w:rFonts w:ascii="宋体" w:hAnsi="宋体" w:cs="宋体" w:eastAsia="宋体" w:hint="default"/>
          <w:spacing w:val="-4"/>
        </w:rPr>
        <w:t>2012</w:t>
      </w:r>
    </w:p>
    <w:p>
      <w:pPr>
        <w:spacing w:after="0" w:line="240" w:lineRule="auto"/>
        <w:jc w:val="left"/>
        <w:rPr>
          <w:rFonts w:ascii="宋体" w:hAnsi="宋体" w:cs="宋体" w:eastAsia="宋体" w:hint="default"/>
        </w:rPr>
        <w:sectPr>
          <w:pgSz w:w="11910" w:h="16840"/>
          <w:pgMar w:header="877" w:footer="1316" w:top="1100" w:bottom="1500" w:left="980" w:right="0"/>
        </w:sectPr>
      </w:pPr>
    </w:p>
    <w:p>
      <w:pPr>
        <w:spacing w:line="240" w:lineRule="auto" w:before="3"/>
        <w:rPr>
          <w:rFonts w:ascii="宋体" w:hAnsi="宋体" w:cs="宋体" w:eastAsia="宋体" w:hint="default"/>
          <w:sz w:val="19"/>
          <w:szCs w:val="19"/>
        </w:rPr>
      </w:pPr>
    </w:p>
    <w:p>
      <w:pPr>
        <w:pStyle w:val="BodyText"/>
        <w:spacing w:line="357" w:lineRule="auto" w:before="36"/>
        <w:ind w:right="0"/>
        <w:jc w:val="left"/>
      </w:pPr>
      <w:r>
        <w:rPr/>
        <w:t>年</w:t>
      </w:r>
      <w:r>
        <w:rPr>
          <w:rFonts w:ascii="宋体" w:hAnsi="宋体" w:cs="宋体" w:eastAsia="宋体" w:hint="default"/>
        </w:rPr>
        <w:t>7</w:t>
      </w:r>
      <w:r>
        <w:rPr/>
        <w:t>月完成工商登记变更事宜；经</w:t>
      </w:r>
      <w:r>
        <w:rPr>
          <w:rFonts w:ascii="宋体" w:hAnsi="宋体" w:cs="宋体" w:eastAsia="宋体" w:hint="default"/>
        </w:rPr>
        <w:t>2012</w:t>
      </w:r>
      <w:r>
        <w:rPr/>
        <w:t>年第二次临时股东大会批准，公司收购了上海联欣科技发展有限公</w:t>
      </w:r>
      <w:r>
        <w:rPr>
          <w:w w:val="100"/>
        </w:rPr>
        <w:t> </w:t>
      </w:r>
      <w:r>
        <w:rPr>
          <w:spacing w:val="-2"/>
        </w:rPr>
        <w:t>司的</w:t>
      </w:r>
      <w:r>
        <w:rPr>
          <w:rFonts w:ascii="宋体" w:hAnsi="宋体" w:cs="宋体" w:eastAsia="宋体" w:hint="default"/>
          <w:spacing w:val="-2"/>
        </w:rPr>
        <w:t>51%</w:t>
      </w:r>
      <w:r>
        <w:rPr>
          <w:spacing w:val="-2"/>
        </w:rPr>
        <w:t>股权，并于</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月完成工商变更登记事宜。本期已将上述两家公司纳入合并报表范围，对公司</w:t>
      </w:r>
      <w:r>
        <w:rPr>
          <w:spacing w:val="-39"/>
        </w:rPr>
        <w:t> </w:t>
      </w:r>
      <w:r>
        <w:rPr>
          <w:spacing w:val="-39"/>
        </w:rPr>
      </w:r>
      <w:r>
        <w:rPr>
          <w:spacing w:val="-2"/>
        </w:rPr>
        <w:t>经营业绩起到积极影响。同时，上述收购事项延伸了公司绿色建筑及建筑节能产业链，对公司打造完整的</w:t>
      </w:r>
      <w:r>
        <w:rPr>
          <w:spacing w:val="-44"/>
        </w:rPr>
        <w:t> </w:t>
      </w:r>
      <w:r>
        <w:rPr>
          <w:spacing w:val="-44"/>
        </w:rPr>
      </w:r>
      <w:r>
        <w:rPr>
          <w:spacing w:val="-5"/>
        </w:rPr>
        <w:t>建筑全生命周期服务能力起到极大的促进作用，并完善了公司的区域布局，对公司发展起较好的促进作用。</w:t>
      </w:r>
    </w:p>
    <w:p>
      <w:pPr>
        <w:spacing w:line="240" w:lineRule="auto" w:before="12"/>
        <w:rPr>
          <w:rFonts w:ascii="宋体" w:hAnsi="宋体" w:cs="宋体" w:eastAsia="宋体" w:hint="default"/>
          <w:sz w:val="24"/>
          <w:szCs w:val="24"/>
        </w:rPr>
      </w:pPr>
    </w:p>
    <w:p>
      <w:pPr>
        <w:pStyle w:val="Heading2"/>
        <w:spacing w:line="240" w:lineRule="auto"/>
        <w:ind w:right="1123"/>
        <w:jc w:val="left"/>
        <w:rPr>
          <w:b w:val="0"/>
          <w:bCs w:val="0"/>
        </w:rPr>
      </w:pPr>
      <w:r>
        <w:rPr/>
        <w:t>四、公司股权激励的实施情况及其影响</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right="1123" w:firstLine="420"/>
        <w:jc w:val="left"/>
      </w:pPr>
      <w:r>
        <w:rPr/>
        <w:t>经中国证监会备案批准，并经于</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25</w:t>
      </w:r>
      <w:r>
        <w:rPr/>
        <w:t>日召开的公司</w:t>
      </w:r>
      <w:r>
        <w:rPr>
          <w:rFonts w:ascii="宋体" w:hAnsi="宋体" w:cs="宋体" w:eastAsia="宋体" w:hint="default"/>
        </w:rPr>
        <w:t>2012</w:t>
      </w:r>
      <w:r>
        <w:rPr/>
        <w:t>年第一次临时股东大会的授权，公司</w:t>
      </w:r>
      <w:r>
        <w:rPr>
          <w:w w:val="100"/>
        </w:rPr>
        <w:t> </w:t>
      </w:r>
      <w:r>
        <w:rPr>
          <w:spacing w:val="-2"/>
        </w:rPr>
        <w:t>于</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14</w:t>
      </w:r>
      <w:r>
        <w:rPr>
          <w:spacing w:val="-2"/>
        </w:rPr>
        <w:t>日实施了上市以来的首次限制性股票激励计划，确定</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14</w:t>
      </w:r>
      <w:r>
        <w:rPr>
          <w:spacing w:val="-2"/>
        </w:rPr>
        <w:t>日为授予日，并于</w:t>
      </w:r>
      <w:r>
        <w:rPr>
          <w:rFonts w:ascii="宋体" w:hAnsi="宋体" w:cs="宋体" w:eastAsia="宋体" w:hint="default"/>
          <w:spacing w:val="-2"/>
        </w:rPr>
        <w:t>2012</w:t>
      </w:r>
      <w:r>
        <w:rPr>
          <w:spacing w:val="-2"/>
        </w:rPr>
        <w:t>年</w:t>
      </w:r>
      <w:r>
        <w:rPr>
          <w:spacing w:val="-27"/>
        </w:rPr>
        <w:t> </w:t>
      </w:r>
      <w:r>
        <w:rPr>
          <w:rFonts w:ascii="宋体" w:hAnsi="宋体" w:cs="宋体" w:eastAsia="宋体" w:hint="default"/>
        </w:rPr>
        <w:t>6</w:t>
      </w:r>
      <w:r>
        <w:rPr/>
        <w:t>月</w:t>
      </w:r>
      <w:r>
        <w:rPr>
          <w:rFonts w:ascii="宋体" w:hAnsi="宋体" w:cs="宋体" w:eastAsia="宋体" w:hint="default"/>
        </w:rPr>
        <w:t>28</w:t>
      </w:r>
      <w:r>
        <w:rPr/>
        <w:t>日完成了授予登记。</w:t>
      </w:r>
    </w:p>
    <w:p>
      <w:pPr>
        <w:pStyle w:val="BodyText"/>
        <w:spacing w:line="355" w:lineRule="auto" w:before="31"/>
        <w:ind w:right="1123" w:firstLine="420"/>
        <w:jc w:val="left"/>
      </w:pPr>
      <w:r>
        <w:rPr>
          <w:spacing w:val="-2"/>
        </w:rPr>
        <w:t>公司向公司高级管理人员、中层管理人员以及公司认定的核心技术（业务）人员共计</w:t>
      </w:r>
      <w:r>
        <w:rPr>
          <w:rFonts w:ascii="宋体" w:hAnsi="宋体" w:cs="宋体" w:eastAsia="宋体" w:hint="default"/>
          <w:spacing w:val="-2"/>
        </w:rPr>
        <w:t>76</w:t>
      </w:r>
      <w:r>
        <w:rPr>
          <w:spacing w:val="-2"/>
        </w:rPr>
        <w:t>人，定向发行</w:t>
      </w:r>
      <w:r>
        <w:rPr>
          <w:w w:val="100"/>
        </w:rPr>
        <w:t> </w:t>
      </w:r>
      <w:r>
        <w:rPr>
          <w:rFonts w:ascii="宋体" w:hAnsi="宋体" w:cs="宋体" w:eastAsia="宋体" w:hint="default"/>
        </w:rPr>
        <w:t>300</w:t>
      </w:r>
      <w:r>
        <w:rPr/>
        <w:t>万股股票，激励计划的有效期为</w:t>
      </w:r>
      <w:r>
        <w:rPr>
          <w:rFonts w:ascii="宋体" w:hAnsi="宋体" w:cs="宋体" w:eastAsia="宋体" w:hint="default"/>
        </w:rPr>
        <w:t>4</w:t>
      </w:r>
      <w:r>
        <w:rPr/>
        <w:t>年，解锁期为</w:t>
      </w:r>
      <w:r>
        <w:rPr>
          <w:rFonts w:ascii="宋体" w:hAnsi="宋体" w:cs="宋体" w:eastAsia="宋体" w:hint="default"/>
        </w:rPr>
        <w:t>3</w:t>
      </w:r>
      <w:r>
        <w:rPr/>
        <w:t>年。在解锁期内，满足规定的解锁条件时，激励对象</w:t>
      </w:r>
      <w:r>
        <w:rPr>
          <w:w w:val="100"/>
        </w:rPr>
        <w:t> </w:t>
      </w:r>
      <w:r>
        <w:rPr/>
        <w:t>可分三次申请标的股票解锁。目前尚处于禁售期内。</w:t>
      </w:r>
    </w:p>
    <w:p>
      <w:pPr>
        <w:pStyle w:val="BodyText"/>
        <w:spacing w:line="240" w:lineRule="auto" w:before="34"/>
        <w:ind w:left="573" w:right="1123"/>
        <w:jc w:val="left"/>
      </w:pPr>
      <w:r>
        <w:rPr/>
        <w:t>相关内容刊登于</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17</w:t>
      </w:r>
      <w:r>
        <w:rPr/>
        <w:t>日、</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15</w:t>
      </w:r>
      <w:r>
        <w:rPr/>
        <w:t>日、</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29</w:t>
      </w:r>
      <w:r>
        <w:rPr/>
        <w:t>日的《证券时报》及巨潮资讯网</w:t>
      </w:r>
    </w:p>
    <w:p>
      <w:pPr>
        <w:pStyle w:val="BodyText"/>
        <w:spacing w:line="240" w:lineRule="auto" w:before="133"/>
        <w:ind w:right="1123"/>
        <w:jc w:val="left"/>
      </w:pPr>
      <w:r>
        <w:rPr/>
        <w:t>（</w:t>
      </w:r>
      <w:hyperlink r:id="rId11">
        <w:r>
          <w:rPr>
            <w:rFonts w:ascii="宋体" w:hAnsi="宋体" w:cs="宋体" w:eastAsia="宋体" w:hint="default"/>
          </w:rPr>
          <w:t>www.cninfo.com.cn</w:t>
        </w:r>
      </w:hyperlink>
      <w:r>
        <w:rPr/>
        <w:t>）。</w:t>
      </w:r>
    </w:p>
    <w:p>
      <w:pPr>
        <w:spacing w:line="240" w:lineRule="auto" w:before="0"/>
        <w:rPr>
          <w:rFonts w:ascii="宋体" w:hAnsi="宋体" w:cs="宋体" w:eastAsia="宋体" w:hint="default"/>
          <w:sz w:val="20"/>
          <w:szCs w:val="20"/>
        </w:rPr>
      </w:pPr>
    </w:p>
    <w:p>
      <w:pPr>
        <w:pStyle w:val="Heading2"/>
        <w:spacing w:line="240" w:lineRule="auto" w:before="167"/>
        <w:ind w:right="1123"/>
        <w:jc w:val="left"/>
        <w:rPr>
          <w:b w:val="0"/>
          <w:bCs w:val="0"/>
        </w:rPr>
      </w:pPr>
      <w:r>
        <w:rPr/>
        <w:t>五、重大关联交易</w:t>
      </w:r>
      <w:r>
        <w:rPr>
          <w:b w:val="0"/>
          <w:bCs w:val="0"/>
        </w:rPr>
      </w:r>
    </w:p>
    <w:p>
      <w:pPr>
        <w:pStyle w:val="BodyText"/>
        <w:spacing w:line="590" w:lineRule="atLeast" w:before="10"/>
        <w:ind w:left="510" w:right="1123" w:hanging="359"/>
        <w:jc w:val="left"/>
      </w:pPr>
      <w:r>
        <w:rPr>
          <w:rFonts w:ascii="宋体" w:hAnsi="宋体" w:cs="宋体" w:eastAsia="宋体" w:hint="default"/>
          <w:b/>
          <w:bCs/>
        </w:rPr>
        <w:t>其他重大关联交易</w:t>
      </w:r>
      <w:r>
        <w:rPr>
          <w:rFonts w:ascii="宋体" w:hAnsi="宋体" w:cs="宋体" w:eastAsia="宋体" w:hint="default"/>
          <w:b/>
          <w:bCs/>
          <w:spacing w:val="-103"/>
        </w:rPr>
        <w:t> </w:t>
      </w:r>
      <w:r>
        <w:rPr>
          <w:spacing w:val="-2"/>
        </w:rPr>
        <w:t>公司于</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18</w:t>
      </w:r>
      <w:r>
        <w:rPr>
          <w:spacing w:val="-2"/>
        </w:rPr>
        <w:t>日召开第四届董事会第二十二次会议，审议通过了《关于与界首市达实置业有限</w:t>
      </w:r>
    </w:p>
    <w:p>
      <w:pPr>
        <w:pStyle w:val="BodyText"/>
        <w:spacing w:line="357" w:lineRule="auto" w:before="133"/>
        <w:ind w:right="1126"/>
        <w:jc w:val="both"/>
      </w:pPr>
      <w:r>
        <w:rPr>
          <w:spacing w:val="-2"/>
        </w:rPr>
        <w:t>公司发生经营性关联交易的议案》，内容为公司为界首市达实置业有限公司投资建设能源站系统（供配电</w:t>
      </w:r>
      <w:r>
        <w:rPr>
          <w:spacing w:val="-43"/>
        </w:rPr>
        <w:t> </w:t>
      </w:r>
      <w:r>
        <w:rPr>
          <w:spacing w:val="-43"/>
        </w:rPr>
      </w:r>
      <w:r>
        <w:rPr>
          <w:spacing w:val="-2"/>
        </w:rPr>
        <w:t>系统），项目造价预估为人民币</w:t>
      </w:r>
      <w:r>
        <w:rPr>
          <w:rFonts w:ascii="宋体" w:hAnsi="宋体" w:cs="宋体" w:eastAsia="宋体" w:hint="default"/>
          <w:spacing w:val="-2"/>
        </w:rPr>
        <w:t>28,508,690.00</w:t>
      </w:r>
      <w:r>
        <w:rPr>
          <w:spacing w:val="-2"/>
        </w:rPr>
        <w:t>元，预估合同额为</w:t>
      </w:r>
      <w:r>
        <w:rPr>
          <w:rFonts w:ascii="宋体" w:hAnsi="宋体" w:cs="宋体" w:eastAsia="宋体" w:hint="default"/>
          <w:spacing w:val="-2"/>
        </w:rPr>
        <w:t>48,000,000.00</w:t>
      </w:r>
      <w:r>
        <w:rPr>
          <w:spacing w:val="-2"/>
        </w:rPr>
        <w:t>元。该事项已提交</w:t>
      </w:r>
      <w:r>
        <w:rPr>
          <w:rFonts w:ascii="宋体" w:hAnsi="宋体" w:cs="宋体" w:eastAsia="宋体" w:hint="default"/>
          <w:spacing w:val="-2"/>
        </w:rPr>
        <w:t>2013</w:t>
      </w:r>
      <w:r>
        <w:rPr>
          <w:spacing w:val="-2"/>
        </w:rPr>
        <w:t>年</w:t>
      </w:r>
      <w:r>
        <w:rPr>
          <w:spacing w:val="-21"/>
        </w:rPr>
        <w:t> </w:t>
      </w:r>
      <w:r>
        <w:rPr/>
        <w:t>第一次临时股东大会审议批准。截止至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日，该交易未实际发生。</w:t>
      </w:r>
    </w:p>
    <w:p>
      <w:pPr>
        <w:spacing w:before="113"/>
        <w:ind w:left="152" w:right="1123"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49"/>
      </w:tblGrid>
      <w:tr>
        <w:trPr>
          <w:trHeight w:val="402"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经营性关联交易公告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44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z w:val="18"/>
                <w:szCs w:val="18"/>
              </w:rPr>
              <w:t>2012-060</w:t>
            </w: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六、重大合同及其履行情况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宋体" w:hAnsi="宋体" w:cs="宋体" w:eastAsia="宋体" w:hint="default"/>
        </w:rPr>
        <w:t>1</w:t>
      </w:r>
      <w:r>
        <w:rPr/>
        <w:t>、托管、承包、租赁事项情况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）托管情况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0"/>
        <w:ind w:left="575" w:right="1123"/>
        <w:jc w:val="left"/>
      </w:pPr>
      <w:r>
        <w:rPr/>
        <w:t>公司不存在在报告期内发生或以前期间发生但延期到报告期的托管或其他公司托管事项。</w:t>
      </w:r>
    </w:p>
    <w:p>
      <w:pPr>
        <w:spacing w:line="240" w:lineRule="auto" w:before="7"/>
        <w:rPr>
          <w:rFonts w:ascii="宋体" w:hAnsi="宋体" w:cs="宋体" w:eastAsia="宋体" w:hint="default"/>
          <w:sz w:val="16"/>
          <w:szCs w:val="1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z w:val="18"/>
          <w:szCs w:val="18"/>
        </w:rPr>
        <w:t>以上的项目</w:t>
      </w:r>
    </w:p>
    <w:p>
      <w:pPr>
        <w:spacing w:before="117"/>
        <w:ind w:left="152" w:right="112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316" w:top="1100" w:bottom="150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t>（</w:t>
      </w:r>
      <w:r>
        <w:rPr>
          <w:rFonts w:ascii="宋体" w:hAnsi="宋体" w:cs="宋体" w:eastAsia="宋体" w:hint="default"/>
        </w:rPr>
        <w:t>2</w:t>
      </w:r>
      <w:r>
        <w:rPr/>
        <w:t>）承包情况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0"/>
        <w:ind w:left="604" w:right="1123"/>
        <w:jc w:val="left"/>
      </w:pPr>
      <w:r>
        <w:rPr/>
        <w:t>公司不存在在报告期内发生或以前期间发生但延期到报告期的承包或其他公司承包事项。</w:t>
      </w:r>
    </w:p>
    <w:p>
      <w:pPr>
        <w:spacing w:line="240" w:lineRule="auto" w:before="7"/>
        <w:rPr>
          <w:rFonts w:ascii="宋体" w:hAnsi="宋体" w:cs="宋体" w:eastAsia="宋体" w:hint="default"/>
          <w:sz w:val="16"/>
          <w:szCs w:val="1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z w:val="18"/>
          <w:szCs w:val="18"/>
        </w:rPr>
        <w:t>以上的项目</w:t>
      </w:r>
    </w:p>
    <w:p>
      <w:pPr>
        <w:spacing w:before="115"/>
        <w:ind w:left="152" w:right="112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3</w:t>
      </w:r>
      <w:r>
        <w:rPr/>
        <w:t>）租赁情况</w:t>
      </w:r>
      <w:r>
        <w:rPr>
          <w:b w:val="0"/>
          <w:bCs w:val="0"/>
        </w:rPr>
      </w:r>
    </w:p>
    <w:p>
      <w:pPr>
        <w:spacing w:line="240" w:lineRule="auto" w:before="4"/>
        <w:rPr>
          <w:rFonts w:ascii="宋体" w:hAnsi="宋体" w:cs="宋体" w:eastAsia="宋体" w:hint="default"/>
          <w:b/>
          <w:bCs/>
          <w:sz w:val="24"/>
          <w:szCs w:val="24"/>
        </w:rPr>
      </w:pPr>
    </w:p>
    <w:p>
      <w:pPr>
        <w:pStyle w:val="BodyText"/>
        <w:spacing w:line="355" w:lineRule="auto" w:before="0"/>
        <w:ind w:right="1123" w:firstLine="420"/>
        <w:jc w:val="left"/>
      </w:pP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w:t>
      </w:r>
      <w:r>
        <w:rPr>
          <w:spacing w:val="-2"/>
        </w:rPr>
        <w:t>日，公司与全资子公司达实信息签订《房地产租赁合同书》，约定租赁其</w:t>
      </w:r>
      <w:r>
        <w:rPr>
          <w:rFonts w:ascii="宋体" w:hAnsi="宋体" w:cs="宋体" w:eastAsia="宋体" w:hint="default"/>
          <w:spacing w:val="-2"/>
        </w:rPr>
        <w:t>3,473.12</w:t>
      </w:r>
      <w:r>
        <w:rPr>
          <w:spacing w:val="-2"/>
        </w:rPr>
        <w:t>平米的</w:t>
      </w:r>
      <w:r>
        <w:rPr>
          <w:w w:val="100"/>
        </w:rPr>
        <w:t> </w:t>
      </w:r>
      <w:r>
        <w:rPr/>
        <w:t>场地用于办公，租赁期限自</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1</w:t>
      </w:r>
      <w:r>
        <w:rPr/>
        <w:t>日至</w:t>
      </w:r>
      <w:r>
        <w:rPr>
          <w:rFonts w:ascii="宋体" w:hAnsi="宋体" w:cs="宋体" w:eastAsia="宋体" w:hint="default"/>
        </w:rPr>
        <w:t>2021</w:t>
      </w:r>
      <w:r>
        <w:rPr/>
        <w:t>年</w:t>
      </w:r>
      <w:r>
        <w:rPr>
          <w:rFonts w:ascii="宋体" w:hAnsi="宋体" w:cs="宋体" w:eastAsia="宋体" w:hint="default"/>
        </w:rPr>
        <w:t>1</w:t>
      </w:r>
      <w:r>
        <w:rPr/>
        <w:t>月</w:t>
      </w:r>
      <w:r>
        <w:rPr>
          <w:rFonts w:ascii="宋体" w:hAnsi="宋体" w:cs="宋体" w:eastAsia="宋体" w:hint="default"/>
        </w:rPr>
        <w:t>30</w:t>
      </w:r>
      <w:r>
        <w:rPr/>
        <w:t>日。</w:t>
      </w:r>
    </w:p>
    <w:p>
      <w:pPr>
        <w:spacing w:before="115"/>
        <w:ind w:left="152" w:right="1123"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2"/>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562"/>
        <w:gridCol w:w="913"/>
        <w:gridCol w:w="945"/>
        <w:gridCol w:w="1174"/>
        <w:gridCol w:w="1266"/>
        <w:gridCol w:w="852"/>
        <w:gridCol w:w="809"/>
        <w:gridCol w:w="775"/>
      </w:tblGrid>
      <w:tr>
        <w:trPr>
          <w:trHeight w:val="396"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66"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562" w:type="dxa"/>
            <w:vMerge w:val="restart"/>
            <w:tcBorders>
              <w:top w:val="single" w:sz="4" w:space="0" w:color="000000"/>
              <w:left w:val="single" w:sz="4" w:space="0" w:color="000000"/>
              <w:right w:val="single" w:sz="4" w:space="0" w:color="000000"/>
            </w:tcBorders>
            <w:shd w:val="clear" w:color="auto" w:fill="D2D2D2"/>
          </w:tcPr>
          <w:p>
            <w:pPr/>
          </w:p>
        </w:tc>
        <w:tc>
          <w:tcPr>
            <w:tcW w:w="913" w:type="dxa"/>
            <w:vMerge w:val="restart"/>
            <w:tcBorders>
              <w:top w:val="single" w:sz="4" w:space="0" w:color="000000"/>
              <w:left w:val="single" w:sz="4" w:space="0" w:color="000000"/>
              <w:right w:val="single" w:sz="4" w:space="0" w:color="000000"/>
            </w:tcBorders>
            <w:shd w:val="clear" w:color="auto" w:fill="D2D2D2"/>
          </w:tcPr>
          <w:p>
            <w:pPr/>
          </w:p>
        </w:tc>
        <w:tc>
          <w:tcPr>
            <w:tcW w:w="9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
        </w:tc>
        <w:tc>
          <w:tcPr>
            <w:tcW w:w="1266"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09" w:type="dxa"/>
            <w:vMerge w:val="restart"/>
            <w:tcBorders>
              <w:top w:val="single" w:sz="4" w:space="0" w:color="000000"/>
              <w:left w:val="single" w:sz="4" w:space="0" w:color="000000"/>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08"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156" w:hRule="exact"/>
        </w:trPr>
        <w:tc>
          <w:tcPr>
            <w:tcW w:w="1277" w:type="dxa"/>
            <w:vMerge/>
            <w:tcBorders>
              <w:left w:val="single" w:sz="4" w:space="0" w:color="000000"/>
              <w:right w:val="single" w:sz="4" w:space="0" w:color="000000"/>
            </w:tcBorders>
            <w:shd w:val="clear" w:color="auto" w:fill="D2D2D2"/>
          </w:tcPr>
          <w:p>
            <w:pPr/>
          </w:p>
        </w:tc>
        <w:tc>
          <w:tcPr>
            <w:tcW w:w="1562"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5" w:hanging="3"/>
              <w:jc w:val="center"/>
              <w:rPr>
                <w:rFonts w:ascii="宋体" w:hAnsi="宋体" w:cs="宋体" w:eastAsia="宋体" w:hint="default"/>
                <w:sz w:val="18"/>
                <w:szCs w:val="18"/>
              </w:rPr>
            </w:pPr>
            <w:r>
              <w:rPr>
                <w:rFonts w:ascii="宋体" w:hAnsi="宋体" w:cs="宋体" w:eastAsia="宋体" w:hint="default"/>
                <w:sz w:val="18"/>
                <w:szCs w:val="18"/>
              </w:rPr>
              <w:t>实际发生 </w:t>
            </w:r>
            <w:r>
              <w:rPr>
                <w:rFonts w:ascii="宋体" w:hAnsi="宋体" w:cs="宋体" w:eastAsia="宋体" w:hint="default"/>
                <w:spacing w:val="-3"/>
                <w:sz w:val="18"/>
                <w:szCs w:val="18"/>
              </w:rPr>
              <w:t>日期（协议</w:t>
            </w:r>
            <w:r>
              <w:rPr>
                <w:rFonts w:ascii="宋体" w:hAnsi="宋体" w:cs="宋体" w:eastAsia="宋体" w:hint="default"/>
                <w:sz w:val="18"/>
                <w:szCs w:val="18"/>
              </w:rPr>
              <w:t> 签署日）</w:t>
            </w:r>
          </w:p>
        </w:tc>
        <w:tc>
          <w:tcPr>
            <w:tcW w:w="1174" w:type="dxa"/>
            <w:vMerge/>
            <w:tcBorders>
              <w:left w:val="single" w:sz="4" w:space="0" w:color="000000"/>
              <w:right w:val="single" w:sz="4" w:space="0" w:color="000000"/>
            </w:tcBorders>
            <w:shd w:val="clear" w:color="auto" w:fill="D2D2D2"/>
          </w:tcPr>
          <w:p>
            <w:pPr/>
          </w:p>
        </w:tc>
        <w:tc>
          <w:tcPr>
            <w:tcW w:w="126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56"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15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17" w:right="52"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13" w:type="dxa"/>
            <w:vMerge/>
            <w:tcBorders>
              <w:left w:val="single" w:sz="4" w:space="0" w:color="000000"/>
              <w:bottom w:val="nil" w:sz="6" w:space="0" w:color="auto"/>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bottom w:val="nil" w:sz="6" w:space="0" w:color="auto"/>
              <w:right w:val="single" w:sz="4" w:space="0" w:color="000000"/>
            </w:tcBorders>
            <w:shd w:val="clear" w:color="auto" w:fill="D2D2D2"/>
          </w:tcPr>
          <w:p>
            <w:pPr/>
          </w:p>
        </w:tc>
        <w:tc>
          <w:tcPr>
            <w:tcW w:w="1266"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3" w:right="4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5" w:type="dxa"/>
            <w:vMerge/>
            <w:tcBorders>
              <w:left w:val="single" w:sz="4" w:space="0" w:color="000000"/>
              <w:right w:val="single" w:sz="4" w:space="0" w:color="000000"/>
            </w:tcBorders>
            <w:shd w:val="clear" w:color="auto" w:fill="D2D2D2"/>
          </w:tcPr>
          <w:p>
            <w:pPr/>
          </w:p>
        </w:tc>
      </w:tr>
      <w:tr>
        <w:trPr>
          <w:trHeight w:val="394"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62" w:type="dxa"/>
            <w:vMerge/>
            <w:tcBorders>
              <w:left w:val="single" w:sz="4" w:space="0" w:color="000000"/>
              <w:right w:val="single" w:sz="4" w:space="0" w:color="000000"/>
            </w:tcBorders>
            <w:shd w:val="clear" w:color="auto" w:fill="D2D2D2"/>
          </w:tcPr>
          <w:p>
            <w:pPr/>
          </w:p>
        </w:tc>
        <w:tc>
          <w:tcPr>
            <w:tcW w:w="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45" w:type="dxa"/>
            <w:vMerge/>
            <w:tcBorders>
              <w:left w:val="single" w:sz="4" w:space="0" w:color="000000"/>
              <w:right w:val="single" w:sz="4" w:space="0" w:color="000000"/>
            </w:tcBorders>
            <w:shd w:val="clear" w:color="auto" w:fill="D2D2D2"/>
          </w:tcPr>
          <w:p>
            <w:pPr/>
          </w:p>
        </w:tc>
        <w:tc>
          <w:tcPr>
            <w:tcW w:w="11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2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9" w:type="dxa"/>
            <w:vMerge/>
            <w:tcBorders>
              <w:left w:val="single" w:sz="4" w:space="0" w:color="000000"/>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56" w:hRule="exact"/>
        </w:trPr>
        <w:tc>
          <w:tcPr>
            <w:tcW w:w="1277" w:type="dxa"/>
            <w:vMerge w:val="restart"/>
            <w:tcBorders>
              <w:top w:val="nil" w:sz="6" w:space="0" w:color="auto"/>
              <w:left w:val="single" w:sz="4" w:space="0" w:color="000000"/>
              <w:right w:val="single" w:sz="4" w:space="0" w:color="000000"/>
            </w:tcBorders>
            <w:shd w:val="clear" w:color="auto" w:fill="D2D2D2"/>
          </w:tcPr>
          <w:p>
            <w:pPr/>
          </w:p>
        </w:tc>
        <w:tc>
          <w:tcPr>
            <w:tcW w:w="1562" w:type="dxa"/>
            <w:vMerge/>
            <w:tcBorders>
              <w:left w:val="single" w:sz="4" w:space="0" w:color="000000"/>
              <w:bottom w:val="nil" w:sz="6" w:space="0" w:color="auto"/>
              <w:right w:val="single" w:sz="4" w:space="0" w:color="000000"/>
            </w:tcBorders>
            <w:shd w:val="clear" w:color="auto" w:fill="D2D2D2"/>
          </w:tcPr>
          <w:p>
            <w:pPr/>
          </w:p>
        </w:tc>
        <w:tc>
          <w:tcPr>
            <w:tcW w:w="913" w:type="dxa"/>
            <w:vMerge w:val="restart"/>
            <w:tcBorders>
              <w:top w:val="nil" w:sz="6" w:space="0" w:color="auto"/>
              <w:left w:val="single" w:sz="4" w:space="0" w:color="000000"/>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1174" w:type="dxa"/>
            <w:vMerge w:val="restart"/>
            <w:tcBorders>
              <w:top w:val="nil" w:sz="6" w:space="0" w:color="auto"/>
              <w:left w:val="single" w:sz="4" w:space="0" w:color="000000"/>
              <w:right w:val="single" w:sz="4" w:space="0" w:color="000000"/>
            </w:tcBorders>
            <w:shd w:val="clear" w:color="auto" w:fill="D2D2D2"/>
          </w:tcPr>
          <w:p>
            <w:pPr/>
          </w:p>
        </w:tc>
        <w:tc>
          <w:tcPr>
            <w:tcW w:w="1266" w:type="dxa"/>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56" w:hRule="exact"/>
        </w:trPr>
        <w:tc>
          <w:tcPr>
            <w:tcW w:w="1277" w:type="dxa"/>
            <w:vMerge/>
            <w:tcBorders>
              <w:left w:val="single" w:sz="4" w:space="0" w:color="000000"/>
              <w:right w:val="single" w:sz="4" w:space="0" w:color="000000"/>
            </w:tcBorders>
            <w:shd w:val="clear" w:color="auto" w:fill="D2D2D2"/>
          </w:tcPr>
          <w:p>
            <w:pPr/>
          </w:p>
        </w:tc>
        <w:tc>
          <w:tcPr>
            <w:tcW w:w="1562" w:type="dxa"/>
            <w:vMerge w:val="restart"/>
            <w:tcBorders>
              <w:top w:val="nil" w:sz="6" w:space="0" w:color="auto"/>
              <w:left w:val="single" w:sz="4" w:space="0" w:color="000000"/>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45"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126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61"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562" w:type="dxa"/>
            <w:vMerge/>
            <w:tcBorders>
              <w:left w:val="single" w:sz="4" w:space="0" w:color="000000"/>
              <w:bottom w:val="single" w:sz="4" w:space="0" w:color="000000"/>
              <w:right w:val="single" w:sz="4" w:space="0" w:color="000000"/>
            </w:tcBorders>
            <w:shd w:val="clear" w:color="auto" w:fill="D2D2D2"/>
          </w:tcPr>
          <w:p>
            <w:pPr/>
          </w:p>
        </w:tc>
        <w:tc>
          <w:tcPr>
            <w:tcW w:w="913" w:type="dxa"/>
            <w:vMerge/>
            <w:tcBorders>
              <w:left w:val="single" w:sz="4" w:space="0" w:color="000000"/>
              <w:bottom w:val="single" w:sz="4" w:space="0" w:color="000000"/>
              <w:right w:val="single" w:sz="4" w:space="0" w:color="000000"/>
            </w:tcBorders>
            <w:shd w:val="clear" w:color="auto" w:fill="D2D2D2"/>
          </w:tcPr>
          <w:p>
            <w:pPr/>
          </w:p>
        </w:tc>
        <w:tc>
          <w:tcPr>
            <w:tcW w:w="9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c>
          <w:tcPr>
            <w:tcW w:w="1266"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8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w:t>
            </w:r>
            <w:r>
              <w:rPr>
                <w:rFonts w:ascii="宋体" w:hAnsi="宋体" w:cs="宋体" w:eastAsia="宋体" w:hint="default"/>
                <w:sz w:val="18"/>
                <w:szCs w:val="18"/>
              </w:rPr>
              <w:t>）</w:t>
            </w:r>
          </w:p>
        </w:tc>
        <w:tc>
          <w:tcPr>
            <w:tcW w:w="1858"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0</w:t>
            </w:r>
          </w:p>
        </w:tc>
        <w:tc>
          <w:tcPr>
            <w:tcW w:w="24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66"/>
              <w:jc w:val="left"/>
              <w:rPr>
                <w:rFonts w:ascii="宋体" w:hAnsi="宋体" w:cs="宋体" w:eastAsia="宋体" w:hint="default"/>
                <w:sz w:val="18"/>
                <w:szCs w:val="18"/>
              </w:rPr>
            </w:pPr>
            <w:r>
              <w:rPr>
                <w:rFonts w:ascii="宋体" w:hAnsi="宋体" w:cs="宋体" w:eastAsia="宋体" w:hint="default"/>
                <w:sz w:val="18"/>
                <w:szCs w:val="18"/>
              </w:rPr>
              <w:t>报告期内对外担保实际发生额 合计（</w:t>
            </w:r>
            <w:r>
              <w:rPr>
                <w:rFonts w:ascii="宋体" w:hAnsi="宋体" w:cs="宋体" w:eastAsia="宋体" w:hint="default"/>
                <w:sz w:val="18"/>
                <w:szCs w:val="18"/>
              </w:rPr>
              <w:t>A2</w:t>
            </w:r>
            <w:r>
              <w:rPr>
                <w:rFonts w:ascii="宋体" w:hAnsi="宋体" w:cs="宋体" w:eastAsia="宋体" w:hint="default"/>
                <w:sz w:val="18"/>
                <w:szCs w:val="18"/>
              </w:rPr>
              <w:t>）</w:t>
            </w:r>
          </w:p>
        </w:tc>
        <w:tc>
          <w:tcPr>
            <w:tcW w:w="243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20" w:hRule="exact"/>
        </w:trPr>
        <w:tc>
          <w:tcPr>
            <w:tcW w:w="28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 计（</w:t>
            </w:r>
            <w:r>
              <w:rPr>
                <w:rFonts w:ascii="宋体" w:hAnsi="宋体" w:cs="宋体" w:eastAsia="宋体" w:hint="default"/>
                <w:sz w:val="18"/>
                <w:szCs w:val="18"/>
              </w:rPr>
              <w:t>A3</w:t>
            </w:r>
            <w:r>
              <w:rPr>
                <w:rFonts w:ascii="宋体" w:hAnsi="宋体" w:cs="宋体" w:eastAsia="宋体" w:hint="default"/>
                <w:sz w:val="18"/>
                <w:szCs w:val="18"/>
              </w:rPr>
              <w:t>）</w:t>
            </w:r>
          </w:p>
        </w:tc>
        <w:tc>
          <w:tcPr>
            <w:tcW w:w="1858"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0</w:t>
            </w:r>
          </w:p>
        </w:tc>
        <w:tc>
          <w:tcPr>
            <w:tcW w:w="24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66"/>
              <w:jc w:val="left"/>
              <w:rPr>
                <w:rFonts w:ascii="宋体" w:hAnsi="宋体" w:cs="宋体" w:eastAsia="宋体" w:hint="default"/>
                <w:sz w:val="18"/>
                <w:szCs w:val="18"/>
              </w:rPr>
            </w:pPr>
            <w:r>
              <w:rPr>
                <w:rFonts w:ascii="宋体" w:hAnsi="宋体" w:cs="宋体" w:eastAsia="宋体" w:hint="default"/>
                <w:sz w:val="18"/>
                <w:szCs w:val="18"/>
              </w:rPr>
              <w:t>报告期末实际对外担保余额合 计（</w:t>
            </w:r>
            <w:r>
              <w:rPr>
                <w:rFonts w:ascii="宋体" w:hAnsi="宋体" w:cs="宋体" w:eastAsia="宋体" w:hint="default"/>
                <w:sz w:val="18"/>
                <w:szCs w:val="18"/>
              </w:rPr>
              <w:t>A4</w:t>
            </w:r>
            <w:r>
              <w:rPr>
                <w:rFonts w:ascii="宋体" w:hAnsi="宋体" w:cs="宋体" w:eastAsia="宋体" w:hint="default"/>
                <w:sz w:val="18"/>
                <w:szCs w:val="18"/>
              </w:rPr>
              <w:t>）</w:t>
            </w:r>
          </w:p>
        </w:tc>
        <w:tc>
          <w:tcPr>
            <w:tcW w:w="243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562" w:type="dxa"/>
            <w:vMerge w:val="restart"/>
            <w:tcBorders>
              <w:top w:val="single" w:sz="4" w:space="0" w:color="000000"/>
              <w:left w:val="single" w:sz="4" w:space="0" w:color="000000"/>
              <w:right w:val="single" w:sz="4" w:space="0" w:color="000000"/>
            </w:tcBorders>
            <w:shd w:val="clear" w:color="auto" w:fill="D2D2D2"/>
          </w:tcPr>
          <w:p>
            <w:pPr/>
          </w:p>
        </w:tc>
        <w:tc>
          <w:tcPr>
            <w:tcW w:w="913" w:type="dxa"/>
            <w:vMerge w:val="restart"/>
            <w:tcBorders>
              <w:top w:val="single" w:sz="4" w:space="0" w:color="000000"/>
              <w:left w:val="single" w:sz="4" w:space="0" w:color="000000"/>
              <w:right w:val="single" w:sz="4" w:space="0" w:color="000000"/>
            </w:tcBorders>
            <w:shd w:val="clear" w:color="auto" w:fill="D2D2D2"/>
          </w:tcPr>
          <w:p>
            <w:pPr/>
          </w:p>
        </w:tc>
        <w:tc>
          <w:tcPr>
            <w:tcW w:w="9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
        </w:tc>
        <w:tc>
          <w:tcPr>
            <w:tcW w:w="1266"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09" w:type="dxa"/>
            <w:vMerge w:val="restart"/>
            <w:tcBorders>
              <w:top w:val="single" w:sz="4" w:space="0" w:color="000000"/>
              <w:left w:val="single" w:sz="4" w:space="0" w:color="000000"/>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08"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156" w:hRule="exact"/>
        </w:trPr>
        <w:tc>
          <w:tcPr>
            <w:tcW w:w="1277" w:type="dxa"/>
            <w:vMerge/>
            <w:tcBorders>
              <w:left w:val="single" w:sz="4" w:space="0" w:color="000000"/>
              <w:right w:val="single" w:sz="4" w:space="0" w:color="000000"/>
            </w:tcBorders>
            <w:shd w:val="clear" w:color="auto" w:fill="D2D2D2"/>
          </w:tcPr>
          <w:p>
            <w:pPr/>
          </w:p>
        </w:tc>
        <w:tc>
          <w:tcPr>
            <w:tcW w:w="1562"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2" w:right="21" w:hanging="3"/>
              <w:jc w:val="center"/>
              <w:rPr>
                <w:rFonts w:ascii="宋体" w:hAnsi="宋体" w:cs="宋体" w:eastAsia="宋体" w:hint="default"/>
                <w:sz w:val="18"/>
                <w:szCs w:val="18"/>
              </w:rPr>
            </w:pPr>
            <w:r>
              <w:rPr>
                <w:rFonts w:ascii="宋体" w:hAnsi="宋体" w:cs="宋体" w:eastAsia="宋体" w:hint="default"/>
                <w:sz w:val="18"/>
                <w:szCs w:val="18"/>
              </w:rPr>
              <w:t>实际发生 日期（协议 签署日）</w:t>
            </w:r>
          </w:p>
        </w:tc>
        <w:tc>
          <w:tcPr>
            <w:tcW w:w="1174" w:type="dxa"/>
            <w:vMerge/>
            <w:tcBorders>
              <w:left w:val="single" w:sz="4" w:space="0" w:color="000000"/>
              <w:right w:val="single" w:sz="4" w:space="0" w:color="000000"/>
            </w:tcBorders>
            <w:shd w:val="clear" w:color="auto" w:fill="D2D2D2"/>
          </w:tcPr>
          <w:p>
            <w:pPr/>
          </w:p>
        </w:tc>
        <w:tc>
          <w:tcPr>
            <w:tcW w:w="126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56"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15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17" w:right="52"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13" w:type="dxa"/>
            <w:vMerge/>
            <w:tcBorders>
              <w:left w:val="single" w:sz="4" w:space="0" w:color="000000"/>
              <w:bottom w:val="nil" w:sz="6" w:space="0" w:color="auto"/>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bottom w:val="nil" w:sz="6" w:space="0" w:color="auto"/>
              <w:right w:val="single" w:sz="4" w:space="0" w:color="000000"/>
            </w:tcBorders>
            <w:shd w:val="clear" w:color="auto" w:fill="D2D2D2"/>
          </w:tcPr>
          <w:p>
            <w:pPr/>
          </w:p>
        </w:tc>
        <w:tc>
          <w:tcPr>
            <w:tcW w:w="1266"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8" w:right="4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5" w:type="dxa"/>
            <w:vMerge/>
            <w:tcBorders>
              <w:left w:val="single" w:sz="4" w:space="0" w:color="000000"/>
              <w:right w:val="single" w:sz="4" w:space="0" w:color="000000"/>
            </w:tcBorders>
            <w:shd w:val="clear" w:color="auto" w:fill="D2D2D2"/>
          </w:tcPr>
          <w:p>
            <w:pPr/>
          </w:p>
        </w:tc>
      </w:tr>
      <w:tr>
        <w:trPr>
          <w:trHeight w:val="394"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62" w:type="dxa"/>
            <w:vMerge/>
            <w:tcBorders>
              <w:left w:val="single" w:sz="4" w:space="0" w:color="000000"/>
              <w:right w:val="single" w:sz="4" w:space="0" w:color="000000"/>
            </w:tcBorders>
            <w:shd w:val="clear" w:color="auto" w:fill="D2D2D2"/>
          </w:tcPr>
          <w:p>
            <w:pPr/>
          </w:p>
        </w:tc>
        <w:tc>
          <w:tcPr>
            <w:tcW w:w="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45" w:type="dxa"/>
            <w:vMerge/>
            <w:tcBorders>
              <w:left w:val="single" w:sz="4" w:space="0" w:color="000000"/>
              <w:right w:val="single" w:sz="4" w:space="0" w:color="000000"/>
            </w:tcBorders>
            <w:shd w:val="clear" w:color="auto" w:fill="D2D2D2"/>
          </w:tcPr>
          <w:p>
            <w:pPr/>
          </w:p>
        </w:tc>
        <w:tc>
          <w:tcPr>
            <w:tcW w:w="11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2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9" w:type="dxa"/>
            <w:vMerge/>
            <w:tcBorders>
              <w:left w:val="single" w:sz="4" w:space="0" w:color="000000"/>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56" w:hRule="exact"/>
        </w:trPr>
        <w:tc>
          <w:tcPr>
            <w:tcW w:w="1277" w:type="dxa"/>
            <w:vMerge w:val="restart"/>
            <w:tcBorders>
              <w:top w:val="nil" w:sz="6" w:space="0" w:color="auto"/>
              <w:left w:val="single" w:sz="4" w:space="0" w:color="000000"/>
              <w:right w:val="single" w:sz="4" w:space="0" w:color="000000"/>
            </w:tcBorders>
            <w:shd w:val="clear" w:color="auto" w:fill="D2D2D2"/>
          </w:tcPr>
          <w:p>
            <w:pPr/>
          </w:p>
        </w:tc>
        <w:tc>
          <w:tcPr>
            <w:tcW w:w="1562" w:type="dxa"/>
            <w:vMerge/>
            <w:tcBorders>
              <w:left w:val="single" w:sz="4" w:space="0" w:color="000000"/>
              <w:bottom w:val="nil" w:sz="6" w:space="0" w:color="auto"/>
              <w:right w:val="single" w:sz="4" w:space="0" w:color="000000"/>
            </w:tcBorders>
            <w:shd w:val="clear" w:color="auto" w:fill="D2D2D2"/>
          </w:tcPr>
          <w:p>
            <w:pPr/>
          </w:p>
        </w:tc>
        <w:tc>
          <w:tcPr>
            <w:tcW w:w="913" w:type="dxa"/>
            <w:vMerge w:val="restart"/>
            <w:tcBorders>
              <w:top w:val="nil" w:sz="6" w:space="0" w:color="auto"/>
              <w:left w:val="single" w:sz="4" w:space="0" w:color="000000"/>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1174" w:type="dxa"/>
            <w:vMerge w:val="restart"/>
            <w:tcBorders>
              <w:top w:val="nil" w:sz="6" w:space="0" w:color="auto"/>
              <w:left w:val="single" w:sz="4" w:space="0" w:color="000000"/>
              <w:right w:val="single" w:sz="4" w:space="0" w:color="000000"/>
            </w:tcBorders>
            <w:shd w:val="clear" w:color="auto" w:fill="D2D2D2"/>
          </w:tcPr>
          <w:p>
            <w:pPr/>
          </w:p>
        </w:tc>
        <w:tc>
          <w:tcPr>
            <w:tcW w:w="1266" w:type="dxa"/>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56" w:hRule="exact"/>
        </w:trPr>
        <w:tc>
          <w:tcPr>
            <w:tcW w:w="1277" w:type="dxa"/>
            <w:vMerge/>
            <w:tcBorders>
              <w:left w:val="single" w:sz="4" w:space="0" w:color="000000"/>
              <w:right w:val="single" w:sz="4" w:space="0" w:color="000000"/>
            </w:tcBorders>
            <w:shd w:val="clear" w:color="auto" w:fill="D2D2D2"/>
          </w:tcPr>
          <w:p>
            <w:pPr/>
          </w:p>
        </w:tc>
        <w:tc>
          <w:tcPr>
            <w:tcW w:w="1562" w:type="dxa"/>
            <w:vMerge w:val="restart"/>
            <w:tcBorders>
              <w:top w:val="nil" w:sz="6" w:space="0" w:color="auto"/>
              <w:left w:val="single" w:sz="4" w:space="0" w:color="000000"/>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45"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126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61"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562" w:type="dxa"/>
            <w:vMerge/>
            <w:tcBorders>
              <w:left w:val="single" w:sz="4" w:space="0" w:color="000000"/>
              <w:bottom w:val="single" w:sz="4" w:space="0" w:color="000000"/>
              <w:right w:val="single" w:sz="4" w:space="0" w:color="000000"/>
            </w:tcBorders>
            <w:shd w:val="clear" w:color="auto" w:fill="D2D2D2"/>
          </w:tcPr>
          <w:p>
            <w:pPr/>
          </w:p>
        </w:tc>
        <w:tc>
          <w:tcPr>
            <w:tcW w:w="913" w:type="dxa"/>
            <w:vMerge/>
            <w:tcBorders>
              <w:left w:val="single" w:sz="4" w:space="0" w:color="000000"/>
              <w:bottom w:val="single" w:sz="4" w:space="0" w:color="000000"/>
              <w:right w:val="single" w:sz="4" w:space="0" w:color="000000"/>
            </w:tcBorders>
            <w:shd w:val="clear" w:color="auto" w:fill="D2D2D2"/>
          </w:tcPr>
          <w:p>
            <w:pPr/>
          </w:p>
        </w:tc>
        <w:tc>
          <w:tcPr>
            <w:tcW w:w="9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c>
          <w:tcPr>
            <w:tcW w:w="1266"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达实信息</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6" w:right="0"/>
              <w:jc w:val="left"/>
              <w:rPr>
                <w:rFonts w:ascii="宋体" w:hAnsi="宋体" w:cs="宋体" w:eastAsia="宋体" w:hint="default"/>
                <w:sz w:val="18"/>
                <w:szCs w:val="18"/>
              </w:rPr>
            </w:pPr>
            <w:r>
              <w:rPr>
                <w:rFonts w:ascii="宋体"/>
                <w:sz w:val="18"/>
              </w:rPr>
              <w:t>3,000</w:t>
            </w:r>
          </w:p>
        </w:tc>
        <w:tc>
          <w:tcPr>
            <w:tcW w:w="94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809"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49"/>
              <w:ind w:right="27"/>
              <w:jc w:val="center"/>
              <w:rPr>
                <w:rFonts w:ascii="宋体" w:hAnsi="宋体" w:cs="宋体" w:eastAsia="宋体" w:hint="default"/>
                <w:sz w:val="18"/>
                <w:szCs w:val="18"/>
              </w:rPr>
            </w:pPr>
            <w:r>
              <w:rPr>
                <w:rFonts w:ascii="宋体" w:hAnsi="宋体" w:cs="宋体" w:eastAsia="宋体" w:hint="default"/>
                <w:sz w:val="18"/>
                <w:szCs w:val="18"/>
              </w:rPr>
              <w:t>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28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 计（</w:t>
            </w:r>
            <w:r>
              <w:rPr>
                <w:rFonts w:ascii="宋体" w:hAnsi="宋体" w:cs="宋体" w:eastAsia="宋体" w:hint="default"/>
                <w:sz w:val="18"/>
                <w:szCs w:val="18"/>
              </w:rPr>
              <w:t>B1</w:t>
            </w:r>
            <w:r>
              <w:rPr>
                <w:rFonts w:ascii="宋体" w:hAnsi="宋体" w:cs="宋体" w:eastAsia="宋体" w:hint="default"/>
                <w:sz w:val="18"/>
                <w:szCs w:val="18"/>
              </w:rPr>
              <w:t>）</w:t>
            </w:r>
          </w:p>
        </w:tc>
        <w:tc>
          <w:tcPr>
            <w:tcW w:w="1858"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宋体" w:hAnsi="宋体" w:cs="宋体" w:eastAsia="宋体" w:hint="default"/>
                <w:sz w:val="18"/>
                <w:szCs w:val="18"/>
              </w:rPr>
            </w:pPr>
            <w:r>
              <w:rPr>
                <w:rFonts w:ascii="宋体"/>
                <w:sz w:val="18"/>
              </w:rPr>
              <w:t>3,000</w:t>
            </w:r>
          </w:p>
        </w:tc>
        <w:tc>
          <w:tcPr>
            <w:tcW w:w="24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1" w:right="66"/>
              <w:jc w:val="left"/>
              <w:rPr>
                <w:rFonts w:ascii="宋体" w:hAnsi="宋体" w:cs="宋体" w:eastAsia="宋体" w:hint="default"/>
                <w:sz w:val="18"/>
                <w:szCs w:val="18"/>
              </w:rPr>
            </w:pPr>
            <w:r>
              <w:rPr>
                <w:rFonts w:ascii="宋体" w:hAnsi="宋体" w:cs="宋体" w:eastAsia="宋体" w:hint="default"/>
                <w:sz w:val="18"/>
                <w:szCs w:val="18"/>
              </w:rPr>
              <w:t>报告期内对子公司担保实际发 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43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8" w:hRule="exact"/>
        </w:trPr>
        <w:tc>
          <w:tcPr>
            <w:tcW w:w="28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 度合计（</w:t>
            </w:r>
            <w:r>
              <w:rPr>
                <w:rFonts w:ascii="宋体" w:hAnsi="宋体" w:cs="宋体" w:eastAsia="宋体" w:hint="default"/>
                <w:sz w:val="18"/>
                <w:szCs w:val="18"/>
              </w:rPr>
              <w:t>B3</w:t>
            </w:r>
            <w:r>
              <w:rPr>
                <w:rFonts w:ascii="宋体" w:hAnsi="宋体" w:cs="宋体" w:eastAsia="宋体" w:hint="default"/>
                <w:sz w:val="18"/>
                <w:szCs w:val="18"/>
              </w:rPr>
              <w:t>）</w:t>
            </w:r>
          </w:p>
        </w:tc>
        <w:tc>
          <w:tcPr>
            <w:tcW w:w="1858"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宋体" w:hAnsi="宋体" w:cs="宋体" w:eastAsia="宋体" w:hint="default"/>
                <w:sz w:val="18"/>
                <w:szCs w:val="18"/>
              </w:rPr>
            </w:pPr>
            <w:r>
              <w:rPr>
                <w:rFonts w:ascii="宋体"/>
                <w:sz w:val="18"/>
              </w:rPr>
              <w:t>3,000</w:t>
            </w:r>
          </w:p>
        </w:tc>
        <w:tc>
          <w:tcPr>
            <w:tcW w:w="24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 w:right="66"/>
              <w:jc w:val="left"/>
              <w:rPr>
                <w:rFonts w:ascii="宋体" w:hAnsi="宋体" w:cs="宋体" w:eastAsia="宋体" w:hint="default"/>
                <w:sz w:val="18"/>
                <w:szCs w:val="18"/>
              </w:rPr>
            </w:pPr>
            <w:r>
              <w:rPr>
                <w:rFonts w:ascii="宋体" w:hAnsi="宋体" w:cs="宋体" w:eastAsia="宋体" w:hint="default"/>
                <w:sz w:val="18"/>
                <w:szCs w:val="18"/>
              </w:rPr>
              <w:t>报告期末对子公司实际担保余 额合计（</w:t>
            </w:r>
            <w:r>
              <w:rPr>
                <w:rFonts w:ascii="宋体" w:hAnsi="宋体" w:cs="宋体" w:eastAsia="宋体" w:hint="default"/>
                <w:sz w:val="18"/>
                <w:szCs w:val="18"/>
              </w:rPr>
              <w:t>B4</w:t>
            </w:r>
            <w:r>
              <w:rPr>
                <w:rFonts w:ascii="宋体" w:hAnsi="宋体" w:cs="宋体" w:eastAsia="宋体" w:hint="default"/>
                <w:sz w:val="18"/>
                <w:szCs w:val="18"/>
              </w:rPr>
              <w:t>）</w:t>
            </w:r>
          </w:p>
        </w:tc>
        <w:tc>
          <w:tcPr>
            <w:tcW w:w="243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394"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28" w:hRule="exact"/>
        </w:trPr>
        <w:tc>
          <w:tcPr>
            <w:tcW w:w="28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w:t>
            </w:r>
            <w:r>
              <w:rPr>
                <w:rFonts w:ascii="宋体" w:hAnsi="宋体" w:cs="宋体" w:eastAsia="宋体" w:hint="default"/>
                <w:sz w:val="18"/>
                <w:szCs w:val="18"/>
              </w:rPr>
              <w:t>）</w:t>
            </w:r>
          </w:p>
        </w:tc>
        <w:tc>
          <w:tcPr>
            <w:tcW w:w="1858"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
              <w:jc w:val="right"/>
              <w:rPr>
                <w:rFonts w:ascii="宋体" w:hAnsi="宋体" w:cs="宋体" w:eastAsia="宋体" w:hint="default"/>
                <w:sz w:val="18"/>
                <w:szCs w:val="18"/>
              </w:rPr>
            </w:pPr>
            <w:r>
              <w:rPr>
                <w:rFonts w:ascii="宋体"/>
                <w:sz w:val="18"/>
              </w:rPr>
              <w:t>3,000</w:t>
            </w:r>
          </w:p>
        </w:tc>
        <w:tc>
          <w:tcPr>
            <w:tcW w:w="24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A2+B2</w:t>
            </w:r>
            <w:r>
              <w:rPr>
                <w:rFonts w:ascii="宋体" w:hAnsi="宋体" w:cs="宋体" w:eastAsia="宋体" w:hint="default"/>
                <w:sz w:val="18"/>
                <w:szCs w:val="18"/>
              </w:rPr>
              <w:t>）</w:t>
            </w:r>
          </w:p>
        </w:tc>
        <w:tc>
          <w:tcPr>
            <w:tcW w:w="243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382" w:hRule="exact"/>
        </w:trPr>
        <w:tc>
          <w:tcPr>
            <w:tcW w:w="28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tc>
        <w:tc>
          <w:tcPr>
            <w:tcW w:w="1858"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38"/>
              <w:ind w:right="10"/>
              <w:jc w:val="right"/>
              <w:rPr>
                <w:rFonts w:ascii="宋体" w:hAnsi="宋体" w:cs="宋体" w:eastAsia="宋体" w:hint="default"/>
                <w:sz w:val="18"/>
                <w:szCs w:val="18"/>
              </w:rPr>
            </w:pPr>
            <w:r>
              <w:rPr>
                <w:rFonts w:ascii="宋体"/>
                <w:sz w:val="18"/>
              </w:rPr>
              <w:t>3,000</w:t>
            </w:r>
          </w:p>
        </w:tc>
        <w:tc>
          <w:tcPr>
            <w:tcW w:w="24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tc>
        <w:tc>
          <w:tcPr>
            <w:tcW w:w="243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8"/>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877" w:footer="1316" w:top="1100" w:bottom="150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820"/>
        <w:gridCol w:w="1857"/>
        <w:gridCol w:w="2441"/>
        <w:gridCol w:w="2444"/>
      </w:tblGrid>
      <w:tr>
        <w:trPr>
          <w:trHeight w:val="363" w:hRule="exact"/>
        </w:trPr>
        <w:tc>
          <w:tcPr>
            <w:tcW w:w="2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w:t>
            </w:r>
            <w:r>
              <w:rPr>
                <w:rFonts w:ascii="宋体" w:hAnsi="宋体" w:cs="宋体" w:eastAsia="宋体" w:hint="default"/>
                <w:sz w:val="18"/>
                <w:szCs w:val="18"/>
              </w:rPr>
              <w:t>）</w:t>
            </w:r>
          </w:p>
        </w:tc>
        <w:tc>
          <w:tcPr>
            <w:tcW w:w="1857" w:type="dxa"/>
            <w:tcBorders>
              <w:top w:val="single" w:sz="4" w:space="0" w:color="000000"/>
              <w:left w:val="single" w:sz="10" w:space="0" w:color="D2D2D2"/>
              <w:bottom w:val="single" w:sz="4" w:space="0" w:color="000000"/>
              <w:right w:val="single" w:sz="14" w:space="0" w:color="D2D2D2"/>
            </w:tcBorders>
          </w:tcPr>
          <w:p>
            <w:pPr/>
          </w:p>
        </w:tc>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A4+B4</w:t>
            </w:r>
            <w:r>
              <w:rPr>
                <w:rFonts w:ascii="宋体" w:hAnsi="宋体" w:cs="宋体" w:eastAsia="宋体" w:hint="default"/>
                <w:sz w:val="18"/>
                <w:szCs w:val="18"/>
              </w:rPr>
              <w:t>）</w:t>
            </w:r>
          </w:p>
        </w:tc>
        <w:tc>
          <w:tcPr>
            <w:tcW w:w="2444" w:type="dxa"/>
            <w:tcBorders>
              <w:top w:val="single" w:sz="4" w:space="0" w:color="000000"/>
              <w:left w:val="single" w:sz="13" w:space="0" w:color="D2D2D2"/>
              <w:bottom w:val="single" w:sz="4" w:space="0" w:color="000000"/>
              <w:right w:val="single" w:sz="4" w:space="0" w:color="000000"/>
            </w:tcBorders>
          </w:tcPr>
          <w:p>
            <w:pPr/>
          </w:p>
        </w:tc>
      </w:tr>
      <w:tr>
        <w:trPr>
          <w:trHeight w:val="406" w:hRule="exact"/>
        </w:trPr>
        <w:tc>
          <w:tcPr>
            <w:tcW w:w="46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宋体" w:hAnsi="宋体" w:cs="宋体" w:eastAsia="宋体" w:hint="default"/>
                <w:sz w:val="18"/>
                <w:szCs w:val="18"/>
              </w:rPr>
              <w:t>A4+B4</w:t>
            </w:r>
            <w:r>
              <w:rPr>
                <w:rFonts w:ascii="宋体" w:hAnsi="宋体" w:cs="宋体" w:eastAsia="宋体" w:hint="default"/>
                <w:sz w:val="18"/>
                <w:szCs w:val="18"/>
              </w:rPr>
              <w:t>）占公司净资产的比例</w:t>
            </w:r>
          </w:p>
        </w:tc>
        <w:tc>
          <w:tcPr>
            <w:tcW w:w="488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z w:val="18"/>
              </w:rPr>
              <w:t>0%</w:t>
            </w:r>
          </w:p>
        </w:tc>
      </w:tr>
      <w:tr>
        <w:trPr>
          <w:trHeight w:val="394" w:hRule="exact"/>
        </w:trPr>
        <w:tc>
          <w:tcPr>
            <w:tcW w:w="95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46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C</w:t>
            </w:r>
            <w:r>
              <w:rPr>
                <w:rFonts w:ascii="宋体" w:hAnsi="宋体" w:cs="宋体" w:eastAsia="宋体" w:hint="default"/>
                <w:sz w:val="18"/>
                <w:szCs w:val="18"/>
              </w:rPr>
              <w:t>）</w:t>
            </w:r>
          </w:p>
        </w:tc>
        <w:tc>
          <w:tcPr>
            <w:tcW w:w="488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r>
      <w:tr>
        <w:trPr>
          <w:trHeight w:val="715" w:hRule="exact"/>
        </w:trPr>
        <w:tc>
          <w:tcPr>
            <w:tcW w:w="46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2"/>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 担保金额（</w:t>
            </w:r>
            <w:r>
              <w:rPr>
                <w:rFonts w:ascii="宋体" w:hAnsi="宋体" w:cs="宋体" w:eastAsia="宋体" w:hint="default"/>
                <w:sz w:val="18"/>
                <w:szCs w:val="18"/>
              </w:rPr>
              <w:t>D</w:t>
            </w:r>
            <w:r>
              <w:rPr>
                <w:rFonts w:ascii="宋体" w:hAnsi="宋体" w:cs="宋体" w:eastAsia="宋体" w:hint="default"/>
                <w:sz w:val="18"/>
                <w:szCs w:val="18"/>
              </w:rPr>
              <w:t>）</w:t>
            </w:r>
          </w:p>
        </w:tc>
        <w:tc>
          <w:tcPr>
            <w:tcW w:w="488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七、承诺事项履行情况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47"/>
        <w:gridCol w:w="2129"/>
        <w:gridCol w:w="1875"/>
        <w:gridCol w:w="1428"/>
        <w:gridCol w:w="1359"/>
        <w:gridCol w:w="833"/>
      </w:tblGrid>
      <w:tr>
        <w:trPr>
          <w:trHeight w:val="396"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0"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8"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3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3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3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2585"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9" w:lineRule="auto"/>
              <w:ind w:left="24" w:right="111"/>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34"/>
              <w:jc w:val="left"/>
              <w:rPr>
                <w:rFonts w:ascii="宋体" w:hAnsi="宋体" w:cs="宋体" w:eastAsia="宋体" w:hint="default"/>
                <w:sz w:val="18"/>
                <w:szCs w:val="18"/>
              </w:rPr>
            </w:pPr>
            <w:r>
              <w:rPr>
                <w:rFonts w:ascii="宋体" w:hAnsi="宋体" w:cs="宋体" w:eastAsia="宋体" w:hint="default"/>
                <w:sz w:val="18"/>
                <w:szCs w:val="18"/>
              </w:rPr>
              <w:t>公司控股股东深圳市达实 </w:t>
            </w:r>
            <w:r>
              <w:rPr>
                <w:rFonts w:ascii="宋体" w:hAnsi="宋体" w:cs="宋体" w:eastAsia="宋体" w:hint="default"/>
                <w:spacing w:val="-8"/>
                <w:sz w:val="18"/>
                <w:szCs w:val="18"/>
              </w:rPr>
              <w:t>投资发展有限公司、担任公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司董事、高级管理人员的股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东程朋胜先生、苏俊锋先 </w:t>
            </w:r>
            <w:r>
              <w:rPr>
                <w:rFonts w:ascii="宋体" w:hAnsi="宋体" w:cs="宋体" w:eastAsia="宋体" w:hint="default"/>
                <w:spacing w:val="-17"/>
                <w:sz w:val="18"/>
                <w:szCs w:val="18"/>
              </w:rPr>
              <w:t>生、吕枫先生、黄天朗先生、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林木青先生、毛振宇先生</w:t>
            </w:r>
          </w:p>
        </w:tc>
        <w:tc>
          <w:tcPr>
            <w:tcW w:w="18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39"/>
              <w:jc w:val="both"/>
              <w:rPr>
                <w:rFonts w:ascii="宋体" w:hAnsi="宋体" w:cs="宋体" w:eastAsia="宋体" w:hint="default"/>
                <w:sz w:val="18"/>
                <w:szCs w:val="18"/>
              </w:rPr>
            </w:pPr>
            <w:r>
              <w:rPr>
                <w:rFonts w:ascii="宋体" w:hAnsi="宋体" w:cs="宋体" w:eastAsia="宋体" w:hint="default"/>
                <w:sz w:val="18"/>
                <w:szCs w:val="18"/>
              </w:rPr>
              <w:t>股份流通限制和自愿锁 定的承诺：自公司首次 公开发行的股票在证券 交易所上市之日起三十 六个月内，不转让或者 委托他人管理其已持有 的公司股份，也不由公 司回购该部分股份。</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严格履行</w:t>
            </w:r>
          </w:p>
        </w:tc>
      </w:tr>
      <w:tr>
        <w:trPr>
          <w:trHeight w:val="3836" w:hRule="exact"/>
        </w:trPr>
        <w:tc>
          <w:tcPr>
            <w:tcW w:w="1947" w:type="dxa"/>
            <w:vMerge w:val="restart"/>
            <w:tcBorders>
              <w:top w:val="single" w:sz="4" w:space="0" w:color="000000"/>
              <w:left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公司控股股东深圳市达实 </w:t>
            </w:r>
            <w:r>
              <w:rPr>
                <w:rFonts w:ascii="宋体" w:hAnsi="宋体" w:cs="宋体" w:eastAsia="宋体" w:hint="default"/>
                <w:spacing w:val="-8"/>
                <w:sz w:val="18"/>
                <w:szCs w:val="18"/>
              </w:rPr>
              <w:t>投资发展有限公司、实际控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制人刘磅先生、担任公司董</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事、高级管理人员的股东程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朋胜先生、苏俊锋先生、吕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枫先生、黄天朗先生</w:t>
            </w:r>
          </w:p>
        </w:tc>
        <w:tc>
          <w:tcPr>
            <w:tcW w:w="18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19"/>
              <w:ind w:left="23" w:right="39"/>
              <w:jc w:val="both"/>
              <w:rPr>
                <w:rFonts w:ascii="宋体" w:hAnsi="宋体" w:cs="宋体" w:eastAsia="宋体" w:hint="default"/>
                <w:sz w:val="18"/>
                <w:szCs w:val="18"/>
              </w:rPr>
            </w:pPr>
            <w:r>
              <w:rPr>
                <w:rFonts w:ascii="宋体" w:hAnsi="宋体" w:cs="宋体" w:eastAsia="宋体" w:hint="default"/>
                <w:sz w:val="18"/>
                <w:szCs w:val="18"/>
              </w:rPr>
              <w:t>避免同业竞争的承诺： 不直接或间接从事与公 司经营范围相同或相类 似的业务。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深圳市达实投资 发展有限公司作 为公司控股股 东、刘磅先生作 为实际控制人期 间及程朋胜先 </w:t>
            </w:r>
            <w:r>
              <w:rPr>
                <w:rFonts w:ascii="宋体" w:hAnsi="宋体" w:cs="宋体" w:eastAsia="宋体" w:hint="default"/>
                <w:spacing w:val="-7"/>
                <w:sz w:val="18"/>
                <w:szCs w:val="18"/>
              </w:rPr>
              <w:t>生、苏俊锋先生</w:t>
            </w:r>
            <w:r>
              <w:rPr>
                <w:rFonts w:ascii="宋体" w:hAnsi="宋体" w:cs="宋体" w:eastAsia="宋体" w:hint="default"/>
                <w:sz w:val="18"/>
                <w:szCs w:val="18"/>
              </w:rPr>
              <w:t> 吕枫先生、黄天 朗先生担任公司 董事、高级管理 人员期间至离职 后两年内。</w:t>
            </w:r>
          </w:p>
        </w:tc>
        <w:tc>
          <w:tcPr>
            <w:tcW w:w="8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196" w:lineRule="exact"/>
              <w:ind w:left="52" w:right="0"/>
              <w:jc w:val="left"/>
              <w:rPr>
                <w:rFonts w:ascii="宋体" w:hAnsi="宋体" w:cs="宋体" w:eastAsia="宋体" w:hint="default"/>
                <w:sz w:val="18"/>
                <w:szCs w:val="18"/>
              </w:rPr>
            </w:pPr>
            <w:r>
              <w:rPr>
                <w:rFonts w:ascii="宋体" w:hAnsi="宋体" w:cs="宋体" w:eastAsia="宋体" w:hint="default"/>
                <w:sz w:val="18"/>
                <w:szCs w:val="18"/>
              </w:rPr>
              <w:t>严格履行</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298" w:hRule="exact"/>
        </w:trPr>
        <w:tc>
          <w:tcPr>
            <w:tcW w:w="1947" w:type="dxa"/>
            <w:vMerge/>
            <w:tcBorders>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公司控股股东深圳市达实 投资发展有限公司及实际 控制人刘磅先生</w:t>
            </w:r>
          </w:p>
        </w:tc>
        <w:tc>
          <w:tcPr>
            <w:tcW w:w="18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39"/>
              <w:jc w:val="both"/>
              <w:rPr>
                <w:rFonts w:ascii="宋体" w:hAnsi="宋体" w:cs="宋体" w:eastAsia="宋体" w:hint="default"/>
                <w:sz w:val="18"/>
                <w:szCs w:val="18"/>
              </w:rPr>
            </w:pPr>
            <w:r>
              <w:rPr>
                <w:rFonts w:ascii="宋体" w:hAnsi="宋体" w:cs="宋体" w:eastAsia="宋体" w:hint="default"/>
                <w:sz w:val="18"/>
                <w:szCs w:val="18"/>
              </w:rPr>
              <w:t>关于不占用公司资金的 承诺：不以任何方式占 用公司的资产和资源， 不以任何直接或者间接</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center"/>
        <w:rPr>
          <w:rFonts w:ascii="宋体" w:hAnsi="宋体" w:cs="宋体" w:eastAsia="宋体" w:hint="default"/>
          <w:sz w:val="18"/>
          <w:szCs w:val="18"/>
        </w:rPr>
        <w:sectPr>
          <w:pgSz w:w="11910" w:h="16840"/>
          <w:pgMar w:header="877" w:footer="1316" w:top="1100" w:bottom="15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947"/>
        <w:gridCol w:w="2129"/>
        <w:gridCol w:w="1875"/>
        <w:gridCol w:w="1428"/>
        <w:gridCol w:w="1359"/>
        <w:gridCol w:w="833"/>
      </w:tblGrid>
      <w:tr>
        <w:trPr>
          <w:trHeight w:val="987" w:hRule="exact"/>
        </w:trPr>
        <w:tc>
          <w:tcPr>
            <w:tcW w:w="1947" w:type="dxa"/>
            <w:vMerge w:val="restart"/>
            <w:tcBorders>
              <w:top w:val="single" w:sz="4" w:space="0" w:color="000000"/>
              <w:left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8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3" w:right="39"/>
              <w:jc w:val="both"/>
              <w:rPr>
                <w:rFonts w:ascii="宋体" w:hAnsi="宋体" w:cs="宋体" w:eastAsia="宋体" w:hint="default"/>
                <w:sz w:val="18"/>
                <w:szCs w:val="18"/>
              </w:rPr>
            </w:pPr>
            <w:r>
              <w:rPr>
                <w:rFonts w:ascii="宋体" w:hAnsi="宋体" w:cs="宋体" w:eastAsia="宋体" w:hint="default"/>
                <w:sz w:val="18"/>
                <w:szCs w:val="18"/>
              </w:rPr>
              <w:t>的方式从事损害或可能 损害公司及其他股东利 益的行为。</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3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2273" w:hRule="exact"/>
        </w:trPr>
        <w:tc>
          <w:tcPr>
            <w:tcW w:w="1947" w:type="dxa"/>
            <w:vMerge/>
            <w:tcBorders>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公司控股股东深圳市达实 投资发展有限公司及实际 控制人刘磅先生</w:t>
            </w:r>
          </w:p>
        </w:tc>
        <w:tc>
          <w:tcPr>
            <w:tcW w:w="18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39"/>
              <w:jc w:val="both"/>
              <w:rPr>
                <w:rFonts w:ascii="宋体" w:hAnsi="宋体" w:cs="宋体" w:eastAsia="宋体" w:hint="default"/>
                <w:sz w:val="18"/>
                <w:szCs w:val="18"/>
              </w:rPr>
            </w:pPr>
            <w:r>
              <w:rPr>
                <w:rFonts w:ascii="宋体" w:hAnsi="宋体" w:cs="宋体" w:eastAsia="宋体" w:hint="default"/>
                <w:sz w:val="18"/>
                <w:szCs w:val="18"/>
              </w:rPr>
              <w:t>关于公司可能由于住房 公积金政策变化而导致 的处罚或损失的承诺： 将对该等处罚或损失承 担连带赔偿责任，以确 保公司不会因此遭受任 何损失。</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716"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3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6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未完成履行的具体原因 及下一步计划</w:t>
            </w:r>
          </w:p>
        </w:tc>
        <w:tc>
          <w:tcPr>
            <w:tcW w:w="7624"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1"/>
              <w:jc w:val="both"/>
              <w:rPr>
                <w:rFonts w:ascii="宋体" w:hAnsi="宋体" w:cs="宋体" w:eastAsia="宋体" w:hint="default"/>
                <w:sz w:val="18"/>
                <w:szCs w:val="18"/>
              </w:rPr>
            </w:pPr>
            <w:r>
              <w:rPr>
                <w:rFonts w:ascii="宋体" w:hAnsi="宋体" w:cs="宋体" w:eastAsia="宋体" w:hint="default"/>
                <w:sz w:val="18"/>
                <w:szCs w:val="18"/>
              </w:rPr>
              <w:t>是否就导致的同业竞争 和关联交易问题作出承 诺</w:t>
            </w:r>
          </w:p>
        </w:tc>
        <w:tc>
          <w:tcPr>
            <w:tcW w:w="76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624"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624"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624"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承诺都在严格履行中</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中勤万信会计师事务所有限公司</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35</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7" w:right="0"/>
              <w:jc w:val="left"/>
              <w:rPr>
                <w:rFonts w:ascii="宋体" w:hAnsi="宋体" w:cs="宋体" w:eastAsia="宋体" w:hint="default"/>
                <w:sz w:val="18"/>
                <w:szCs w:val="18"/>
              </w:rPr>
            </w:pPr>
            <w:r>
              <w:rPr>
                <w:rFonts w:ascii="宋体"/>
                <w:sz w:val="18"/>
              </w:rPr>
              <w:t>0</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龙哲、潘忠民</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是否在审计期间改聘会计师事务所</w:t>
      </w:r>
    </w:p>
    <w:p>
      <w:pPr>
        <w:spacing w:line="340" w:lineRule="auto" w:before="43"/>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更换会计师事务所是否履行审批程序</w:t>
      </w:r>
    </w:p>
    <w:p>
      <w:pPr>
        <w:spacing w:line="340" w:lineRule="auto" w:before="39"/>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聘任、解聘会计师事务所情况说明</w:t>
      </w:r>
    </w:p>
    <w:p>
      <w:pPr>
        <w:pStyle w:val="BodyText"/>
        <w:spacing w:line="355" w:lineRule="auto" w:before="0"/>
        <w:ind w:right="1123" w:firstLine="420"/>
        <w:jc w:val="left"/>
      </w:pPr>
      <w:r>
        <w:rPr>
          <w:spacing w:val="-2"/>
        </w:rPr>
        <w:t>经董事会审计委员会提名、公司</w:t>
      </w:r>
      <w:r>
        <w:rPr>
          <w:rFonts w:ascii="宋体" w:hAnsi="宋体" w:cs="宋体" w:eastAsia="宋体" w:hint="default"/>
          <w:spacing w:val="-2"/>
        </w:rPr>
        <w:t>2012</w:t>
      </w:r>
      <w:r>
        <w:rPr>
          <w:spacing w:val="-2"/>
        </w:rPr>
        <w:t>年第四次临时股东大会审议批准，公司改聘中勤万信会计师事务</w:t>
      </w:r>
      <w:r>
        <w:rPr>
          <w:w w:val="100"/>
        </w:rPr>
        <w:t> </w:t>
      </w:r>
      <w:r>
        <w:rPr/>
        <w:t>所有限公司担任公司</w:t>
      </w:r>
      <w:r>
        <w:rPr>
          <w:rFonts w:ascii="宋体" w:hAnsi="宋体" w:cs="宋体" w:eastAsia="宋体" w:hint="default"/>
        </w:rPr>
        <w:t>2012</w:t>
      </w:r>
      <w:r>
        <w:rPr/>
        <w:t>年度审计机构，聘期一年，年度审计费用为</w:t>
      </w:r>
      <w:r>
        <w:rPr>
          <w:rFonts w:ascii="宋体" w:hAnsi="宋体" w:cs="宋体" w:eastAsia="宋体" w:hint="default"/>
        </w:rPr>
        <w:t>35</w:t>
      </w:r>
      <w:r>
        <w:rPr/>
        <w:t>万元。</w:t>
      </w:r>
    </w:p>
    <w:p>
      <w:pPr>
        <w:spacing w:before="115"/>
        <w:ind w:left="152" w:right="1123" w:firstLine="0"/>
        <w:jc w:val="left"/>
        <w:rPr>
          <w:rFonts w:ascii="宋体" w:hAnsi="宋体" w:cs="宋体" w:eastAsia="宋体" w:hint="default"/>
          <w:sz w:val="18"/>
          <w:szCs w:val="18"/>
        </w:rPr>
      </w:pPr>
      <w:r>
        <w:rPr>
          <w:rFonts w:ascii="宋体" w:hAnsi="宋体" w:cs="宋体" w:eastAsia="宋体" w:hint="default"/>
          <w:sz w:val="18"/>
          <w:szCs w:val="18"/>
        </w:rPr>
        <w:t>聘请内部控制审计会计师事务所、财务顾问或保荐人情况</w:t>
      </w:r>
    </w:p>
    <w:p>
      <w:pPr>
        <w:spacing w:after="0"/>
        <w:jc w:val="left"/>
        <w:rPr>
          <w:rFonts w:ascii="宋体" w:hAnsi="宋体" w:cs="宋体" w:eastAsia="宋体" w:hint="default"/>
          <w:sz w:val="18"/>
          <w:szCs w:val="18"/>
        </w:rPr>
        <w:sectPr>
          <w:pgSz w:w="11910" w:h="16840"/>
          <w:pgMar w:header="877" w:footer="1316" w:top="1100" w:bottom="1500" w:left="980" w:right="0"/>
        </w:sectPr>
      </w:pPr>
    </w:p>
    <w:p>
      <w:pPr>
        <w:spacing w:line="240" w:lineRule="auto" w:before="11"/>
        <w:rPr>
          <w:rFonts w:ascii="宋体" w:hAnsi="宋体" w:cs="宋体" w:eastAsia="宋体" w:hint="default"/>
          <w:sz w:val="20"/>
          <w:szCs w:val="20"/>
        </w:rPr>
      </w:pPr>
    </w:p>
    <w:p>
      <w:pPr>
        <w:pStyle w:val="BodyText"/>
        <w:spacing w:line="240" w:lineRule="auto" w:before="36"/>
        <w:ind w:right="1123"/>
        <w:jc w:val="left"/>
      </w:pPr>
      <w:r>
        <w:rPr/>
        <w:t>□ 适用 √</w:t>
      </w:r>
      <w:r>
        <w:rPr>
          <w:spacing w:val="1"/>
        </w:rPr>
        <w:t> </w:t>
      </w:r>
      <w:r>
        <w:rPr/>
        <w:t>不适用</w:t>
      </w:r>
    </w:p>
    <w:p>
      <w:pPr>
        <w:spacing w:line="240" w:lineRule="auto" w:before="11"/>
        <w:rPr>
          <w:rFonts w:ascii="宋体" w:hAnsi="宋体" w:cs="宋体" w:eastAsia="宋体" w:hint="default"/>
          <w:sz w:val="23"/>
          <w:szCs w:val="23"/>
        </w:rPr>
      </w:pPr>
    </w:p>
    <w:p>
      <w:pPr>
        <w:pStyle w:val="Heading2"/>
        <w:spacing w:line="240" w:lineRule="auto"/>
        <w:ind w:right="1123"/>
        <w:jc w:val="left"/>
        <w:rPr>
          <w:b w:val="0"/>
          <w:bCs w:val="0"/>
        </w:rPr>
      </w:pPr>
      <w:r>
        <w:rPr/>
        <w:t>九、其他重大事项的说明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0"/>
        <w:ind w:left="489" w:right="1123"/>
        <w:jc w:val="left"/>
      </w:pPr>
      <w:r>
        <w:rPr/>
        <w:t>报告期内，公司无其他应该披露而未披露的重大事项。</w:t>
      </w:r>
    </w:p>
    <w:p>
      <w:pPr>
        <w:spacing w:line="240" w:lineRule="auto" w:before="0"/>
        <w:rPr>
          <w:rFonts w:ascii="宋体" w:hAnsi="宋体" w:cs="宋体" w:eastAsia="宋体" w:hint="default"/>
          <w:sz w:val="20"/>
          <w:szCs w:val="20"/>
        </w:rPr>
      </w:pPr>
    </w:p>
    <w:p>
      <w:pPr>
        <w:pStyle w:val="Heading2"/>
        <w:spacing w:line="240" w:lineRule="auto" w:before="167"/>
        <w:ind w:right="1123"/>
        <w:jc w:val="left"/>
        <w:rPr>
          <w:b w:val="0"/>
          <w:bCs w:val="0"/>
        </w:rPr>
      </w:pPr>
      <w:r>
        <w:rPr/>
        <w:t>十、公司子公司重要事项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510" w:right="1123"/>
        <w:jc w:val="left"/>
      </w:pPr>
      <w:r>
        <w:rPr/>
        <w:t>报告期内，公司子公司无其他应披露而未披露的重要事项。</w:t>
      </w:r>
    </w:p>
    <w:p>
      <w:pPr>
        <w:spacing w:after="0" w:line="240" w:lineRule="auto"/>
        <w:jc w:val="left"/>
        <w:sectPr>
          <w:pgSz w:w="11910" w:h="16840"/>
          <w:pgMar w:header="877" w:footer="1316" w:top="1100" w:bottom="15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64" w:right="1123"/>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3"/>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679"/>
        <w:gridCol w:w="1067"/>
        <w:gridCol w:w="787"/>
        <w:gridCol w:w="641"/>
        <w:gridCol w:w="634"/>
        <w:gridCol w:w="1116"/>
        <w:gridCol w:w="910"/>
        <w:gridCol w:w="1093"/>
        <w:gridCol w:w="1051"/>
        <w:gridCol w:w="576"/>
      </w:tblGrid>
      <w:tr>
        <w:trPr>
          <w:trHeight w:val="401"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82"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49"/>
              <w:ind w:left="136" w:right="132"/>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6" w:type="dxa"/>
            <w:tcBorders>
              <w:top w:val="single" w:sz="4" w:space="0" w:color="000000"/>
              <w:left w:val="single" w:sz="4" w:space="0" w:color="000000"/>
              <w:bottom w:val="nil" w:sz="6" w:space="0" w:color="auto"/>
              <w:right w:val="single" w:sz="4" w:space="0" w:color="000000"/>
            </w:tcBorders>
            <w:shd w:val="clear" w:color="auto" w:fill="D2D2D2"/>
          </w:tcPr>
          <w:p>
            <w:pPr/>
          </w:p>
        </w:tc>
        <w:tc>
          <w:tcPr>
            <w:tcW w:w="9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48" w:right="101"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r>
        <w:trPr>
          <w:trHeight w:val="190"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0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641" w:type="dxa"/>
            <w:vMerge/>
            <w:tcBorders>
              <w:left w:val="single" w:sz="4" w:space="0" w:color="000000"/>
              <w:right w:val="single" w:sz="4" w:space="0" w:color="000000"/>
            </w:tcBorders>
            <w:shd w:val="clear" w:color="auto" w:fill="D2D2D2"/>
          </w:tcPr>
          <w:p>
            <w:pPr/>
          </w:p>
        </w:tc>
        <w:tc>
          <w:tcPr>
            <w:tcW w:w="6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576" w:type="dxa"/>
            <w:vMerge/>
            <w:tcBorders>
              <w:left w:val="single" w:sz="4" w:space="0" w:color="000000"/>
              <w:right w:val="single" w:sz="4" w:space="0" w:color="000000"/>
            </w:tcBorders>
            <w:shd w:val="clear" w:color="auto" w:fill="D2D2D2"/>
          </w:tcPr>
          <w:p>
            <w:pPr/>
          </w:p>
        </w:tc>
      </w:tr>
      <w:tr>
        <w:trPr>
          <w:trHeight w:val="202"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067"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34" w:type="dxa"/>
            <w:vMerge/>
            <w:tcBorders>
              <w:left w:val="single" w:sz="4" w:space="0" w:color="000000"/>
              <w:bottom w:val="nil" w:sz="6" w:space="0" w:color="auto"/>
              <w:right w:val="single" w:sz="4" w:space="0" w:color="000000"/>
            </w:tcBorders>
            <w:shd w:val="clear" w:color="auto" w:fill="D2D2D2"/>
          </w:tcPr>
          <w:p>
            <w:pPr/>
          </w:p>
        </w:tc>
        <w:tc>
          <w:tcPr>
            <w:tcW w:w="1116" w:type="dxa"/>
            <w:vMerge/>
            <w:tcBorders>
              <w:left w:val="single" w:sz="4" w:space="0" w:color="000000"/>
              <w:bottom w:val="nil" w:sz="6" w:space="0" w:color="auto"/>
              <w:right w:val="single" w:sz="4" w:space="0" w:color="000000"/>
            </w:tcBorders>
            <w:shd w:val="clear" w:color="auto" w:fill="D2D2D2"/>
          </w:tcPr>
          <w:p>
            <w:pPr/>
          </w:p>
        </w:tc>
        <w:tc>
          <w:tcPr>
            <w:tcW w:w="910" w:type="dxa"/>
            <w:vMerge/>
            <w:tcBorders>
              <w:left w:val="single" w:sz="4" w:space="0" w:color="000000"/>
              <w:bottom w:val="nil" w:sz="6" w:space="0" w:color="auto"/>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80" w:hRule="exact"/>
        </w:trPr>
        <w:tc>
          <w:tcPr>
            <w:tcW w:w="1679"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6" w:type="dxa"/>
            <w:tcBorders>
              <w:top w:val="nil" w:sz="6" w:space="0" w:color="auto"/>
              <w:left w:val="single" w:sz="4" w:space="0" w:color="000000"/>
              <w:bottom w:val="single" w:sz="4" w:space="0" w:color="000000"/>
              <w:right w:val="single" w:sz="4" w:space="0" w:color="000000"/>
            </w:tcBorders>
            <w:shd w:val="clear" w:color="auto" w:fill="D2D2D2"/>
          </w:tcPr>
          <w:p>
            <w:pPr/>
          </w:p>
        </w:tc>
        <w:tc>
          <w:tcPr>
            <w:tcW w:w="9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02" w:right="0"/>
              <w:jc w:val="center"/>
              <w:rPr>
                <w:rFonts w:ascii="宋体" w:hAnsi="宋体" w:cs="宋体" w:eastAsia="宋体" w:hint="default"/>
                <w:sz w:val="18"/>
                <w:szCs w:val="18"/>
              </w:rPr>
            </w:pPr>
            <w:r>
              <w:rPr>
                <w:rFonts w:ascii="宋体"/>
                <w:sz w:val="18"/>
              </w:rPr>
              <w:t>40,817,625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40.25</w:t>
            </w:r>
          </w:p>
        </w:tc>
        <w:tc>
          <w:tcPr>
            <w:tcW w:w="641"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43,817,625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center"/>
              <w:rPr>
                <w:rFonts w:ascii="宋体" w:hAnsi="宋体" w:cs="宋体" w:eastAsia="宋体" w:hint="default"/>
                <w:sz w:val="18"/>
                <w:szCs w:val="18"/>
              </w:rPr>
            </w:pPr>
            <w:r>
              <w:rPr>
                <w:rFonts w:ascii="宋体"/>
                <w:sz w:val="18"/>
              </w:rPr>
              <w:t>3,000,000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46,817,625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center"/>
              <w:rPr>
                <w:rFonts w:ascii="宋体" w:hAnsi="宋体" w:cs="宋体" w:eastAsia="宋体" w:hint="default"/>
                <w:sz w:val="18"/>
                <w:szCs w:val="18"/>
              </w:rPr>
            </w:pPr>
            <w:r>
              <w:rPr>
                <w:rFonts w:ascii="宋体"/>
                <w:sz w:val="18"/>
              </w:rPr>
              <w:t>87,635,250</w:t>
            </w:r>
          </w:p>
        </w:tc>
        <w:tc>
          <w:tcPr>
            <w:tcW w:w="576"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46"/>
              <w:ind w:right="18"/>
              <w:jc w:val="right"/>
              <w:rPr>
                <w:rFonts w:ascii="宋体" w:hAnsi="宋体" w:cs="宋体" w:eastAsia="宋体" w:hint="default"/>
                <w:sz w:val="18"/>
                <w:szCs w:val="18"/>
              </w:rPr>
            </w:pPr>
            <w:r>
              <w:rPr>
                <w:rFonts w:ascii="宋体"/>
                <w:sz w:val="18"/>
              </w:rPr>
              <w:t>41.97</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0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02" w:right="0"/>
              <w:jc w:val="center"/>
              <w:rPr>
                <w:rFonts w:ascii="宋体" w:hAnsi="宋体" w:cs="宋体" w:eastAsia="宋体" w:hint="default"/>
                <w:sz w:val="18"/>
                <w:szCs w:val="18"/>
              </w:rPr>
            </w:pPr>
            <w:r>
              <w:rPr>
                <w:rFonts w:ascii="宋体"/>
                <w:sz w:val="18"/>
              </w:rPr>
              <w:t>40,817,625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40.25</w:t>
            </w:r>
          </w:p>
        </w:tc>
        <w:tc>
          <w:tcPr>
            <w:tcW w:w="641"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43,817,625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 w:right="0"/>
              <w:jc w:val="center"/>
              <w:rPr>
                <w:rFonts w:ascii="宋体" w:hAnsi="宋体" w:cs="宋体" w:eastAsia="宋体" w:hint="default"/>
                <w:sz w:val="18"/>
                <w:szCs w:val="18"/>
              </w:rPr>
            </w:pPr>
            <w:r>
              <w:rPr>
                <w:rFonts w:ascii="宋体"/>
                <w:sz w:val="18"/>
              </w:rPr>
              <w:t>3,000,000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46,817,625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center"/>
              <w:rPr>
                <w:rFonts w:ascii="宋体" w:hAnsi="宋体" w:cs="宋体" w:eastAsia="宋体" w:hint="default"/>
                <w:sz w:val="18"/>
                <w:szCs w:val="18"/>
              </w:rPr>
            </w:pPr>
            <w:r>
              <w:rPr>
                <w:rFonts w:ascii="宋体"/>
                <w:sz w:val="18"/>
              </w:rPr>
              <w:t>87,635,250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41.97</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02" w:right="0"/>
              <w:jc w:val="center"/>
              <w:rPr>
                <w:rFonts w:ascii="宋体" w:hAnsi="宋体" w:cs="宋体" w:eastAsia="宋体" w:hint="default"/>
                <w:sz w:val="18"/>
                <w:szCs w:val="18"/>
              </w:rPr>
            </w:pPr>
            <w:r>
              <w:rPr>
                <w:rFonts w:ascii="宋体"/>
                <w:sz w:val="18"/>
              </w:rPr>
              <w:t>30,319,813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29.90</w:t>
            </w:r>
          </w:p>
        </w:tc>
        <w:tc>
          <w:tcPr>
            <w:tcW w:w="641"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30,319,813</w:t>
            </w:r>
          </w:p>
        </w:tc>
        <w:tc>
          <w:tcPr>
            <w:tcW w:w="9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center"/>
              <w:rPr>
                <w:rFonts w:ascii="宋体" w:hAnsi="宋体" w:cs="宋体" w:eastAsia="宋体" w:hint="default"/>
                <w:sz w:val="18"/>
                <w:szCs w:val="18"/>
              </w:rPr>
            </w:pPr>
            <w:r>
              <w:rPr>
                <w:rFonts w:ascii="宋体"/>
                <w:sz w:val="18"/>
              </w:rPr>
              <w:t>60,639,626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29.04</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02" w:right="0"/>
              <w:jc w:val="center"/>
              <w:rPr>
                <w:rFonts w:ascii="宋体" w:hAnsi="宋体" w:cs="宋体" w:eastAsia="宋体" w:hint="default"/>
                <w:sz w:val="18"/>
                <w:szCs w:val="18"/>
              </w:rPr>
            </w:pPr>
            <w:r>
              <w:rPr>
                <w:rFonts w:ascii="宋体"/>
                <w:sz w:val="18"/>
              </w:rPr>
              <w:t>10,497,812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10.35</w:t>
            </w:r>
          </w:p>
        </w:tc>
        <w:tc>
          <w:tcPr>
            <w:tcW w:w="641"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13,497,812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 w:right="0"/>
              <w:jc w:val="center"/>
              <w:rPr>
                <w:rFonts w:ascii="宋体" w:hAnsi="宋体" w:cs="宋体" w:eastAsia="宋体" w:hint="default"/>
                <w:sz w:val="18"/>
                <w:szCs w:val="18"/>
              </w:rPr>
            </w:pPr>
            <w:r>
              <w:rPr>
                <w:rFonts w:ascii="宋体"/>
                <w:sz w:val="18"/>
              </w:rPr>
              <w:t>3,000,000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16,497,812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center"/>
              <w:rPr>
                <w:rFonts w:ascii="宋体" w:hAnsi="宋体" w:cs="宋体" w:eastAsia="宋体" w:hint="default"/>
                <w:sz w:val="18"/>
                <w:szCs w:val="18"/>
              </w:rPr>
            </w:pPr>
            <w:r>
              <w:rPr>
                <w:rFonts w:ascii="宋体"/>
                <w:sz w:val="18"/>
              </w:rPr>
              <w:t>26,995,624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12.93</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02" w:right="0"/>
              <w:jc w:val="center"/>
              <w:rPr>
                <w:rFonts w:ascii="宋体" w:hAnsi="宋体" w:cs="宋体" w:eastAsia="宋体" w:hint="default"/>
                <w:sz w:val="18"/>
                <w:szCs w:val="18"/>
              </w:rPr>
            </w:pPr>
            <w:r>
              <w:rPr>
                <w:rFonts w:ascii="宋体"/>
                <w:sz w:val="18"/>
              </w:rPr>
              <w:t>60,582,375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59.75</w:t>
            </w:r>
          </w:p>
        </w:tc>
        <w:tc>
          <w:tcPr>
            <w:tcW w:w="641"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60,582,375</w:t>
            </w:r>
          </w:p>
        </w:tc>
        <w:tc>
          <w:tcPr>
            <w:tcW w:w="9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60,582,375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121,164,750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58.03</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0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02" w:right="0"/>
              <w:jc w:val="center"/>
              <w:rPr>
                <w:rFonts w:ascii="宋体" w:hAnsi="宋体" w:cs="宋体" w:eastAsia="宋体" w:hint="default"/>
                <w:sz w:val="18"/>
                <w:szCs w:val="18"/>
              </w:rPr>
            </w:pPr>
            <w:r>
              <w:rPr>
                <w:rFonts w:ascii="宋体"/>
                <w:sz w:val="18"/>
              </w:rPr>
              <w:t>60,582,375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59.75</w:t>
            </w:r>
          </w:p>
        </w:tc>
        <w:tc>
          <w:tcPr>
            <w:tcW w:w="641"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60,582,375</w:t>
            </w:r>
          </w:p>
        </w:tc>
        <w:tc>
          <w:tcPr>
            <w:tcW w:w="9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60,582,375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121,164,750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58.03</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1" w:right="0"/>
              <w:jc w:val="center"/>
              <w:rPr>
                <w:rFonts w:ascii="宋体" w:hAnsi="宋体" w:cs="宋体" w:eastAsia="宋体" w:hint="default"/>
                <w:sz w:val="18"/>
                <w:szCs w:val="18"/>
              </w:rPr>
            </w:pPr>
            <w:r>
              <w:rPr>
                <w:rFonts w:ascii="宋体"/>
                <w:sz w:val="18"/>
              </w:rPr>
              <w:t>101,400,000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104,400,000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center"/>
              <w:rPr>
                <w:rFonts w:ascii="宋体" w:hAnsi="宋体" w:cs="宋体" w:eastAsia="宋体" w:hint="default"/>
                <w:sz w:val="18"/>
                <w:szCs w:val="18"/>
              </w:rPr>
            </w:pPr>
            <w:r>
              <w:rPr>
                <w:rFonts w:ascii="宋体"/>
                <w:sz w:val="18"/>
              </w:rPr>
              <w:t>3,000,000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107,400,000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208,800,000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100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pStyle w:val="BodyText"/>
        <w:spacing w:line="357" w:lineRule="auto" w:before="72"/>
        <w:ind w:right="1123" w:firstLine="420"/>
        <w:jc w:val="left"/>
      </w:pPr>
      <w:r>
        <w:rPr>
          <w:rFonts w:ascii="宋体" w:hAnsi="宋体" w:cs="宋体" w:eastAsia="宋体" w:hint="default"/>
          <w:spacing w:val="-2"/>
        </w:rPr>
        <w:t>1</w:t>
      </w:r>
      <w:r>
        <w:rPr>
          <w:spacing w:val="-2"/>
        </w:rPr>
        <w:t>、公司于</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14</w:t>
      </w:r>
      <w:r>
        <w:rPr>
          <w:spacing w:val="-2"/>
        </w:rPr>
        <w:t>日实施了限制性股票激励计划，授予股份数为</w:t>
      </w:r>
      <w:r>
        <w:rPr>
          <w:rFonts w:ascii="宋体" w:hAnsi="宋体" w:cs="宋体" w:eastAsia="宋体" w:hint="default"/>
          <w:spacing w:val="-2"/>
        </w:rPr>
        <w:t>3,000,000</w:t>
      </w:r>
      <w:r>
        <w:rPr>
          <w:spacing w:val="-2"/>
        </w:rPr>
        <w:t>股，</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28</w:t>
      </w:r>
      <w:r>
        <w:rPr>
          <w:spacing w:val="-2"/>
        </w:rPr>
        <w:t>日完</w:t>
      </w:r>
      <w:r>
        <w:rPr>
          <w:w w:val="100"/>
        </w:rPr>
        <w:t> </w:t>
      </w:r>
      <w:r>
        <w:rPr/>
        <w:t>成授予登记，公司总股本由</w:t>
      </w:r>
      <w:r>
        <w:rPr>
          <w:rFonts w:ascii="宋体" w:hAnsi="宋体" w:cs="宋体" w:eastAsia="宋体" w:hint="default"/>
        </w:rPr>
        <w:t>101,400,000</w:t>
      </w:r>
      <w:r>
        <w:rPr/>
        <w:t>股增加至</w:t>
      </w:r>
      <w:r>
        <w:rPr>
          <w:rFonts w:ascii="宋体" w:hAnsi="宋体" w:cs="宋体" w:eastAsia="宋体" w:hint="default"/>
        </w:rPr>
        <w:t>104,400,000</w:t>
      </w:r>
      <w:r>
        <w:rPr/>
        <w:t>元；</w:t>
      </w:r>
    </w:p>
    <w:p>
      <w:pPr>
        <w:pStyle w:val="BodyText"/>
        <w:spacing w:line="240" w:lineRule="auto"/>
        <w:ind w:left="573" w:right="1123"/>
        <w:jc w:val="left"/>
      </w:pPr>
      <w:r>
        <w:rPr>
          <w:rFonts w:ascii="宋体" w:hAnsi="宋体" w:cs="宋体" w:eastAsia="宋体" w:hint="default"/>
        </w:rPr>
        <w:t>2</w:t>
      </w:r>
      <w:r>
        <w:rPr/>
        <w:t>、公司于</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16</w:t>
      </w:r>
      <w:r>
        <w:rPr/>
        <w:t>日实施了</w:t>
      </w:r>
      <w:r>
        <w:rPr>
          <w:rFonts w:ascii="宋体" w:hAnsi="宋体" w:cs="宋体" w:eastAsia="宋体" w:hint="default"/>
        </w:rPr>
        <w:t>2012</w:t>
      </w:r>
      <w:r>
        <w:rPr/>
        <w:t>年半年度权益分派方案，以公司</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30</w:t>
      </w:r>
      <w:r>
        <w:rPr/>
        <w:t>日总股本</w:t>
      </w:r>
    </w:p>
    <w:p>
      <w:pPr>
        <w:pStyle w:val="BodyText"/>
        <w:spacing w:line="355" w:lineRule="auto" w:before="133"/>
        <w:ind w:right="1123"/>
        <w:jc w:val="left"/>
      </w:pPr>
      <w:r>
        <w:rPr>
          <w:rFonts w:ascii="宋体" w:hAnsi="宋体" w:cs="宋体" w:eastAsia="宋体" w:hint="default"/>
          <w:spacing w:val="-6"/>
        </w:rPr>
        <w:t>104,400,000</w:t>
      </w:r>
      <w:r>
        <w:rPr>
          <w:spacing w:val="-6"/>
        </w:rPr>
        <w:t>股为基数，以资本公积金向全体股东每</w:t>
      </w:r>
      <w:r>
        <w:rPr>
          <w:rFonts w:ascii="宋体" w:hAnsi="宋体" w:cs="宋体" w:eastAsia="宋体" w:hint="default"/>
          <w:spacing w:val="-6"/>
        </w:rPr>
        <w:t>10</w:t>
      </w:r>
      <w:r>
        <w:rPr>
          <w:spacing w:val="-6"/>
        </w:rPr>
        <w:t>股转增</w:t>
      </w:r>
      <w:r>
        <w:rPr>
          <w:rFonts w:ascii="宋体" w:hAnsi="宋体" w:cs="宋体" w:eastAsia="宋体" w:hint="default"/>
          <w:spacing w:val="-6"/>
        </w:rPr>
        <w:t>10</w:t>
      </w:r>
      <w:r>
        <w:rPr>
          <w:spacing w:val="-6"/>
        </w:rPr>
        <w:t>股，转增后，公司总股本增加至</w:t>
      </w:r>
      <w:r>
        <w:rPr>
          <w:rFonts w:ascii="宋体" w:hAnsi="宋体" w:cs="宋体" w:eastAsia="宋体" w:hint="default"/>
          <w:spacing w:val="-6"/>
        </w:rPr>
        <w:t>208,800,000</w:t>
      </w:r>
      <w:r>
        <w:rPr>
          <w:rFonts w:ascii="宋体" w:hAnsi="宋体" w:cs="宋体" w:eastAsia="宋体" w:hint="default"/>
          <w:spacing w:val="8"/>
        </w:rPr>
        <w:t> </w:t>
      </w:r>
      <w:r>
        <w:rPr>
          <w:rFonts w:ascii="宋体" w:hAnsi="宋体" w:cs="宋体" w:eastAsia="宋体" w:hint="default"/>
          <w:spacing w:val="8"/>
        </w:rPr>
      </w:r>
      <w:r>
        <w:rPr/>
        <w:t>股。</w:t>
      </w:r>
    </w:p>
    <w:p>
      <w:pPr>
        <w:spacing w:before="118"/>
        <w:ind w:left="152" w:right="1123"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61"/>
        <w:ind w:left="573" w:right="1123"/>
        <w:jc w:val="left"/>
      </w:pPr>
      <w:r>
        <w:rPr>
          <w:rFonts w:ascii="宋体" w:hAnsi="宋体" w:cs="宋体" w:eastAsia="宋体" w:hint="default"/>
        </w:rPr>
        <w:t>1</w:t>
      </w:r>
      <w:r>
        <w:rPr/>
        <w:t>、限制性股票激励计划的批准情况</w:t>
      </w:r>
    </w:p>
    <w:p>
      <w:pPr>
        <w:pStyle w:val="BodyText"/>
        <w:spacing w:line="355" w:lineRule="auto" w:before="133"/>
        <w:ind w:right="1130" w:firstLine="420"/>
        <w:jc w:val="both"/>
      </w:pP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25</w:t>
      </w:r>
      <w:r>
        <w:rPr/>
        <w:t>日，公司召开</w:t>
      </w:r>
      <w:r>
        <w:rPr>
          <w:rFonts w:ascii="宋体" w:hAnsi="宋体" w:cs="宋体" w:eastAsia="宋体" w:hint="default"/>
        </w:rPr>
        <w:t>2012</w:t>
      </w:r>
      <w:r>
        <w:rPr/>
        <w:t>年第一次临时股东大会，审议通过了《深圳达实智能股份有限公司限</w:t>
      </w:r>
      <w:r>
        <w:rPr>
          <w:w w:val="100"/>
        </w:rPr>
        <w:t> </w:t>
      </w:r>
      <w:r>
        <w:rPr/>
        <w:t>制性股票激励计划（草案）》，并授权董事会办理公司限制性股票激励计划相关事宜；</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14</w:t>
      </w:r>
      <w:r>
        <w:rPr/>
        <w:t>日，</w:t>
      </w:r>
      <w:r>
        <w:rPr>
          <w:spacing w:val="-23"/>
        </w:rPr>
        <w:t> </w:t>
      </w:r>
      <w:r>
        <w:rPr/>
        <w:t>公司召开第四届董事会第十七次会议，确定当日为限制性股票激励计划的授予日。</w:t>
      </w:r>
    </w:p>
    <w:p>
      <w:pPr>
        <w:pStyle w:val="BodyText"/>
        <w:spacing w:line="240" w:lineRule="auto" w:before="33"/>
        <w:ind w:left="573" w:right="1123"/>
        <w:jc w:val="left"/>
      </w:pPr>
      <w:r>
        <w:rPr>
          <w:rFonts w:ascii="宋体" w:hAnsi="宋体" w:cs="宋体" w:eastAsia="宋体" w:hint="default"/>
        </w:rPr>
        <w:t>2</w:t>
      </w:r>
      <w:r>
        <w:rPr/>
        <w:t>、</w:t>
      </w:r>
      <w:r>
        <w:rPr>
          <w:rFonts w:ascii="宋体" w:hAnsi="宋体" w:cs="宋体" w:eastAsia="宋体" w:hint="default"/>
        </w:rPr>
        <w:t>2012</w:t>
      </w:r>
      <w:r>
        <w:rPr/>
        <w:t>年半年度权益分派批准情况</w:t>
      </w:r>
    </w:p>
    <w:p>
      <w:pPr>
        <w:pStyle w:val="BodyText"/>
        <w:spacing w:line="355" w:lineRule="auto" w:before="135"/>
        <w:ind w:right="0" w:firstLine="420"/>
        <w:jc w:val="left"/>
      </w:pPr>
      <w:r>
        <w:rPr>
          <w:rFonts w:ascii="宋体" w:hAnsi="宋体" w:cs="宋体" w:eastAsia="宋体" w:hint="default"/>
          <w:spacing w:val="-6"/>
        </w:rPr>
        <w:t>2012</w:t>
      </w:r>
      <w:r>
        <w:rPr>
          <w:spacing w:val="-6"/>
        </w:rPr>
        <w:t>年</w:t>
      </w:r>
      <w:r>
        <w:rPr>
          <w:rFonts w:ascii="宋体" w:hAnsi="宋体" w:cs="宋体" w:eastAsia="宋体" w:hint="default"/>
          <w:spacing w:val="-6"/>
        </w:rPr>
        <w:t>9</w:t>
      </w:r>
      <w:r>
        <w:rPr>
          <w:spacing w:val="-6"/>
        </w:rPr>
        <w:t>月</w:t>
      </w:r>
      <w:r>
        <w:rPr>
          <w:rFonts w:ascii="宋体" w:hAnsi="宋体" w:cs="宋体" w:eastAsia="宋体" w:hint="default"/>
          <w:spacing w:val="-6"/>
        </w:rPr>
        <w:t>12</w:t>
      </w:r>
      <w:r>
        <w:rPr>
          <w:spacing w:val="-6"/>
        </w:rPr>
        <w:t>日，公司召开</w:t>
      </w:r>
      <w:r>
        <w:rPr>
          <w:rFonts w:ascii="宋体" w:hAnsi="宋体" w:cs="宋体" w:eastAsia="宋体" w:hint="default"/>
          <w:spacing w:val="-6"/>
        </w:rPr>
        <w:t>2012</w:t>
      </w:r>
      <w:r>
        <w:rPr>
          <w:spacing w:val="-6"/>
        </w:rPr>
        <w:t>年第三次临时股东大会，审议通过了《公司</w:t>
      </w:r>
      <w:r>
        <w:rPr>
          <w:rFonts w:ascii="宋体" w:hAnsi="宋体" w:cs="宋体" w:eastAsia="宋体" w:hint="default"/>
          <w:spacing w:val="-6"/>
        </w:rPr>
        <w:t>2012</w:t>
      </w:r>
      <w:r>
        <w:rPr>
          <w:spacing w:val="-6"/>
        </w:rPr>
        <w:t>年中期利润分配预案》。</w:t>
      </w:r>
      <w:r>
        <w:rPr>
          <w:w w:val="100"/>
        </w:rPr>
        <w:t> </w:t>
      </w:r>
      <w:r>
        <w:rPr/>
        <w:t>股份变动的过户情况</w:t>
      </w:r>
    </w:p>
    <w:p>
      <w:pPr>
        <w:pStyle w:val="BodyText"/>
        <w:spacing w:line="240" w:lineRule="auto" w:before="32"/>
        <w:ind w:left="573" w:right="1123"/>
        <w:jc w:val="left"/>
      </w:pP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28</w:t>
      </w:r>
      <w:r>
        <w:rPr/>
        <w:t>日，公司限制性股票激励计划完成授予登记，授予股份已登记在激励对象的证券账户。</w:t>
      </w:r>
    </w:p>
    <w:p>
      <w:pPr>
        <w:pStyle w:val="BodyText"/>
        <w:spacing w:line="355" w:lineRule="auto" w:before="133"/>
        <w:ind w:right="1123" w:firstLine="420"/>
        <w:jc w:val="left"/>
      </w:pP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16</w:t>
      </w:r>
      <w:r>
        <w:rPr>
          <w:spacing w:val="-2"/>
        </w:rPr>
        <w:t>日，为公司</w:t>
      </w:r>
      <w:r>
        <w:rPr>
          <w:rFonts w:ascii="宋体" w:hAnsi="宋体" w:cs="宋体" w:eastAsia="宋体" w:hint="default"/>
          <w:spacing w:val="-2"/>
        </w:rPr>
        <w:t>2012</w:t>
      </w:r>
      <w:r>
        <w:rPr>
          <w:spacing w:val="-2"/>
        </w:rPr>
        <w:t>年半年度权益分派方案的除权除息日，转增的股份已经于当日过户至股</w:t>
      </w:r>
      <w:r>
        <w:rPr>
          <w:w w:val="100"/>
        </w:rPr>
        <w:t> </w:t>
      </w:r>
      <w:r>
        <w:rPr/>
        <w:t>东的证券帐户。</w:t>
      </w:r>
    </w:p>
    <w:p>
      <w:pPr>
        <w:spacing w:before="117"/>
        <w:ind w:left="152" w:right="1123"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after="0"/>
        <w:jc w:val="left"/>
        <w:rPr>
          <w:rFonts w:ascii="宋体" w:hAnsi="宋体" w:cs="宋体" w:eastAsia="宋体" w:hint="default"/>
          <w:sz w:val="18"/>
          <w:szCs w:val="18"/>
        </w:rPr>
        <w:sectPr>
          <w:pgSz w:w="11910" w:h="16840"/>
          <w:pgMar w:header="877" w:footer="1316" w:top="1100" w:bottom="1500" w:left="980" w:right="0"/>
        </w:sectPr>
      </w:pPr>
    </w:p>
    <w:p>
      <w:pPr>
        <w:spacing w:line="240" w:lineRule="auto" w:before="11"/>
        <w:rPr>
          <w:rFonts w:ascii="宋体" w:hAnsi="宋体" w:cs="宋体" w:eastAsia="宋体" w:hint="default"/>
          <w:sz w:val="21"/>
          <w:szCs w:val="21"/>
        </w:rPr>
      </w:pPr>
    </w:p>
    <w:p>
      <w:pPr>
        <w:spacing w:before="44"/>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5" w:lineRule="auto" w:before="61"/>
        <w:ind w:right="1123" w:firstLine="420"/>
        <w:jc w:val="left"/>
      </w:pPr>
      <w:r>
        <w:rPr>
          <w:spacing w:val="-2"/>
        </w:rPr>
        <w:t>报告期内，公司总股本由</w:t>
      </w:r>
      <w:r>
        <w:rPr>
          <w:rFonts w:ascii="宋体" w:hAnsi="宋体" w:cs="宋体" w:eastAsia="宋体" w:hint="default"/>
          <w:spacing w:val="-2"/>
        </w:rPr>
        <w:t>101,400,000</w:t>
      </w:r>
      <w:r>
        <w:rPr>
          <w:spacing w:val="-2"/>
        </w:rPr>
        <w:t>股增加至</w:t>
      </w:r>
      <w:r>
        <w:rPr>
          <w:rFonts w:ascii="宋体" w:hAnsi="宋体" w:cs="宋体" w:eastAsia="宋体" w:hint="default"/>
          <w:spacing w:val="-2"/>
        </w:rPr>
        <w:t>208,800,000</w:t>
      </w:r>
      <w:r>
        <w:rPr>
          <w:spacing w:val="-2"/>
        </w:rPr>
        <w:t>股。股份变动对公司</w:t>
      </w:r>
      <w:r>
        <w:rPr>
          <w:rFonts w:ascii="宋体" w:hAnsi="宋体" w:cs="宋体" w:eastAsia="宋体" w:hint="default"/>
          <w:spacing w:val="-2"/>
        </w:rPr>
        <w:t>2011</w:t>
      </w:r>
      <w:r>
        <w:rPr>
          <w:spacing w:val="-2"/>
        </w:rPr>
        <w:t>年度基本收益和</w:t>
      </w:r>
      <w:r>
        <w:rPr>
          <w:w w:val="100"/>
        </w:rPr>
        <w:t> </w:t>
      </w:r>
      <w:r>
        <w:rPr/>
        <w:t>稀释每股收益、归属于公司普通股股东的每股净资产等财务指标的影响如下：</w:t>
      </w:r>
    </w:p>
    <w:p>
      <w:pPr>
        <w:spacing w:line="240" w:lineRule="auto" w:before="1"/>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220"/>
        <w:gridCol w:w="2480"/>
        <w:gridCol w:w="2482"/>
      </w:tblGrid>
      <w:tr>
        <w:trPr>
          <w:trHeight w:val="34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财务指标名称</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按新股本计算 （元</w:t>
            </w:r>
            <w:r>
              <w:rPr>
                <w:rFonts w:ascii="宋体" w:hAnsi="宋体" w:cs="宋体" w:eastAsia="宋体" w:hint="default"/>
                <w:b/>
                <w:bCs/>
                <w:sz w:val="18"/>
                <w:szCs w:val="18"/>
              </w:rPr>
              <w:t>/</w:t>
            </w:r>
            <w:r>
              <w:rPr>
                <w:rFonts w:ascii="宋体" w:hAnsi="宋体" w:cs="宋体" w:eastAsia="宋体" w:hint="default"/>
                <w:sz w:val="18"/>
                <w:szCs w:val="18"/>
              </w:rPr>
              <w:t>股）</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按原股本计算 （元</w:t>
            </w:r>
            <w:r>
              <w:rPr>
                <w:rFonts w:ascii="宋体" w:hAnsi="宋体" w:cs="宋体" w:eastAsia="宋体" w:hint="default"/>
                <w:b/>
                <w:bCs/>
                <w:sz w:val="18"/>
                <w:szCs w:val="18"/>
              </w:rPr>
              <w:t>/</w:t>
            </w:r>
            <w:r>
              <w:rPr>
                <w:rFonts w:ascii="宋体" w:hAnsi="宋体" w:cs="宋体" w:eastAsia="宋体" w:hint="default"/>
                <w:sz w:val="18"/>
                <w:szCs w:val="18"/>
              </w:rPr>
              <w:t>股）</w:t>
            </w:r>
          </w:p>
        </w:tc>
      </w:tr>
      <w:tr>
        <w:trPr>
          <w:trHeight w:val="34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0.2217</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0.4434</w:t>
            </w:r>
          </w:p>
        </w:tc>
      </w:tr>
      <w:tr>
        <w:trPr>
          <w:trHeight w:val="34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0.2217</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0.4434</w:t>
            </w:r>
          </w:p>
        </w:tc>
      </w:tr>
      <w:tr>
        <w:trPr>
          <w:trHeight w:val="34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归属于公司普通股股东的每股净资产</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2.9113</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5.9948</w:t>
            </w:r>
          </w:p>
        </w:tc>
      </w:tr>
    </w:tbl>
    <w:p>
      <w:pPr>
        <w:spacing w:line="240" w:lineRule="auto" w:before="2"/>
        <w:rPr>
          <w:rFonts w:ascii="宋体" w:hAnsi="宋体" w:cs="宋体" w:eastAsia="宋体" w:hint="default"/>
          <w:sz w:val="24"/>
          <w:szCs w:val="24"/>
        </w:rPr>
      </w:pPr>
    </w:p>
    <w:p>
      <w:pPr>
        <w:spacing w:line="357" w:lineRule="auto" w:before="44"/>
        <w:ind w:left="152" w:right="6794"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 无</w:t>
      </w:r>
    </w:p>
    <w:p>
      <w:pPr>
        <w:spacing w:line="240" w:lineRule="auto" w:before="7"/>
        <w:rPr>
          <w:rFonts w:ascii="宋体" w:hAnsi="宋体" w:cs="宋体" w:eastAsia="宋体" w:hint="default"/>
          <w:sz w:val="18"/>
          <w:szCs w:val="18"/>
        </w:rPr>
      </w:pPr>
    </w:p>
    <w:p>
      <w:pPr>
        <w:pStyle w:val="Heading2"/>
        <w:spacing w:line="240" w:lineRule="auto"/>
        <w:ind w:right="112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246"/>
        <w:gridCol w:w="1489"/>
        <w:gridCol w:w="991"/>
        <w:gridCol w:w="1568"/>
        <w:gridCol w:w="1543"/>
        <w:gridCol w:w="1565"/>
        <w:gridCol w:w="1171"/>
      </w:tblGrid>
      <w:tr>
        <w:trPr>
          <w:trHeight w:val="715" w:hRule="exact"/>
        </w:trPr>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1"/>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40"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z w:val="18"/>
                <w:szCs w:val="18"/>
              </w:rPr>
              <w:t>获准上市交易数量</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24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20.50</w:t>
            </w:r>
            <w:r>
              <w:rPr>
                <w:rFonts w:ascii="宋体" w:hAnsi="宋体" w:cs="宋体" w:eastAsia="宋体" w:hint="default"/>
                <w:spacing w:val="-57"/>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20,000,000</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8.51</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3,000,000</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pStyle w:val="BodyText"/>
        <w:spacing w:line="355" w:lineRule="auto" w:before="75"/>
        <w:ind w:left="573" w:right="1123"/>
        <w:jc w:val="left"/>
      </w:pPr>
      <w:r>
        <w:rPr>
          <w:rFonts w:ascii="宋体" w:hAnsi="宋体" w:cs="宋体" w:eastAsia="宋体" w:hint="default"/>
        </w:rPr>
        <w:t>1</w:t>
      </w:r>
      <w:r>
        <w:rPr/>
        <w:t>、公司首次公开发行股票情况：</w:t>
      </w:r>
      <w:r>
        <w:rPr>
          <w:w w:val="100"/>
        </w:rPr>
        <w:t> </w:t>
      </w:r>
      <w:r>
        <w:rPr>
          <w:spacing w:val="-2"/>
        </w:rPr>
        <w:t>经中国证券监督管理委员会《关于核准深圳达实智能股份有限公司首次公开发行股票的批复》（证监</w:t>
      </w:r>
    </w:p>
    <w:p>
      <w:pPr>
        <w:pStyle w:val="BodyText"/>
        <w:spacing w:line="240" w:lineRule="auto" w:before="32"/>
        <w:ind w:right="1123"/>
        <w:jc w:val="left"/>
      </w:pPr>
      <w:r>
        <w:rPr/>
        <w:t>许可</w:t>
      </w:r>
      <w:r>
        <w:rPr>
          <w:rFonts w:ascii="宋体" w:hAnsi="宋体" w:cs="宋体" w:eastAsia="宋体" w:hint="default"/>
        </w:rPr>
        <w:t>[2010]596</w:t>
      </w:r>
      <w:r>
        <w:rPr/>
        <w:t>号）核准，公司采用网下向询价对象配售（下称“网下配售”）和网上资金申购定价发行</w:t>
      </w:r>
    </w:p>
    <w:p>
      <w:pPr>
        <w:pStyle w:val="BodyText"/>
        <w:spacing w:line="355" w:lineRule="auto" w:before="133"/>
        <w:ind w:right="1123"/>
        <w:jc w:val="left"/>
      </w:pPr>
      <w:r>
        <w:rPr/>
        <w:t>（下称“网上发行”）相结合的发行方式，公开发行</w:t>
      </w:r>
      <w:r>
        <w:rPr>
          <w:rFonts w:ascii="宋体" w:hAnsi="宋体" w:cs="宋体" w:eastAsia="宋体" w:hint="default"/>
        </w:rPr>
        <w:t>2,000</w:t>
      </w:r>
      <w:r>
        <w:rPr/>
        <w:t>万股人民币普通股，发行价格为</w:t>
      </w:r>
      <w:r>
        <w:rPr>
          <w:rFonts w:ascii="宋体" w:hAnsi="宋体" w:cs="宋体" w:eastAsia="宋体" w:hint="default"/>
        </w:rPr>
        <w:t>20.50</w:t>
      </w:r>
      <w:r>
        <w:rPr/>
        <w:t>元</w:t>
      </w:r>
      <w:r>
        <w:rPr>
          <w:rFonts w:ascii="宋体" w:hAnsi="宋体" w:cs="宋体" w:eastAsia="宋体" w:hint="default"/>
        </w:rPr>
        <w:t>/</w:t>
      </w:r>
      <w:r>
        <w:rPr/>
        <w:t>股。</w:t>
      </w:r>
      <w:r>
        <w:rPr>
          <w:spacing w:val="-23"/>
        </w:rPr>
        <w:t> </w:t>
      </w:r>
      <w:r>
        <w:rPr/>
        <w:t>其中网上发行</w:t>
      </w:r>
      <w:r>
        <w:rPr>
          <w:rFonts w:ascii="宋体" w:hAnsi="宋体" w:cs="宋体" w:eastAsia="宋体" w:hint="default"/>
        </w:rPr>
        <w:t>1,600</w:t>
      </w:r>
      <w:r>
        <w:rPr/>
        <w:t>万股，网下配售</w:t>
      </w:r>
      <w:r>
        <w:rPr>
          <w:rFonts w:ascii="宋体" w:hAnsi="宋体" w:cs="宋体" w:eastAsia="宋体" w:hint="default"/>
        </w:rPr>
        <w:t>400</w:t>
      </w:r>
      <w:r>
        <w:rPr/>
        <w:t>万股。</w:t>
      </w:r>
    </w:p>
    <w:p>
      <w:pPr>
        <w:pStyle w:val="BodyText"/>
        <w:spacing w:line="357" w:lineRule="auto" w:before="34"/>
        <w:ind w:right="1128" w:firstLine="420"/>
        <w:jc w:val="both"/>
      </w:pPr>
      <w:r>
        <w:rPr>
          <w:spacing w:val="12"/>
        </w:rPr>
        <w:t>经深圳证券交易所《关于深圳达实智能股份有限公司人民币普通股股票上市的通知》（深证上</w:t>
      </w:r>
      <w:r>
        <w:rPr>
          <w:w w:val="100"/>
        </w:rPr>
        <w:t> </w:t>
      </w:r>
      <w:r>
        <w:rPr>
          <w:rFonts w:ascii="宋体" w:hAnsi="宋体" w:cs="宋体" w:eastAsia="宋体" w:hint="default"/>
        </w:rPr>
        <w:t>[2010]177</w:t>
      </w:r>
      <w:r>
        <w:rPr/>
        <w:t>号）同意，公司发行的人民币普通股股票在深圳证券交易所上市，股票简称“达实智能”，股</w:t>
      </w:r>
      <w:r>
        <w:rPr>
          <w:spacing w:val="-21"/>
        </w:rPr>
        <w:t> </w:t>
      </w:r>
      <w:r>
        <w:rPr>
          <w:spacing w:val="-21"/>
        </w:rPr>
      </w:r>
      <w:r>
        <w:rPr>
          <w:spacing w:val="-2"/>
        </w:rPr>
        <w:t>票代码“002421”，其中公开发行的</w:t>
      </w:r>
      <w:r>
        <w:rPr>
          <w:rFonts w:ascii="宋体" w:hAnsi="宋体" w:cs="宋体" w:eastAsia="宋体" w:hint="default"/>
          <w:spacing w:val="-2"/>
        </w:rPr>
        <w:t>1,600</w:t>
      </w:r>
      <w:r>
        <w:rPr>
          <w:spacing w:val="-2"/>
        </w:rPr>
        <w:t>万股股票于</w:t>
      </w: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w:t>
      </w:r>
      <w:r>
        <w:rPr>
          <w:spacing w:val="-2"/>
        </w:rPr>
        <w:t>日上市交易，网下配售的</w:t>
      </w:r>
      <w:r>
        <w:rPr>
          <w:rFonts w:ascii="宋体" w:hAnsi="宋体" w:cs="宋体" w:eastAsia="宋体" w:hint="default"/>
          <w:spacing w:val="-2"/>
        </w:rPr>
        <w:t>400</w:t>
      </w:r>
      <w:r>
        <w:rPr>
          <w:spacing w:val="-2"/>
        </w:rPr>
        <w:t>万股股票于</w:t>
      </w:r>
      <w:r>
        <w:rPr>
          <w:spacing w:val="-25"/>
        </w:rPr>
        <w:t> </w:t>
      </w:r>
      <w:r>
        <w:rPr>
          <w:spacing w:val="-25"/>
        </w:rPr>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3</w:t>
      </w:r>
      <w:r>
        <w:rPr/>
        <w:t>日上市交易。</w:t>
      </w:r>
    </w:p>
    <w:p>
      <w:pPr>
        <w:pStyle w:val="BodyText"/>
        <w:spacing w:line="355" w:lineRule="auto" w:before="32"/>
        <w:ind w:left="573" w:right="1123"/>
        <w:jc w:val="left"/>
      </w:pPr>
      <w:r>
        <w:rPr>
          <w:rFonts w:ascii="宋体" w:hAnsi="宋体" w:cs="宋体" w:eastAsia="宋体" w:hint="default"/>
        </w:rPr>
        <w:t>2</w:t>
      </w:r>
      <w:r>
        <w:rPr/>
        <w:t>、实施限制性股票激励计划情况：</w:t>
      </w:r>
      <w:r>
        <w:rPr>
          <w:w w:val="100"/>
        </w:rPr>
        <w:t> </w:t>
      </w:r>
      <w:r>
        <w:rPr>
          <w:spacing w:val="-4"/>
        </w:rPr>
        <w:t>经中国证监会备案无异议后，</w:t>
      </w:r>
      <w:r>
        <w:rPr>
          <w:rFonts w:ascii="宋体" w:hAnsi="宋体" w:cs="宋体" w:eastAsia="宋体" w:hint="default"/>
          <w:spacing w:val="-4"/>
        </w:rPr>
        <w:t>2012</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25</w:t>
      </w:r>
      <w:r>
        <w:rPr>
          <w:spacing w:val="-4"/>
        </w:rPr>
        <w:t>日，公司召开</w:t>
      </w:r>
      <w:r>
        <w:rPr>
          <w:rFonts w:ascii="宋体" w:hAnsi="宋体" w:cs="宋体" w:eastAsia="宋体" w:hint="default"/>
          <w:spacing w:val="-4"/>
        </w:rPr>
        <w:t>2012</w:t>
      </w:r>
      <w:r>
        <w:rPr>
          <w:spacing w:val="-4"/>
        </w:rPr>
        <w:t>年第一次临时股东大会，审议通过了《深</w:t>
      </w:r>
    </w:p>
    <w:p>
      <w:pPr>
        <w:pStyle w:val="BodyText"/>
        <w:spacing w:line="355" w:lineRule="auto" w:before="32"/>
        <w:ind w:right="1123"/>
        <w:jc w:val="left"/>
      </w:pPr>
      <w:r>
        <w:rPr>
          <w:spacing w:val="-2"/>
        </w:rPr>
        <w:t>圳达实智能股份有限公司限制性股票激励计划（草案）》，并授权董事会办理公司限制性股票激励计划相</w:t>
      </w:r>
      <w:r>
        <w:rPr>
          <w:spacing w:val="-44"/>
        </w:rPr>
        <w:t> </w:t>
      </w:r>
      <w:r>
        <w:rPr>
          <w:spacing w:val="-44"/>
        </w:rPr>
      </w:r>
      <w:r>
        <w:rPr>
          <w:spacing w:val="-2"/>
        </w:rPr>
        <w:t>关事宜，</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14</w:t>
      </w:r>
      <w:r>
        <w:rPr>
          <w:spacing w:val="-2"/>
        </w:rPr>
        <w:t>日，公司召开第四届董事会第十七次会议，确定</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14</w:t>
      </w:r>
      <w:r>
        <w:rPr>
          <w:spacing w:val="-2"/>
        </w:rPr>
        <w:t>日为限制性股票激励计</w:t>
      </w:r>
    </w:p>
    <w:p>
      <w:pPr>
        <w:spacing w:after="0" w:line="355" w:lineRule="auto"/>
        <w:jc w:val="left"/>
        <w:sectPr>
          <w:pgSz w:w="11910" w:h="16840"/>
          <w:pgMar w:header="877" w:footer="1316" w:top="1100" w:bottom="1500" w:left="980" w:right="0"/>
        </w:sectPr>
      </w:pPr>
    </w:p>
    <w:p>
      <w:pPr>
        <w:spacing w:line="240" w:lineRule="auto" w:before="3"/>
        <w:rPr>
          <w:rFonts w:ascii="宋体" w:hAnsi="宋体" w:cs="宋体" w:eastAsia="宋体" w:hint="default"/>
          <w:sz w:val="19"/>
          <w:szCs w:val="19"/>
        </w:rPr>
      </w:pPr>
    </w:p>
    <w:p>
      <w:pPr>
        <w:pStyle w:val="BodyText"/>
        <w:spacing w:line="357" w:lineRule="auto" w:before="36"/>
        <w:ind w:right="1123"/>
        <w:jc w:val="left"/>
      </w:pPr>
      <w:r>
        <w:rPr/>
        <w:t>划的授予日，向</w:t>
      </w:r>
      <w:r>
        <w:rPr>
          <w:rFonts w:ascii="宋体" w:hAnsi="宋体" w:cs="宋体" w:eastAsia="宋体" w:hint="default"/>
        </w:rPr>
        <w:t>76</w:t>
      </w:r>
      <w:r>
        <w:rPr/>
        <w:t>名激励对象授予</w:t>
      </w:r>
      <w:r>
        <w:rPr>
          <w:rFonts w:ascii="宋体" w:hAnsi="宋体" w:cs="宋体" w:eastAsia="宋体" w:hint="default"/>
        </w:rPr>
        <w:t>300</w:t>
      </w:r>
      <w:r>
        <w:rPr/>
        <w:t>股限制性股票，授予价格为</w:t>
      </w:r>
      <w:r>
        <w:rPr>
          <w:rFonts w:ascii="宋体" w:hAnsi="宋体" w:cs="宋体" w:eastAsia="宋体" w:hint="default"/>
        </w:rPr>
        <w:t>8.51</w:t>
      </w:r>
      <w:r>
        <w:rPr/>
        <w:t>元</w:t>
      </w:r>
      <w:r>
        <w:rPr>
          <w:rFonts w:ascii="宋体" w:hAnsi="宋体" w:cs="宋体" w:eastAsia="宋体" w:hint="default"/>
        </w:rPr>
        <w:t>/</w:t>
      </w:r>
      <w:r>
        <w:rPr/>
        <w:t>股，</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28</w:t>
      </w:r>
      <w:r>
        <w:rPr/>
        <w:t>日，公司完成</w:t>
      </w:r>
      <w:r>
        <w:rPr>
          <w:spacing w:val="-26"/>
        </w:rPr>
        <w:t> </w:t>
      </w:r>
      <w:r>
        <w:rPr>
          <w:spacing w:val="-26"/>
        </w:rPr>
      </w:r>
      <w:r>
        <w:rPr/>
        <w:t>限制性股票的授予登记。</w:t>
      </w:r>
    </w:p>
    <w:p>
      <w:pPr>
        <w:spacing w:line="240" w:lineRule="auto" w:before="1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573" w:right="1123"/>
        <w:jc w:val="left"/>
      </w:pPr>
      <w:r>
        <w:rPr>
          <w:rFonts w:ascii="宋体" w:hAnsi="宋体" w:cs="宋体" w:eastAsia="宋体" w:hint="default"/>
        </w:rPr>
        <w:t>1</w:t>
      </w:r>
      <w:r>
        <w:rPr/>
        <w:t>、公司实施了限制性股票激励计划后，公司总股本增加至</w:t>
      </w:r>
      <w:r>
        <w:rPr>
          <w:rFonts w:ascii="宋体" w:hAnsi="宋体" w:cs="宋体" w:eastAsia="宋体" w:hint="default"/>
        </w:rPr>
        <w:t>10,440</w:t>
      </w:r>
      <w:r>
        <w:rPr/>
        <w:t>万股；</w:t>
      </w:r>
    </w:p>
    <w:p>
      <w:pPr>
        <w:pStyle w:val="BodyText"/>
        <w:spacing w:line="240" w:lineRule="auto" w:before="133"/>
        <w:ind w:left="573" w:right="1123"/>
        <w:jc w:val="left"/>
      </w:pPr>
      <w:r>
        <w:rPr>
          <w:rFonts w:ascii="宋体" w:hAnsi="宋体" w:cs="宋体" w:eastAsia="宋体" w:hint="default"/>
        </w:rPr>
        <w:t>2</w:t>
      </w:r>
      <w:r>
        <w:rPr/>
        <w:t>、公司实施</w:t>
      </w:r>
      <w:r>
        <w:rPr>
          <w:rFonts w:ascii="宋体" w:hAnsi="宋体" w:cs="宋体" w:eastAsia="宋体" w:hint="default"/>
        </w:rPr>
        <w:t>2012</w:t>
      </w:r>
      <w:r>
        <w:rPr/>
        <w:t>年半年度权益分派方案后，公司总股本增加至</w:t>
      </w:r>
      <w:r>
        <w:rPr>
          <w:rFonts w:ascii="宋体" w:hAnsi="宋体" w:cs="宋体" w:eastAsia="宋体" w:hint="default"/>
        </w:rPr>
        <w:t>20,880</w:t>
      </w:r>
      <w:r>
        <w:rPr/>
        <w:t>万股。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2"/>
        <w:spacing w:line="240" w:lineRule="auto"/>
        <w:ind w:right="112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12"/>
        <w:gridCol w:w="1205"/>
        <w:gridCol w:w="194"/>
        <w:gridCol w:w="775"/>
        <w:gridCol w:w="422"/>
        <w:gridCol w:w="557"/>
        <w:gridCol w:w="982"/>
        <w:gridCol w:w="1034"/>
        <w:gridCol w:w="1035"/>
        <w:gridCol w:w="825"/>
        <w:gridCol w:w="1035"/>
      </w:tblGrid>
      <w:tr>
        <w:trPr>
          <w:trHeight w:val="403" w:hRule="exact"/>
        </w:trPr>
        <w:tc>
          <w:tcPr>
            <w:tcW w:w="27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92" w:type="dxa"/>
            <w:gridSpan w:val="3"/>
            <w:tcBorders>
              <w:top w:val="single" w:sz="4" w:space="0" w:color="000000"/>
              <w:left w:val="single" w:sz="13" w:space="0" w:color="D2D2D2"/>
              <w:bottom w:val="single" w:sz="4" w:space="0" w:color="000000"/>
              <w:right w:val="single" w:sz="10" w:space="0" w:color="D2D2D2"/>
            </w:tcBorders>
          </w:tcPr>
          <w:p>
            <w:pPr>
              <w:pStyle w:val="TableParagraph"/>
              <w:spacing w:line="240" w:lineRule="auto" w:before="49"/>
              <w:ind w:left="885" w:right="0"/>
              <w:jc w:val="left"/>
              <w:rPr>
                <w:rFonts w:ascii="宋体" w:hAnsi="宋体" w:cs="宋体" w:eastAsia="宋体" w:hint="default"/>
                <w:sz w:val="18"/>
                <w:szCs w:val="18"/>
              </w:rPr>
            </w:pPr>
            <w:r>
              <w:rPr>
                <w:rFonts w:ascii="宋体"/>
                <w:sz w:val="18"/>
              </w:rPr>
              <w:t>8,859</w:t>
            </w:r>
          </w:p>
        </w:tc>
        <w:tc>
          <w:tcPr>
            <w:tcW w:w="443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个交易日末股东总数</w:t>
            </w:r>
          </w:p>
        </w:tc>
        <w:tc>
          <w:tcPr>
            <w:tcW w:w="10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10,004</w:t>
            </w:r>
          </w:p>
        </w:tc>
      </w:tr>
      <w:tr>
        <w:trPr>
          <w:trHeight w:val="396" w:hRule="exact"/>
        </w:trPr>
        <w:tc>
          <w:tcPr>
            <w:tcW w:w="957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以上的股东持股情况</w:t>
            </w:r>
          </w:p>
        </w:tc>
      </w:tr>
      <w:tr>
        <w:trPr>
          <w:trHeight w:val="206" w:hRule="exact"/>
        </w:trPr>
        <w:tc>
          <w:tcPr>
            <w:tcW w:w="1512" w:type="dxa"/>
            <w:vMerge w:val="restart"/>
            <w:tcBorders>
              <w:top w:val="single" w:sz="4" w:space="0" w:color="000000"/>
              <w:left w:val="single" w:sz="4" w:space="0" w:color="000000"/>
              <w:right w:val="single" w:sz="4" w:space="0" w:color="000000"/>
            </w:tcBorders>
            <w:shd w:val="clear" w:color="auto" w:fill="D2D2D2"/>
          </w:tcPr>
          <w:p>
            <w:pPr/>
          </w:p>
        </w:tc>
        <w:tc>
          <w:tcPr>
            <w:tcW w:w="1400" w:type="dxa"/>
            <w:gridSpan w:val="2"/>
            <w:vMerge w:val="restart"/>
            <w:tcBorders>
              <w:top w:val="single" w:sz="4" w:space="0" w:color="000000"/>
              <w:left w:val="single" w:sz="4" w:space="0" w:color="000000"/>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3"/>
              <w:ind w:left="201" w:right="203"/>
              <w:jc w:val="left"/>
              <w:rPr>
                <w:rFonts w:ascii="宋体" w:hAnsi="宋体" w:cs="宋体" w:eastAsia="宋体" w:hint="default"/>
                <w:sz w:val="18"/>
                <w:szCs w:val="18"/>
              </w:rPr>
            </w:pPr>
            <w:r>
              <w:rPr>
                <w:rFonts w:ascii="宋体" w:hAnsi="宋体" w:cs="宋体" w:eastAsia="宋体" w:hint="default"/>
                <w:sz w:val="18"/>
                <w:szCs w:val="18"/>
              </w:rPr>
              <w:t>持股 比例</w:t>
            </w:r>
          </w:p>
          <w:p>
            <w:pPr>
              <w:pStyle w:val="TableParagraph"/>
              <w:spacing w:line="240" w:lineRule="auto" w:before="25"/>
              <w:ind w:left="1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62" w:right="6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0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62" w:right="62"/>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8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9" w:hRule="exact"/>
        </w:trPr>
        <w:tc>
          <w:tcPr>
            <w:tcW w:w="1512" w:type="dxa"/>
            <w:vMerge/>
            <w:tcBorders>
              <w:left w:val="single" w:sz="4" w:space="0" w:color="000000"/>
              <w:bottom w:val="nil" w:sz="6" w:space="0" w:color="auto"/>
              <w:right w:val="single" w:sz="4" w:space="0" w:color="000000"/>
            </w:tcBorders>
            <w:shd w:val="clear" w:color="auto" w:fill="D2D2D2"/>
          </w:tcPr>
          <w:p>
            <w:pPr/>
          </w:p>
        </w:tc>
        <w:tc>
          <w:tcPr>
            <w:tcW w:w="1400" w:type="dxa"/>
            <w:gridSpan w:val="2"/>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c>
          <w:tcPr>
            <w:tcW w:w="97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6" w:right="3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5" w:right="34"/>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34" w:type="dxa"/>
            <w:vMerge/>
            <w:tcBorders>
              <w:left w:val="single" w:sz="4" w:space="0" w:color="000000"/>
              <w:right w:val="single" w:sz="4" w:space="0" w:color="000000"/>
            </w:tcBorders>
            <w:shd w:val="clear" w:color="auto" w:fill="D2D2D2"/>
          </w:tcPr>
          <w:p>
            <w:pPr/>
          </w:p>
        </w:tc>
        <w:tc>
          <w:tcPr>
            <w:tcW w:w="1035" w:type="dxa"/>
            <w:vMerge/>
            <w:tcBorders>
              <w:left w:val="single" w:sz="4" w:space="0" w:color="000000"/>
              <w:right w:val="single" w:sz="4" w:space="0" w:color="000000"/>
            </w:tcBorders>
            <w:shd w:val="clear" w:color="auto" w:fill="D2D2D2"/>
          </w:tcPr>
          <w:p>
            <w:pPr/>
          </w:p>
        </w:tc>
        <w:tc>
          <w:tcPr>
            <w:tcW w:w="1860" w:type="dxa"/>
            <w:gridSpan w:val="2"/>
            <w:vMerge/>
            <w:tcBorders>
              <w:left w:val="single" w:sz="4" w:space="0" w:color="000000"/>
              <w:bottom w:val="single" w:sz="4" w:space="0" w:color="000000"/>
              <w:right w:val="single" w:sz="4" w:space="0" w:color="000000"/>
            </w:tcBorders>
            <w:shd w:val="clear" w:color="auto" w:fill="D2D2D2"/>
          </w:tcPr>
          <w:p>
            <w:pPr/>
          </w:p>
        </w:tc>
      </w:tr>
      <w:tr>
        <w:trPr>
          <w:trHeight w:val="179" w:hRule="exact"/>
        </w:trPr>
        <w:tc>
          <w:tcPr>
            <w:tcW w:w="15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9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3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75" w:type="dxa"/>
            <w:vMerge/>
            <w:tcBorders>
              <w:left w:val="single" w:sz="4" w:space="0" w:color="000000"/>
              <w:right w:val="single" w:sz="4" w:space="0" w:color="000000"/>
            </w:tcBorders>
            <w:shd w:val="clear" w:color="auto" w:fill="D2D2D2"/>
          </w:tcPr>
          <w:p>
            <w:pPr/>
          </w:p>
        </w:tc>
        <w:tc>
          <w:tcPr>
            <w:tcW w:w="979" w:type="dxa"/>
            <w:gridSpan w:val="2"/>
            <w:vMerge/>
            <w:tcBorders>
              <w:left w:val="single" w:sz="4" w:space="0" w:color="000000"/>
              <w:right w:val="single" w:sz="4" w:space="0" w:color="000000"/>
            </w:tcBorders>
            <w:shd w:val="clear" w:color="auto" w:fill="D2D2D2"/>
          </w:tcPr>
          <w:p>
            <w:pPr/>
          </w:p>
        </w:tc>
        <w:tc>
          <w:tcPr>
            <w:tcW w:w="982" w:type="dxa"/>
            <w:vMerge/>
            <w:tcBorders>
              <w:left w:val="single" w:sz="4" w:space="0" w:color="000000"/>
              <w:right w:val="single" w:sz="4" w:space="0" w:color="000000"/>
            </w:tcBorders>
            <w:shd w:val="clear" w:color="auto" w:fill="D2D2D2"/>
          </w:tcPr>
          <w:p>
            <w:pPr/>
          </w:p>
        </w:tc>
        <w:tc>
          <w:tcPr>
            <w:tcW w:w="1034" w:type="dxa"/>
            <w:vMerge/>
            <w:tcBorders>
              <w:left w:val="single" w:sz="4" w:space="0" w:color="000000"/>
              <w:right w:val="single" w:sz="4" w:space="0" w:color="000000"/>
            </w:tcBorders>
            <w:shd w:val="clear" w:color="auto" w:fill="D2D2D2"/>
          </w:tcPr>
          <w:p>
            <w:pPr/>
          </w:p>
        </w:tc>
        <w:tc>
          <w:tcPr>
            <w:tcW w:w="1035" w:type="dxa"/>
            <w:vMerge/>
            <w:tcBorders>
              <w:left w:val="single" w:sz="4" w:space="0" w:color="000000"/>
              <w:right w:val="single" w:sz="4" w:space="0" w:color="000000"/>
            </w:tcBorders>
            <w:shd w:val="clear" w:color="auto" w:fill="D2D2D2"/>
          </w:tcPr>
          <w:p>
            <w:pPr/>
          </w:p>
        </w:tc>
        <w:tc>
          <w:tcPr>
            <w:tcW w:w="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12" w:type="dxa"/>
            <w:vMerge/>
            <w:tcBorders>
              <w:left w:val="single" w:sz="4" w:space="0" w:color="000000"/>
              <w:bottom w:val="nil" w:sz="6" w:space="0" w:color="auto"/>
              <w:right w:val="single" w:sz="4" w:space="0" w:color="000000"/>
            </w:tcBorders>
            <w:shd w:val="clear" w:color="auto" w:fill="D2D2D2"/>
          </w:tcPr>
          <w:p>
            <w:pPr/>
          </w:p>
        </w:tc>
        <w:tc>
          <w:tcPr>
            <w:tcW w:w="1400" w:type="dxa"/>
            <w:gridSpan w:val="2"/>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c>
          <w:tcPr>
            <w:tcW w:w="979" w:type="dxa"/>
            <w:gridSpan w:val="2"/>
            <w:vMerge/>
            <w:tcBorders>
              <w:left w:val="single" w:sz="4" w:space="0" w:color="000000"/>
              <w:right w:val="single" w:sz="4" w:space="0" w:color="000000"/>
            </w:tcBorders>
            <w:shd w:val="clear" w:color="auto" w:fill="D2D2D2"/>
          </w:tcPr>
          <w:p>
            <w:pPr/>
          </w:p>
        </w:tc>
        <w:tc>
          <w:tcPr>
            <w:tcW w:w="982" w:type="dxa"/>
            <w:vMerge/>
            <w:tcBorders>
              <w:left w:val="single" w:sz="4" w:space="0" w:color="000000"/>
              <w:right w:val="single" w:sz="4" w:space="0" w:color="000000"/>
            </w:tcBorders>
            <w:shd w:val="clear" w:color="auto" w:fill="D2D2D2"/>
          </w:tcPr>
          <w:p>
            <w:pPr/>
          </w:p>
        </w:tc>
        <w:tc>
          <w:tcPr>
            <w:tcW w:w="1034" w:type="dxa"/>
            <w:vMerge/>
            <w:tcBorders>
              <w:left w:val="single" w:sz="4" w:space="0" w:color="000000"/>
              <w:right w:val="single" w:sz="4" w:space="0" w:color="000000"/>
            </w:tcBorders>
            <w:shd w:val="clear" w:color="auto" w:fill="D2D2D2"/>
          </w:tcPr>
          <w:p>
            <w:pPr/>
          </w:p>
        </w:tc>
        <w:tc>
          <w:tcPr>
            <w:tcW w:w="1035" w:type="dxa"/>
            <w:vMerge/>
            <w:tcBorders>
              <w:left w:val="single" w:sz="4" w:space="0" w:color="000000"/>
              <w:right w:val="single" w:sz="4" w:space="0" w:color="000000"/>
            </w:tcBorders>
            <w:shd w:val="clear" w:color="auto" w:fill="D2D2D2"/>
          </w:tcPr>
          <w:p>
            <w:pPr/>
          </w:p>
        </w:tc>
        <w:tc>
          <w:tcPr>
            <w:tcW w:w="8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1512" w:type="dxa"/>
            <w:vMerge w:val="restart"/>
            <w:tcBorders>
              <w:top w:val="nil" w:sz="6" w:space="0" w:color="auto"/>
              <w:left w:val="single" w:sz="4" w:space="0" w:color="000000"/>
              <w:right w:val="single" w:sz="4" w:space="0" w:color="000000"/>
            </w:tcBorders>
            <w:shd w:val="clear" w:color="auto" w:fill="D2D2D2"/>
          </w:tcPr>
          <w:p>
            <w:pPr/>
          </w:p>
        </w:tc>
        <w:tc>
          <w:tcPr>
            <w:tcW w:w="1400" w:type="dxa"/>
            <w:gridSpan w:val="2"/>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c>
          <w:tcPr>
            <w:tcW w:w="979" w:type="dxa"/>
            <w:gridSpan w:val="2"/>
            <w:vMerge/>
            <w:tcBorders>
              <w:left w:val="single" w:sz="4" w:space="0" w:color="000000"/>
              <w:bottom w:val="nil" w:sz="6" w:space="0" w:color="auto"/>
              <w:right w:val="single" w:sz="4" w:space="0" w:color="000000"/>
            </w:tcBorders>
            <w:shd w:val="clear" w:color="auto" w:fill="D2D2D2"/>
          </w:tcPr>
          <w:p>
            <w:pPr/>
          </w:p>
        </w:tc>
        <w:tc>
          <w:tcPr>
            <w:tcW w:w="982" w:type="dxa"/>
            <w:vMerge/>
            <w:tcBorders>
              <w:left w:val="single" w:sz="4" w:space="0" w:color="000000"/>
              <w:bottom w:val="nil" w:sz="6" w:space="0" w:color="auto"/>
              <w:right w:val="single" w:sz="4" w:space="0" w:color="000000"/>
            </w:tcBorders>
            <w:shd w:val="clear" w:color="auto" w:fill="D2D2D2"/>
          </w:tcPr>
          <w:p>
            <w:pPr/>
          </w:p>
        </w:tc>
        <w:tc>
          <w:tcPr>
            <w:tcW w:w="1034" w:type="dxa"/>
            <w:vMerge/>
            <w:tcBorders>
              <w:left w:val="single" w:sz="4" w:space="0" w:color="000000"/>
              <w:right w:val="single" w:sz="4" w:space="0" w:color="000000"/>
            </w:tcBorders>
            <w:shd w:val="clear" w:color="auto" w:fill="D2D2D2"/>
          </w:tcPr>
          <w:p>
            <w:pPr/>
          </w:p>
        </w:tc>
        <w:tc>
          <w:tcPr>
            <w:tcW w:w="1035" w:type="dxa"/>
            <w:vMerge/>
            <w:tcBorders>
              <w:left w:val="single" w:sz="4" w:space="0" w:color="000000"/>
              <w:right w:val="single" w:sz="4" w:space="0" w:color="000000"/>
            </w:tcBorders>
            <w:shd w:val="clear" w:color="auto" w:fill="D2D2D2"/>
          </w:tcPr>
          <w:p>
            <w:pPr/>
          </w:p>
        </w:tc>
        <w:tc>
          <w:tcPr>
            <w:tcW w:w="825" w:type="dxa"/>
            <w:vMerge/>
            <w:tcBorders>
              <w:left w:val="single" w:sz="4" w:space="0" w:color="000000"/>
              <w:bottom w:val="nil" w:sz="6" w:space="0" w:color="auto"/>
              <w:right w:val="single" w:sz="4" w:space="0" w:color="000000"/>
            </w:tcBorders>
            <w:shd w:val="clear" w:color="auto" w:fill="D2D2D2"/>
          </w:tcPr>
          <w:p>
            <w:pPr/>
          </w:p>
        </w:tc>
        <w:tc>
          <w:tcPr>
            <w:tcW w:w="1035"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512" w:type="dxa"/>
            <w:vMerge/>
            <w:tcBorders>
              <w:left w:val="single" w:sz="4" w:space="0" w:color="000000"/>
              <w:bottom w:val="single" w:sz="4" w:space="0" w:color="000000"/>
              <w:right w:val="single" w:sz="4" w:space="0" w:color="000000"/>
            </w:tcBorders>
            <w:shd w:val="clear" w:color="auto" w:fill="D2D2D2"/>
          </w:tcPr>
          <w:p>
            <w:pPr/>
          </w:p>
        </w:tc>
        <w:tc>
          <w:tcPr>
            <w:tcW w:w="1400" w:type="dxa"/>
            <w:gridSpan w:val="2"/>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9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35" w:type="dxa"/>
            <w:vMerge/>
            <w:tcBorders>
              <w:left w:val="single" w:sz="4" w:space="0" w:color="000000"/>
              <w:bottom w:val="single" w:sz="4" w:space="0" w:color="000000"/>
              <w:right w:val="single" w:sz="4" w:space="0" w:color="000000"/>
            </w:tcBorders>
            <w:shd w:val="clear" w:color="auto" w:fill="D2D2D2"/>
          </w:tcPr>
          <w:p>
            <w:pPr/>
          </w:p>
        </w:tc>
        <w:tc>
          <w:tcPr>
            <w:tcW w:w="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深圳市达实投资发 展有限公司</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29.04</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sz w:val="18"/>
              </w:rPr>
              <w:t>60,639,626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sz w:val="18"/>
              </w:rPr>
              <w:t>30,319,813</w:t>
            </w:r>
          </w:p>
        </w:tc>
        <w:tc>
          <w:tcPr>
            <w:tcW w:w="1034"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60,639,626</w:t>
            </w:r>
          </w:p>
        </w:tc>
        <w:tc>
          <w:tcPr>
            <w:tcW w:w="1035"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50,400,000</w:t>
            </w:r>
          </w:p>
        </w:tc>
      </w:tr>
      <w:tr>
        <w:trPr>
          <w:trHeight w:val="71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6"/>
              <w:jc w:val="left"/>
              <w:rPr>
                <w:rFonts w:ascii="宋体" w:hAnsi="宋体" w:cs="宋体" w:eastAsia="宋体" w:hint="default"/>
                <w:sz w:val="18"/>
                <w:szCs w:val="18"/>
              </w:rPr>
            </w:pPr>
            <w:r>
              <w:rPr>
                <w:rFonts w:ascii="宋体" w:hAnsi="宋体" w:cs="宋体" w:eastAsia="宋体" w:hint="default"/>
                <w:sz w:val="18"/>
                <w:szCs w:val="18"/>
              </w:rPr>
              <w:t>盛安机电设备（昌 都）有限公司</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11.64</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sz w:val="18"/>
              </w:rPr>
              <w:t>24,310,695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center"/>
              <w:rPr>
                <w:rFonts w:ascii="宋体" w:hAnsi="宋体" w:cs="宋体" w:eastAsia="宋体" w:hint="default"/>
                <w:sz w:val="18"/>
                <w:szCs w:val="18"/>
              </w:rPr>
            </w:pPr>
            <w:r>
              <w:rPr>
                <w:rFonts w:ascii="宋体"/>
                <w:sz w:val="18"/>
              </w:rPr>
              <w:t>8,810,822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24,310,695</w:t>
            </w:r>
          </w:p>
        </w:tc>
        <w:tc>
          <w:tcPr>
            <w:tcW w:w="82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中国机电出口产品 投资有限公司</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3.09</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sz w:val="18"/>
              </w:rPr>
              <w:t>6,446,694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center"/>
              <w:rPr>
                <w:rFonts w:ascii="宋体" w:hAnsi="宋体" w:cs="宋体" w:eastAsia="宋体" w:hint="default"/>
                <w:sz w:val="18"/>
                <w:szCs w:val="18"/>
              </w:rPr>
            </w:pPr>
            <w:r>
              <w:rPr>
                <w:rFonts w:ascii="宋体"/>
                <w:sz w:val="18"/>
              </w:rPr>
              <w:t>-692,290</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6,446,694</w:t>
            </w:r>
          </w:p>
        </w:tc>
        <w:tc>
          <w:tcPr>
            <w:tcW w:w="82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6"/>
              <w:jc w:val="both"/>
              <w:rPr>
                <w:rFonts w:ascii="宋体" w:hAnsi="宋体" w:cs="宋体" w:eastAsia="宋体" w:hint="default"/>
                <w:sz w:val="18"/>
                <w:szCs w:val="18"/>
              </w:rPr>
            </w:pPr>
            <w:r>
              <w:rPr>
                <w:rFonts w:ascii="宋体" w:hAnsi="宋体" w:cs="宋体" w:eastAsia="宋体" w:hint="default"/>
                <w:sz w:val="18"/>
                <w:szCs w:val="18"/>
              </w:rPr>
              <w:t>中国工商银行－中 银中国精选混合型 开放式证券投资基 金</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3.02</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sz w:val="18"/>
              </w:rPr>
              <w:t>6,304,742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6,304,742</w:t>
            </w:r>
          </w:p>
        </w:tc>
        <w:tc>
          <w:tcPr>
            <w:tcW w:w="82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both"/>
              <w:rPr>
                <w:rFonts w:ascii="宋体" w:hAnsi="宋体" w:cs="宋体" w:eastAsia="宋体" w:hint="default"/>
                <w:sz w:val="18"/>
                <w:szCs w:val="18"/>
              </w:rPr>
            </w:pPr>
            <w:r>
              <w:rPr>
                <w:rFonts w:ascii="宋体" w:hAnsi="宋体" w:cs="宋体" w:eastAsia="宋体" w:hint="default"/>
                <w:sz w:val="18"/>
                <w:szCs w:val="18"/>
              </w:rPr>
              <w:t>中国建设银行－华 宝兴业收益增长混 合型证券投资基金</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3.01</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6" w:right="0"/>
              <w:jc w:val="left"/>
              <w:rPr>
                <w:rFonts w:ascii="宋体" w:hAnsi="宋体" w:cs="宋体" w:eastAsia="宋体" w:hint="default"/>
                <w:sz w:val="18"/>
                <w:szCs w:val="18"/>
              </w:rPr>
            </w:pPr>
            <w:r>
              <w:rPr>
                <w:rFonts w:ascii="宋体"/>
                <w:sz w:val="18"/>
              </w:rPr>
              <w:t>6,290,731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6,290,731</w:t>
            </w:r>
          </w:p>
        </w:tc>
        <w:tc>
          <w:tcPr>
            <w:tcW w:w="82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兖矿集团有限公司</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2.16</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宋体" w:hAnsi="宋体" w:cs="宋体" w:eastAsia="宋体" w:hint="default"/>
                <w:sz w:val="18"/>
                <w:szCs w:val="18"/>
              </w:rPr>
            </w:pPr>
            <w:r>
              <w:rPr>
                <w:rFonts w:ascii="宋体"/>
                <w:sz w:val="18"/>
              </w:rPr>
              <w:t>4,511,836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2,255,918</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4,511,836</w:t>
            </w:r>
          </w:p>
        </w:tc>
        <w:tc>
          <w:tcPr>
            <w:tcW w:w="82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both"/>
              <w:rPr>
                <w:rFonts w:ascii="宋体" w:hAnsi="宋体" w:cs="宋体" w:eastAsia="宋体" w:hint="default"/>
                <w:sz w:val="18"/>
                <w:szCs w:val="18"/>
              </w:rPr>
            </w:pPr>
            <w:r>
              <w:rPr>
                <w:rFonts w:ascii="宋体" w:hAnsi="宋体" w:cs="宋体" w:eastAsia="宋体" w:hint="default"/>
                <w:sz w:val="18"/>
                <w:szCs w:val="18"/>
              </w:rPr>
              <w:t>中国工商银行－中 银持续增长股票型 证券投资基金</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2.15</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6" w:right="0"/>
              <w:jc w:val="left"/>
              <w:rPr>
                <w:rFonts w:ascii="宋体" w:hAnsi="宋体" w:cs="宋体" w:eastAsia="宋体" w:hint="default"/>
                <w:sz w:val="18"/>
                <w:szCs w:val="18"/>
              </w:rPr>
            </w:pPr>
            <w:r>
              <w:rPr>
                <w:rFonts w:ascii="宋体"/>
                <w:sz w:val="18"/>
              </w:rPr>
              <w:t>4,497,945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4,497,945</w:t>
            </w:r>
          </w:p>
        </w:tc>
        <w:tc>
          <w:tcPr>
            <w:tcW w:w="82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6"/>
              <w:jc w:val="both"/>
              <w:rPr>
                <w:rFonts w:ascii="宋体" w:hAnsi="宋体" w:cs="宋体" w:eastAsia="宋体" w:hint="default"/>
                <w:sz w:val="18"/>
                <w:szCs w:val="18"/>
              </w:rPr>
            </w:pPr>
            <w:r>
              <w:rPr>
                <w:rFonts w:ascii="宋体" w:hAnsi="宋体" w:cs="宋体" w:eastAsia="宋体" w:hint="default"/>
                <w:sz w:val="18"/>
                <w:szCs w:val="18"/>
              </w:rPr>
              <w:t>交通银行－农银汇 理行业成长股票型 证券投资基金</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1.92</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6" w:right="0"/>
              <w:jc w:val="left"/>
              <w:rPr>
                <w:rFonts w:ascii="宋体" w:hAnsi="宋体" w:cs="宋体" w:eastAsia="宋体" w:hint="default"/>
                <w:sz w:val="18"/>
                <w:szCs w:val="18"/>
              </w:rPr>
            </w:pPr>
            <w:r>
              <w:rPr>
                <w:rFonts w:ascii="宋体"/>
                <w:sz w:val="18"/>
              </w:rPr>
              <w:t>4,000,000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4,000,000</w:t>
            </w:r>
          </w:p>
        </w:tc>
        <w:tc>
          <w:tcPr>
            <w:tcW w:w="82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16" w:top="1100" w:bottom="150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12"/>
        <w:gridCol w:w="1400"/>
        <w:gridCol w:w="775"/>
        <w:gridCol w:w="979"/>
        <w:gridCol w:w="982"/>
        <w:gridCol w:w="1034"/>
        <w:gridCol w:w="154"/>
        <w:gridCol w:w="881"/>
        <w:gridCol w:w="830"/>
        <w:gridCol w:w="1030"/>
      </w:tblGrid>
      <w:tr>
        <w:trPr>
          <w:trHeight w:val="102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6"/>
              <w:jc w:val="both"/>
              <w:rPr>
                <w:rFonts w:ascii="宋体" w:hAnsi="宋体" w:cs="宋体" w:eastAsia="宋体" w:hint="default"/>
                <w:sz w:val="18"/>
                <w:szCs w:val="18"/>
              </w:rPr>
            </w:pPr>
            <w:r>
              <w:rPr>
                <w:rFonts w:ascii="宋体" w:hAnsi="宋体" w:cs="宋体" w:eastAsia="宋体" w:hint="default"/>
                <w:sz w:val="18"/>
                <w:szCs w:val="18"/>
              </w:rPr>
              <w:t>中国工商银行－中 银收益混合型证券 投资基金</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1.89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3,939,285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1" w:right="0"/>
              <w:jc w:val="left"/>
              <w:rPr>
                <w:rFonts w:ascii="宋体" w:hAnsi="宋体" w:cs="宋体" w:eastAsia="宋体" w:hint="default"/>
                <w:sz w:val="18"/>
                <w:szCs w:val="18"/>
              </w:rPr>
            </w:pPr>
            <w:r>
              <w:rPr>
                <w:rFonts w:ascii="宋体"/>
                <w:sz w:val="18"/>
              </w:rPr>
              <w:t>3,939,285</w:t>
            </w:r>
          </w:p>
        </w:tc>
        <w:tc>
          <w:tcPr>
            <w:tcW w:w="83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6"/>
              <w:jc w:val="both"/>
              <w:rPr>
                <w:rFonts w:ascii="宋体" w:hAnsi="宋体" w:cs="宋体" w:eastAsia="宋体" w:hint="default"/>
                <w:sz w:val="18"/>
                <w:szCs w:val="18"/>
              </w:rPr>
            </w:pPr>
            <w:r>
              <w:rPr>
                <w:rFonts w:ascii="宋体" w:hAnsi="宋体" w:cs="宋体" w:eastAsia="宋体" w:hint="default"/>
                <w:sz w:val="18"/>
                <w:szCs w:val="18"/>
              </w:rPr>
              <w:t>中国工商银行－易 方达价值成长混合 型证券投资基金</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1.77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3,700,000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1" w:right="0"/>
              <w:jc w:val="left"/>
              <w:rPr>
                <w:rFonts w:ascii="宋体" w:hAnsi="宋体" w:cs="宋体" w:eastAsia="宋体" w:hint="default"/>
                <w:sz w:val="18"/>
                <w:szCs w:val="18"/>
              </w:rPr>
            </w:pPr>
            <w:r>
              <w:rPr>
                <w:rFonts w:ascii="宋体"/>
                <w:sz w:val="18"/>
              </w:rPr>
              <w:t>3,700,000</w:t>
            </w:r>
          </w:p>
        </w:tc>
        <w:tc>
          <w:tcPr>
            <w:tcW w:w="83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名股东的情况（如有）</w:t>
            </w:r>
          </w:p>
        </w:tc>
        <w:tc>
          <w:tcPr>
            <w:tcW w:w="6666" w:type="dxa"/>
            <w:gridSpan w:val="8"/>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8" w:hRule="exact"/>
        </w:trPr>
        <w:tc>
          <w:tcPr>
            <w:tcW w:w="291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66" w:type="dxa"/>
            <w:gridSpan w:val="8"/>
            <w:vMerge w:val="restart"/>
            <w:tcBorders>
              <w:top w:val="single" w:sz="4" w:space="0" w:color="000000"/>
              <w:left w:val="single" w:sz="10" w:space="0" w:color="D2D2D2"/>
              <w:right w:val="single" w:sz="4" w:space="0" w:color="000000"/>
            </w:tcBorders>
            <w:shd w:val="clear" w:color="auto" w:fill="C6ECCC"/>
          </w:tcPr>
          <w:p>
            <w:pPr>
              <w:pStyle w:val="TableParagraph"/>
              <w:spacing w:line="316" w:lineRule="auto" w:before="50"/>
              <w:ind w:left="16" w:right="20"/>
              <w:jc w:val="both"/>
              <w:rPr>
                <w:rFonts w:ascii="宋体" w:hAnsi="宋体" w:cs="宋体" w:eastAsia="宋体" w:hint="default"/>
                <w:sz w:val="18"/>
                <w:szCs w:val="18"/>
              </w:rPr>
            </w:pPr>
            <w:r>
              <w:rPr>
                <w:rFonts w:ascii="宋体" w:hAnsi="宋体" w:cs="宋体" w:eastAsia="宋体" w:hint="default"/>
                <w:spacing w:val="-2"/>
                <w:sz w:val="18"/>
                <w:szCs w:val="18"/>
              </w:rPr>
              <w:t>中国工商银行－中银中国精选混合型开放式证券投资基金、中国工商银行－中银持续</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增长股票型证券投资基金、中国工商银行－中银收益混合型证券投资基金的基金管理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人均为中银基金管理有限公司。除此之外，公司未知上述股东是否存在关联关系，也</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未知是否属于一致行动人。</w:t>
            </w:r>
          </w:p>
        </w:tc>
      </w:tr>
      <w:tr>
        <w:trPr>
          <w:trHeight w:val="703" w:hRule="exact"/>
        </w:trPr>
        <w:tc>
          <w:tcPr>
            <w:tcW w:w="291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66" w:type="dxa"/>
            <w:gridSpan w:val="8"/>
            <w:vMerge/>
            <w:tcBorders>
              <w:left w:val="single" w:sz="10" w:space="0" w:color="D2D2D2"/>
              <w:right w:val="single" w:sz="4" w:space="0" w:color="000000"/>
            </w:tcBorders>
            <w:shd w:val="clear" w:color="auto" w:fill="C6ECCC"/>
          </w:tcPr>
          <w:p>
            <w:pPr/>
          </w:p>
        </w:tc>
      </w:tr>
      <w:tr>
        <w:trPr>
          <w:trHeight w:val="317" w:hRule="exact"/>
        </w:trPr>
        <w:tc>
          <w:tcPr>
            <w:tcW w:w="291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66" w:type="dxa"/>
            <w:gridSpan w:val="8"/>
            <w:vMerge/>
            <w:tcBorders>
              <w:left w:val="single" w:sz="10" w:space="0" w:color="D2D2D2"/>
              <w:bottom w:val="single" w:sz="4" w:space="0" w:color="000000"/>
              <w:right w:val="single" w:sz="4" w:space="0" w:color="000000"/>
            </w:tcBorders>
            <w:shd w:val="clear" w:color="auto" w:fill="C6ECCC"/>
          </w:tcPr>
          <w:p>
            <w:pPr/>
          </w:p>
        </w:tc>
      </w:tr>
      <w:tr>
        <w:trPr>
          <w:trHeight w:val="396" w:hRule="exact"/>
        </w:trPr>
        <w:tc>
          <w:tcPr>
            <w:tcW w:w="9578"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211" w:hRule="exact"/>
        </w:trPr>
        <w:tc>
          <w:tcPr>
            <w:tcW w:w="466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17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900" w:right="87" w:hanging="810"/>
              <w:jc w:val="left"/>
              <w:rPr>
                <w:rFonts w:ascii="宋体" w:hAnsi="宋体" w:cs="宋体" w:eastAsia="宋体" w:hint="default"/>
                <w:sz w:val="18"/>
                <w:szCs w:val="18"/>
              </w:rPr>
            </w:pPr>
            <w:r>
              <w:rPr>
                <w:rFonts w:ascii="宋体" w:hAnsi="宋体" w:cs="宋体" w:eastAsia="宋体" w:hint="default"/>
                <w:sz w:val="18"/>
                <w:szCs w:val="18"/>
              </w:rPr>
              <w:t>年末持有无限售条件股份 数量</w:t>
            </w:r>
          </w:p>
        </w:tc>
        <w:tc>
          <w:tcPr>
            <w:tcW w:w="27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4667"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170" w:type="dxa"/>
            <w:gridSpan w:val="3"/>
            <w:vMerge/>
            <w:tcBorders>
              <w:left w:val="single" w:sz="4" w:space="0" w:color="000000"/>
              <w:right w:val="single" w:sz="4" w:space="0" w:color="000000"/>
            </w:tcBorders>
            <w:shd w:val="clear" w:color="auto" w:fill="D2D2D2"/>
          </w:tcPr>
          <w:p>
            <w:pPr/>
          </w:p>
        </w:tc>
        <w:tc>
          <w:tcPr>
            <w:tcW w:w="2741"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4667" w:type="dxa"/>
            <w:gridSpan w:val="4"/>
            <w:vMerge/>
            <w:tcBorders>
              <w:left w:val="single" w:sz="4" w:space="0" w:color="000000"/>
              <w:bottom w:val="nil" w:sz="6" w:space="0" w:color="auto"/>
              <w:right w:val="single" w:sz="4" w:space="0" w:color="000000"/>
            </w:tcBorders>
            <w:shd w:val="clear" w:color="auto" w:fill="D2D2D2"/>
          </w:tcPr>
          <w:p>
            <w:pPr/>
          </w:p>
        </w:tc>
        <w:tc>
          <w:tcPr>
            <w:tcW w:w="2170" w:type="dxa"/>
            <w:gridSpan w:val="3"/>
            <w:vMerge/>
            <w:tcBorders>
              <w:left w:val="single" w:sz="4" w:space="0" w:color="000000"/>
              <w:right w:val="single" w:sz="4" w:space="0" w:color="000000"/>
            </w:tcBorders>
            <w:shd w:val="clear" w:color="auto" w:fill="D2D2D2"/>
          </w:tcPr>
          <w:p>
            <w:pPr/>
          </w:p>
        </w:tc>
        <w:tc>
          <w:tcPr>
            <w:tcW w:w="17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7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466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170" w:type="dxa"/>
            <w:gridSpan w:val="3"/>
            <w:vMerge/>
            <w:tcBorders>
              <w:left w:val="single" w:sz="4" w:space="0" w:color="000000"/>
              <w:bottom w:val="single" w:sz="4" w:space="0" w:color="000000"/>
              <w:right w:val="single" w:sz="4" w:space="0" w:color="000000"/>
            </w:tcBorders>
            <w:shd w:val="clear" w:color="auto" w:fill="D2D2D2"/>
          </w:tcPr>
          <w:p>
            <w:pPr/>
          </w:p>
        </w:tc>
        <w:tc>
          <w:tcPr>
            <w:tcW w:w="1712" w:type="dxa"/>
            <w:gridSpan w:val="2"/>
            <w:vMerge/>
            <w:tcBorders>
              <w:left w:val="single" w:sz="4" w:space="0" w:color="000000"/>
              <w:bottom w:val="single" w:sz="4" w:space="0" w:color="000000"/>
              <w:right w:val="single" w:sz="4" w:space="0" w:color="000000"/>
            </w:tcBorders>
            <w:shd w:val="clear" w:color="auto" w:fill="D2D2D2"/>
          </w:tcPr>
          <w:p>
            <w:pPr/>
          </w:p>
        </w:tc>
        <w:tc>
          <w:tcPr>
            <w:tcW w:w="103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46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盛安机电设备（昌都）有限公司</w:t>
            </w:r>
          </w:p>
        </w:tc>
        <w:tc>
          <w:tcPr>
            <w:tcW w:w="2170" w:type="dxa"/>
            <w:gridSpan w:val="3"/>
            <w:tcBorders>
              <w:top w:val="single" w:sz="17" w:space="0" w:color="D2D2D2"/>
              <w:left w:val="single" w:sz="4" w:space="0" w:color="000000"/>
              <w:bottom w:val="single" w:sz="4" w:space="0" w:color="000000"/>
              <w:right w:val="single" w:sz="4" w:space="0" w:color="000000"/>
            </w:tcBorders>
          </w:tcPr>
          <w:p>
            <w:pPr>
              <w:pStyle w:val="TableParagraph"/>
              <w:spacing w:line="240" w:lineRule="auto" w:before="34"/>
              <w:ind w:left="1238" w:right="0"/>
              <w:jc w:val="left"/>
              <w:rPr>
                <w:rFonts w:ascii="宋体" w:hAnsi="宋体" w:cs="宋体" w:eastAsia="宋体" w:hint="default"/>
                <w:sz w:val="18"/>
                <w:szCs w:val="18"/>
              </w:rPr>
            </w:pPr>
            <w:r>
              <w:rPr>
                <w:rFonts w:ascii="宋体"/>
                <w:sz w:val="18"/>
              </w:rPr>
              <w:t>24,310,695</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24,310,695</w:t>
            </w:r>
          </w:p>
        </w:tc>
      </w:tr>
      <w:tr>
        <w:trPr>
          <w:trHeight w:val="401" w:hRule="exact"/>
        </w:trPr>
        <w:tc>
          <w:tcPr>
            <w:tcW w:w="46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中国机电出口产品投资有限公司</w:t>
            </w:r>
          </w:p>
        </w:tc>
        <w:tc>
          <w:tcPr>
            <w:tcW w:w="2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27" w:right="0"/>
              <w:jc w:val="left"/>
              <w:rPr>
                <w:rFonts w:ascii="宋体" w:hAnsi="宋体" w:cs="宋体" w:eastAsia="宋体" w:hint="default"/>
                <w:sz w:val="18"/>
                <w:szCs w:val="18"/>
              </w:rPr>
            </w:pPr>
            <w:r>
              <w:rPr>
                <w:rFonts w:ascii="宋体"/>
                <w:sz w:val="18"/>
              </w:rPr>
              <w:t>6,446,694</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6,446,694</w:t>
            </w:r>
          </w:p>
        </w:tc>
      </w:tr>
      <w:tr>
        <w:trPr>
          <w:trHeight w:val="403" w:hRule="exact"/>
        </w:trPr>
        <w:tc>
          <w:tcPr>
            <w:tcW w:w="46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中国工商银行－中银中国精选混合型开放式证券投资基金</w:t>
            </w:r>
          </w:p>
        </w:tc>
        <w:tc>
          <w:tcPr>
            <w:tcW w:w="2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27" w:right="0"/>
              <w:jc w:val="left"/>
              <w:rPr>
                <w:rFonts w:ascii="宋体" w:hAnsi="宋体" w:cs="宋体" w:eastAsia="宋体" w:hint="default"/>
                <w:sz w:val="18"/>
                <w:szCs w:val="18"/>
              </w:rPr>
            </w:pPr>
            <w:r>
              <w:rPr>
                <w:rFonts w:ascii="宋体"/>
                <w:sz w:val="18"/>
              </w:rPr>
              <w:t>6,304,742</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6,304,742</w:t>
            </w:r>
          </w:p>
        </w:tc>
      </w:tr>
      <w:tr>
        <w:trPr>
          <w:trHeight w:val="401" w:hRule="exact"/>
        </w:trPr>
        <w:tc>
          <w:tcPr>
            <w:tcW w:w="46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中国建设银行－华宝兴业收益增长混合型证券投资基金</w:t>
            </w:r>
          </w:p>
        </w:tc>
        <w:tc>
          <w:tcPr>
            <w:tcW w:w="2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27" w:right="0"/>
              <w:jc w:val="left"/>
              <w:rPr>
                <w:rFonts w:ascii="宋体" w:hAnsi="宋体" w:cs="宋体" w:eastAsia="宋体" w:hint="default"/>
                <w:sz w:val="18"/>
                <w:szCs w:val="18"/>
              </w:rPr>
            </w:pPr>
            <w:r>
              <w:rPr>
                <w:rFonts w:ascii="宋体"/>
                <w:sz w:val="18"/>
              </w:rPr>
              <w:t>6,290,731</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6,290,731</w:t>
            </w:r>
          </w:p>
        </w:tc>
      </w:tr>
      <w:tr>
        <w:trPr>
          <w:trHeight w:val="403" w:hRule="exact"/>
        </w:trPr>
        <w:tc>
          <w:tcPr>
            <w:tcW w:w="46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兖矿集团有限公司</w:t>
            </w:r>
          </w:p>
        </w:tc>
        <w:tc>
          <w:tcPr>
            <w:tcW w:w="2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27" w:right="0"/>
              <w:jc w:val="left"/>
              <w:rPr>
                <w:rFonts w:ascii="宋体" w:hAnsi="宋体" w:cs="宋体" w:eastAsia="宋体" w:hint="default"/>
                <w:sz w:val="18"/>
                <w:szCs w:val="18"/>
              </w:rPr>
            </w:pPr>
            <w:r>
              <w:rPr>
                <w:rFonts w:ascii="宋体"/>
                <w:sz w:val="18"/>
              </w:rPr>
              <w:t>4,511,836</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4,511,836</w:t>
            </w:r>
          </w:p>
        </w:tc>
      </w:tr>
      <w:tr>
        <w:trPr>
          <w:trHeight w:val="401" w:hRule="exact"/>
        </w:trPr>
        <w:tc>
          <w:tcPr>
            <w:tcW w:w="46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中国工商银行－中银持续增长股票型证券投资基金</w:t>
            </w:r>
          </w:p>
        </w:tc>
        <w:tc>
          <w:tcPr>
            <w:tcW w:w="2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27" w:right="0"/>
              <w:jc w:val="left"/>
              <w:rPr>
                <w:rFonts w:ascii="宋体" w:hAnsi="宋体" w:cs="宋体" w:eastAsia="宋体" w:hint="default"/>
                <w:sz w:val="18"/>
                <w:szCs w:val="18"/>
              </w:rPr>
            </w:pPr>
            <w:r>
              <w:rPr>
                <w:rFonts w:ascii="宋体"/>
                <w:sz w:val="18"/>
              </w:rPr>
              <w:t>4,497,945</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4,497,945</w:t>
            </w:r>
          </w:p>
        </w:tc>
      </w:tr>
      <w:tr>
        <w:trPr>
          <w:trHeight w:val="403" w:hRule="exact"/>
        </w:trPr>
        <w:tc>
          <w:tcPr>
            <w:tcW w:w="46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交通银行－农银汇理行业成长股票型证券投资基金</w:t>
            </w:r>
          </w:p>
        </w:tc>
        <w:tc>
          <w:tcPr>
            <w:tcW w:w="2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27" w:right="0"/>
              <w:jc w:val="left"/>
              <w:rPr>
                <w:rFonts w:ascii="宋体" w:hAnsi="宋体" w:cs="宋体" w:eastAsia="宋体" w:hint="default"/>
                <w:sz w:val="18"/>
                <w:szCs w:val="18"/>
              </w:rPr>
            </w:pPr>
            <w:r>
              <w:rPr>
                <w:rFonts w:ascii="宋体"/>
                <w:sz w:val="18"/>
              </w:rPr>
              <w:t>4,000,000</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4,000,000</w:t>
            </w:r>
          </w:p>
        </w:tc>
      </w:tr>
      <w:tr>
        <w:trPr>
          <w:trHeight w:val="401" w:hRule="exact"/>
        </w:trPr>
        <w:tc>
          <w:tcPr>
            <w:tcW w:w="46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中国工商银行－中银收益混合型证券投资基金</w:t>
            </w:r>
          </w:p>
        </w:tc>
        <w:tc>
          <w:tcPr>
            <w:tcW w:w="2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27" w:right="0"/>
              <w:jc w:val="left"/>
              <w:rPr>
                <w:rFonts w:ascii="宋体" w:hAnsi="宋体" w:cs="宋体" w:eastAsia="宋体" w:hint="default"/>
                <w:sz w:val="18"/>
                <w:szCs w:val="18"/>
              </w:rPr>
            </w:pPr>
            <w:r>
              <w:rPr>
                <w:rFonts w:ascii="宋体"/>
                <w:sz w:val="18"/>
              </w:rPr>
              <w:t>3,939,285</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3,939,285</w:t>
            </w:r>
          </w:p>
        </w:tc>
      </w:tr>
      <w:tr>
        <w:trPr>
          <w:trHeight w:val="403" w:hRule="exact"/>
        </w:trPr>
        <w:tc>
          <w:tcPr>
            <w:tcW w:w="46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中国工商银行－易方达价值成长混合型证券投资基金</w:t>
            </w:r>
          </w:p>
        </w:tc>
        <w:tc>
          <w:tcPr>
            <w:tcW w:w="2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27" w:right="0"/>
              <w:jc w:val="left"/>
              <w:rPr>
                <w:rFonts w:ascii="宋体" w:hAnsi="宋体" w:cs="宋体" w:eastAsia="宋体" w:hint="default"/>
                <w:sz w:val="18"/>
                <w:szCs w:val="18"/>
              </w:rPr>
            </w:pPr>
            <w:r>
              <w:rPr>
                <w:rFonts w:ascii="宋体"/>
                <w:sz w:val="18"/>
              </w:rPr>
              <w:t>3,700,000</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3,700,000</w:t>
            </w:r>
          </w:p>
        </w:tc>
      </w:tr>
      <w:tr>
        <w:trPr>
          <w:trHeight w:val="401" w:hRule="exact"/>
        </w:trPr>
        <w:tc>
          <w:tcPr>
            <w:tcW w:w="46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中国工商银行－中海能源策略混合型证券投资基金</w:t>
            </w:r>
          </w:p>
        </w:tc>
        <w:tc>
          <w:tcPr>
            <w:tcW w:w="2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27" w:right="0"/>
              <w:jc w:val="left"/>
              <w:rPr>
                <w:rFonts w:ascii="宋体" w:hAnsi="宋体" w:cs="宋体" w:eastAsia="宋体" w:hint="default"/>
                <w:sz w:val="18"/>
                <w:szCs w:val="18"/>
              </w:rPr>
            </w:pPr>
            <w:r>
              <w:rPr>
                <w:rFonts w:ascii="宋体"/>
                <w:sz w:val="18"/>
              </w:rPr>
              <w:t>3,679,318</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3,679,318</w:t>
            </w:r>
          </w:p>
        </w:tc>
      </w:tr>
      <w:tr>
        <w:trPr>
          <w:trHeight w:val="1651" w:hRule="exact"/>
        </w:trPr>
        <w:tc>
          <w:tcPr>
            <w:tcW w:w="4667" w:type="dxa"/>
            <w:gridSpan w:val="4"/>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5"/>
                <w:sz w:val="18"/>
                <w:szCs w:val="18"/>
              </w:rPr>
              <w:t>名无限售流通股股东之间，以及前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名无限售流通股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名股东之间关联关系或一致行动的说明</w:t>
            </w:r>
          </w:p>
        </w:tc>
        <w:tc>
          <w:tcPr>
            <w:tcW w:w="4911" w:type="dxa"/>
            <w:gridSpan w:val="6"/>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中国工商银行－中银中国精选混合型开放式证券投资基金、中 国工商银行－中银持续增长股票型证券投资基金、中国工商银 行－中银收益混合型证券投资基金的基金管理人均为中银基 金管理有限公司。除此之外，公司未知上述股东是否存在关联 关系，也未知是否属于一致行动人。</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32"/>
        <w:gridCol w:w="1189"/>
        <w:gridCol w:w="991"/>
        <w:gridCol w:w="1277"/>
        <w:gridCol w:w="1022"/>
        <w:gridCol w:w="3157"/>
      </w:tblGrid>
      <w:tr>
        <w:trPr>
          <w:trHeight w:val="714" w:hRule="exact"/>
        </w:trPr>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39" w:right="92"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3157" w:type="dxa"/>
            <w:tcBorders>
              <w:top w:val="single" w:sz="4" w:space="0" w:color="000000"/>
              <w:left w:val="single" w:sz="4" w:space="0" w:color="000000"/>
              <w:bottom w:val="single" w:sz="12" w:space="0" w:color="C6ECCC"/>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19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深圳市达实投资发展有 限公司</w:t>
            </w:r>
          </w:p>
        </w:tc>
        <w:tc>
          <w:tcPr>
            <w:tcW w:w="1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刘昂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1997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27933775-0</w:t>
            </w:r>
          </w:p>
        </w:tc>
        <w:tc>
          <w:tcPr>
            <w:tcW w:w="10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31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68"/>
              <w:ind w:left="23" w:right="20"/>
              <w:jc w:val="left"/>
              <w:rPr>
                <w:rFonts w:ascii="宋体" w:hAnsi="宋体" w:cs="宋体" w:eastAsia="宋体" w:hint="default"/>
                <w:sz w:val="18"/>
                <w:szCs w:val="18"/>
              </w:rPr>
            </w:pPr>
            <w:r>
              <w:rPr>
                <w:rFonts w:ascii="宋体" w:hAnsi="宋体" w:cs="宋体" w:eastAsia="宋体" w:hint="default"/>
                <w:sz w:val="18"/>
                <w:szCs w:val="18"/>
              </w:rPr>
              <w:t>主要从事投资兴办实业（具体项目另 </w:t>
            </w:r>
            <w:r>
              <w:rPr>
                <w:rFonts w:ascii="宋体" w:hAnsi="宋体" w:cs="宋体" w:eastAsia="宋体" w:hint="default"/>
                <w:spacing w:val="-8"/>
                <w:sz w:val="18"/>
                <w:szCs w:val="18"/>
              </w:rPr>
              <w:t>报）；国内贸易（法律、行政法规、国务</w:t>
            </w:r>
          </w:p>
        </w:tc>
      </w:tr>
    </w:tbl>
    <w:p>
      <w:pPr>
        <w:spacing w:after="0" w:line="316" w:lineRule="auto"/>
        <w:jc w:val="left"/>
        <w:rPr>
          <w:rFonts w:ascii="宋体" w:hAnsi="宋体" w:cs="宋体" w:eastAsia="宋体" w:hint="default"/>
          <w:sz w:val="18"/>
          <w:szCs w:val="18"/>
        </w:rPr>
        <w:sectPr>
          <w:pgSz w:w="11910" w:h="16840"/>
          <w:pgMar w:header="877" w:footer="1316" w:top="1100" w:bottom="150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32"/>
        <w:gridCol w:w="1189"/>
        <w:gridCol w:w="992"/>
        <w:gridCol w:w="1276"/>
        <w:gridCol w:w="1034"/>
        <w:gridCol w:w="3134"/>
      </w:tblGrid>
      <w:tr>
        <w:trPr>
          <w:trHeight w:val="2552" w:hRule="exact"/>
        </w:trPr>
        <w:tc>
          <w:tcPr>
            <w:tcW w:w="193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8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3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8"/>
              <w:ind w:left="11" w:right="9"/>
              <w:jc w:val="both"/>
              <w:rPr>
                <w:rFonts w:ascii="宋体" w:hAnsi="宋体" w:cs="宋体" w:eastAsia="宋体" w:hint="default"/>
                <w:sz w:val="18"/>
                <w:szCs w:val="18"/>
              </w:rPr>
            </w:pPr>
            <w:r>
              <w:rPr>
                <w:rFonts w:ascii="宋体" w:hAnsi="宋体" w:cs="宋体" w:eastAsia="宋体" w:hint="default"/>
                <w:sz w:val="18"/>
                <w:szCs w:val="18"/>
              </w:rPr>
              <w:t>院决定规定在登记前须经批准的项目除 </w:t>
            </w:r>
            <w:r>
              <w:rPr>
                <w:rFonts w:ascii="宋体" w:hAnsi="宋体" w:cs="宋体" w:eastAsia="宋体" w:hint="default"/>
                <w:spacing w:val="-8"/>
                <w:sz w:val="18"/>
                <w:szCs w:val="18"/>
              </w:rPr>
              <w:t>外）；通讯产品销售及技术开发、软件技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术开发、经济信息咨询（不含证券、保 险、基金、金融业务、人才中介服务及 </w:t>
            </w:r>
            <w:r>
              <w:rPr>
                <w:rFonts w:ascii="宋体" w:hAnsi="宋体" w:cs="宋体" w:eastAsia="宋体" w:hint="default"/>
                <w:spacing w:val="-8"/>
                <w:sz w:val="18"/>
                <w:szCs w:val="18"/>
              </w:rPr>
              <w:t>其它限制项目）；货物及技术进出口（法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律、行政法规、国务院决定禁止的项目 除外，限制的项目须取得许可后方可经 </w:t>
            </w:r>
            <w:r>
              <w:rPr>
                <w:rFonts w:ascii="宋体" w:hAnsi="宋体" w:cs="宋体" w:eastAsia="宋体" w:hint="default"/>
                <w:spacing w:val="-31"/>
                <w:sz w:val="18"/>
                <w:szCs w:val="18"/>
              </w:rPr>
              <w:t>营）。</w:t>
            </w:r>
          </w:p>
        </w:tc>
      </w:tr>
      <w:tr>
        <w:trPr>
          <w:trHeight w:val="156" w:hRule="exact"/>
        </w:trPr>
        <w:tc>
          <w:tcPr>
            <w:tcW w:w="1932" w:type="dxa"/>
            <w:vMerge w:val="restart"/>
            <w:tcBorders>
              <w:top w:val="single" w:sz="4" w:space="0" w:color="000000"/>
              <w:left w:val="single" w:sz="4" w:space="0" w:color="000000"/>
              <w:right w:val="single" w:sz="9" w:space="0" w:color="C6ECCC"/>
            </w:tcBorders>
            <w:shd w:val="clear" w:color="auto" w:fill="D2D2D2"/>
          </w:tcPr>
          <w:p>
            <w:pPr>
              <w:pStyle w:val="TableParagraph"/>
              <w:spacing w:line="316" w:lineRule="auto" w:before="44"/>
              <w:ind w:left="24" w:right="90"/>
              <w:jc w:val="both"/>
              <w:rPr>
                <w:rFonts w:ascii="宋体" w:hAnsi="宋体" w:cs="宋体" w:eastAsia="宋体" w:hint="default"/>
                <w:sz w:val="18"/>
                <w:szCs w:val="18"/>
              </w:rPr>
            </w:pPr>
            <w:r>
              <w:rPr>
                <w:rFonts w:ascii="宋体" w:hAnsi="宋体" w:cs="宋体" w:eastAsia="宋体" w:hint="default"/>
                <w:sz w:val="18"/>
                <w:szCs w:val="18"/>
              </w:rPr>
              <w:t>经营成果、财务状况、 现金流和未来发展战略 等</w:t>
            </w:r>
          </w:p>
        </w:tc>
        <w:tc>
          <w:tcPr>
            <w:tcW w:w="7625" w:type="dxa"/>
            <w:gridSpan w:val="5"/>
            <w:tcBorders>
              <w:top w:val="single" w:sz="4" w:space="0" w:color="000000"/>
              <w:left w:val="single" w:sz="4" w:space="0" w:color="000000"/>
              <w:bottom w:val="nil" w:sz="6" w:space="0" w:color="auto"/>
              <w:right w:val="single" w:sz="4" w:space="0" w:color="000000"/>
            </w:tcBorders>
            <w:shd w:val="clear" w:color="auto" w:fill="C6ECCC"/>
          </w:tcPr>
          <w:p>
            <w:pPr/>
          </w:p>
        </w:tc>
      </w:tr>
      <w:tr>
        <w:trPr>
          <w:trHeight w:val="703" w:hRule="exact"/>
        </w:trPr>
        <w:tc>
          <w:tcPr>
            <w:tcW w:w="1932" w:type="dxa"/>
            <w:vMerge/>
            <w:tcBorders>
              <w:left w:val="single" w:sz="4" w:space="0" w:color="000000"/>
              <w:right w:val="single" w:sz="9" w:space="0" w:color="C6ECCC"/>
            </w:tcBorders>
            <w:shd w:val="clear" w:color="auto" w:fill="D2D2D2"/>
          </w:tcPr>
          <w:p>
            <w:pPr/>
          </w:p>
        </w:tc>
        <w:tc>
          <w:tcPr>
            <w:tcW w:w="7625" w:type="dxa"/>
            <w:gridSpan w:val="5"/>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年度实现营业收入</w:t>
            </w:r>
            <w:r>
              <w:rPr>
                <w:rFonts w:ascii="宋体" w:hAnsi="宋体" w:cs="宋体" w:eastAsia="宋体" w:hint="default"/>
                <w:spacing w:val="-50"/>
                <w:sz w:val="18"/>
                <w:szCs w:val="18"/>
              </w:rPr>
              <w:t> </w:t>
            </w:r>
            <w:r>
              <w:rPr>
                <w:rFonts w:ascii="宋体" w:hAnsi="宋体" w:cs="宋体" w:eastAsia="宋体" w:hint="default"/>
                <w:sz w:val="18"/>
                <w:szCs w:val="18"/>
              </w:rPr>
              <w:t>89,373.69</w:t>
            </w:r>
            <w:r>
              <w:rPr>
                <w:rFonts w:ascii="宋体" w:hAnsi="宋体" w:cs="宋体" w:eastAsia="宋体" w:hint="default"/>
                <w:spacing w:val="-46"/>
                <w:sz w:val="18"/>
                <w:szCs w:val="18"/>
              </w:rPr>
              <w:t> </w:t>
            </w:r>
            <w:r>
              <w:rPr>
                <w:rFonts w:ascii="宋体" w:hAnsi="宋体" w:cs="宋体" w:eastAsia="宋体" w:hint="default"/>
                <w:sz w:val="18"/>
                <w:szCs w:val="18"/>
              </w:rPr>
              <w:t>万元，净利润</w:t>
            </w:r>
            <w:r>
              <w:rPr>
                <w:rFonts w:ascii="宋体" w:hAnsi="宋体" w:cs="宋体" w:eastAsia="宋体" w:hint="default"/>
                <w:spacing w:val="-47"/>
                <w:sz w:val="18"/>
                <w:szCs w:val="18"/>
              </w:rPr>
              <w:t> </w:t>
            </w:r>
            <w:r>
              <w:rPr>
                <w:rFonts w:ascii="宋体" w:hAnsi="宋体" w:cs="宋体" w:eastAsia="宋体" w:hint="default"/>
                <w:sz w:val="18"/>
                <w:szCs w:val="18"/>
              </w:rPr>
              <w:t>8,976.55</w:t>
            </w:r>
            <w:r>
              <w:rPr>
                <w:rFonts w:ascii="宋体" w:hAnsi="宋体" w:cs="宋体" w:eastAsia="宋体" w:hint="default"/>
                <w:spacing w:val="-46"/>
                <w:sz w:val="18"/>
                <w:szCs w:val="18"/>
              </w:rPr>
              <w:t> </w:t>
            </w:r>
            <w:r>
              <w:rPr>
                <w:rFonts w:ascii="宋体" w:hAnsi="宋体" w:cs="宋体" w:eastAsia="宋体" w:hint="default"/>
                <w:sz w:val="18"/>
                <w:szCs w:val="18"/>
              </w:rPr>
              <w:t>万元，归属于母公司所有者的净利润</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1,105.76</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161" w:hRule="exact"/>
        </w:trPr>
        <w:tc>
          <w:tcPr>
            <w:tcW w:w="1932" w:type="dxa"/>
            <w:vMerge/>
            <w:tcBorders>
              <w:left w:val="single" w:sz="4" w:space="0" w:color="000000"/>
              <w:bottom w:val="single" w:sz="4" w:space="0" w:color="000000"/>
              <w:right w:val="single" w:sz="9" w:space="0" w:color="C6ECCC"/>
            </w:tcBorders>
            <w:shd w:val="clear" w:color="auto" w:fill="D2D2D2"/>
          </w:tcPr>
          <w:p>
            <w:pPr/>
          </w:p>
        </w:tc>
        <w:tc>
          <w:tcPr>
            <w:tcW w:w="7625" w:type="dxa"/>
            <w:gridSpan w:val="5"/>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17" w:hRule="exact"/>
        </w:trPr>
        <w:tc>
          <w:tcPr>
            <w:tcW w:w="1932" w:type="dxa"/>
            <w:vMerge w:val="restart"/>
            <w:tcBorders>
              <w:top w:val="single" w:sz="4" w:space="0" w:color="000000"/>
              <w:left w:val="single" w:sz="4" w:space="0" w:color="000000"/>
              <w:right w:val="single" w:sz="9" w:space="0" w:color="C6ECCC"/>
            </w:tcBorders>
            <w:shd w:val="clear" w:color="auto" w:fill="D2D2D2"/>
          </w:tcPr>
          <w:p>
            <w:pPr>
              <w:pStyle w:val="TableParagraph"/>
              <w:spacing w:line="319" w:lineRule="auto" w:before="49"/>
              <w:ind w:left="24" w:right="90"/>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625" w:type="dxa"/>
            <w:gridSpan w:val="5"/>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4" w:hRule="exact"/>
        </w:trPr>
        <w:tc>
          <w:tcPr>
            <w:tcW w:w="1932" w:type="dxa"/>
            <w:vMerge/>
            <w:tcBorders>
              <w:left w:val="single" w:sz="4" w:space="0" w:color="000000"/>
              <w:right w:val="single" w:sz="9" w:space="0" w:color="C6ECCC"/>
            </w:tcBorders>
            <w:shd w:val="clear" w:color="auto" w:fill="D2D2D2"/>
          </w:tcPr>
          <w:p>
            <w:pPr/>
          </w:p>
        </w:tc>
        <w:tc>
          <w:tcPr>
            <w:tcW w:w="7625" w:type="dxa"/>
            <w:gridSpan w:val="5"/>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1932" w:type="dxa"/>
            <w:vMerge/>
            <w:tcBorders>
              <w:left w:val="single" w:sz="4" w:space="0" w:color="000000"/>
              <w:bottom w:val="single" w:sz="4" w:space="0" w:color="000000"/>
              <w:right w:val="single" w:sz="9" w:space="0" w:color="C6ECCC"/>
            </w:tcBorders>
            <w:shd w:val="clear" w:color="auto" w:fill="D2D2D2"/>
          </w:tcPr>
          <w:p>
            <w:pPr/>
          </w:p>
        </w:tc>
        <w:tc>
          <w:tcPr>
            <w:tcW w:w="7625" w:type="dxa"/>
            <w:gridSpan w:val="5"/>
            <w:tcBorders>
              <w:top w:val="nil" w:sz="6" w:space="0" w:color="auto"/>
              <w:left w:val="single" w:sz="4" w:space="0" w:color="000000"/>
              <w:bottom w:val="single" w:sz="4" w:space="0" w:color="000000"/>
              <w:right w:val="single" w:sz="4" w:space="0" w:color="000000"/>
            </w:tcBorders>
            <w:shd w:val="clear" w:color="auto" w:fill="C6ECCC"/>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报告期控股股东变更</w:t>
      </w:r>
    </w:p>
    <w:p>
      <w:pPr>
        <w:spacing w:line="547" w:lineRule="auto" w:before="115"/>
        <w:ind w:left="152" w:right="8541" w:firstLine="0"/>
        <w:jc w:val="left"/>
        <w:rPr>
          <w:rFonts w:ascii="宋体" w:hAnsi="宋体" w:cs="宋体" w:eastAsia="宋体" w:hint="default"/>
          <w:sz w:val="18"/>
          <w:szCs w:val="18"/>
        </w:rPr>
      </w:pPr>
      <w:r>
        <w:rPr/>
        <w:pict>
          <v:shape style="position:absolute;margin-left:56.400002pt;margin-top:84.301712pt;width:479.3pt;height:96.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49"/>
                    <w:gridCol w:w="2045"/>
                    <w:gridCol w:w="4177"/>
                  </w:tblGrid>
                  <w:tr>
                    <w:trPr>
                      <w:trHeight w:val="396" w:hRule="exact"/>
                    </w:trPr>
                    <w:tc>
                      <w:tcPr>
                        <w:tcW w:w="3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2" w:right="0"/>
                          <w:jc w:val="left"/>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8" w:hRule="exact"/>
                    </w:trPr>
                    <w:tc>
                      <w:tcPr>
                        <w:tcW w:w="334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刘磅</w:t>
                        </w:r>
                      </w:p>
                    </w:tc>
                    <w:tc>
                      <w:tcPr>
                        <w:tcW w:w="2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83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349"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年内的职业及职务</w:t>
                        </w:r>
                      </w:p>
                    </w:tc>
                    <w:tc>
                      <w:tcPr>
                        <w:tcW w:w="6222"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12" w:right="32" w:firstLine="360"/>
                          <w:jc w:val="left"/>
                          <w:rPr>
                            <w:rFonts w:ascii="宋体" w:hAnsi="宋体" w:cs="宋体" w:eastAsia="宋体" w:hint="default"/>
                            <w:sz w:val="18"/>
                            <w:szCs w:val="18"/>
                          </w:rPr>
                        </w:pPr>
                        <w:r>
                          <w:rPr>
                            <w:rFonts w:ascii="宋体" w:hAnsi="宋体" w:cs="宋体" w:eastAsia="宋体" w:hint="default"/>
                            <w:sz w:val="18"/>
                            <w:szCs w:val="18"/>
                          </w:rPr>
                          <w:t>1995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月创立本公司，一直担任本公司董事长、总经理。刘磅是中国自 动化学会的常务理事、中国节能协会常务委员、智能建筑专家委员会副主任。</w:t>
                        </w:r>
                      </w:p>
                    </w:tc>
                  </w:tr>
                  <w:tr>
                    <w:trPr>
                      <w:trHeight w:val="403" w:hRule="exact"/>
                    </w:trPr>
                    <w:tc>
                      <w:tcPr>
                        <w:tcW w:w="3349"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年曾控股的境内外上市公司情况</w:t>
                        </w:r>
                      </w:p>
                    </w:tc>
                    <w:tc>
                      <w:tcPr>
                        <w:tcW w:w="6222"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报告期实际控制人变更</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公司与实际控制人之间的产权及控制关系的方框图</w:t>
      </w:r>
    </w:p>
    <w:p>
      <w:pPr>
        <w:spacing w:line="240" w:lineRule="auto" w:before="10"/>
        <w:rPr>
          <w:rFonts w:ascii="宋体" w:hAnsi="宋体" w:cs="宋体" w:eastAsia="宋体" w:hint="default"/>
          <w:sz w:val="18"/>
          <w:szCs w:val="18"/>
        </w:rPr>
      </w:pPr>
    </w:p>
    <w:p>
      <w:pPr>
        <w:spacing w:line="3630" w:lineRule="exact"/>
        <w:ind w:left="1362"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582175" cy="23050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4582175" cy="2305050"/>
                    </a:xfrm>
                    <a:prstGeom prst="rect">
                      <a:avLst/>
                    </a:prstGeom>
                  </pic:spPr>
                </pic:pic>
              </a:graphicData>
            </a:graphic>
          </wp:inline>
        </w:drawing>
      </w:r>
      <w:r>
        <w:rPr>
          <w:rFonts w:ascii="宋体" w:hAnsi="宋体" w:cs="宋体" w:eastAsia="宋体" w:hint="default"/>
          <w:position w:val="-72"/>
          <w:sz w:val="20"/>
          <w:szCs w:val="20"/>
        </w:rPr>
      </w:r>
    </w:p>
    <w:p>
      <w:pPr>
        <w:spacing w:after="0" w:line="3630" w:lineRule="exact"/>
        <w:rPr>
          <w:rFonts w:ascii="宋体" w:hAnsi="宋体" w:cs="宋体" w:eastAsia="宋体" w:hint="default"/>
          <w:sz w:val="20"/>
          <w:szCs w:val="20"/>
        </w:rPr>
        <w:sectPr>
          <w:pgSz w:w="11910" w:h="16840"/>
          <w:pgMar w:header="877" w:footer="1316" w:top="1100" w:bottom="1500" w:left="980" w:right="0"/>
        </w:sectPr>
      </w:pPr>
    </w:p>
    <w:p>
      <w:pPr>
        <w:spacing w:line="240" w:lineRule="auto" w:before="11"/>
        <w:rPr>
          <w:rFonts w:ascii="宋体" w:hAnsi="宋体" w:cs="宋体" w:eastAsia="宋体" w:hint="default"/>
          <w:sz w:val="21"/>
          <w:szCs w:val="21"/>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18"/>
        <w:gridCol w:w="1133"/>
        <w:gridCol w:w="1612"/>
        <w:gridCol w:w="1226"/>
        <w:gridCol w:w="1133"/>
        <w:gridCol w:w="3035"/>
      </w:tblGrid>
      <w:tr>
        <w:trPr>
          <w:trHeight w:val="71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65"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3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2590" w:hRule="exact"/>
        </w:trPr>
        <w:tc>
          <w:tcPr>
            <w:tcW w:w="14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0"/>
                <w:sz w:val="18"/>
                <w:szCs w:val="18"/>
              </w:rPr>
              <w:t>盛安机电设备（昌</w:t>
            </w:r>
            <w:r>
              <w:rPr>
                <w:rFonts w:ascii="宋体" w:hAnsi="宋体" w:cs="宋体" w:eastAsia="宋体" w:hint="default"/>
                <w:sz w:val="18"/>
                <w:szCs w:val="18"/>
              </w:rPr>
              <w:t> 都）有限公司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74518683-1</w:t>
            </w:r>
          </w:p>
        </w:tc>
        <w:tc>
          <w:tcPr>
            <w:tcW w:w="11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240</w:t>
            </w:r>
            <w:r>
              <w:rPr>
                <w:rFonts w:ascii="宋体" w:hAnsi="宋体" w:cs="宋体" w:eastAsia="宋体" w:hint="default"/>
                <w:spacing w:val="-45"/>
                <w:sz w:val="18"/>
                <w:szCs w:val="18"/>
              </w:rPr>
              <w:t> </w:t>
            </w:r>
            <w:r>
              <w:rPr>
                <w:rFonts w:ascii="宋体" w:hAnsi="宋体" w:cs="宋体" w:eastAsia="宋体" w:hint="default"/>
                <w:sz w:val="18"/>
                <w:szCs w:val="18"/>
              </w:rPr>
              <w:t>万美元</w:t>
            </w:r>
          </w:p>
        </w:tc>
        <w:tc>
          <w:tcPr>
            <w:tcW w:w="30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9"/>
              <w:jc w:val="both"/>
              <w:rPr>
                <w:rFonts w:ascii="宋体" w:hAnsi="宋体" w:cs="宋体" w:eastAsia="宋体" w:hint="default"/>
                <w:sz w:val="18"/>
                <w:szCs w:val="18"/>
              </w:rPr>
            </w:pPr>
            <w:r>
              <w:rPr>
                <w:rFonts w:ascii="宋体" w:hAnsi="宋体" w:cs="宋体" w:eastAsia="宋体" w:hint="default"/>
                <w:spacing w:val="-5"/>
                <w:sz w:val="18"/>
                <w:szCs w:val="18"/>
              </w:rPr>
              <w:t>可编程控制器、变频器、触摸屏、伺服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驱动控制器及机电、低压电器产品、传</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感器、电火花机、线切割机、数控加工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中心、工控数控软件产品的批发、进出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口及相关配套技术服务业务（涉及配额</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许可证管理、专项规定管理的商品按照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国家有关规定办理），提供相关技术服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w:t>
            </w:r>
          </w:p>
        </w:tc>
      </w:tr>
    </w:tbl>
    <w:p>
      <w:pPr>
        <w:spacing w:after="0" w:line="316" w:lineRule="auto"/>
        <w:jc w:val="both"/>
        <w:rPr>
          <w:rFonts w:ascii="宋体" w:hAnsi="宋体" w:cs="宋体" w:eastAsia="宋体" w:hint="default"/>
          <w:sz w:val="18"/>
          <w:szCs w:val="18"/>
        </w:rPr>
        <w:sectPr>
          <w:pgSz w:w="11910" w:h="16840"/>
          <w:pgMar w:header="877" w:footer="1316" w:top="1100" w:bottom="150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1679" w:right="1123"/>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0"/>
        <w:gridCol w:w="1114"/>
        <w:gridCol w:w="788"/>
        <w:gridCol w:w="672"/>
        <w:gridCol w:w="667"/>
        <w:gridCol w:w="1003"/>
        <w:gridCol w:w="1004"/>
        <w:gridCol w:w="881"/>
        <w:gridCol w:w="898"/>
        <w:gridCol w:w="799"/>
        <w:gridCol w:w="869"/>
      </w:tblGrid>
      <w:tr>
        <w:trPr>
          <w:trHeight w:val="1027"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57" w:lineRule="auto"/>
              <w:ind w:left="316" w:right="134"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57" w:lineRule="auto"/>
              <w:ind w:left="317" w:right="1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7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54"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1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57" w:lineRule="auto" w:before="49"/>
              <w:ind w:left="23" w:right="539"/>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sz w:val="18"/>
              </w:rPr>
              <w:t>50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1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61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1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0" w:lineRule="auto" w:before="49"/>
              <w:ind w:left="23" w:right="359"/>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sz w:val="18"/>
              </w:rPr>
              <w:t>49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500,283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680,283</w:t>
            </w: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1,180,566</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1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46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韩青树</w:t>
            </w:r>
          </w:p>
        </w:tc>
        <w:tc>
          <w:tcPr>
            <w:tcW w:w="1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52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张万林</w:t>
            </w:r>
          </w:p>
        </w:tc>
        <w:tc>
          <w:tcPr>
            <w:tcW w:w="1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51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李黑虎</w:t>
            </w:r>
          </w:p>
        </w:tc>
        <w:tc>
          <w:tcPr>
            <w:tcW w:w="1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67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1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49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1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49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郝清</w:t>
            </w:r>
          </w:p>
        </w:tc>
        <w:tc>
          <w:tcPr>
            <w:tcW w:w="1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49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曲震</w:t>
            </w:r>
          </w:p>
        </w:tc>
        <w:tc>
          <w:tcPr>
            <w:tcW w:w="1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45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唐应元</w:t>
            </w:r>
          </w:p>
        </w:tc>
        <w:tc>
          <w:tcPr>
            <w:tcW w:w="1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60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林木青</w:t>
            </w:r>
          </w:p>
        </w:tc>
        <w:tc>
          <w:tcPr>
            <w:tcW w:w="1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45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06</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310,670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310,670</w:t>
            </w: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621,340</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毛振宇</w:t>
            </w:r>
          </w:p>
        </w:tc>
        <w:tc>
          <w:tcPr>
            <w:tcW w:w="1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43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02</w:t>
            </w:r>
          </w:p>
          <w:p>
            <w:pPr>
              <w:pStyle w:val="TableParagraph"/>
              <w:spacing w:line="240" w:lineRule="auto" w:before="7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142,334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142,334</w:t>
            </w: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284,668</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1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42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319,614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499,614</w:t>
            </w: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819,228</w:t>
            </w:r>
          </w:p>
        </w:tc>
      </w:tr>
    </w:tbl>
    <w:p>
      <w:pPr>
        <w:spacing w:after="0" w:line="240" w:lineRule="auto"/>
        <w:jc w:val="right"/>
        <w:rPr>
          <w:rFonts w:ascii="宋体" w:hAnsi="宋体" w:cs="宋体" w:eastAsia="宋体" w:hint="default"/>
          <w:sz w:val="18"/>
          <w:szCs w:val="18"/>
        </w:rPr>
        <w:sectPr>
          <w:pgSz w:w="11910" w:h="16840"/>
          <w:pgMar w:header="877" w:footer="1316" w:top="1100" w:bottom="1560" w:left="980" w:right="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870"/>
        <w:gridCol w:w="1114"/>
        <w:gridCol w:w="788"/>
        <w:gridCol w:w="672"/>
        <w:gridCol w:w="667"/>
        <w:gridCol w:w="1003"/>
        <w:gridCol w:w="1004"/>
        <w:gridCol w:w="881"/>
        <w:gridCol w:w="898"/>
        <w:gridCol w:w="799"/>
        <w:gridCol w:w="869"/>
      </w:tblGrid>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1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45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7"/>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7"/>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487,033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667,033</w:t>
            </w: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1,154,066</w:t>
            </w:r>
          </w:p>
        </w:tc>
      </w:tr>
      <w:tr>
        <w:trPr>
          <w:trHeight w:val="756"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1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57" w:lineRule="auto" w:before="51"/>
              <w:ind w:left="23" w:right="179"/>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sz w:val="18"/>
              </w:rPr>
              <w:t>37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08</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180,000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180,000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1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43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146,557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326,557</w:t>
            </w: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473,114</w:t>
            </w:r>
          </w:p>
        </w:tc>
      </w:tr>
      <w:tr>
        <w:trPr>
          <w:trHeight w:val="403"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1,906,491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2,806,491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4,712,982</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注：</w:t>
      </w:r>
    </w:p>
    <w:p>
      <w:pPr>
        <w:spacing w:line="300" w:lineRule="auto" w:before="115"/>
        <w:ind w:left="152" w:right="1121"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、程朋胜、苏俊锋、吕枫、、林雨斌、黄天朗持股数量发生变化是由于其获授限制性股票及公司实施</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7"/>
          <w:sz w:val="18"/>
          <w:szCs w:val="18"/>
        </w:rPr>
        <w:t> </w:t>
      </w:r>
      <w:r>
        <w:rPr>
          <w:rFonts w:ascii="宋体" w:hAnsi="宋体" w:cs="宋体" w:eastAsia="宋体" w:hint="default"/>
          <w:spacing w:val="-1"/>
          <w:sz w:val="18"/>
          <w:szCs w:val="18"/>
        </w:rPr>
        <w:t>年半年度权益分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派所致；</w:t>
      </w:r>
    </w:p>
    <w:p>
      <w:pPr>
        <w:spacing w:before="72"/>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、林木青、毛振宇持股数量发生变化是由于公司实施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年半年度权益分派所致。</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355" w:lineRule="auto" w:before="61"/>
        <w:ind w:left="573" w:right="1123"/>
        <w:jc w:val="left"/>
      </w:pPr>
      <w:r>
        <w:rPr/>
        <w:t>（一）董事最近</w:t>
      </w:r>
      <w:r>
        <w:rPr>
          <w:rFonts w:ascii="宋体" w:hAnsi="宋体" w:cs="宋体" w:eastAsia="宋体" w:hint="default"/>
        </w:rPr>
        <w:t>5</w:t>
      </w:r>
      <w:r>
        <w:rPr/>
        <w:t>年的主要工作经历及其他单位任职或兼职情况</w:t>
      </w:r>
      <w:r>
        <w:rPr>
          <w:w w:val="100"/>
        </w:rPr>
        <w:t> </w:t>
      </w:r>
      <w:r>
        <w:rPr>
          <w:rFonts w:ascii="宋体" w:hAnsi="宋体" w:cs="宋体" w:eastAsia="宋体" w:hint="default"/>
          <w:spacing w:val="-2"/>
        </w:rPr>
        <w:t>1</w:t>
      </w:r>
      <w:r>
        <w:rPr>
          <w:spacing w:val="-2"/>
        </w:rPr>
        <w:t>、刘磅先生，</w:t>
      </w:r>
      <w:r>
        <w:rPr>
          <w:rFonts w:ascii="宋体" w:hAnsi="宋体" w:cs="宋体" w:eastAsia="宋体" w:hint="default"/>
          <w:spacing w:val="-2"/>
        </w:rPr>
        <w:t>1963</w:t>
      </w:r>
      <w:r>
        <w:rPr>
          <w:spacing w:val="-2"/>
        </w:rPr>
        <w:t>年</w:t>
      </w:r>
      <w:r>
        <w:rPr>
          <w:rFonts w:ascii="宋体" w:hAnsi="宋体" w:cs="宋体" w:eastAsia="宋体" w:hint="default"/>
          <w:spacing w:val="-2"/>
        </w:rPr>
        <w:t>10</w:t>
      </w:r>
      <w:r>
        <w:rPr>
          <w:spacing w:val="-2"/>
        </w:rPr>
        <w:t>月出生</w:t>
      </w:r>
      <w:r>
        <w:rPr>
          <w:rFonts w:ascii="宋体" w:hAnsi="宋体" w:cs="宋体" w:eastAsia="宋体" w:hint="default"/>
          <w:spacing w:val="-2"/>
        </w:rPr>
        <w:t>,</w:t>
      </w:r>
      <w:r>
        <w:rPr>
          <w:spacing w:val="-2"/>
        </w:rPr>
        <w:t>本公司第一、二、三届董事会董事长。研究生学历、高级工程师，本</w:t>
      </w:r>
    </w:p>
    <w:p>
      <w:pPr>
        <w:pStyle w:val="BodyText"/>
        <w:spacing w:line="357" w:lineRule="auto" w:before="32"/>
        <w:ind w:right="1126"/>
        <w:jc w:val="both"/>
      </w:pPr>
      <w:r>
        <w:rPr/>
        <w:t>公司主要创始人。</w:t>
      </w:r>
      <w:r>
        <w:rPr>
          <w:rFonts w:ascii="宋体" w:hAnsi="宋体" w:cs="宋体" w:eastAsia="宋体" w:hint="default"/>
        </w:rPr>
        <w:t>1995</w:t>
      </w:r>
      <w:r>
        <w:rPr/>
        <w:t>年</w:t>
      </w:r>
      <w:r>
        <w:rPr>
          <w:rFonts w:ascii="宋体" w:hAnsi="宋体" w:cs="宋体" w:eastAsia="宋体" w:hint="default"/>
        </w:rPr>
        <w:t>3</w:t>
      </w:r>
      <w:r>
        <w:rPr/>
        <w:t>月创立本公司，现任本公司董事长、总经理，深圳市达实投资发展有限公司董</w:t>
      </w:r>
      <w:r>
        <w:rPr>
          <w:spacing w:val="-27"/>
        </w:rPr>
        <w:t> </w:t>
      </w:r>
      <w:r>
        <w:rPr>
          <w:spacing w:val="-27"/>
        </w:rPr>
      </w:r>
      <w:r>
        <w:rPr>
          <w:spacing w:val="-2"/>
        </w:rPr>
        <w:t>事、深圳达实信息技术有限公司董事长、上海达实自动化技术有限公司董事长、上海达实联欣科技发展有</w:t>
      </w:r>
      <w:r>
        <w:rPr>
          <w:spacing w:val="-43"/>
        </w:rPr>
        <w:t> </w:t>
      </w:r>
      <w:r>
        <w:rPr>
          <w:spacing w:val="-43"/>
        </w:rPr>
      </w:r>
      <w:r>
        <w:rPr/>
        <w:t>限公司董事长、合肥达实数字科技有限公司董事长、深圳市燃气集团股份有限公司独立董事。</w:t>
      </w:r>
    </w:p>
    <w:p>
      <w:pPr>
        <w:pStyle w:val="BodyText"/>
        <w:spacing w:line="357" w:lineRule="auto"/>
        <w:ind w:right="1126" w:firstLine="420"/>
        <w:jc w:val="both"/>
      </w:pPr>
      <w:r>
        <w:rPr>
          <w:rFonts w:ascii="宋体" w:hAnsi="宋体" w:cs="宋体" w:eastAsia="宋体" w:hint="default"/>
          <w:spacing w:val="-2"/>
        </w:rPr>
        <w:t>2</w:t>
      </w:r>
      <w:r>
        <w:rPr>
          <w:spacing w:val="-2"/>
        </w:rPr>
        <w:t>、林步东先生，</w:t>
      </w:r>
      <w:r>
        <w:rPr>
          <w:rFonts w:ascii="宋体" w:hAnsi="宋体" w:cs="宋体" w:eastAsia="宋体" w:hint="default"/>
          <w:spacing w:val="-2"/>
        </w:rPr>
        <w:t>1952</w:t>
      </w:r>
      <w:r>
        <w:rPr>
          <w:spacing w:val="-2"/>
        </w:rPr>
        <w:t>年</w:t>
      </w:r>
      <w:r>
        <w:rPr>
          <w:rFonts w:ascii="宋体" w:hAnsi="宋体" w:cs="宋体" w:eastAsia="宋体" w:hint="default"/>
          <w:spacing w:val="-2"/>
        </w:rPr>
        <w:t>2</w:t>
      </w:r>
      <w:r>
        <w:rPr>
          <w:spacing w:val="-2"/>
        </w:rPr>
        <w:t>月出生，本公司第一、二、三届董事会副董事长。香港特别行政区居民。最</w:t>
      </w:r>
      <w:r>
        <w:rPr>
          <w:w w:val="100"/>
        </w:rPr>
        <w:t> </w:t>
      </w:r>
      <w:r>
        <w:rPr>
          <w:spacing w:val="-2"/>
        </w:rPr>
        <w:t>近五年一直担任本公司副董事长、盛安机电设备（昌都）有限公司董事长、上海东行自动化设备商贸有限</w:t>
      </w:r>
      <w:r>
        <w:rPr>
          <w:spacing w:val="-44"/>
        </w:rPr>
        <w:t> </w:t>
      </w:r>
      <w:r>
        <w:rPr>
          <w:spacing w:val="-44"/>
        </w:rPr>
      </w:r>
      <w:r>
        <w:rPr/>
        <w:t>公司董事长。</w:t>
      </w:r>
    </w:p>
    <w:p>
      <w:pPr>
        <w:pStyle w:val="BodyText"/>
        <w:spacing w:line="357" w:lineRule="auto"/>
        <w:ind w:right="1126" w:firstLine="420"/>
        <w:jc w:val="both"/>
      </w:pPr>
      <w:r>
        <w:rPr>
          <w:rFonts w:ascii="宋体" w:hAnsi="宋体" w:cs="宋体" w:eastAsia="宋体" w:hint="default"/>
          <w:spacing w:val="-6"/>
        </w:rPr>
        <w:t>3</w:t>
      </w:r>
      <w:r>
        <w:rPr>
          <w:spacing w:val="-6"/>
        </w:rPr>
        <w:t>、刘昂先生，</w:t>
      </w:r>
      <w:r>
        <w:rPr>
          <w:rFonts w:ascii="宋体" w:hAnsi="宋体" w:cs="宋体" w:eastAsia="宋体" w:hint="default"/>
          <w:spacing w:val="-6"/>
        </w:rPr>
        <w:t>1967</w:t>
      </w:r>
      <w:r>
        <w:rPr>
          <w:spacing w:val="-6"/>
        </w:rPr>
        <w:t>年</w:t>
      </w:r>
      <w:r>
        <w:rPr>
          <w:rFonts w:ascii="宋体" w:hAnsi="宋体" w:cs="宋体" w:eastAsia="宋体" w:hint="default"/>
          <w:spacing w:val="-6"/>
        </w:rPr>
        <w:t>8</w:t>
      </w:r>
      <w:r>
        <w:rPr>
          <w:spacing w:val="-6"/>
        </w:rPr>
        <w:t>月出生，英国威尔士大学管理学硕士，本公司第一、二、三届董事会董事。</w:t>
      </w:r>
      <w:r>
        <w:rPr>
          <w:rFonts w:ascii="宋体" w:hAnsi="宋体" w:cs="宋体" w:eastAsia="宋体" w:hint="default"/>
          <w:spacing w:val="-6"/>
        </w:rPr>
        <w:t>1995</w:t>
      </w:r>
      <w:r>
        <w:rPr>
          <w:rFonts w:ascii="宋体" w:hAnsi="宋体" w:cs="宋体" w:eastAsia="宋体" w:hint="default"/>
          <w:w w:val="100"/>
        </w:rPr>
        <w:t> </w:t>
      </w:r>
      <w:r>
        <w:rPr>
          <w:spacing w:val="-2"/>
        </w:rPr>
        <w:t>年参与组建本公司。现任本公司董事、深圳市达实投资发展有限公司董事长、总经理，深圳市诺达自动化</w:t>
      </w:r>
      <w:r>
        <w:rPr>
          <w:spacing w:val="-47"/>
        </w:rPr>
        <w:t> </w:t>
      </w:r>
      <w:r>
        <w:rPr>
          <w:spacing w:val="-47"/>
        </w:rPr>
      </w:r>
      <w:r>
        <w:rPr>
          <w:spacing w:val="-2"/>
        </w:rPr>
        <w:t>技术有限公司副董事长、合肥达实数字科技有限公司副董事长、合肥中正物业管理有限公司执行董事兼经</w:t>
      </w:r>
      <w:r>
        <w:rPr>
          <w:spacing w:val="-42"/>
        </w:rPr>
        <w:t> </w:t>
      </w:r>
      <w:r>
        <w:rPr>
          <w:spacing w:val="-42"/>
        </w:rPr>
      </w:r>
      <w:r>
        <w:rPr>
          <w:spacing w:val="-2"/>
        </w:rPr>
        <w:t>理、安徽达实置业有限公司监事、界首达实置业有限公司监事、深圳市英唐智能控制股份有限公司监事会</w:t>
      </w:r>
      <w:r>
        <w:rPr>
          <w:spacing w:val="-41"/>
        </w:rPr>
        <w:t> </w:t>
      </w:r>
      <w:r>
        <w:rPr>
          <w:spacing w:val="-41"/>
        </w:rPr>
      </w:r>
      <w:r>
        <w:rPr/>
        <w:t>主席、淮北市达实置业有限公司董事长。</w:t>
      </w:r>
    </w:p>
    <w:p>
      <w:pPr>
        <w:pStyle w:val="BodyText"/>
        <w:spacing w:line="357" w:lineRule="auto"/>
        <w:ind w:right="1127" w:firstLine="420"/>
        <w:jc w:val="both"/>
      </w:pPr>
      <w:r>
        <w:rPr>
          <w:rFonts w:ascii="宋体" w:hAnsi="宋体" w:cs="宋体" w:eastAsia="宋体" w:hint="default"/>
          <w:spacing w:val="-2"/>
        </w:rPr>
        <w:t>4</w:t>
      </w:r>
      <w:r>
        <w:rPr>
          <w:spacing w:val="-2"/>
        </w:rPr>
        <w:t>、程朋胜先生，</w:t>
      </w:r>
      <w:r>
        <w:rPr>
          <w:rFonts w:ascii="宋体" w:hAnsi="宋体" w:cs="宋体" w:eastAsia="宋体" w:hint="default"/>
          <w:spacing w:val="-2"/>
        </w:rPr>
        <w:t>1964</w:t>
      </w:r>
      <w:r>
        <w:rPr>
          <w:spacing w:val="-2"/>
        </w:rPr>
        <w:t>年</w:t>
      </w:r>
      <w:r>
        <w:rPr>
          <w:rFonts w:ascii="宋体" w:hAnsi="宋体" w:cs="宋体" w:eastAsia="宋体" w:hint="default"/>
          <w:spacing w:val="-2"/>
        </w:rPr>
        <w:t>4</w:t>
      </w:r>
      <w:r>
        <w:rPr>
          <w:spacing w:val="-2"/>
        </w:rPr>
        <w:t>月出生，本公司第一、二、三届董事会董事，本公司主要创始人之一。工学</w:t>
      </w:r>
      <w:r>
        <w:rPr>
          <w:w w:val="100"/>
        </w:rPr>
        <w:t> </w:t>
      </w:r>
      <w:r>
        <w:rPr>
          <w:spacing w:val="-2"/>
        </w:rPr>
        <w:t>硕士，高级工程师。</w:t>
      </w:r>
      <w:r>
        <w:rPr>
          <w:rFonts w:ascii="宋体" w:hAnsi="宋体" w:cs="宋体" w:eastAsia="宋体" w:hint="default"/>
          <w:spacing w:val="-2"/>
        </w:rPr>
        <w:t>1995</w:t>
      </w:r>
      <w:r>
        <w:rPr>
          <w:spacing w:val="-2"/>
        </w:rPr>
        <w:t>年进入本公司。现任本公司董事、副总经理、研发中心主任、国家博士后科研工</w:t>
      </w:r>
      <w:r>
        <w:rPr>
          <w:spacing w:val="-37"/>
        </w:rPr>
        <w:t> </w:t>
      </w:r>
      <w:r>
        <w:rPr>
          <w:spacing w:val="-37"/>
        </w:rPr>
      </w:r>
      <w:r>
        <w:rPr/>
        <w:t>作站负责人，深圳市达实投资发展有限公司董事、深圳达实信息技术有限公司董事。</w:t>
      </w:r>
    </w:p>
    <w:p>
      <w:pPr>
        <w:pStyle w:val="BodyText"/>
        <w:spacing w:line="357" w:lineRule="auto"/>
        <w:ind w:right="1126" w:firstLine="420"/>
        <w:jc w:val="both"/>
      </w:pPr>
      <w:r>
        <w:rPr>
          <w:rFonts w:ascii="宋体" w:hAnsi="宋体" w:cs="宋体" w:eastAsia="宋体" w:hint="default"/>
          <w:spacing w:val="-2"/>
        </w:rPr>
        <w:t>5</w:t>
      </w:r>
      <w:r>
        <w:rPr>
          <w:spacing w:val="-2"/>
        </w:rPr>
        <w:t>、韩青树先生，</w:t>
      </w:r>
      <w:r>
        <w:rPr>
          <w:rFonts w:ascii="宋体" w:hAnsi="宋体" w:cs="宋体" w:eastAsia="宋体" w:hint="default"/>
          <w:spacing w:val="-2"/>
        </w:rPr>
        <w:t>1961</w:t>
      </w:r>
      <w:r>
        <w:rPr>
          <w:spacing w:val="-2"/>
        </w:rPr>
        <w:t>年</w:t>
      </w:r>
      <w:r>
        <w:rPr>
          <w:rFonts w:ascii="宋体" w:hAnsi="宋体" w:cs="宋体" w:eastAsia="宋体" w:hint="default"/>
          <w:spacing w:val="-2"/>
        </w:rPr>
        <w:t>4</w:t>
      </w:r>
      <w:r>
        <w:rPr>
          <w:spacing w:val="-2"/>
        </w:rPr>
        <w:t>月出生，高级经济师。本公司第二、三届董事会董事。最近五年曾任宁波韵</w:t>
      </w:r>
      <w:r>
        <w:rPr>
          <w:w w:val="100"/>
        </w:rPr>
        <w:t> </w:t>
      </w:r>
      <w:r>
        <w:rPr>
          <w:spacing w:val="-2"/>
        </w:rPr>
        <w:t>升股份有限公司董事、陕西银河电力自动化股份公司董事、中国机电出口产品投资有限公司产权管理部总</w:t>
      </w:r>
      <w:r>
        <w:rPr>
          <w:spacing w:val="-44"/>
        </w:rPr>
        <w:t> </w:t>
      </w:r>
      <w:r>
        <w:rPr>
          <w:spacing w:val="-44"/>
        </w:rPr>
      </w:r>
      <w:r>
        <w:rPr>
          <w:spacing w:val="-2"/>
        </w:rPr>
        <w:t>经理、深圳莱宝高科技股份有限公司董事。现任本公司董事、中国机电出口产品投资有限公司产权管理部</w:t>
      </w:r>
      <w:r>
        <w:rPr>
          <w:spacing w:val="-45"/>
        </w:rPr>
        <w:t> </w:t>
      </w:r>
      <w:r>
        <w:rPr>
          <w:spacing w:val="-45"/>
        </w:rPr>
      </w:r>
      <w:r>
        <w:rPr/>
        <w:t>总经理、深圳莱宝高科技股份有限公司董事。</w:t>
      </w:r>
    </w:p>
    <w:p>
      <w:pPr>
        <w:pStyle w:val="BodyText"/>
        <w:spacing w:line="240" w:lineRule="auto"/>
        <w:ind w:left="573" w:right="0"/>
        <w:jc w:val="left"/>
      </w:pPr>
      <w:r>
        <w:rPr>
          <w:rFonts w:ascii="宋体" w:hAnsi="宋体" w:cs="宋体" w:eastAsia="宋体" w:hint="default"/>
        </w:rPr>
        <w:t>6</w:t>
      </w:r>
      <w:r>
        <w:rPr/>
        <w:t>、张万林先生，男，</w:t>
      </w:r>
      <w:r>
        <w:rPr>
          <w:rFonts w:ascii="宋体" w:hAnsi="宋体" w:cs="宋体" w:eastAsia="宋体" w:hint="default"/>
        </w:rPr>
        <w:t>1962</w:t>
      </w:r>
      <w:r>
        <w:rPr/>
        <w:t>年</w:t>
      </w:r>
      <w:r>
        <w:rPr>
          <w:rFonts w:ascii="宋体" w:hAnsi="宋体" w:cs="宋体" w:eastAsia="宋体" w:hint="default"/>
        </w:rPr>
        <w:t>8</w:t>
      </w:r>
      <w:r>
        <w:rPr/>
        <w:t>月出生，研究生学历。本公司第二、三届董事会董事。最近五年曾任深</w:t>
      </w:r>
    </w:p>
    <w:p>
      <w:pPr>
        <w:spacing w:after="0" w:line="240" w:lineRule="auto"/>
        <w:jc w:val="left"/>
        <w:sectPr>
          <w:pgSz w:w="11910" w:h="16840"/>
          <w:pgMar w:header="877" w:footer="1316" w:top="1100" w:bottom="1500" w:left="980" w:right="0"/>
        </w:sectPr>
      </w:pPr>
    </w:p>
    <w:p>
      <w:pPr>
        <w:spacing w:line="240" w:lineRule="auto" w:before="3"/>
        <w:rPr>
          <w:rFonts w:ascii="宋体" w:hAnsi="宋体" w:cs="宋体" w:eastAsia="宋体" w:hint="default"/>
          <w:sz w:val="19"/>
          <w:szCs w:val="19"/>
        </w:rPr>
      </w:pPr>
    </w:p>
    <w:p>
      <w:pPr>
        <w:pStyle w:val="BodyText"/>
        <w:spacing w:line="357" w:lineRule="auto" w:before="36"/>
        <w:ind w:right="1123"/>
        <w:jc w:val="left"/>
      </w:pPr>
      <w:r>
        <w:rPr>
          <w:spacing w:val="-2"/>
        </w:rPr>
        <w:t>圳市创新投资集团有限公司总裁助理兼任风险控制委员会秘书长、新疆大明矿业集团有限公司副董事长。</w:t>
      </w:r>
      <w:r>
        <w:rPr>
          <w:spacing w:val="-21"/>
        </w:rPr>
        <w:t> </w:t>
      </w:r>
      <w:r>
        <w:rPr>
          <w:spacing w:val="-21"/>
        </w:rPr>
      </w:r>
      <w:r>
        <w:rPr/>
        <w:t>现任本公司董事、中银粤财股权投资基金管理（广东）有限公司副总经理。</w:t>
      </w:r>
    </w:p>
    <w:p>
      <w:pPr>
        <w:pStyle w:val="BodyText"/>
        <w:spacing w:line="357" w:lineRule="auto"/>
        <w:ind w:right="1126" w:firstLine="420"/>
        <w:jc w:val="both"/>
      </w:pPr>
      <w:r>
        <w:rPr>
          <w:rFonts w:ascii="宋体" w:hAnsi="宋体" w:cs="宋体" w:eastAsia="宋体" w:hint="default"/>
        </w:rPr>
        <w:t>7</w:t>
      </w:r>
      <w:r>
        <w:rPr/>
        <w:t>、李黑虎先生，男，汉族，</w:t>
      </w:r>
      <w:r>
        <w:rPr>
          <w:rFonts w:ascii="宋体" w:hAnsi="宋体" w:cs="宋体" w:eastAsia="宋体" w:hint="default"/>
        </w:rPr>
        <w:t>1946</w:t>
      </w:r>
      <w:r>
        <w:rPr/>
        <w:t>年出生，本科学历。曾任深圳市投资管理公司董事局主席、深圳国</w:t>
      </w:r>
      <w:r>
        <w:rPr>
          <w:w w:val="100"/>
        </w:rPr>
        <w:t> </w:t>
      </w:r>
      <w:r>
        <w:rPr>
          <w:spacing w:val="-2"/>
        </w:rPr>
        <w:t>际控股公司董事局主席。最近五年曾任深圳市特发信息股份有限公司独立董事、三诺数码集团有限公司独</w:t>
      </w:r>
      <w:r>
        <w:rPr>
          <w:spacing w:val="-43"/>
        </w:rPr>
        <w:t> </w:t>
      </w:r>
      <w:r>
        <w:rPr>
          <w:spacing w:val="-43"/>
        </w:rPr>
      </w:r>
      <w:r>
        <w:rPr/>
        <w:t>立董事，现任本公司独立董事。</w:t>
      </w:r>
    </w:p>
    <w:p>
      <w:pPr>
        <w:pStyle w:val="BodyText"/>
        <w:spacing w:line="357" w:lineRule="auto"/>
        <w:ind w:right="1126" w:firstLine="420"/>
        <w:jc w:val="both"/>
      </w:pPr>
      <w:r>
        <w:rPr>
          <w:rFonts w:ascii="宋体" w:hAnsi="宋体" w:cs="宋体" w:eastAsia="宋体" w:hint="default"/>
        </w:rPr>
        <w:t>8</w:t>
      </w:r>
      <w:r>
        <w:rPr/>
        <w:t>、孙进山先生，</w:t>
      </w:r>
      <w:r>
        <w:rPr>
          <w:rFonts w:ascii="宋体" w:hAnsi="宋体" w:cs="宋体" w:eastAsia="宋体" w:hint="default"/>
        </w:rPr>
        <w:t>1964</w:t>
      </w:r>
      <w:r>
        <w:rPr/>
        <w:t>年</w:t>
      </w:r>
      <w:r>
        <w:rPr>
          <w:rFonts w:ascii="宋体" w:hAnsi="宋体" w:cs="宋体" w:eastAsia="宋体" w:hint="default"/>
        </w:rPr>
        <w:t>11</w:t>
      </w:r>
      <w:r>
        <w:rPr/>
        <w:t>月出生，中国注册会计师非执业会员，本科学历。历任安徽宿州会计师事</w:t>
      </w:r>
      <w:r>
        <w:rPr>
          <w:w w:val="100"/>
        </w:rPr>
        <w:t> </w:t>
      </w:r>
      <w:r>
        <w:rPr>
          <w:spacing w:val="-2"/>
        </w:rPr>
        <w:t>务所副所长、深圳中洲会计师事务所合伙人，是深圳市注册会计师协会聘请的授课老师，曾被多家机构聘</w:t>
      </w:r>
      <w:r>
        <w:rPr>
          <w:spacing w:val="-42"/>
        </w:rPr>
        <w:t> </w:t>
      </w:r>
      <w:r>
        <w:rPr>
          <w:spacing w:val="-42"/>
        </w:rPr>
      </w:r>
      <w:r>
        <w:rPr>
          <w:spacing w:val="-2"/>
        </w:rPr>
        <w:t>请从事财务管理方面的培训工作。最近五年一直就职于深圳高级技工学校。现任深圳和而泰智能控制股份</w:t>
      </w:r>
      <w:r>
        <w:rPr>
          <w:spacing w:val="-43"/>
        </w:rPr>
        <w:t> </w:t>
      </w:r>
      <w:r>
        <w:rPr>
          <w:spacing w:val="-43"/>
        </w:rPr>
      </w:r>
      <w:r>
        <w:rPr>
          <w:spacing w:val="-2"/>
        </w:rPr>
        <w:t>有限公司独立董事、惠州硕贝德无线科技股份有限公司独立董事、上海亚泽金属屋面系统股份有限公司独</w:t>
      </w:r>
      <w:r>
        <w:rPr>
          <w:spacing w:val="-42"/>
        </w:rPr>
        <w:t> </w:t>
      </w:r>
      <w:r>
        <w:rPr>
          <w:spacing w:val="-42"/>
        </w:rPr>
      </w:r>
      <w:r>
        <w:rPr/>
        <w:t>立董事、新疆麦趣尔集团股份有限公司独立董事及本公司独立董事。</w:t>
      </w:r>
    </w:p>
    <w:p>
      <w:pPr>
        <w:pStyle w:val="BodyText"/>
        <w:spacing w:line="357" w:lineRule="auto" w:before="31"/>
        <w:ind w:right="1126" w:firstLine="420"/>
        <w:jc w:val="both"/>
      </w:pPr>
      <w:r>
        <w:rPr>
          <w:rFonts w:ascii="宋体" w:hAnsi="宋体" w:cs="宋体" w:eastAsia="宋体" w:hint="default"/>
          <w:spacing w:val="-2"/>
        </w:rPr>
        <w:t>9</w:t>
      </w:r>
      <w:r>
        <w:rPr>
          <w:spacing w:val="-2"/>
        </w:rPr>
        <w:t>、崔军先生，男，</w:t>
      </w:r>
      <w:r>
        <w:rPr>
          <w:rFonts w:ascii="宋体" w:hAnsi="宋体" w:cs="宋体" w:eastAsia="宋体" w:hint="default"/>
          <w:spacing w:val="-2"/>
        </w:rPr>
        <w:t>1964</w:t>
      </w:r>
      <w:r>
        <w:rPr>
          <w:spacing w:val="-2"/>
        </w:rPr>
        <w:t>年</w:t>
      </w:r>
      <w:r>
        <w:rPr>
          <w:rFonts w:ascii="宋体" w:hAnsi="宋体" w:cs="宋体" w:eastAsia="宋体" w:hint="default"/>
          <w:spacing w:val="-2"/>
        </w:rPr>
        <w:t>2</w:t>
      </w:r>
      <w:r>
        <w:rPr>
          <w:spacing w:val="-2"/>
        </w:rPr>
        <w:t>月出生，中共党员，工学博士、法律硕士、一级律师。现系广东星辰律师</w:t>
      </w:r>
      <w:r>
        <w:rPr>
          <w:w w:val="100"/>
        </w:rPr>
        <w:t> </w:t>
      </w:r>
      <w:r>
        <w:rPr>
          <w:spacing w:val="-2"/>
        </w:rPr>
        <w:t>事务所执行合伙人、深圳市政协委员、深圳市人民政府法制办公室法律专家咨询委员会委员、深圳市市场</w:t>
      </w:r>
      <w:r>
        <w:rPr>
          <w:spacing w:val="-43"/>
        </w:rPr>
        <w:t> </w:t>
      </w:r>
      <w:r>
        <w:rPr>
          <w:spacing w:val="-43"/>
        </w:rPr>
      </w:r>
      <w:r>
        <w:rPr>
          <w:spacing w:val="-2"/>
        </w:rPr>
        <w:t>监督管理局知识产权专业专家委员会副主任委员、深圳市人大常委会组成人员法律助理、中华全国律师协</w:t>
      </w:r>
      <w:r>
        <w:rPr>
          <w:spacing w:val="-43"/>
        </w:rPr>
        <w:t> </w:t>
      </w:r>
      <w:r>
        <w:rPr>
          <w:spacing w:val="-43"/>
        </w:rPr>
      </w:r>
      <w:r>
        <w:rPr>
          <w:spacing w:val="-2"/>
        </w:rPr>
        <w:t>会知识产权法律业务委员会委员、深圳市专利协会常务副会长、深圳国际商会法律委员会副主席、深圳市</w:t>
      </w:r>
      <w:r>
        <w:rPr>
          <w:spacing w:val="-43"/>
        </w:rPr>
        <w:t> </w:t>
      </w:r>
      <w:r>
        <w:rPr>
          <w:spacing w:val="-43"/>
        </w:rPr>
      </w:r>
      <w:r>
        <w:rPr>
          <w:spacing w:val="-2"/>
        </w:rPr>
        <w:t>创意设计知识产权促进会副会长、华南国际经济贸易仲裁委员会仲裁员、华南</w:t>
      </w:r>
      <w:r>
        <w:rPr>
          <w:rFonts w:ascii="宋体" w:hAnsi="宋体" w:cs="宋体" w:eastAsia="宋体" w:hint="default"/>
          <w:spacing w:val="-2"/>
        </w:rPr>
        <w:t>zuijin</w:t>
      </w:r>
      <w:r>
        <w:rPr>
          <w:spacing w:val="-2"/>
        </w:rPr>
        <w:t>国际经济贸易仲裁委</w:t>
      </w:r>
      <w:r>
        <w:rPr>
          <w:spacing w:val="-39"/>
        </w:rPr>
        <w:t> </w:t>
      </w:r>
      <w:r>
        <w:rPr>
          <w:spacing w:val="-39"/>
        </w:rPr>
      </w:r>
      <w:r>
        <w:rPr>
          <w:spacing w:val="-7"/>
        </w:rPr>
        <w:t>员会调解中心调解专家、深圳仲裁委员会仲裁员、深圳市通产集团有限公司外部董事、深圳中华自行车（集</w:t>
      </w:r>
      <w:r>
        <w:rPr>
          <w:spacing w:val="-22"/>
        </w:rPr>
        <w:t> </w:t>
      </w:r>
      <w:r>
        <w:rPr>
          <w:spacing w:val="-22"/>
        </w:rPr>
      </w:r>
      <w:r>
        <w:rPr/>
        <w:t>团）股份有限公司独立董事、深圳市奥拓电子股份有限公司独立董事及本公司独立董事。</w:t>
      </w:r>
    </w:p>
    <w:p>
      <w:pPr>
        <w:pStyle w:val="BodyText"/>
        <w:spacing w:line="357" w:lineRule="auto" w:before="32"/>
        <w:ind w:left="573" w:right="1123" w:firstLine="2"/>
        <w:jc w:val="left"/>
      </w:pPr>
      <w:r>
        <w:rPr>
          <w:rFonts w:ascii="宋体" w:hAnsi="宋体" w:cs="宋体" w:eastAsia="宋体" w:hint="default"/>
          <w:b/>
          <w:bCs/>
        </w:rPr>
        <w:t>（二）</w:t>
      </w:r>
      <w:r>
        <w:rPr/>
        <w:t>监事最近</w:t>
      </w:r>
      <w:r>
        <w:rPr>
          <w:rFonts w:ascii="宋体" w:hAnsi="宋体" w:cs="宋体" w:eastAsia="宋体" w:hint="default"/>
        </w:rPr>
        <w:t>5</w:t>
      </w:r>
      <w:r>
        <w:rPr/>
        <w:t>年的主要工作经历及其他单位任职或兼职情况</w:t>
      </w:r>
      <w:r>
        <w:rPr>
          <w:w w:val="100"/>
        </w:rPr>
        <w:t> </w:t>
      </w:r>
      <w:r>
        <w:rPr>
          <w:rFonts w:ascii="宋体" w:hAnsi="宋体" w:cs="宋体" w:eastAsia="宋体" w:hint="default"/>
          <w:spacing w:val="-2"/>
        </w:rPr>
        <w:t>1</w:t>
      </w:r>
      <w:r>
        <w:rPr>
          <w:spacing w:val="-2"/>
        </w:rPr>
        <w:t>、郝清先生，</w:t>
      </w:r>
      <w:r>
        <w:rPr>
          <w:rFonts w:ascii="宋体" w:hAnsi="宋体" w:cs="宋体" w:eastAsia="宋体" w:hint="default"/>
          <w:spacing w:val="-2"/>
        </w:rPr>
        <w:t>1964</w:t>
      </w:r>
      <w:r>
        <w:rPr>
          <w:spacing w:val="-2"/>
        </w:rPr>
        <w:t>年</w:t>
      </w:r>
      <w:r>
        <w:rPr>
          <w:rFonts w:ascii="宋体" w:hAnsi="宋体" w:cs="宋体" w:eastAsia="宋体" w:hint="default"/>
          <w:spacing w:val="-2"/>
        </w:rPr>
        <w:t>2</w:t>
      </w:r>
      <w:r>
        <w:rPr>
          <w:spacing w:val="-2"/>
        </w:rPr>
        <w:t>月生，清华大学工商管理硕士，高级工程师。最近五年曾任深圳力合创业投资</w:t>
      </w:r>
    </w:p>
    <w:p>
      <w:pPr>
        <w:pStyle w:val="BodyText"/>
        <w:spacing w:line="355" w:lineRule="auto"/>
        <w:ind w:right="1123"/>
        <w:jc w:val="left"/>
      </w:pPr>
      <w:r>
        <w:rPr>
          <w:spacing w:val="-2"/>
        </w:rPr>
        <w:t>管理有限公司副总经理。现任本公司监事会主席、深圳清源创业投资管理合伙企业（有限合伙）合伙人、</w:t>
      </w:r>
      <w:r>
        <w:rPr>
          <w:spacing w:val="-21"/>
        </w:rPr>
        <w:t> </w:t>
      </w:r>
      <w:r>
        <w:rPr>
          <w:spacing w:val="-21"/>
        </w:rPr>
      </w:r>
      <w:r>
        <w:rPr/>
        <w:t>深圳市聚作照明股份有限公司监事。</w:t>
      </w:r>
    </w:p>
    <w:p>
      <w:pPr>
        <w:pStyle w:val="BodyText"/>
        <w:spacing w:line="355" w:lineRule="auto" w:before="34"/>
        <w:ind w:right="1127" w:firstLine="420"/>
        <w:jc w:val="both"/>
      </w:pPr>
      <w:r>
        <w:rPr>
          <w:rFonts w:ascii="宋体" w:hAnsi="宋体" w:cs="宋体" w:eastAsia="宋体" w:hint="default"/>
          <w:spacing w:val="-2"/>
        </w:rPr>
        <w:t>2</w:t>
      </w:r>
      <w:r>
        <w:rPr>
          <w:spacing w:val="-2"/>
        </w:rPr>
        <w:t>、曲震先生，</w:t>
      </w:r>
      <w:r>
        <w:rPr>
          <w:rFonts w:ascii="宋体" w:hAnsi="宋体" w:cs="宋体" w:eastAsia="宋体" w:hint="default"/>
          <w:spacing w:val="-2"/>
        </w:rPr>
        <w:t>1968</w:t>
      </w:r>
      <w:r>
        <w:rPr>
          <w:spacing w:val="-2"/>
        </w:rPr>
        <w:t>年</w:t>
      </w:r>
      <w:r>
        <w:rPr>
          <w:rFonts w:ascii="宋体" w:hAnsi="宋体" w:cs="宋体" w:eastAsia="宋体" w:hint="default"/>
          <w:spacing w:val="-2"/>
        </w:rPr>
        <w:t>3</w:t>
      </w:r>
      <w:r>
        <w:rPr>
          <w:spacing w:val="-2"/>
        </w:rPr>
        <w:t>月出生，大学学历，高级会计师。最近五年一直担任本公司监事、兖矿集团投</w:t>
      </w:r>
      <w:r>
        <w:rPr>
          <w:w w:val="100"/>
        </w:rPr>
        <w:t> </w:t>
      </w:r>
      <w:r>
        <w:rPr/>
        <w:t>资管理公司财务部长。</w:t>
      </w:r>
    </w:p>
    <w:p>
      <w:pPr>
        <w:pStyle w:val="BodyText"/>
        <w:spacing w:line="355" w:lineRule="auto" w:before="32"/>
        <w:ind w:right="1129" w:firstLine="420"/>
        <w:jc w:val="both"/>
      </w:pPr>
      <w:r>
        <w:rPr>
          <w:rFonts w:ascii="宋体" w:hAnsi="宋体" w:cs="宋体" w:eastAsia="宋体" w:hint="default"/>
        </w:rPr>
        <w:t>3</w:t>
      </w:r>
      <w:r>
        <w:rPr/>
        <w:t>、唐应元先生，</w:t>
      </w:r>
      <w:r>
        <w:rPr>
          <w:rFonts w:ascii="宋体" w:hAnsi="宋体" w:cs="宋体" w:eastAsia="宋体" w:hint="default"/>
        </w:rPr>
        <w:t>1953</w:t>
      </w:r>
      <w:r>
        <w:rPr/>
        <w:t>年</w:t>
      </w:r>
      <w:r>
        <w:rPr>
          <w:rFonts w:ascii="宋体" w:hAnsi="宋体" w:cs="宋体" w:eastAsia="宋体" w:hint="default"/>
        </w:rPr>
        <w:t>12</w:t>
      </w:r>
      <w:r>
        <w:rPr/>
        <w:t>月出生，研究生学历。最近五年一直担任本公司监事、深圳市高新投集团</w:t>
      </w:r>
      <w:r>
        <w:rPr>
          <w:w w:val="100"/>
        </w:rPr>
        <w:t> </w:t>
      </w:r>
      <w:r>
        <w:rPr/>
        <w:t>有限公司副总经理。</w:t>
      </w:r>
    </w:p>
    <w:p>
      <w:pPr>
        <w:pStyle w:val="BodyText"/>
        <w:spacing w:line="357" w:lineRule="auto" w:before="32"/>
        <w:ind w:right="1126" w:firstLine="420"/>
        <w:jc w:val="both"/>
      </w:pPr>
      <w:r>
        <w:rPr>
          <w:rFonts w:ascii="宋体" w:hAnsi="宋体" w:cs="宋体" w:eastAsia="宋体" w:hint="default"/>
          <w:spacing w:val="-2"/>
        </w:rPr>
        <w:t>4</w:t>
      </w:r>
      <w:r>
        <w:rPr>
          <w:spacing w:val="-2"/>
        </w:rPr>
        <w:t>、林木青先生，</w:t>
      </w:r>
      <w:r>
        <w:rPr>
          <w:rFonts w:ascii="宋体" w:hAnsi="宋体" w:cs="宋体" w:eastAsia="宋体" w:hint="default"/>
          <w:spacing w:val="-2"/>
        </w:rPr>
        <w:t>1968</w:t>
      </w:r>
      <w:r>
        <w:rPr>
          <w:spacing w:val="-2"/>
        </w:rPr>
        <w:t>年</w:t>
      </w:r>
      <w:r>
        <w:rPr>
          <w:rFonts w:ascii="宋体" w:hAnsi="宋体" w:cs="宋体" w:eastAsia="宋体" w:hint="default"/>
          <w:spacing w:val="-2"/>
        </w:rPr>
        <w:t>5</w:t>
      </w:r>
      <w:r>
        <w:rPr>
          <w:spacing w:val="-2"/>
        </w:rPr>
        <w:t>月出生，本科学历，高级工程师，信息产业部高级项目经理，全国智能建筑</w:t>
      </w:r>
      <w:r>
        <w:rPr>
          <w:w w:val="100"/>
        </w:rPr>
        <w:t> </w:t>
      </w:r>
      <w:r>
        <w:rPr/>
        <w:t>及居住区数字化标准化技术委员会委员。</w:t>
      </w:r>
      <w:r>
        <w:rPr>
          <w:rFonts w:ascii="宋体" w:hAnsi="宋体" w:cs="宋体" w:eastAsia="宋体" w:hint="default"/>
        </w:rPr>
        <w:t>1996</w:t>
      </w:r>
      <w:r>
        <w:rPr/>
        <w:t>年进入本公司，先后担任工程部</w:t>
      </w:r>
      <w:r>
        <w:rPr>
          <w:rFonts w:ascii="宋体" w:hAnsi="宋体" w:cs="宋体" w:eastAsia="宋体" w:hint="default"/>
        </w:rPr>
        <w:t>PLC</w:t>
      </w:r>
      <w:r>
        <w:rPr/>
        <w:t>组主管、项目经理、建</w:t>
      </w:r>
      <w:r>
        <w:rPr>
          <w:spacing w:val="-26"/>
        </w:rPr>
        <w:t> </w:t>
      </w:r>
      <w:r>
        <w:rPr>
          <w:spacing w:val="-26"/>
        </w:rPr>
      </w:r>
      <w:r>
        <w:rPr/>
        <w:t>筑智能化事业部总工程师。现任本公司职工代表监事、轨道交通智能化事业部总工程师。</w:t>
      </w:r>
    </w:p>
    <w:p>
      <w:pPr>
        <w:pStyle w:val="BodyText"/>
        <w:spacing w:line="355" w:lineRule="auto"/>
        <w:ind w:right="1129" w:firstLine="420"/>
        <w:jc w:val="both"/>
      </w:pPr>
      <w:r>
        <w:rPr>
          <w:rFonts w:ascii="宋体" w:hAnsi="宋体" w:cs="宋体" w:eastAsia="宋体" w:hint="default"/>
        </w:rPr>
        <w:t>5</w:t>
      </w:r>
      <w:r>
        <w:rPr/>
        <w:t>、毛振宇先生，</w:t>
      </w:r>
      <w:r>
        <w:rPr>
          <w:rFonts w:ascii="宋体" w:hAnsi="宋体" w:cs="宋体" w:eastAsia="宋体" w:hint="default"/>
        </w:rPr>
        <w:t>1970</w:t>
      </w:r>
      <w:r>
        <w:rPr/>
        <w:t>年</w:t>
      </w:r>
      <w:r>
        <w:rPr>
          <w:rFonts w:ascii="宋体" w:hAnsi="宋体" w:cs="宋体" w:eastAsia="宋体" w:hint="default"/>
        </w:rPr>
        <w:t>6</w:t>
      </w:r>
      <w:r>
        <w:rPr/>
        <w:t>月出生，毕业于内蒙古大学，本科学历。</w:t>
      </w:r>
      <w:r>
        <w:rPr>
          <w:rFonts w:ascii="宋体" w:hAnsi="宋体" w:cs="宋体" w:eastAsia="宋体" w:hint="default"/>
        </w:rPr>
        <w:t>1998</w:t>
      </w:r>
      <w:r>
        <w:rPr/>
        <w:t>年</w:t>
      </w:r>
      <w:r>
        <w:rPr>
          <w:rFonts w:ascii="宋体" w:hAnsi="宋体" w:cs="宋体" w:eastAsia="宋体" w:hint="default"/>
        </w:rPr>
        <w:t>7</w:t>
      </w:r>
      <w:r>
        <w:rPr/>
        <w:t>月进入本公司，历任公司</w:t>
      </w:r>
      <w:r>
        <w:rPr>
          <w:w w:val="100"/>
        </w:rPr>
        <w:t> </w:t>
      </w:r>
      <w:r>
        <w:rPr>
          <w:spacing w:val="-2"/>
        </w:rPr>
        <w:t>粮食仓储事业部销售经理、建筑智能化事业部销售经理、副总经理。现任本公司职工代表监事、数字社区</w:t>
      </w:r>
      <w:r>
        <w:rPr>
          <w:spacing w:val="-47"/>
        </w:rPr>
        <w:t> </w:t>
      </w:r>
      <w:r>
        <w:rPr>
          <w:spacing w:val="-47"/>
        </w:rPr>
      </w:r>
      <w:r>
        <w:rPr/>
        <w:t>事业部总经理。</w:t>
      </w:r>
    </w:p>
    <w:p>
      <w:pPr>
        <w:pStyle w:val="BodyText"/>
        <w:spacing w:line="355" w:lineRule="auto" w:before="34"/>
        <w:ind w:left="573" w:right="1123"/>
        <w:jc w:val="left"/>
      </w:pPr>
      <w:r>
        <w:rPr/>
        <w:t>（三）高级管理人员最近</w:t>
      </w:r>
      <w:r>
        <w:rPr>
          <w:rFonts w:ascii="宋体" w:hAnsi="宋体" w:cs="宋体" w:eastAsia="宋体" w:hint="default"/>
        </w:rPr>
        <w:t>5</w:t>
      </w:r>
      <w:r>
        <w:rPr/>
        <w:t>年的主要工作经历</w:t>
      </w:r>
      <w:r>
        <w:rPr>
          <w:w w:val="100"/>
        </w:rPr>
        <w:t> </w:t>
      </w:r>
      <w:r>
        <w:rPr>
          <w:rFonts w:ascii="宋体" w:hAnsi="宋体" w:cs="宋体" w:eastAsia="宋体" w:hint="default"/>
          <w:spacing w:val="-2"/>
        </w:rPr>
        <w:t>1</w:t>
      </w:r>
      <w:r>
        <w:rPr>
          <w:spacing w:val="-2"/>
        </w:rPr>
        <w:t>、总经理刘磅先生最近</w:t>
      </w:r>
      <w:r>
        <w:rPr>
          <w:rFonts w:ascii="宋体" w:hAnsi="宋体" w:cs="宋体" w:eastAsia="宋体" w:hint="default"/>
          <w:spacing w:val="-2"/>
        </w:rPr>
        <w:t>5</w:t>
      </w:r>
      <w:r>
        <w:rPr>
          <w:spacing w:val="-2"/>
        </w:rPr>
        <w:t>年的主要工作经历参见董事最近</w:t>
      </w:r>
      <w:r>
        <w:rPr>
          <w:rFonts w:ascii="宋体" w:hAnsi="宋体" w:cs="宋体" w:eastAsia="宋体" w:hint="default"/>
          <w:spacing w:val="-2"/>
        </w:rPr>
        <w:t>5</w:t>
      </w:r>
      <w:r>
        <w:rPr>
          <w:spacing w:val="-2"/>
        </w:rPr>
        <w:t>年的主要工作经历。</w:t>
      </w:r>
    </w:p>
    <w:p>
      <w:pPr>
        <w:pStyle w:val="BodyText"/>
        <w:spacing w:line="240" w:lineRule="auto" w:before="32"/>
        <w:ind w:left="573" w:right="1123"/>
        <w:jc w:val="left"/>
      </w:pPr>
      <w:r>
        <w:rPr>
          <w:rFonts w:ascii="宋体" w:hAnsi="宋体" w:cs="宋体" w:eastAsia="宋体" w:hint="default"/>
        </w:rPr>
        <w:t>2</w:t>
      </w:r>
      <w:r>
        <w:rPr/>
        <w:t>、副总经理程朋胜先生最近</w:t>
      </w:r>
      <w:r>
        <w:rPr>
          <w:rFonts w:ascii="宋体" w:hAnsi="宋体" w:cs="宋体" w:eastAsia="宋体" w:hint="default"/>
        </w:rPr>
        <w:t>5</w:t>
      </w:r>
      <w:r>
        <w:rPr/>
        <w:t>年的主要工作经历参见董事最近</w:t>
      </w:r>
      <w:r>
        <w:rPr>
          <w:rFonts w:ascii="宋体" w:hAnsi="宋体" w:cs="宋体" w:eastAsia="宋体" w:hint="default"/>
        </w:rPr>
        <w:t>5</w:t>
      </w:r>
      <w:r>
        <w:rPr/>
        <w:t>年的主要工作经历。</w:t>
      </w:r>
    </w:p>
    <w:p>
      <w:pPr>
        <w:spacing w:after="0" w:line="240" w:lineRule="auto"/>
        <w:jc w:val="left"/>
        <w:sectPr>
          <w:pgSz w:w="11910" w:h="16840"/>
          <w:pgMar w:header="877" w:footer="1316" w:top="1100" w:bottom="1500" w:left="980" w:right="0"/>
        </w:sectPr>
      </w:pPr>
    </w:p>
    <w:p>
      <w:pPr>
        <w:spacing w:line="240" w:lineRule="auto" w:before="3"/>
        <w:rPr>
          <w:rFonts w:ascii="宋体" w:hAnsi="宋体" w:cs="宋体" w:eastAsia="宋体" w:hint="default"/>
          <w:sz w:val="19"/>
          <w:szCs w:val="19"/>
        </w:rPr>
      </w:pPr>
    </w:p>
    <w:p>
      <w:pPr>
        <w:pStyle w:val="BodyText"/>
        <w:spacing w:line="357" w:lineRule="auto" w:before="36"/>
        <w:ind w:right="1130" w:firstLine="420"/>
        <w:jc w:val="both"/>
      </w:pPr>
      <w:r>
        <w:rPr>
          <w:rFonts w:ascii="宋体" w:hAnsi="宋体" w:cs="宋体" w:eastAsia="宋体" w:hint="default"/>
          <w:spacing w:val="-2"/>
        </w:rPr>
        <w:t>3</w:t>
      </w:r>
      <w:r>
        <w:rPr>
          <w:spacing w:val="-2"/>
        </w:rPr>
        <w:t>、苏俊锋先生，</w:t>
      </w:r>
      <w:r>
        <w:rPr>
          <w:rFonts w:ascii="宋体" w:hAnsi="宋体" w:cs="宋体" w:eastAsia="宋体" w:hint="default"/>
          <w:spacing w:val="-2"/>
        </w:rPr>
        <w:t>1971</w:t>
      </w:r>
      <w:r>
        <w:rPr>
          <w:spacing w:val="-2"/>
        </w:rPr>
        <w:t>年</w:t>
      </w:r>
      <w:r>
        <w:rPr>
          <w:rFonts w:ascii="宋体" w:hAnsi="宋体" w:cs="宋体" w:eastAsia="宋体" w:hint="default"/>
          <w:spacing w:val="-2"/>
        </w:rPr>
        <w:t>6</w:t>
      </w:r>
      <w:r>
        <w:rPr>
          <w:spacing w:val="-2"/>
        </w:rPr>
        <w:t>月出生，研究生学历，工学硕士，工程师。</w:t>
      </w:r>
      <w:r>
        <w:rPr>
          <w:rFonts w:ascii="宋体" w:hAnsi="宋体" w:cs="宋体" w:eastAsia="宋体" w:hint="default"/>
          <w:spacing w:val="-2"/>
        </w:rPr>
        <w:t>1996</w:t>
      </w:r>
      <w:r>
        <w:rPr>
          <w:spacing w:val="-2"/>
        </w:rPr>
        <w:t>年进入本公司，从事管理和</w:t>
      </w:r>
      <w:r>
        <w:rPr>
          <w:w w:val="100"/>
        </w:rPr>
        <w:t> </w:t>
      </w:r>
      <w:r>
        <w:rPr/>
        <w:t>技术工作，本公司核心技术人员。现任本公司副总经理、上海达实联欣科技发展有限公司董事。</w:t>
      </w:r>
    </w:p>
    <w:p>
      <w:pPr>
        <w:pStyle w:val="BodyText"/>
        <w:spacing w:line="357" w:lineRule="auto"/>
        <w:ind w:right="1127" w:firstLine="420"/>
        <w:jc w:val="both"/>
      </w:pPr>
      <w:r>
        <w:rPr>
          <w:rFonts w:ascii="宋体" w:hAnsi="宋体" w:cs="宋体" w:eastAsia="宋体" w:hint="default"/>
        </w:rPr>
        <w:t>4</w:t>
      </w:r>
      <w:r>
        <w:rPr/>
        <w:t>、吕枫先生，</w:t>
      </w:r>
      <w:r>
        <w:rPr>
          <w:rFonts w:ascii="宋体" w:hAnsi="宋体" w:cs="宋体" w:eastAsia="宋体" w:hint="default"/>
        </w:rPr>
        <w:t>1968</w:t>
      </w:r>
      <w:r>
        <w:rPr/>
        <w:t>年</w:t>
      </w:r>
      <w:r>
        <w:rPr>
          <w:rFonts w:ascii="宋体" w:hAnsi="宋体" w:cs="宋体" w:eastAsia="宋体" w:hint="default"/>
        </w:rPr>
        <w:t>1</w:t>
      </w:r>
      <w:r>
        <w:rPr/>
        <w:t>月出生，清华大学工商管理硕士（</w:t>
      </w:r>
      <w:r>
        <w:rPr>
          <w:rFonts w:ascii="宋体" w:hAnsi="宋体" w:cs="宋体" w:eastAsia="宋体" w:hint="default"/>
        </w:rPr>
        <w:t>MBA</w:t>
      </w:r>
      <w:r>
        <w:rPr/>
        <w:t>），经济师。</w:t>
      </w:r>
      <w:r>
        <w:rPr>
          <w:rFonts w:ascii="宋体" w:hAnsi="宋体" w:cs="宋体" w:eastAsia="宋体" w:hint="default"/>
        </w:rPr>
        <w:t>2001</w:t>
      </w:r>
      <w:r>
        <w:rPr/>
        <w:t>年</w:t>
      </w:r>
      <w:r>
        <w:rPr>
          <w:rFonts w:ascii="宋体" w:hAnsi="宋体" w:cs="宋体" w:eastAsia="宋体" w:hint="default"/>
        </w:rPr>
        <w:t>10</w:t>
      </w:r>
      <w:r>
        <w:rPr/>
        <w:t>月进入本公司。</w:t>
      </w:r>
      <w:r>
        <w:rPr>
          <w:w w:val="100"/>
        </w:rPr>
        <w:t> </w:t>
      </w:r>
      <w:r>
        <w:rPr/>
        <w:t>现任本公司副总经理、上海达实联欣科技发展有限公司董事、北京达实德润能源科技有限公司董事长。</w:t>
      </w:r>
    </w:p>
    <w:p>
      <w:pPr>
        <w:pStyle w:val="BodyText"/>
        <w:spacing w:line="355" w:lineRule="auto"/>
        <w:ind w:right="1126" w:firstLine="420"/>
        <w:jc w:val="both"/>
      </w:pPr>
      <w:r>
        <w:rPr>
          <w:rFonts w:ascii="宋体" w:hAnsi="宋体" w:cs="宋体" w:eastAsia="宋体" w:hint="default"/>
          <w:spacing w:val="-2"/>
        </w:rPr>
        <w:t>5</w:t>
      </w:r>
      <w:r>
        <w:rPr>
          <w:spacing w:val="-2"/>
        </w:rPr>
        <w:t>、林雨斌先生，男，</w:t>
      </w:r>
      <w:r>
        <w:rPr>
          <w:rFonts w:ascii="宋体" w:hAnsi="宋体" w:cs="宋体" w:eastAsia="宋体" w:hint="default"/>
          <w:spacing w:val="-2"/>
        </w:rPr>
        <w:t>1976</w:t>
      </w:r>
      <w:r>
        <w:rPr>
          <w:spacing w:val="-2"/>
        </w:rPr>
        <w:t>年</w:t>
      </w:r>
      <w:r>
        <w:rPr>
          <w:rFonts w:ascii="宋体" w:hAnsi="宋体" w:cs="宋体" w:eastAsia="宋体" w:hint="default"/>
          <w:spacing w:val="-2"/>
        </w:rPr>
        <w:t>6</w:t>
      </w:r>
      <w:r>
        <w:rPr>
          <w:spacing w:val="-2"/>
        </w:rPr>
        <w:t>月出生，本科学历。最近五年曾任云南医药工业股份有限公司董事会秘</w:t>
      </w:r>
      <w:r>
        <w:rPr>
          <w:w w:val="100"/>
        </w:rPr>
        <w:t> </w:t>
      </w:r>
      <w:r>
        <w:rPr>
          <w:spacing w:val="-2"/>
        </w:rPr>
        <w:t>书兼总经理助理、广州高信创业投资有限公司投资总监等职务。现任本公司副总经理、董事会秘书、证券</w:t>
      </w:r>
      <w:r>
        <w:rPr>
          <w:spacing w:val="-47"/>
        </w:rPr>
        <w:t> </w:t>
      </w:r>
      <w:r>
        <w:rPr>
          <w:spacing w:val="-47"/>
        </w:rPr>
      </w:r>
      <w:r>
        <w:rPr/>
        <w:t>部经理。</w:t>
      </w:r>
    </w:p>
    <w:p>
      <w:pPr>
        <w:pStyle w:val="BodyText"/>
        <w:spacing w:line="240" w:lineRule="auto" w:before="34"/>
        <w:ind w:left="575" w:right="0"/>
        <w:jc w:val="left"/>
      </w:pPr>
      <w:r>
        <w:rPr>
          <w:rFonts w:ascii="宋体" w:hAnsi="宋体" w:cs="宋体" w:eastAsia="宋体" w:hint="default"/>
        </w:rPr>
        <w:t>6</w:t>
      </w:r>
      <w:r>
        <w:rPr/>
        <w:t>、黄天朗先生，男，</w:t>
      </w:r>
      <w:r>
        <w:rPr>
          <w:rFonts w:ascii="宋体" w:hAnsi="宋体" w:cs="宋体" w:eastAsia="宋体" w:hint="default"/>
        </w:rPr>
        <w:t>1970</w:t>
      </w:r>
      <w:r>
        <w:rPr/>
        <w:t>年</w:t>
      </w:r>
      <w:r>
        <w:rPr>
          <w:rFonts w:ascii="宋体" w:hAnsi="宋体" w:cs="宋体" w:eastAsia="宋体" w:hint="default"/>
        </w:rPr>
        <w:t>10</w:t>
      </w:r>
      <w:r>
        <w:rPr/>
        <w:t>月出生，本科学历，会计师，注册税务师，信息产业部高级项目经理。</w:t>
      </w:r>
    </w:p>
    <w:p>
      <w:pPr>
        <w:pStyle w:val="BodyText"/>
        <w:spacing w:line="240" w:lineRule="auto" w:before="133"/>
        <w:ind w:right="1123"/>
        <w:jc w:val="left"/>
      </w:pPr>
      <w:r>
        <w:rPr>
          <w:rFonts w:ascii="宋体" w:hAnsi="宋体" w:cs="宋体" w:eastAsia="宋体" w:hint="default"/>
        </w:rPr>
        <w:t>1999</w:t>
      </w:r>
      <w:r>
        <w:rPr/>
        <w:t>年</w:t>
      </w:r>
      <w:r>
        <w:rPr>
          <w:rFonts w:ascii="宋体" w:hAnsi="宋体" w:cs="宋体" w:eastAsia="宋体" w:hint="default"/>
        </w:rPr>
        <w:t>11</w:t>
      </w:r>
      <w:r>
        <w:rPr/>
        <w:t>月进入本公司财务部，现任本公司财务总监。</w:t>
      </w:r>
    </w:p>
    <w:p>
      <w:pPr>
        <w:spacing w:line="240" w:lineRule="auto" w:before="7"/>
        <w:rPr>
          <w:rFonts w:ascii="宋体" w:hAnsi="宋体" w:cs="宋体" w:eastAsia="宋体" w:hint="default"/>
          <w:sz w:val="16"/>
          <w:szCs w:val="1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2792"/>
        <w:gridCol w:w="1539"/>
        <w:gridCol w:w="1483"/>
        <w:gridCol w:w="1527"/>
        <w:gridCol w:w="1030"/>
      </w:tblGrid>
      <w:tr>
        <w:trPr>
          <w:trHeight w:val="1026"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85" w:right="41"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center"/>
              <w:rPr>
                <w:rFonts w:ascii="宋体" w:hAnsi="宋体" w:cs="宋体" w:eastAsia="宋体" w:hint="default"/>
                <w:sz w:val="18"/>
                <w:szCs w:val="18"/>
              </w:rPr>
            </w:pPr>
            <w:r>
              <w:rPr>
                <w:rFonts w:ascii="宋体" w:hAnsi="宋体" w:cs="宋体" w:eastAsia="宋体" w:hint="default"/>
                <w:sz w:val="18"/>
                <w:szCs w:val="18"/>
              </w:rPr>
              <w:t>在股东单位 是否领取报 酬津贴</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深圳市达实投资发展有限公司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1997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05</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盛安机电设备（昌都）有限公司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深圳市达实投资发展有限公司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董事长</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1997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05</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深圳市达实投资发展有限公司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1995</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05</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17</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韩青树</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中国机电出口产品投资有限公司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产权管理部总经理</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1998</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唐应元</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深圳市高新投集团有限公司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1994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29</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2792"/>
        <w:gridCol w:w="1539"/>
        <w:gridCol w:w="1483"/>
        <w:gridCol w:w="1527"/>
        <w:gridCol w:w="1030"/>
      </w:tblGrid>
      <w:tr>
        <w:trPr>
          <w:trHeight w:val="1020"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85" w:right="41"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8"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深圳市达实投资发展有限公司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1997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05</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合肥达实数字科技有限公司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17</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29</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上海达实自动化工程有限公司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深圳市燃气集团股份有限公司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04</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盛安机电设备（昌都）有限公司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上海东行自动化设备商贸有限公司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29</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深圳市达实投资发展有限公司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1997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05</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316" w:top="1100" w:bottom="150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9"/>
        <w:gridCol w:w="2792"/>
        <w:gridCol w:w="1539"/>
        <w:gridCol w:w="1483"/>
        <w:gridCol w:w="1527"/>
        <w:gridCol w:w="1030"/>
      </w:tblGrid>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深圳市达实投资发展有限公司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1997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05</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合肥达实数字科技有限公司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17</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深圳市诺达自动化技术有限公司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05</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合肥中正物业管理有限公司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安徽达实置业有限公司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30</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界首达实置业有限公司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20</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深圳市英唐智能控制股份有限公司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28</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淮北市达实置业有限公司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韩青树</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中国机电出口产品投资有限公司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产权管理部总经理</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1998</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韩青树</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深圳莱宝高科技股份公司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04</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张万林</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6" w:right="111"/>
              <w:jc w:val="left"/>
              <w:rPr>
                <w:rFonts w:ascii="宋体" w:hAnsi="宋体" w:cs="宋体" w:eastAsia="宋体" w:hint="default"/>
                <w:sz w:val="18"/>
                <w:szCs w:val="18"/>
              </w:rPr>
            </w:pPr>
            <w:r>
              <w:rPr>
                <w:rFonts w:ascii="宋体" w:hAnsi="宋体" w:cs="宋体" w:eastAsia="宋体" w:hint="default"/>
                <w:spacing w:val="-4"/>
                <w:sz w:val="18"/>
                <w:szCs w:val="18"/>
              </w:rPr>
              <w:t>中银粤财股权投资基金管理（广东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06</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深圳市高级技工学校</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职员</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惠州硕贝德无线科技股份有限公司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深圳和而泰智能控制股份有限公司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6" w:right="53"/>
              <w:jc w:val="left"/>
              <w:rPr>
                <w:rFonts w:ascii="宋体" w:hAnsi="宋体" w:cs="宋体" w:eastAsia="宋体" w:hint="default"/>
                <w:sz w:val="18"/>
                <w:szCs w:val="18"/>
              </w:rPr>
            </w:pPr>
            <w:r>
              <w:rPr>
                <w:rFonts w:ascii="宋体" w:hAnsi="宋体" w:cs="宋体" w:eastAsia="宋体" w:hint="default"/>
                <w:sz w:val="18"/>
                <w:szCs w:val="18"/>
              </w:rPr>
              <w:t>上海亚泽金属屋面系统股份有限公 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06</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新疆麦趣尔集团股份有限公司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15</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14</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广东星辰律师事务所</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深圳市通产集团有限公司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28</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6" w:right="53"/>
              <w:jc w:val="left"/>
              <w:rPr>
                <w:rFonts w:ascii="宋体" w:hAnsi="宋体" w:cs="宋体" w:eastAsia="宋体" w:hint="default"/>
                <w:sz w:val="18"/>
                <w:szCs w:val="18"/>
              </w:rPr>
            </w:pPr>
            <w:r>
              <w:rPr>
                <w:rFonts w:ascii="宋体" w:hAnsi="宋体" w:cs="宋体" w:eastAsia="宋体" w:hint="default"/>
                <w:sz w:val="18"/>
                <w:szCs w:val="18"/>
              </w:rPr>
              <w:t>深圳中华自行车（集团）股份有限 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25</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06</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郝清</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深圳清源创业投资管理合伙企业</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15</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郝清</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深圳市聚作照明股份有限公司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25</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24</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曲震</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兖矿集团投资管理公司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财务部长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18</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唐应元</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深圳市高新投集团有限公司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1994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29</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29</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29</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北京达实德润能源科技有限公司</w:t>
            </w:r>
          </w:p>
        </w:tc>
        <w:tc>
          <w:tcPr>
            <w:tcW w:w="15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04</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20</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三、董事、监事、高级管理人员报酬情况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w:t>
      </w:r>
    </w:p>
    <w:p>
      <w:pPr>
        <w:pStyle w:val="BodyText"/>
        <w:spacing w:line="240" w:lineRule="auto" w:before="75"/>
        <w:ind w:left="573" w:right="0"/>
        <w:jc w:val="left"/>
      </w:pPr>
      <w:r>
        <w:rPr/>
        <w:t>根据公司《董事、监事及高级管理人员薪酬管理制度》，公司董事、监事的薪酬由董事会薪酬与考核</w:t>
      </w:r>
    </w:p>
    <w:p>
      <w:pPr>
        <w:spacing w:after="0" w:line="240" w:lineRule="auto"/>
        <w:jc w:val="left"/>
        <w:sectPr>
          <w:pgSz w:w="11910" w:h="16840"/>
          <w:pgMar w:header="877" w:footer="1316" w:top="1100" w:bottom="1500" w:left="980" w:right="0"/>
        </w:sectPr>
      </w:pPr>
    </w:p>
    <w:p>
      <w:pPr>
        <w:spacing w:line="240" w:lineRule="auto" w:before="3"/>
        <w:rPr>
          <w:rFonts w:ascii="宋体" w:hAnsi="宋体" w:cs="宋体" w:eastAsia="宋体" w:hint="default"/>
          <w:sz w:val="19"/>
          <w:szCs w:val="19"/>
        </w:rPr>
      </w:pPr>
    </w:p>
    <w:p>
      <w:pPr>
        <w:pStyle w:val="BodyText"/>
        <w:spacing w:line="357" w:lineRule="auto" w:before="36"/>
        <w:ind w:right="1127"/>
        <w:jc w:val="both"/>
      </w:pPr>
      <w:r>
        <w:rPr/>
        <w:t>委员会提出，经董事会审议通过后，提交股东大会审议批准。公司每年度给予每位独立董事津贴人民币</w:t>
      </w:r>
      <w:r>
        <w:rPr>
          <w:rFonts w:ascii="宋体" w:hAnsi="宋体" w:cs="宋体" w:eastAsia="宋体" w:hint="default"/>
        </w:rPr>
        <w:t>5</w:t>
      </w:r>
      <w:r>
        <w:rPr>
          <w:rFonts w:ascii="宋体" w:hAnsi="宋体" w:cs="宋体" w:eastAsia="宋体" w:hint="default"/>
          <w:spacing w:val="-20"/>
        </w:rPr>
        <w:t> </w:t>
      </w:r>
      <w:r>
        <w:rPr>
          <w:spacing w:val="-2"/>
        </w:rPr>
        <w:t>万元（税前）。高级管理人员实行年薪制，其薪酬由基本工资和绩效奖金两部分构成。基本工资结合行业</w:t>
      </w:r>
      <w:r>
        <w:rPr>
          <w:spacing w:val="-43"/>
        </w:rPr>
        <w:t> </w:t>
      </w:r>
      <w:r>
        <w:rPr>
          <w:spacing w:val="-43"/>
        </w:rPr>
      </w:r>
      <w:r>
        <w:rPr>
          <w:spacing w:val="-2"/>
        </w:rPr>
        <w:t>薪酬水平、岗位职责和履职情况，按月支付。绩效奖金是以年度目标绩效奖金为基础，与公司年度经营绩</w:t>
      </w:r>
      <w:r>
        <w:rPr>
          <w:spacing w:val="-47"/>
        </w:rPr>
        <w:t> </w:t>
      </w:r>
      <w:r>
        <w:rPr>
          <w:spacing w:val="-47"/>
        </w:rPr>
      </w:r>
      <w:r>
        <w:rPr/>
        <w:t>效相挂钩，年终根据当年考核结果统算兑付。</w:t>
      </w:r>
      <w:r>
        <w:rPr>
          <w:rFonts w:ascii="宋体" w:hAnsi="宋体" w:cs="宋体" w:eastAsia="宋体" w:hint="default"/>
        </w:rPr>
        <w:t>2012</w:t>
      </w:r>
      <w:r>
        <w:rPr/>
        <w:t>年度，公司向独立董事发放的津贴为</w:t>
      </w:r>
      <w:r>
        <w:rPr>
          <w:rFonts w:ascii="宋体" w:hAnsi="宋体" w:cs="宋体" w:eastAsia="宋体" w:hint="default"/>
        </w:rPr>
        <w:t>5</w:t>
      </w:r>
      <w:r>
        <w:rPr/>
        <w:t>万元，公司非独</w:t>
      </w:r>
      <w:r>
        <w:rPr>
          <w:spacing w:val="-24"/>
        </w:rPr>
        <w:t> </w:t>
      </w:r>
      <w:r>
        <w:rPr>
          <w:spacing w:val="-24"/>
        </w:rPr>
      </w:r>
      <w:r>
        <w:rPr>
          <w:spacing w:val="-2"/>
        </w:rPr>
        <w:t>立董事、监事未以董事、监事的职务在公司领取薪酬或津贴，按其在公司担任的职务领取薪酬。上述发放</w:t>
      </w:r>
      <w:r>
        <w:rPr>
          <w:spacing w:val="-47"/>
        </w:rPr>
        <w:t> </w:t>
      </w:r>
      <w:r>
        <w:rPr>
          <w:spacing w:val="-47"/>
        </w:rPr>
      </w:r>
      <w:r>
        <w:rPr/>
        <w:t>计划已经公司第四届董事会第十三次会议审议通过。</w:t>
      </w:r>
    </w:p>
    <w:p>
      <w:pPr>
        <w:spacing w:before="113"/>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356"/>
        <w:gridCol w:w="1037"/>
        <w:gridCol w:w="1195"/>
        <w:gridCol w:w="1198"/>
        <w:gridCol w:w="1195"/>
        <w:gridCol w:w="1196"/>
        <w:gridCol w:w="1198"/>
      </w:tblGrid>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姓名</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51.81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51.81</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51.81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51.81</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8.40</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韩青树</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24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24</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张万林</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李黑虎</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郝清</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曲震</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唐应元</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78.75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78.75</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林木青</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35.86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35.86</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毛振宇</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31.89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31.89</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52.89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52.89</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40.32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40.32</w:t>
            </w:r>
          </w:p>
        </w:tc>
      </w:tr>
      <w:tr>
        <w:trPr>
          <w:trHeight w:val="475"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31.19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31.19</w:t>
            </w:r>
          </w:p>
        </w:tc>
      </w:tr>
      <w:tr>
        <w:trPr>
          <w:trHeight w:val="404"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33.33</w:t>
            </w:r>
          </w:p>
        </w:tc>
      </w:tr>
      <w:tr>
        <w:trPr>
          <w:trHeight w:val="402"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0"/>
              <w:jc w:val="right"/>
              <w:rPr>
                <w:rFonts w:ascii="宋体" w:hAnsi="宋体" w:cs="宋体" w:eastAsia="宋体" w:hint="default"/>
                <w:sz w:val="18"/>
                <w:szCs w:val="18"/>
              </w:rPr>
            </w:pPr>
            <w:r>
              <w:rPr>
                <w:rFonts w:ascii="宋体" w:hAnsi="宋体" w:cs="宋体" w:eastAsia="宋体" w:hint="default"/>
                <w:sz w:val="18"/>
                <w:szCs w:val="18"/>
              </w:rPr>
              <w:t>合计</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344.1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111.15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455.25</w:t>
            </w:r>
          </w:p>
        </w:tc>
      </w:tr>
    </w:tbl>
    <w:p>
      <w:pPr>
        <w:spacing w:before="50"/>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8"/>
        <w:gridCol w:w="958"/>
        <w:gridCol w:w="958"/>
      </w:tblGrid>
      <w:tr>
        <w:trPr>
          <w:trHeight w:val="1337"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12" w:right="20" w:hanging="89"/>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hanging="2"/>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15"/>
                <w:sz w:val="18"/>
                <w:szCs w:val="18"/>
              </w:rPr>
              <w:t>权价格（元</w:t>
            </w:r>
            <w:r>
              <w:rPr>
                <w:rFonts w:ascii="宋体" w:hAnsi="宋体" w:cs="宋体" w:eastAsia="宋体" w:hint="default"/>
                <w:spacing w:val="-15"/>
                <w:sz w:val="18"/>
                <w:szCs w:val="18"/>
              </w:rPr>
              <w:t>/</w:t>
            </w:r>
            <w:r>
              <w:rPr>
                <w:rFonts w:ascii="宋体" w:hAnsi="宋体" w:cs="宋体" w:eastAsia="宋体" w:hint="default"/>
                <w:sz w:val="18"/>
                <w:szCs w:val="18"/>
              </w:rPr>
              <w:t> </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2"/>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宋体" w:hAnsi="宋体" w:cs="宋体" w:eastAsia="宋体" w:hint="default"/>
                <w:sz w:val="18"/>
                <w:szCs w:val="18"/>
              </w:rPr>
              <w:t>/</w:t>
            </w: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atLeast" w:before="130"/>
              <w:ind w:left="23" w:right="19"/>
              <w:jc w:val="center"/>
              <w:rPr>
                <w:rFonts w:ascii="宋体" w:hAnsi="宋体" w:cs="宋体" w:eastAsia="宋体" w:hint="default"/>
                <w:sz w:val="18"/>
                <w:szCs w:val="18"/>
              </w:rPr>
            </w:pPr>
            <w:r>
              <w:rPr>
                <w:rFonts w:ascii="宋体" w:hAnsi="宋体" w:cs="宋体" w:eastAsia="宋体" w:hint="default"/>
                <w:sz w:val="18"/>
                <w:szCs w:val="18"/>
              </w:rPr>
              <w:t>期初持有限 制性股票数</w:t>
            </w:r>
          </w:p>
          <w:p>
            <w:pPr>
              <w:pStyle w:val="TableParagraph"/>
              <w:spacing w:line="11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67"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bl>
    <w:p>
      <w:pPr>
        <w:spacing w:after="0" w:line="316" w:lineRule="auto"/>
        <w:jc w:val="center"/>
        <w:rPr>
          <w:rFonts w:ascii="宋体" w:hAnsi="宋体" w:cs="宋体" w:eastAsia="宋体" w:hint="default"/>
          <w:sz w:val="18"/>
          <w:szCs w:val="18"/>
        </w:rPr>
        <w:sectPr>
          <w:pgSz w:w="11910" w:h="16840"/>
          <w:pgMar w:header="877" w:footer="1316" w:top="1100" w:bottom="150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8"/>
        <w:gridCol w:w="958"/>
        <w:gridCol w:w="958"/>
      </w:tblGrid>
      <w:tr>
        <w:trPr>
          <w:trHeight w:val="478"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90,000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8.51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180,000</w:t>
            </w: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180,000</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180,000</w:t>
            </w:r>
          </w:p>
        </w:tc>
      </w:tr>
      <w:tr>
        <w:trPr>
          <w:trHeight w:val="475"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5"/>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副总经理董</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事会秘书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90,000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z w:val="18"/>
              </w:rPr>
              <w:t>8.51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z w:val="18"/>
              </w:rPr>
              <w:t>180,000</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180,000</w:t>
            </w:r>
          </w:p>
        </w:tc>
      </w:tr>
      <w:tr>
        <w:trPr>
          <w:trHeight w:val="408"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450,000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900,000</w:t>
            </w:r>
          </w:p>
        </w:tc>
      </w:tr>
      <w:tr>
        <w:trPr>
          <w:trHeight w:val="396" w:hRule="exact"/>
        </w:trPr>
        <w:tc>
          <w:tcPr>
            <w:tcW w:w="957"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44"/>
              <w:ind w:left="22" w:right="-46"/>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pacing w:val="-89"/>
                <w:sz w:val="18"/>
                <w:szCs w:val="18"/>
              </w:rPr>
              <w:t>注</w:t>
            </w:r>
            <w:r>
              <w:rPr>
                <w:rFonts w:ascii="宋体" w:hAnsi="宋体" w:cs="宋体" w:eastAsia="宋体" w:hint="default"/>
                <w:sz w:val="18"/>
                <w:szCs w:val="18"/>
              </w:rPr>
              <w:t>（如有</w:t>
            </w:r>
            <w:r>
              <w:rPr>
                <w:rFonts w:ascii="宋体" w:hAnsi="宋体" w:cs="宋体" w:eastAsia="宋体" w:hint="default"/>
                <w:spacing w:val="-34"/>
                <w:sz w:val="18"/>
                <w:szCs w:val="18"/>
              </w:rPr>
              <w:t>）</w:t>
            </w:r>
            <w:r>
              <w:rPr>
                <w:rFonts w:ascii="宋体" w:hAnsi="宋体" w:cs="宋体" w:eastAsia="宋体" w:hint="default"/>
                <w:sz w:val="18"/>
                <w:szCs w:val="18"/>
              </w:rPr>
            </w:r>
          </w:p>
        </w:tc>
        <w:tc>
          <w:tcPr>
            <w:tcW w:w="8615" w:type="dxa"/>
            <w:gridSpan w:val="9"/>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4"/>
              <w:ind w:left="13" w:right="0"/>
              <w:jc w:val="left"/>
              <w:rPr>
                <w:rFonts w:ascii="宋体" w:hAnsi="宋体" w:cs="宋体" w:eastAsia="宋体" w:hint="default"/>
                <w:sz w:val="18"/>
                <w:szCs w:val="18"/>
              </w:rPr>
            </w:pPr>
            <w:r>
              <w:rPr>
                <w:rFonts w:ascii="宋体" w:hAnsi="宋体" w:cs="宋体" w:eastAsia="宋体" w:hint="default"/>
                <w:sz w:val="18"/>
                <w:szCs w:val="18"/>
              </w:rPr>
              <w:t>上述人员持</w:t>
            </w:r>
          </w:p>
          <w:p>
            <w:pPr>
              <w:pStyle w:val="TableParagraph"/>
              <w:spacing w:line="240" w:lineRule="auto" w:before="44"/>
              <w:ind w:left="913" w:right="0"/>
              <w:jc w:val="left"/>
              <w:rPr>
                <w:rFonts w:ascii="宋体" w:hAnsi="宋体" w:cs="宋体" w:eastAsia="宋体" w:hint="default"/>
                <w:sz w:val="18"/>
                <w:szCs w:val="18"/>
              </w:rPr>
            </w:pPr>
            <w:r>
              <w:rPr>
                <w:rFonts w:ascii="宋体" w:hAnsi="宋体" w:cs="宋体" w:eastAsia="宋体" w:hint="default"/>
                <w:sz w:val="18"/>
                <w:szCs w:val="18"/>
              </w:rPr>
              <w:t>有的限售股股票情况变化是由于公司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日实施了</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年半年度权益分派所致。</w:t>
            </w:r>
          </w:p>
        </w:tc>
      </w:tr>
    </w:tbl>
    <w:p>
      <w:pPr>
        <w:spacing w:line="240" w:lineRule="auto" w:before="1"/>
        <w:rPr>
          <w:rFonts w:ascii="宋体" w:hAnsi="宋体" w:cs="宋体" w:eastAsia="宋体" w:hint="default"/>
          <w:sz w:val="18"/>
          <w:szCs w:val="18"/>
        </w:rPr>
      </w:pPr>
    </w:p>
    <w:p>
      <w:pPr>
        <w:pStyle w:val="Heading2"/>
        <w:spacing w:line="240" w:lineRule="auto" w:before="26"/>
        <w:ind w:left="133" w:right="8825"/>
        <w:jc w:val="center"/>
        <w:rPr>
          <w:b w:val="0"/>
          <w:bCs w:val="0"/>
        </w:rPr>
      </w:pPr>
      <w:r>
        <w:rPr/>
        <w:t>四、公司员工情况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0"/>
        <w:ind w:left="133" w:right="8753"/>
        <w:jc w:val="center"/>
      </w:pPr>
      <w:r>
        <w:rPr>
          <w:rFonts w:ascii="宋体" w:hAnsi="宋体" w:cs="宋体" w:eastAsia="宋体" w:hint="default"/>
        </w:rPr>
        <w:t>1</w:t>
      </w:r>
      <w:r>
        <w:rPr/>
        <w:t>、员工构成</w:t>
      </w:r>
    </w:p>
    <w:p>
      <w:pPr>
        <w:spacing w:line="240" w:lineRule="auto" w:before="9"/>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2732"/>
        <w:gridCol w:w="2842"/>
        <w:gridCol w:w="4066"/>
      </w:tblGrid>
      <w:tr>
        <w:trPr>
          <w:trHeight w:val="334" w:hRule="exact"/>
        </w:trPr>
        <w:tc>
          <w:tcPr>
            <w:tcW w:w="27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所在机构</w:t>
            </w:r>
            <w:r>
              <w:rPr>
                <w:rFonts w:ascii="宋体" w:hAnsi="宋体" w:cs="宋体" w:eastAsia="宋体" w:hint="default"/>
                <w:sz w:val="21"/>
                <w:szCs w:val="21"/>
              </w:rPr>
            </w:r>
          </w:p>
        </w:tc>
        <w:tc>
          <w:tcPr>
            <w:tcW w:w="2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887" w:right="0"/>
              <w:jc w:val="left"/>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40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919" w:right="0"/>
              <w:jc w:val="left"/>
              <w:rPr>
                <w:rFonts w:ascii="宋体" w:hAnsi="宋体" w:cs="宋体" w:eastAsia="宋体" w:hint="default"/>
                <w:sz w:val="21"/>
                <w:szCs w:val="21"/>
              </w:rPr>
            </w:pPr>
            <w:r>
              <w:rPr>
                <w:rFonts w:ascii="宋体" w:hAnsi="宋体" w:cs="宋体" w:eastAsia="宋体" w:hint="default"/>
                <w:b/>
                <w:bCs/>
                <w:sz w:val="21"/>
                <w:szCs w:val="21"/>
              </w:rPr>
              <w:t>占员工总人数比例（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4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467</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59.80</w:t>
            </w:r>
          </w:p>
        </w:tc>
      </w:tr>
      <w:tr>
        <w:trPr>
          <w:trHeight w:val="34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子公司员工人数</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314</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40.20</w:t>
            </w:r>
          </w:p>
        </w:tc>
      </w:tr>
      <w:tr>
        <w:trPr>
          <w:trHeight w:val="346"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781</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100</w:t>
            </w:r>
          </w:p>
        </w:tc>
      </w:tr>
    </w:tbl>
    <w:p>
      <w:pPr>
        <w:pStyle w:val="BodyText"/>
        <w:spacing w:line="241" w:lineRule="exact" w:before="0"/>
        <w:ind w:left="573" w:right="1123"/>
        <w:jc w:val="left"/>
      </w:pPr>
      <w:r>
        <w:rPr>
          <w:rFonts w:ascii="宋体" w:hAnsi="宋体" w:cs="宋体" w:eastAsia="宋体" w:hint="default"/>
        </w:rPr>
        <w:t>2</w:t>
      </w:r>
      <w:r>
        <w:rPr/>
        <w:t>、专业结构</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732"/>
        <w:gridCol w:w="2842"/>
        <w:gridCol w:w="4066"/>
      </w:tblGrid>
      <w:tr>
        <w:trPr>
          <w:trHeight w:val="346" w:hRule="exact"/>
        </w:trPr>
        <w:tc>
          <w:tcPr>
            <w:tcW w:w="27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专业结构</w:t>
            </w:r>
            <w:r>
              <w:rPr>
                <w:rFonts w:ascii="宋体" w:hAnsi="宋体" w:cs="宋体" w:eastAsia="宋体" w:hint="default"/>
                <w:sz w:val="21"/>
                <w:szCs w:val="21"/>
              </w:rPr>
            </w:r>
          </w:p>
        </w:tc>
        <w:tc>
          <w:tcPr>
            <w:tcW w:w="2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887" w:right="0"/>
              <w:jc w:val="left"/>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40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919" w:right="0"/>
              <w:jc w:val="left"/>
              <w:rPr>
                <w:rFonts w:ascii="宋体" w:hAnsi="宋体" w:cs="宋体" w:eastAsia="宋体" w:hint="default"/>
                <w:sz w:val="21"/>
                <w:szCs w:val="21"/>
              </w:rPr>
            </w:pPr>
            <w:r>
              <w:rPr>
                <w:rFonts w:ascii="宋体" w:hAnsi="宋体" w:cs="宋体" w:eastAsia="宋体" w:hint="default"/>
                <w:b/>
                <w:bCs/>
                <w:sz w:val="21"/>
                <w:szCs w:val="21"/>
              </w:rPr>
              <w:t>占员工总人数比例（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4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管理及职能人员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150</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19.21</w:t>
            </w:r>
          </w:p>
        </w:tc>
      </w:tr>
      <w:tr>
        <w:trPr>
          <w:trHeight w:val="346"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营销与支持人员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174</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22.28</w:t>
            </w:r>
          </w:p>
        </w:tc>
      </w:tr>
      <w:tr>
        <w:trPr>
          <w:trHeight w:val="34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工程与生产人员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312</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39.95</w:t>
            </w:r>
          </w:p>
        </w:tc>
      </w:tr>
      <w:tr>
        <w:trPr>
          <w:trHeight w:val="34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研发人员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152</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18.57</w:t>
            </w:r>
          </w:p>
        </w:tc>
      </w:tr>
      <w:tr>
        <w:trPr>
          <w:trHeight w:val="346"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781</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100</w:t>
            </w:r>
          </w:p>
        </w:tc>
      </w:tr>
    </w:tbl>
    <w:p>
      <w:pPr>
        <w:pStyle w:val="BodyText"/>
        <w:spacing w:line="241" w:lineRule="exact" w:before="0"/>
        <w:ind w:left="573" w:right="1123"/>
        <w:jc w:val="left"/>
      </w:pPr>
      <w:r>
        <w:rPr>
          <w:rFonts w:ascii="宋体" w:hAnsi="宋体" w:cs="宋体" w:eastAsia="宋体" w:hint="default"/>
        </w:rPr>
        <w:t>3</w:t>
      </w:r>
      <w:r>
        <w:rPr/>
        <w:t>、受教育程度</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732"/>
        <w:gridCol w:w="2842"/>
        <w:gridCol w:w="4066"/>
      </w:tblGrid>
      <w:tr>
        <w:trPr>
          <w:trHeight w:val="346" w:hRule="exact"/>
        </w:trPr>
        <w:tc>
          <w:tcPr>
            <w:tcW w:w="27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833" w:right="0"/>
              <w:jc w:val="left"/>
              <w:rPr>
                <w:rFonts w:ascii="宋体" w:hAnsi="宋体" w:cs="宋体" w:eastAsia="宋体" w:hint="default"/>
                <w:sz w:val="21"/>
                <w:szCs w:val="21"/>
              </w:rPr>
            </w:pPr>
            <w:r>
              <w:rPr>
                <w:rFonts w:ascii="宋体" w:hAnsi="宋体" w:cs="宋体" w:eastAsia="宋体" w:hint="default"/>
                <w:b/>
                <w:bCs/>
                <w:sz w:val="21"/>
                <w:szCs w:val="21"/>
              </w:rPr>
              <w:t>受教育程度</w:t>
            </w:r>
            <w:r>
              <w:rPr>
                <w:rFonts w:ascii="宋体" w:hAnsi="宋体" w:cs="宋体" w:eastAsia="宋体" w:hint="default"/>
                <w:sz w:val="21"/>
                <w:szCs w:val="21"/>
              </w:rPr>
            </w:r>
          </w:p>
        </w:tc>
        <w:tc>
          <w:tcPr>
            <w:tcW w:w="2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887" w:right="0"/>
              <w:jc w:val="left"/>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40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919" w:right="0"/>
              <w:jc w:val="left"/>
              <w:rPr>
                <w:rFonts w:ascii="宋体" w:hAnsi="宋体" w:cs="宋体" w:eastAsia="宋体" w:hint="default"/>
                <w:sz w:val="21"/>
                <w:szCs w:val="21"/>
              </w:rPr>
            </w:pPr>
            <w:r>
              <w:rPr>
                <w:rFonts w:ascii="宋体" w:hAnsi="宋体" w:cs="宋体" w:eastAsia="宋体" w:hint="default"/>
                <w:b/>
                <w:bCs/>
                <w:sz w:val="21"/>
                <w:szCs w:val="21"/>
              </w:rPr>
              <w:t>占员工总人数比例（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4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研究生</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63</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8.07</w:t>
            </w:r>
          </w:p>
        </w:tc>
      </w:tr>
      <w:tr>
        <w:trPr>
          <w:trHeight w:val="346"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337</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43.15</w:t>
            </w:r>
          </w:p>
        </w:tc>
      </w:tr>
      <w:tr>
        <w:trPr>
          <w:trHeight w:val="34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专科</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305</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39.05</w:t>
            </w:r>
          </w:p>
        </w:tc>
      </w:tr>
      <w:tr>
        <w:trPr>
          <w:trHeight w:val="346"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专科以下</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76</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9.73</w:t>
            </w:r>
          </w:p>
        </w:tc>
      </w:tr>
      <w:tr>
        <w:trPr>
          <w:trHeight w:val="34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781</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100</w:t>
            </w:r>
          </w:p>
        </w:tc>
      </w:tr>
    </w:tbl>
    <w:p>
      <w:pPr>
        <w:pStyle w:val="BodyText"/>
        <w:spacing w:line="241" w:lineRule="exact" w:before="0"/>
        <w:ind w:left="573" w:right="1123"/>
        <w:jc w:val="left"/>
      </w:pPr>
      <w:r>
        <w:rPr>
          <w:rFonts w:ascii="宋体" w:hAnsi="宋体" w:cs="宋体" w:eastAsia="宋体" w:hint="default"/>
        </w:rPr>
        <w:t>4</w:t>
      </w:r>
      <w:r>
        <w:rPr/>
        <w:t>、薪酬政策</w:t>
      </w:r>
    </w:p>
    <w:p>
      <w:pPr>
        <w:pStyle w:val="BodyText"/>
        <w:spacing w:line="355" w:lineRule="auto" w:before="136"/>
        <w:ind w:right="1128" w:firstLine="420"/>
        <w:jc w:val="both"/>
      </w:pPr>
      <w:r>
        <w:rPr>
          <w:spacing w:val="2"/>
        </w:rPr>
        <w:t>公司聘请了专业的管理顾问公司与公司人力资源部共同制定了富有吸引力和竞争力的岗位薪酬工资</w:t>
      </w:r>
      <w:r>
        <w:rPr>
          <w:w w:val="100"/>
        </w:rPr>
        <w:t> </w:t>
      </w:r>
      <w:r>
        <w:rPr>
          <w:spacing w:val="-2"/>
        </w:rPr>
        <w:t>制度，并建立了良好的内部晋升机制和完善、公平的绩效考核机制。同时，公司并为员工购买“三险”以</w:t>
      </w:r>
      <w:r>
        <w:rPr>
          <w:spacing w:val="-47"/>
        </w:rPr>
        <w:t> </w:t>
      </w:r>
      <w:r>
        <w:rPr>
          <w:spacing w:val="-47"/>
        </w:rPr>
      </w:r>
      <w:r>
        <w:rPr/>
        <w:t>及商业保险，积极做好劳动安全防护措施，不断提升员工的满意度和忠诚度。</w:t>
      </w:r>
    </w:p>
    <w:p>
      <w:pPr>
        <w:pStyle w:val="BodyText"/>
        <w:spacing w:line="355" w:lineRule="auto" w:before="32"/>
        <w:ind w:left="573" w:right="1123"/>
        <w:jc w:val="left"/>
      </w:pPr>
      <w:r>
        <w:rPr>
          <w:rFonts w:ascii="宋体" w:hAnsi="宋体" w:cs="宋体" w:eastAsia="宋体" w:hint="default"/>
        </w:rPr>
        <w:t>5</w:t>
      </w:r>
      <w:r>
        <w:rPr/>
        <w:t>、培训计划</w:t>
      </w:r>
      <w:r>
        <w:rPr>
          <w:w w:val="100"/>
        </w:rPr>
        <w:t> </w:t>
      </w:r>
      <w:r>
        <w:rPr>
          <w:spacing w:val="-2"/>
        </w:rPr>
        <w:t>公司通过多种渠道寻求优秀的培训资源，构建了完善的培训体系。培训内容涵盖了新员工培训、技术</w:t>
      </w:r>
    </w:p>
    <w:p>
      <w:pPr>
        <w:pStyle w:val="BodyText"/>
        <w:spacing w:line="240" w:lineRule="auto" w:before="34"/>
        <w:ind w:right="0"/>
        <w:jc w:val="left"/>
      </w:pPr>
      <w:r>
        <w:rPr>
          <w:spacing w:val="-5"/>
        </w:rPr>
        <w:t>学习、管理技能提升、项目交流及职能服务体系完善等多方面的内容，并组织员工参加各种职业资格考试，</w:t>
      </w:r>
    </w:p>
    <w:p>
      <w:pPr>
        <w:pStyle w:val="BodyText"/>
        <w:spacing w:line="240" w:lineRule="auto" w:before="133"/>
        <w:ind w:right="0"/>
        <w:jc w:val="left"/>
      </w:pPr>
      <w:r>
        <w:rPr/>
        <w:t>提高员工的技能水平，并通过“分享”理念的传播和知识管理体系、项目管理体系的运行，提高员工凝聚</w:t>
      </w:r>
    </w:p>
    <w:p>
      <w:pPr>
        <w:spacing w:after="0" w:line="240" w:lineRule="auto"/>
        <w:jc w:val="left"/>
        <w:sectPr>
          <w:pgSz w:w="11910" w:h="16840"/>
          <w:pgMar w:header="877" w:footer="1316" w:top="1100" w:bottom="1500" w:left="980" w:right="0"/>
        </w:sectPr>
      </w:pPr>
    </w:p>
    <w:p>
      <w:pPr>
        <w:spacing w:line="240" w:lineRule="auto" w:before="3"/>
        <w:rPr>
          <w:rFonts w:ascii="宋体" w:hAnsi="宋体" w:cs="宋体" w:eastAsia="宋体" w:hint="default"/>
          <w:sz w:val="19"/>
          <w:szCs w:val="19"/>
        </w:rPr>
      </w:pPr>
    </w:p>
    <w:p>
      <w:pPr>
        <w:pStyle w:val="BodyText"/>
        <w:spacing w:line="240" w:lineRule="auto" w:before="36"/>
        <w:ind w:right="1123"/>
        <w:jc w:val="left"/>
      </w:pPr>
      <w:r>
        <w:rPr/>
        <w:t>力。</w:t>
      </w:r>
    </w:p>
    <w:p>
      <w:pPr>
        <w:pStyle w:val="BodyText"/>
        <w:spacing w:line="240" w:lineRule="auto" w:before="133"/>
        <w:ind w:left="573" w:right="1123"/>
        <w:jc w:val="left"/>
      </w:pPr>
      <w:r>
        <w:rPr>
          <w:rFonts w:ascii="宋体" w:hAnsi="宋体" w:cs="宋体" w:eastAsia="宋体" w:hint="default"/>
        </w:rPr>
        <w:t>6</w:t>
      </w:r>
      <w:r>
        <w:rPr/>
        <w:t>、公司无需承担费用的离退休职工人数。</w:t>
      </w:r>
    </w:p>
    <w:p>
      <w:pPr>
        <w:spacing w:after="0" w:line="240" w:lineRule="auto"/>
        <w:jc w:val="left"/>
        <w:sectPr>
          <w:pgSz w:w="11910" w:h="16840"/>
          <w:pgMar w:header="877" w:footer="1316" w:top="1100" w:bottom="15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right="1109"/>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3"/>
        <w:rPr>
          <w:rFonts w:ascii="宋体" w:hAnsi="宋体" w:cs="宋体" w:eastAsia="宋体" w:hint="default"/>
          <w:b/>
          <w:bCs/>
          <w:sz w:val="23"/>
          <w:szCs w:val="23"/>
        </w:rPr>
      </w:pPr>
    </w:p>
    <w:p>
      <w:pPr>
        <w:pStyle w:val="BodyText"/>
        <w:spacing w:line="355" w:lineRule="auto" w:before="0"/>
        <w:ind w:right="1126" w:firstLine="420"/>
        <w:jc w:val="both"/>
      </w:pPr>
      <w:r>
        <w:rPr>
          <w:spacing w:val="-2"/>
        </w:rPr>
        <w:t>报告期内，公司严格按照《公司法》、《证券法》、《深圳证券交易所股票上市规则》、《深圳证券</w:t>
      </w:r>
      <w:r>
        <w:rPr>
          <w:w w:val="100"/>
        </w:rPr>
        <w:t> </w:t>
      </w:r>
      <w:r>
        <w:rPr>
          <w:spacing w:val="-2"/>
        </w:rPr>
        <w:t>交易所中小企业板上市公司规范运作指引》和其他相关法律、法规的有关规定，不断完善公司法人治理结</w:t>
      </w:r>
      <w:r>
        <w:rPr>
          <w:spacing w:val="-44"/>
        </w:rPr>
        <w:t> </w:t>
      </w:r>
      <w:r>
        <w:rPr>
          <w:spacing w:val="-44"/>
        </w:rPr>
      </w:r>
      <w:r>
        <w:rPr>
          <w:spacing w:val="-2"/>
        </w:rPr>
        <w:t>构，健全内部控制体系，规范公司运作，保证公司高效运转。截至报告期末，公司治理的实际状况基本符</w:t>
      </w:r>
      <w:r>
        <w:rPr>
          <w:spacing w:val="-42"/>
        </w:rPr>
        <w:t> </w:t>
      </w:r>
      <w:r>
        <w:rPr>
          <w:spacing w:val="-42"/>
        </w:rPr>
      </w:r>
      <w:r>
        <w:rPr/>
        <w:t>合中国证监会发布的有关上市公司治理的规范性文件要求。</w:t>
      </w:r>
    </w:p>
    <w:p>
      <w:pPr>
        <w:spacing w:line="357" w:lineRule="auto" w:before="34"/>
        <w:ind w:left="573" w:right="8434" w:firstLine="2"/>
        <w:jc w:val="left"/>
        <w:rPr>
          <w:rFonts w:ascii="宋体" w:hAnsi="宋体" w:cs="宋体" w:eastAsia="宋体" w:hint="default"/>
          <w:sz w:val="21"/>
          <w:szCs w:val="21"/>
        </w:rPr>
      </w:pPr>
      <w:r>
        <w:rPr>
          <w:rFonts w:ascii="宋体" w:hAnsi="宋体" w:cs="宋体" w:eastAsia="宋体" w:hint="default"/>
          <w:b/>
          <w:bCs/>
          <w:sz w:val="21"/>
          <w:szCs w:val="21"/>
        </w:rPr>
        <w:t>（一）公司治理情况</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、股东与股东大会</w:t>
      </w:r>
    </w:p>
    <w:p>
      <w:pPr>
        <w:pStyle w:val="BodyText"/>
        <w:spacing w:line="357" w:lineRule="auto"/>
        <w:ind w:right="1126" w:firstLine="420"/>
        <w:jc w:val="both"/>
      </w:pPr>
      <w:r>
        <w:rPr>
          <w:spacing w:val="-2"/>
        </w:rPr>
        <w:t>公司严格按照《公司法》、《上市公司股东大会规则》、《公司章程》、《股东大会议事规则》等法</w:t>
      </w:r>
      <w:r>
        <w:rPr>
          <w:w w:val="100"/>
        </w:rPr>
        <w:t> </w:t>
      </w:r>
      <w:r>
        <w:rPr>
          <w:spacing w:val="-2"/>
        </w:rPr>
        <w:t>律法则的要求，规范股东大会的召集、召开、表决程序，并聘请律师进行见证。股东大会会议记录保存完</w:t>
      </w:r>
      <w:r>
        <w:rPr>
          <w:spacing w:val="-43"/>
        </w:rPr>
        <w:t> </w:t>
      </w:r>
      <w:r>
        <w:rPr>
          <w:spacing w:val="-43"/>
        </w:rPr>
      </w:r>
      <w:r>
        <w:rPr/>
        <w:t>整，提案审议程序符合规定。公司治理结构确保所有股东，特别是中小股东享有平等的权利。</w:t>
      </w:r>
    </w:p>
    <w:p>
      <w:pPr>
        <w:pStyle w:val="BodyText"/>
        <w:spacing w:line="355" w:lineRule="auto"/>
        <w:ind w:left="573" w:right="1123"/>
        <w:jc w:val="left"/>
      </w:pPr>
      <w:r>
        <w:rPr>
          <w:rFonts w:ascii="宋体" w:hAnsi="宋体" w:cs="宋体" w:eastAsia="宋体" w:hint="default"/>
        </w:rPr>
        <w:t>2</w:t>
      </w:r>
      <w:r>
        <w:rPr/>
        <w:t>、控股股东与上市公司</w:t>
      </w:r>
      <w:r>
        <w:rPr>
          <w:w w:val="100"/>
        </w:rPr>
        <w:t> </w:t>
      </w:r>
      <w:r>
        <w:rPr>
          <w:spacing w:val="-3"/>
        </w:rPr>
        <w:t>公司严格根据《上市公司治理准则》、《深圳证券交易所股票上市规则》、《公司章程》等制度规范</w:t>
      </w:r>
      <w:r>
        <w:rPr/>
      </w:r>
    </w:p>
    <w:p>
      <w:pPr>
        <w:pStyle w:val="BodyText"/>
        <w:spacing w:line="357" w:lineRule="auto" w:before="32"/>
        <w:ind w:right="1126"/>
        <w:jc w:val="both"/>
      </w:pPr>
      <w:r>
        <w:rPr>
          <w:spacing w:val="-2"/>
        </w:rPr>
        <w:t>股东行为，控股股东通过股东大会行使股东权利，不存在违规占用上市公司资产侵害公司权益的情形，未</w:t>
      </w:r>
      <w:r>
        <w:rPr>
          <w:spacing w:val="-43"/>
        </w:rPr>
        <w:t> </w:t>
      </w:r>
      <w:r>
        <w:rPr>
          <w:spacing w:val="-43"/>
        </w:rPr>
      </w:r>
      <w:r>
        <w:rPr>
          <w:spacing w:val="-2"/>
        </w:rPr>
        <w:t>发生超越股东大会及董事会而直接干预公司经营与决策的行为。公司具有独立的业务和经营自主能力，在</w:t>
      </w:r>
      <w:r>
        <w:rPr>
          <w:spacing w:val="-44"/>
        </w:rPr>
        <w:t> </w:t>
      </w:r>
      <w:r>
        <w:rPr>
          <w:spacing w:val="-44"/>
        </w:rPr>
      </w:r>
      <w:r>
        <w:rPr/>
        <w:t>业务、资产、人员、机构、财务等方面均独立于控股股东。控股股东亦严格遵守相关承诺。</w:t>
      </w:r>
    </w:p>
    <w:p>
      <w:pPr>
        <w:pStyle w:val="BodyText"/>
        <w:spacing w:line="355" w:lineRule="auto"/>
        <w:ind w:left="573" w:right="1123"/>
        <w:jc w:val="left"/>
      </w:pPr>
      <w:r>
        <w:rPr>
          <w:rFonts w:ascii="宋体" w:hAnsi="宋体" w:cs="宋体" w:eastAsia="宋体" w:hint="default"/>
        </w:rPr>
        <w:t>3</w:t>
      </w:r>
      <w:r>
        <w:rPr/>
        <w:t>、董事与董事会</w:t>
      </w:r>
      <w:r>
        <w:rPr>
          <w:w w:val="100"/>
        </w:rPr>
        <w:t> </w:t>
      </w:r>
      <w:r>
        <w:rPr>
          <w:spacing w:val="-2"/>
        </w:rPr>
        <w:t>公司董事会由</w:t>
      </w:r>
      <w:r>
        <w:rPr>
          <w:rFonts w:ascii="宋体" w:hAnsi="宋体" w:cs="宋体" w:eastAsia="宋体" w:hint="default"/>
          <w:spacing w:val="-2"/>
        </w:rPr>
        <w:t>9</w:t>
      </w:r>
      <w:r>
        <w:rPr>
          <w:spacing w:val="-2"/>
        </w:rPr>
        <w:t>名董事组成，其中独立董事</w:t>
      </w:r>
      <w:r>
        <w:rPr>
          <w:rFonts w:ascii="宋体" w:hAnsi="宋体" w:cs="宋体" w:eastAsia="宋体" w:hint="default"/>
          <w:spacing w:val="-2"/>
        </w:rPr>
        <w:t>3</w:t>
      </w:r>
      <w:r>
        <w:rPr>
          <w:spacing w:val="-2"/>
        </w:rPr>
        <w:t>名，董事会的人数、构成及选聘程序均符合法律、法规和</w:t>
      </w:r>
    </w:p>
    <w:p>
      <w:pPr>
        <w:pStyle w:val="BodyText"/>
        <w:spacing w:line="357" w:lineRule="auto" w:before="32"/>
        <w:ind w:right="1104"/>
        <w:jc w:val="both"/>
      </w:pPr>
      <w:r>
        <w:rPr>
          <w:spacing w:val="-2"/>
        </w:rPr>
        <w:t>《公司章程》的规定。公司全体董事均能够按照相关法律、法规及《公司章程》的规定召开会议，依法履</w:t>
      </w:r>
      <w:r>
        <w:rPr>
          <w:spacing w:val="-42"/>
        </w:rPr>
        <w:t> </w:t>
      </w:r>
      <w:r>
        <w:rPr>
          <w:spacing w:val="-42"/>
        </w:rPr>
      </w:r>
      <w:r>
        <w:rPr>
          <w:spacing w:val="-2"/>
        </w:rPr>
        <w:t>行职责。董事会下设战略发展委员会、审计委员会、薪酬与考核委员会、提名委员会等四个专门委员会，</w:t>
      </w:r>
      <w:r>
        <w:rPr>
          <w:spacing w:val="-21"/>
        </w:rPr>
        <w:t> </w:t>
      </w:r>
      <w:r>
        <w:rPr>
          <w:spacing w:val="-21"/>
        </w:rPr>
      </w:r>
      <w:r>
        <w:rPr/>
        <w:t>各位委员利用各自的专长在重大事项方面提出科学合理建议</w:t>
      </w:r>
      <w:r>
        <w:rPr>
          <w:rFonts w:ascii="宋体" w:hAnsi="宋体" w:cs="宋体" w:eastAsia="宋体" w:hint="default"/>
        </w:rPr>
        <w:t>,</w:t>
      </w:r>
      <w:r>
        <w:rPr/>
        <w:t>加强了董事会集体决策的民主性、科学性、</w:t>
      </w:r>
      <w:r>
        <w:rPr>
          <w:spacing w:val="-22"/>
        </w:rPr>
        <w:t> </w:t>
      </w:r>
      <w:r>
        <w:rPr>
          <w:spacing w:val="-22"/>
        </w:rPr>
      </w:r>
      <w:r>
        <w:rPr/>
        <w:t>正确性，确保了公司的健康发展。</w:t>
      </w:r>
      <w:r>
        <w:rPr>
          <w:spacing w:val="63"/>
        </w:rPr>
        <w:t> </w:t>
      </w:r>
      <w:r>
        <w:rPr/>
        <w:t>股东大会对董事会的授权权限合理合法，独立董事能够不受影响的独</w:t>
      </w:r>
      <w:r>
        <w:rPr>
          <w:spacing w:val="-86"/>
        </w:rPr>
        <w:t> </w:t>
      </w:r>
      <w:r>
        <w:rPr>
          <w:spacing w:val="-86"/>
        </w:rPr>
      </w:r>
      <w:r>
        <w:rPr/>
        <w:t>立履行职责。</w:t>
      </w:r>
    </w:p>
    <w:p>
      <w:pPr>
        <w:pStyle w:val="BodyText"/>
        <w:spacing w:line="360" w:lineRule="auto"/>
        <w:ind w:left="573" w:right="1123"/>
        <w:jc w:val="left"/>
      </w:pPr>
      <w:r>
        <w:rPr>
          <w:rFonts w:ascii="宋体" w:hAnsi="宋体" w:cs="宋体" w:eastAsia="宋体" w:hint="default"/>
        </w:rPr>
        <w:t>4</w:t>
      </w:r>
      <w:r>
        <w:rPr/>
        <w:t>、监事与监事会</w:t>
      </w:r>
      <w:r>
        <w:rPr>
          <w:w w:val="100"/>
        </w:rPr>
        <w:t> </w:t>
      </w:r>
      <w:r>
        <w:rPr>
          <w:spacing w:val="-2"/>
        </w:rPr>
        <w:t>公司监事会由</w:t>
      </w:r>
      <w:r>
        <w:rPr>
          <w:rFonts w:ascii="宋体" w:hAnsi="宋体" w:cs="宋体" w:eastAsia="宋体" w:hint="default"/>
          <w:spacing w:val="-2"/>
        </w:rPr>
        <w:t>5</w:t>
      </w:r>
      <w:r>
        <w:rPr>
          <w:spacing w:val="-2"/>
        </w:rPr>
        <w:t>名监事组成，其中职工代表监事</w:t>
      </w:r>
      <w:r>
        <w:rPr>
          <w:rFonts w:ascii="宋体" w:hAnsi="宋体" w:cs="宋体" w:eastAsia="宋体" w:hint="default"/>
          <w:spacing w:val="-2"/>
        </w:rPr>
        <w:t>2</w:t>
      </w:r>
      <w:r>
        <w:rPr>
          <w:spacing w:val="-2"/>
        </w:rPr>
        <w:t>名。监事会的人数、构成及选聘程序均符合法律、法</w:t>
      </w:r>
    </w:p>
    <w:p>
      <w:pPr>
        <w:pStyle w:val="BodyText"/>
        <w:spacing w:line="355" w:lineRule="auto" w:before="28"/>
        <w:ind w:right="1126"/>
        <w:jc w:val="both"/>
      </w:pPr>
      <w:r>
        <w:rPr>
          <w:spacing w:val="-2"/>
        </w:rPr>
        <w:t>规和《公司章程》的规定。公司全体监事均能够按照相关法律、法规及《公司章程》的规定召开会议，依</w:t>
      </w:r>
      <w:r>
        <w:rPr>
          <w:spacing w:val="-47"/>
        </w:rPr>
        <w:t> </w:t>
      </w:r>
      <w:r>
        <w:rPr>
          <w:spacing w:val="-47"/>
        </w:rPr>
      </w:r>
      <w:r>
        <w:rPr>
          <w:spacing w:val="-2"/>
        </w:rPr>
        <w:t>法履行职责，出席股东大会、列席现场董事会。按规定的程序对公司重大事项、财务状况、董事和高级管</w:t>
      </w:r>
      <w:r>
        <w:rPr>
          <w:spacing w:val="-42"/>
        </w:rPr>
        <w:t> </w:t>
      </w:r>
      <w:r>
        <w:rPr>
          <w:spacing w:val="-42"/>
        </w:rPr>
      </w:r>
      <w:r>
        <w:rPr/>
        <w:t>理人员履行职责的情况等事项进行了有效的监督，维护了公司及股东的合法权益。</w:t>
      </w:r>
    </w:p>
    <w:p>
      <w:pPr>
        <w:pStyle w:val="BodyText"/>
        <w:spacing w:line="357" w:lineRule="auto" w:before="32"/>
        <w:ind w:left="573" w:right="1123"/>
        <w:jc w:val="left"/>
      </w:pPr>
      <w:r>
        <w:rPr>
          <w:rFonts w:ascii="宋体" w:hAnsi="宋体" w:cs="宋体" w:eastAsia="宋体" w:hint="default"/>
        </w:rPr>
        <w:t>5</w:t>
      </w:r>
      <w:r>
        <w:rPr/>
        <w:t>、关于相关利益者</w:t>
      </w:r>
      <w:r>
        <w:rPr>
          <w:w w:val="100"/>
        </w:rPr>
        <w:t> </w:t>
      </w:r>
      <w:r>
        <w:rPr>
          <w:spacing w:val="-2"/>
        </w:rPr>
        <w:t>公司能够充分尊重和维护客户、股东、员工等相关利益者的合法权益，积极与相关利益者合作，加强</w:t>
      </w:r>
    </w:p>
    <w:p>
      <w:pPr>
        <w:pStyle w:val="BodyText"/>
        <w:spacing w:line="240" w:lineRule="auto"/>
        <w:ind w:right="0"/>
        <w:jc w:val="both"/>
      </w:pPr>
      <w:r>
        <w:rPr/>
        <w:t>与各方的沟通和交流，实现股东、员工、社会等各方利益的均衡，以推动公司持续、稳定、健康地发展。</w:t>
      </w:r>
    </w:p>
    <w:p>
      <w:pPr>
        <w:spacing w:after="0" w:line="240" w:lineRule="auto"/>
        <w:jc w:val="both"/>
        <w:sectPr>
          <w:pgSz w:w="11910" w:h="16840"/>
          <w:pgMar w:header="877" w:footer="1316" w:top="1100" w:bottom="1500" w:left="980" w:right="0"/>
        </w:sectPr>
      </w:pPr>
    </w:p>
    <w:p>
      <w:pPr>
        <w:spacing w:line="240" w:lineRule="auto" w:before="3"/>
        <w:rPr>
          <w:rFonts w:ascii="宋体" w:hAnsi="宋体" w:cs="宋体" w:eastAsia="宋体" w:hint="default"/>
          <w:sz w:val="19"/>
          <w:szCs w:val="19"/>
        </w:rPr>
      </w:pPr>
    </w:p>
    <w:p>
      <w:pPr>
        <w:pStyle w:val="BodyText"/>
        <w:spacing w:line="357" w:lineRule="auto" w:before="36"/>
        <w:ind w:left="573" w:right="0"/>
        <w:jc w:val="left"/>
      </w:pPr>
      <w:r>
        <w:rPr>
          <w:rFonts w:ascii="宋体" w:hAnsi="宋体" w:cs="宋体" w:eastAsia="宋体" w:hint="default"/>
        </w:rPr>
        <w:t>6</w:t>
      </w:r>
      <w:r>
        <w:rPr/>
        <w:t>、公司信息披露与透明度情况</w:t>
      </w:r>
      <w:r>
        <w:rPr>
          <w:w w:val="100"/>
        </w:rPr>
        <w:t> </w:t>
      </w:r>
      <w:r>
        <w:rPr>
          <w:spacing w:val="-5"/>
        </w:rPr>
        <w:t>公司已建立《信息披露管理制度》及《重大信息内部报告制度》，公司重大事件的报告、传递、审核、</w:t>
      </w:r>
    </w:p>
    <w:p>
      <w:pPr>
        <w:pStyle w:val="BodyText"/>
        <w:spacing w:line="357" w:lineRule="auto"/>
        <w:ind w:right="1127"/>
        <w:jc w:val="both"/>
      </w:pPr>
      <w:r>
        <w:rPr>
          <w:spacing w:val="-2"/>
        </w:rPr>
        <w:t>披露程序均根据《公司章程》、各项议事规则及上述制度的相关规定执行。公司所有信息披露均严格的审</w:t>
      </w:r>
      <w:r>
        <w:rPr>
          <w:spacing w:val="-47"/>
        </w:rPr>
        <w:t> </w:t>
      </w:r>
      <w:r>
        <w:rPr>
          <w:spacing w:val="-47"/>
        </w:rPr>
      </w:r>
      <w:r>
        <w:rPr>
          <w:spacing w:val="-2"/>
        </w:rPr>
        <w:t>批程序，在中国证监会指定信息披露媒体上真实、准确、完整、及时地披露，确保所有投资者公平获取公</w:t>
      </w:r>
      <w:r>
        <w:rPr>
          <w:spacing w:val="-43"/>
        </w:rPr>
        <w:t> </w:t>
      </w:r>
      <w:r>
        <w:rPr>
          <w:spacing w:val="-43"/>
        </w:rPr>
      </w:r>
      <w:r>
        <w:rPr/>
        <w:t>司信息。</w:t>
      </w:r>
    </w:p>
    <w:p>
      <w:pPr>
        <w:pStyle w:val="BodyText"/>
        <w:spacing w:line="355" w:lineRule="auto"/>
        <w:ind w:left="573" w:right="1123"/>
        <w:jc w:val="left"/>
      </w:pPr>
      <w:r>
        <w:rPr>
          <w:rFonts w:ascii="宋体" w:hAnsi="宋体" w:cs="宋体" w:eastAsia="宋体" w:hint="default"/>
        </w:rPr>
        <w:t>7</w:t>
      </w:r>
      <w:r>
        <w:rPr/>
        <w:t>、公司与投资者</w:t>
      </w:r>
      <w:r>
        <w:rPr>
          <w:w w:val="100"/>
        </w:rPr>
        <w:t> </w:t>
      </w:r>
      <w:r>
        <w:rPr/>
        <w:t>公司指定董事会秘书为投资者关系工作的第一负责人，并将每月的</w:t>
      </w:r>
      <w:r>
        <w:rPr>
          <w:rFonts w:ascii="宋体" w:hAnsi="宋体" w:cs="宋体" w:eastAsia="宋体" w:hint="default"/>
        </w:rPr>
        <w:t>8</w:t>
      </w:r>
      <w:r>
        <w:rPr/>
        <w:t>日作为“投资者接待日”。证券</w:t>
      </w:r>
    </w:p>
    <w:p>
      <w:pPr>
        <w:pStyle w:val="BodyText"/>
        <w:spacing w:line="355" w:lineRule="auto" w:before="34"/>
        <w:ind w:left="573" w:right="0" w:hanging="421"/>
        <w:jc w:val="left"/>
      </w:pPr>
      <w:r>
        <w:rPr>
          <w:spacing w:val="-5"/>
        </w:rPr>
        <w:t>部负责投资者关系管理工作的日常事务，通过电话、实地及公司网站等多种渠道保持与投资者的顺利沟通。</w:t>
      </w:r>
      <w:r>
        <w:rPr>
          <w:spacing w:val="-8"/>
        </w:rPr>
        <w:t> </w:t>
      </w:r>
      <w:r>
        <w:rPr>
          <w:spacing w:val="-8"/>
        </w:rPr>
      </w:r>
      <w:r>
        <w:rPr/>
        <w:t>经股东大会或董事会审议通过，公司正在执行的制度如下：</w:t>
      </w:r>
    </w:p>
    <w:p>
      <w:pPr>
        <w:spacing w:line="240" w:lineRule="auto" w:before="1"/>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5814"/>
        <w:gridCol w:w="240"/>
        <w:gridCol w:w="2029"/>
        <w:gridCol w:w="1558"/>
      </w:tblGrid>
      <w:tr>
        <w:trPr>
          <w:trHeight w:val="349"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制度名称</w:t>
            </w:r>
            <w:r>
              <w:rPr>
                <w:rFonts w:ascii="宋体" w:hAnsi="宋体" w:cs="宋体" w:eastAsia="宋体" w:hint="default"/>
                <w:sz w:val="21"/>
                <w:szCs w:val="21"/>
              </w:rPr>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705" w:right="0"/>
              <w:jc w:val="left"/>
              <w:rPr>
                <w:rFonts w:ascii="宋体" w:hAnsi="宋体" w:cs="宋体" w:eastAsia="宋体" w:hint="default"/>
                <w:sz w:val="21"/>
                <w:szCs w:val="21"/>
              </w:rPr>
            </w:pPr>
            <w:r>
              <w:rPr>
                <w:rFonts w:ascii="宋体" w:hAnsi="宋体" w:cs="宋体" w:eastAsia="宋体" w:hint="default"/>
                <w:b/>
                <w:bCs/>
                <w:sz w:val="21"/>
                <w:szCs w:val="21"/>
              </w:rPr>
              <w:t>生效时间</w:t>
            </w:r>
            <w:r>
              <w:rPr>
                <w:rFonts w:ascii="宋体" w:hAnsi="宋体" w:cs="宋体" w:eastAsia="宋体" w:hint="default"/>
                <w:sz w:val="21"/>
                <w:szCs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披露媒体</w:t>
            </w:r>
            <w:r>
              <w:rPr>
                <w:rFonts w:ascii="宋体" w:hAnsi="宋体" w:cs="宋体" w:eastAsia="宋体" w:hint="default"/>
                <w:sz w:val="21"/>
                <w:szCs w:val="21"/>
              </w:rPr>
            </w:r>
          </w:p>
        </w:tc>
      </w:tr>
      <w:tr>
        <w:trPr>
          <w:trHeight w:val="346"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《总经理工作细则》</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0</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《监事会议事规则》</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《独立董事工作制度》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《董事会秘书工作制度》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《提名委员会工作细则》</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《战略发展委员会工作细则》</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《审计委员会工作细则》</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《董事会薪酬及考核委员会工作细则》</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《内部审计制度》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0</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《关联交易管理制度》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《重大信息内部报告制度》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《董事、监事和高级管理人员所持公司股份及其变动管理制度</w:t>
            </w:r>
          </w:p>
        </w:tc>
        <w:tc>
          <w:tcPr>
            <w:tcW w:w="240"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13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029"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《董事会审计委员会年度财务报告工作制度》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《信息披露管理制度》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0</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《募集资金管理制度》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0</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《会计师事务所选聘制度》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0</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《子公司管理制度》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《融资管理制度》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9"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《对外投资管理制度》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0</w:t>
            </w:r>
            <w:r>
              <w:rPr>
                <w:rFonts w:ascii="Times New Roman" w:hAnsi="Times New Roman" w:cs="Times New Roman" w:eastAsia="Times New Roman" w:hint="default"/>
                <w:sz w:val="21"/>
                <w:szCs w:val="21"/>
              </w:rPr>
              <w:t>3</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《资产损失管理制度》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0</w:t>
            </w:r>
            <w:r>
              <w:rPr>
                <w:rFonts w:ascii="Times New Roman" w:hAnsi="Times New Roman" w:cs="Times New Roman" w:eastAsia="Times New Roman" w:hint="default"/>
                <w:sz w:val="21"/>
                <w:szCs w:val="21"/>
              </w:rPr>
              <w:t>3</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《对外担保管理制度》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0</w:t>
            </w:r>
            <w:r>
              <w:rPr>
                <w:rFonts w:ascii="Times New Roman" w:hAnsi="Times New Roman" w:cs="Times New Roman" w:eastAsia="Times New Roman" w:hint="default"/>
                <w:sz w:val="21"/>
                <w:szCs w:val="21"/>
              </w:rPr>
              <w:t>3</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0</w:t>
            </w:r>
            <w:r>
              <w:rPr>
                <w:rFonts w:ascii="Times New Roman" w:hAnsi="Times New Roman" w:cs="Times New Roman" w:eastAsia="Times New Roman" w:hint="default"/>
                <w:sz w:val="21"/>
                <w:szCs w:val="21"/>
              </w:rPr>
              <w:t>3</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0</w:t>
            </w:r>
            <w:r>
              <w:rPr>
                <w:rFonts w:ascii="Times New Roman" w:hAnsi="Times New Roman" w:cs="Times New Roman" w:eastAsia="Times New Roman" w:hint="default"/>
                <w:sz w:val="21"/>
                <w:szCs w:val="21"/>
              </w:rPr>
              <w:t>3</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《财务负责人管理制度》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《财务管理制度》</w:t>
            </w:r>
          </w:p>
        </w:tc>
        <w:tc>
          <w:tcPr>
            <w:tcW w:w="22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74" w:lineRule="exact"/>
        <w:jc w:val="center"/>
        <w:rPr>
          <w:rFonts w:ascii="宋体" w:hAnsi="宋体" w:cs="宋体" w:eastAsia="宋体" w:hint="default"/>
          <w:sz w:val="21"/>
          <w:szCs w:val="21"/>
        </w:rPr>
        <w:sectPr>
          <w:pgSz w:w="11910" w:h="16840"/>
          <w:pgMar w:header="877" w:footer="1316" w:top="1100" w:bottom="150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5814"/>
        <w:gridCol w:w="2269"/>
        <w:gridCol w:w="1558"/>
      </w:tblGrid>
      <w:tr>
        <w:trPr>
          <w:trHeight w:val="348"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《董事、监事及高级管理人员薪酬管理制度》</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《财务报告内部控制制度》</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《会计政策、会计估计变更及会计差错管理制度》</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《内幕信息知情人登记制度》</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0</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12"/>
        <w:rPr>
          <w:rFonts w:ascii="宋体" w:hAnsi="宋体" w:cs="宋体" w:eastAsia="宋体" w:hint="default"/>
          <w:sz w:val="17"/>
          <w:szCs w:val="17"/>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57" w:lineRule="auto" w:before="115"/>
        <w:ind w:left="152" w:right="553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公司治理与《公司法》和中国证监会相关规定的要求不存在差异。</w:t>
      </w:r>
    </w:p>
    <w:p>
      <w:pPr>
        <w:spacing w:line="357" w:lineRule="auto" w:before="26"/>
        <w:ind w:left="513" w:right="1119" w:hanging="361"/>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 </w:t>
      </w:r>
      <w:r>
        <w:rPr>
          <w:rFonts w:ascii="宋体" w:hAnsi="宋体" w:cs="宋体" w:eastAsia="宋体" w:hint="default"/>
          <w:spacing w:val="-4"/>
          <w:sz w:val="18"/>
          <w:szCs w:val="18"/>
        </w:rPr>
        <w:t>根据《关于上市公司建立内幕信息知情人登记管理制度的规定》（中国证监会公告</w:t>
      </w:r>
      <w:r>
        <w:rPr>
          <w:rFonts w:ascii="宋体" w:hAnsi="宋体" w:cs="宋体" w:eastAsia="宋体" w:hint="default"/>
          <w:spacing w:val="8"/>
          <w:sz w:val="18"/>
          <w:szCs w:val="18"/>
        </w:rPr>
        <w:t> </w:t>
      </w:r>
      <w:r>
        <w:rPr>
          <w:rFonts w:ascii="宋体" w:hAnsi="宋体" w:cs="宋体" w:eastAsia="宋体" w:hint="default"/>
          <w:spacing w:val="-2"/>
          <w:sz w:val="18"/>
          <w:szCs w:val="18"/>
        </w:rPr>
        <w:t>2011[30]</w:t>
      </w:r>
      <w:r>
        <w:rPr>
          <w:rFonts w:ascii="宋体" w:hAnsi="宋体" w:cs="宋体" w:eastAsia="宋体" w:hint="default"/>
          <w:spacing w:val="-2"/>
          <w:sz w:val="18"/>
          <w:szCs w:val="18"/>
        </w:rPr>
        <w:t>号）及《关于要求深圳上市</w:t>
      </w:r>
    </w:p>
    <w:p>
      <w:pPr>
        <w:tabs>
          <w:tab w:pos="7183" w:val="left" w:leader="none"/>
        </w:tabs>
        <w:spacing w:line="357" w:lineRule="auto" w:before="27"/>
        <w:ind w:left="152" w:right="1040" w:firstLine="0"/>
        <w:jc w:val="left"/>
        <w:rPr>
          <w:rFonts w:ascii="宋体" w:hAnsi="宋体" w:cs="宋体" w:eastAsia="宋体" w:hint="default"/>
          <w:sz w:val="18"/>
          <w:szCs w:val="18"/>
        </w:rPr>
      </w:pPr>
      <w:r>
        <w:rPr>
          <w:rFonts w:ascii="宋体" w:hAnsi="宋体" w:cs="宋体" w:eastAsia="宋体" w:hint="default"/>
          <w:sz w:val="18"/>
          <w:szCs w:val="18"/>
        </w:rPr>
        <w:t>公司进一步做好内幕信息管理有关工作的通知》</w:t>
      </w:r>
      <w:r>
        <w:rPr>
          <w:rFonts w:ascii="宋体" w:hAnsi="宋体" w:cs="宋体" w:eastAsia="宋体" w:hint="default"/>
          <w:sz w:val="18"/>
          <w:szCs w:val="18"/>
        </w:rPr>
        <w:t>(</w:t>
      </w:r>
      <w:r>
        <w:rPr>
          <w:rFonts w:ascii="宋体" w:hAnsi="宋体" w:cs="宋体" w:eastAsia="宋体" w:hint="default"/>
          <w:sz w:val="18"/>
          <w:szCs w:val="18"/>
        </w:rPr>
        <w:t>深证局公司字【</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108</w:t>
      </w:r>
      <w:r>
        <w:rPr>
          <w:rFonts w:ascii="宋体" w:hAnsi="宋体" w:cs="宋体" w:eastAsia="宋体" w:hint="default"/>
          <w:spacing w:val="-50"/>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的要求，公司于</w:t>
      </w:r>
      <w:r>
        <w:rPr>
          <w:rFonts w:ascii="宋体" w:hAnsi="宋体" w:cs="宋体" w:eastAsia="宋体" w:hint="default"/>
          <w:spacing w:val="-51"/>
          <w:sz w:val="18"/>
          <w:szCs w:val="18"/>
        </w:rPr>
        <w:t> </w:t>
      </w: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27</w:t>
      </w:r>
      <w:r>
        <w:rPr>
          <w:rFonts w:ascii="宋体" w:hAnsi="宋体" w:cs="宋体" w:eastAsia="宋体" w:hint="default"/>
          <w:spacing w:val="-50"/>
          <w:sz w:val="18"/>
          <w:szCs w:val="18"/>
        </w:rPr>
        <w:t> </w:t>
      </w:r>
      <w:r>
        <w:rPr>
          <w:rFonts w:ascii="宋体" w:hAnsi="宋体" w:cs="宋体" w:eastAsia="宋体" w:hint="default"/>
          <w:sz w:val="18"/>
          <w:szCs w:val="18"/>
        </w:rPr>
        <w:t>日召开第四 </w:t>
      </w:r>
      <w:r>
        <w:rPr>
          <w:rFonts w:ascii="宋体" w:hAnsi="宋体" w:cs="宋体" w:eastAsia="宋体" w:hint="default"/>
          <w:spacing w:val="-2"/>
          <w:sz w:val="18"/>
          <w:szCs w:val="18"/>
        </w:rPr>
        <w:t>届董事会第十三次会议，修订了《内幕信息知情人登记制度》，完善了内幕信息知情人的登记及内幕信息档案的管理工作。</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修订后</w:t>
      </w:r>
      <w:r>
        <w:rPr>
          <w:rFonts w:ascii="宋体" w:hAnsi="宋体" w:cs="宋体" w:eastAsia="宋体" w:hint="default"/>
          <w:spacing w:val="-22"/>
          <w:sz w:val="18"/>
          <w:szCs w:val="18"/>
        </w:rPr>
        <w:t>的</w:t>
      </w:r>
      <w:r>
        <w:rPr>
          <w:rFonts w:ascii="宋体" w:hAnsi="宋体" w:cs="宋体" w:eastAsia="宋体" w:hint="default"/>
          <w:sz w:val="18"/>
          <w:szCs w:val="18"/>
        </w:rPr>
        <w:t>《内幕信息知情人</w:t>
      </w:r>
      <w:r>
        <w:rPr>
          <w:rFonts w:ascii="宋体" w:hAnsi="宋体" w:cs="宋体" w:eastAsia="宋体" w:hint="default"/>
          <w:spacing w:val="2"/>
          <w:sz w:val="18"/>
          <w:szCs w:val="18"/>
        </w:rPr>
        <w:t>登</w:t>
      </w:r>
      <w:r>
        <w:rPr>
          <w:rFonts w:ascii="宋体" w:hAnsi="宋体" w:cs="宋体" w:eastAsia="宋体" w:hint="default"/>
          <w:sz w:val="18"/>
          <w:szCs w:val="18"/>
        </w:rPr>
        <w:t>记制度</w:t>
      </w:r>
      <w:r>
        <w:rPr>
          <w:rFonts w:ascii="宋体" w:hAnsi="宋体" w:cs="宋体" w:eastAsia="宋体" w:hint="default"/>
          <w:spacing w:val="-22"/>
          <w:sz w:val="18"/>
          <w:szCs w:val="18"/>
        </w:rPr>
        <w:t>》</w:t>
      </w:r>
      <w:r>
        <w:rPr>
          <w:rFonts w:ascii="宋体" w:hAnsi="宋体" w:cs="宋体" w:eastAsia="宋体" w:hint="default"/>
          <w:sz w:val="18"/>
          <w:szCs w:val="18"/>
        </w:rPr>
        <w:t>刊登于巨潮资讯</w:t>
      </w:r>
      <w:r>
        <w:rPr>
          <w:rFonts w:ascii="宋体" w:hAnsi="宋体" w:cs="宋体" w:eastAsia="宋体" w:hint="default"/>
          <w:spacing w:val="-22"/>
          <w:sz w:val="18"/>
          <w:szCs w:val="18"/>
        </w:rPr>
        <w:t>网</w:t>
      </w:r>
      <w:r>
        <w:rPr>
          <w:rFonts w:ascii="宋体" w:hAnsi="宋体" w:cs="宋体" w:eastAsia="宋体" w:hint="default"/>
          <w:spacing w:val="1"/>
          <w:sz w:val="18"/>
          <w:szCs w:val="18"/>
        </w:rPr>
        <w:t>（</w:t>
      </w:r>
      <w:hyperlink r:id="rId11">
        <w:r>
          <w:rPr>
            <w:rFonts w:ascii="宋体" w:hAnsi="宋体" w:cs="宋体" w:eastAsia="宋体" w:hint="default"/>
            <w:spacing w:val="1"/>
            <w:sz w:val="18"/>
            <w:szCs w:val="18"/>
          </w:rPr>
          <w:t>www</w:t>
        </w:r>
        <w:r>
          <w:rPr>
            <w:rFonts w:ascii="宋体" w:hAnsi="宋体" w:cs="宋体" w:eastAsia="宋体" w:hint="default"/>
            <w:spacing w:val="-2"/>
            <w:sz w:val="18"/>
            <w:szCs w:val="18"/>
          </w:rPr>
          <w:t>.</w:t>
        </w:r>
        <w:r>
          <w:rPr>
            <w:rFonts w:ascii="宋体" w:hAnsi="宋体" w:cs="宋体" w:eastAsia="宋体" w:hint="default"/>
            <w:spacing w:val="1"/>
            <w:sz w:val="18"/>
            <w:szCs w:val="18"/>
          </w:rPr>
          <w:t>c</w:t>
        </w:r>
        <w:r>
          <w:rPr>
            <w:rFonts w:ascii="宋体" w:hAnsi="宋体" w:cs="宋体" w:eastAsia="宋体" w:hint="default"/>
            <w:spacing w:val="-2"/>
            <w:sz w:val="18"/>
            <w:szCs w:val="18"/>
          </w:rPr>
          <w:t>n</w:t>
        </w:r>
        <w:r>
          <w:rPr>
            <w:rFonts w:ascii="宋体" w:hAnsi="宋体" w:cs="宋体" w:eastAsia="宋体" w:hint="default"/>
            <w:spacing w:val="1"/>
            <w:sz w:val="18"/>
            <w:szCs w:val="18"/>
          </w:rPr>
          <w:t>i</w:t>
        </w:r>
        <w:r>
          <w:rPr>
            <w:rFonts w:ascii="宋体" w:hAnsi="宋体" w:cs="宋体" w:eastAsia="宋体" w:hint="default"/>
            <w:spacing w:val="-2"/>
            <w:sz w:val="18"/>
            <w:szCs w:val="18"/>
          </w:rPr>
          <w:t>n</w:t>
        </w:r>
        <w:r>
          <w:rPr>
            <w:rFonts w:ascii="宋体" w:hAnsi="宋体" w:cs="宋体" w:eastAsia="宋体" w:hint="default"/>
            <w:spacing w:val="1"/>
            <w:sz w:val="18"/>
            <w:szCs w:val="18"/>
          </w:rPr>
          <w:t>f</w:t>
        </w:r>
        <w:r>
          <w:rPr>
            <w:rFonts w:ascii="宋体" w:hAnsi="宋体" w:cs="宋体" w:eastAsia="宋体" w:hint="default"/>
            <w:spacing w:val="-2"/>
            <w:sz w:val="18"/>
            <w:szCs w:val="18"/>
          </w:rPr>
          <w:t>o</w:t>
        </w:r>
        <w:r>
          <w:rPr>
            <w:rFonts w:ascii="宋体" w:hAnsi="宋体" w:cs="宋体" w:eastAsia="宋体" w:hint="default"/>
            <w:spacing w:val="1"/>
            <w:sz w:val="18"/>
            <w:szCs w:val="18"/>
          </w:rPr>
          <w:t>.</w:t>
        </w:r>
        <w:r>
          <w:rPr>
            <w:rFonts w:ascii="宋体" w:hAnsi="宋体" w:cs="宋体" w:eastAsia="宋体" w:hint="default"/>
            <w:spacing w:val="-2"/>
            <w:sz w:val="18"/>
            <w:szCs w:val="18"/>
          </w:rPr>
          <w:t>c</w:t>
        </w:r>
        <w:r>
          <w:rPr>
            <w:rFonts w:ascii="宋体" w:hAnsi="宋体" w:cs="宋体" w:eastAsia="宋体" w:hint="default"/>
            <w:spacing w:val="1"/>
            <w:sz w:val="18"/>
            <w:szCs w:val="18"/>
          </w:rPr>
          <w:t>o</w:t>
        </w:r>
        <w:r>
          <w:rPr>
            <w:rFonts w:ascii="宋体" w:hAnsi="宋体" w:cs="宋体" w:eastAsia="宋体" w:hint="default"/>
            <w:spacing w:val="-2"/>
            <w:sz w:val="18"/>
            <w:szCs w:val="18"/>
          </w:rPr>
          <w:t>m</w:t>
        </w:r>
        <w:r>
          <w:rPr>
            <w:rFonts w:ascii="宋体" w:hAnsi="宋体" w:cs="宋体" w:eastAsia="宋体" w:hint="default"/>
            <w:spacing w:val="1"/>
            <w:sz w:val="18"/>
            <w:szCs w:val="18"/>
          </w:rPr>
          <w:t>.</w:t>
        </w:r>
        <w:r>
          <w:rPr>
            <w:rFonts w:ascii="宋体" w:hAnsi="宋体" w:cs="宋体" w:eastAsia="宋体" w:hint="default"/>
            <w:spacing w:val="-2"/>
            <w:sz w:val="18"/>
            <w:szCs w:val="18"/>
          </w:rPr>
          <w:t>c</w:t>
        </w:r>
        <w:r>
          <w:rPr>
            <w:rFonts w:ascii="宋体" w:hAnsi="宋体" w:cs="宋体" w:eastAsia="宋体"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w w:val="50"/>
          <w:sz w:val="18"/>
          <w:szCs w:val="18"/>
        </w:rPr>
        <w:t>’</w:t>
      </w:r>
      <w:r>
        <w:rPr>
          <w:rFonts w:ascii="宋体" w:hAnsi="宋体" w:cs="宋体" w:eastAsia="宋体" w:hint="default"/>
          <w:sz w:val="18"/>
          <w:szCs w:val="18"/>
        </w:rPr>
        <w:tab/>
      </w:r>
      <w:r>
        <w:rPr>
          <w:rFonts w:ascii="宋体" w:hAnsi="宋体" w:cs="宋体" w:eastAsia="宋体" w:hint="default"/>
          <w:sz w:val="18"/>
          <w:szCs w:val="18"/>
        </w:rPr>
        <w:t>公司指定专人负责内幕信息管理， </w:t>
      </w:r>
      <w:r>
        <w:rPr>
          <w:rFonts w:ascii="宋体" w:hAnsi="宋体" w:cs="宋体" w:eastAsia="宋体" w:hint="default"/>
          <w:spacing w:val="-2"/>
          <w:sz w:val="18"/>
          <w:szCs w:val="18"/>
        </w:rPr>
        <w:t>对内幕信息的使用进行登记、归档和备查，严格控制知情人范围，在内幕信息公开披露前的报告、传递、编制、审核、披露</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等环节中，如实、完整记录内幕信息知情人名单。报告期内，未发现内幕信息知情人利用内幕信息买卖公司股票的情况。</w:t>
      </w:r>
    </w:p>
    <w:p>
      <w:pPr>
        <w:spacing w:line="240" w:lineRule="auto" w:before="7"/>
        <w:rPr>
          <w:rFonts w:ascii="宋体" w:hAnsi="宋体" w:cs="宋体" w:eastAsia="宋体" w:hint="default"/>
          <w:sz w:val="24"/>
          <w:szCs w:val="24"/>
        </w:rPr>
      </w:pPr>
    </w:p>
    <w:p>
      <w:pPr>
        <w:pStyle w:val="Heading2"/>
        <w:spacing w:line="240" w:lineRule="auto"/>
        <w:ind w:right="1123"/>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2764"/>
        <w:gridCol w:w="708"/>
        <w:gridCol w:w="1561"/>
        <w:gridCol w:w="1344"/>
      </w:tblGrid>
      <w:tr>
        <w:trPr>
          <w:trHeight w:val="75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836"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170" w:right="167"/>
              <w:jc w:val="left"/>
              <w:rPr>
                <w:rFonts w:ascii="宋体" w:hAnsi="宋体" w:cs="宋体" w:eastAsia="宋体" w:hint="default"/>
                <w:sz w:val="18"/>
                <w:szCs w:val="18"/>
              </w:rPr>
            </w:pPr>
            <w:r>
              <w:rPr>
                <w:rFonts w:ascii="宋体" w:hAnsi="宋体" w:cs="宋体" w:eastAsia="宋体" w:hint="default"/>
                <w:sz w:val="18"/>
                <w:szCs w:val="18"/>
              </w:rPr>
              <w:t>决议 情况</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7"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49"/>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7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年度董事会工作报</w:t>
            </w:r>
            <w:r>
              <w:rPr>
                <w:rFonts w:ascii="宋体" w:hAnsi="宋体" w:cs="宋体" w:eastAsia="宋体" w:hint="default"/>
                <w:spacing w:val="-3"/>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年度监事会工作报</w:t>
            </w:r>
            <w:r>
              <w:rPr>
                <w:rFonts w:ascii="宋体" w:hAnsi="宋体" w:cs="宋体" w:eastAsia="宋体" w:hint="default"/>
                <w:spacing w:val="-3"/>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年年度财务决算报</w:t>
            </w:r>
            <w:r>
              <w:rPr>
                <w:rFonts w:ascii="宋体" w:hAnsi="宋体" w:cs="宋体" w:eastAsia="宋体" w:hint="default"/>
                <w:spacing w:val="-3"/>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128"/>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年年度报告全文及</w:t>
            </w:r>
            <w:r>
              <w:rPr>
                <w:rFonts w:ascii="宋体" w:hAnsi="宋体" w:cs="宋体" w:eastAsia="宋体" w:hint="default"/>
                <w:spacing w:val="-3"/>
                <w:sz w:val="18"/>
                <w:szCs w:val="18"/>
              </w:rPr>
              <w:t>摘</w:t>
            </w:r>
            <w:r>
              <w:rPr>
                <w:rFonts w:ascii="宋体" w:hAnsi="宋体" w:cs="宋体" w:eastAsia="宋体" w:hint="default"/>
                <w:sz w:val="18"/>
                <w:szCs w:val="18"/>
              </w:rPr>
              <w:t>要</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年度利润分配预案</w:t>
            </w:r>
            <w:r>
              <w:rPr>
                <w:rFonts w:ascii="宋体" w:hAnsi="宋体" w:cs="宋体" w:eastAsia="宋体" w:hint="default"/>
                <w:spacing w:val="-94"/>
                <w:sz w:val="18"/>
                <w:szCs w:val="18"/>
              </w:rPr>
              <w:t>》</w:t>
            </w:r>
            <w:r>
              <w:rPr>
                <w:rFonts w:ascii="宋体" w:hAnsi="宋体" w:cs="宋体" w:eastAsia="宋体" w:hint="default"/>
                <w:sz w:val="18"/>
                <w:szCs w:val="18"/>
              </w:rPr>
              <w:t>；</w:t>
            </w:r>
          </w:p>
          <w:p>
            <w:pPr>
              <w:pStyle w:val="TableParagraph"/>
              <w:spacing w:line="316" w:lineRule="auto" w:before="76"/>
              <w:ind w:left="22" w:right="22"/>
              <w:jc w:val="left"/>
              <w:rPr>
                <w:rFonts w:ascii="宋体" w:hAnsi="宋体" w:cs="宋体" w:eastAsia="宋体" w:hint="default"/>
                <w:sz w:val="18"/>
                <w:szCs w:val="18"/>
              </w:rPr>
            </w:pPr>
            <w:r>
              <w:rPr>
                <w:rFonts w:ascii="宋体" w:hAnsi="宋体" w:cs="宋体" w:eastAsia="宋体" w:hint="default"/>
                <w:spacing w:val="1"/>
                <w:sz w:val="18"/>
                <w:szCs w:val="18"/>
              </w:rPr>
              <w:t>6</w:t>
            </w:r>
            <w:r>
              <w:rPr>
                <w:rFonts w:ascii="宋体" w:hAnsi="宋体" w:cs="宋体" w:eastAsia="宋体" w:hint="default"/>
                <w:spacing w:val="-173"/>
                <w:sz w:val="18"/>
                <w:szCs w:val="18"/>
              </w:rPr>
              <w:t>、</w:t>
            </w:r>
            <w:r>
              <w:rPr>
                <w:rFonts w:ascii="宋体" w:hAnsi="宋体" w:cs="宋体" w:eastAsia="宋体" w:hint="default"/>
                <w:sz w:val="18"/>
                <w:szCs w:val="18"/>
              </w:rPr>
              <w:t>《关于公司</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年度向银</w:t>
            </w:r>
            <w:r>
              <w:rPr>
                <w:rFonts w:ascii="宋体" w:hAnsi="宋体" w:cs="宋体" w:eastAsia="宋体" w:hint="default"/>
                <w:spacing w:val="-3"/>
                <w:sz w:val="18"/>
                <w:szCs w:val="18"/>
              </w:rPr>
              <w:t>行</w:t>
            </w:r>
            <w:r>
              <w:rPr>
                <w:rFonts w:ascii="宋体" w:hAnsi="宋体" w:cs="宋体" w:eastAsia="宋体" w:hint="default"/>
                <w:sz w:val="18"/>
                <w:szCs w:val="18"/>
              </w:rPr>
              <w:t>申请</w:t>
            </w:r>
            <w:r>
              <w:rPr>
                <w:rFonts w:ascii="宋体" w:hAnsi="宋体" w:cs="宋体" w:eastAsia="宋体" w:hint="default"/>
                <w:sz w:val="18"/>
                <w:szCs w:val="18"/>
              </w:rPr>
              <w:t> 综合授信额度的议案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80"/>
              <w:ind w:left="-12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5"/>
                <w:sz w:val="18"/>
                <w:szCs w:val="18"/>
              </w:rPr>
              <w:t> </w:t>
            </w:r>
            <w:r>
              <w:rPr>
                <w:rFonts w:ascii="宋体" w:hAnsi="宋体" w:cs="宋体" w:eastAsia="宋体" w:hint="default"/>
                <w:position w:val="2"/>
                <w:sz w:val="18"/>
                <w:szCs w:val="18"/>
              </w:rPr>
              <w:t>审议</w:t>
            </w:r>
            <w:r>
              <w:rPr>
                <w:rFonts w:ascii="宋体" w:hAnsi="宋体" w:cs="宋体" w:eastAsia="宋体" w:hint="default"/>
                <w:sz w:val="18"/>
                <w:szCs w:val="18"/>
              </w:rPr>
            </w:r>
          </w:p>
          <w:p>
            <w:pPr>
              <w:pStyle w:val="TableParagraph"/>
              <w:spacing w:line="240" w:lineRule="auto" w:before="98"/>
              <w:ind w:left="170"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23" w:right="1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60"/>
                <w:sz w:val="18"/>
                <w:szCs w:val="18"/>
              </w:rPr>
              <w:t> </w:t>
            </w:r>
            <w:r>
              <w:rPr>
                <w:rFonts w:ascii="宋体" w:hAnsi="宋体" w:cs="宋体" w:eastAsia="宋体" w:hint="default"/>
                <w:sz w:val="18"/>
                <w:szCs w:val="18"/>
              </w:rPr>
              <w:t>年度股东 大会决议公告》</w:t>
            </w:r>
          </w:p>
          <w:p>
            <w:pPr>
              <w:pStyle w:val="TableParagraph"/>
              <w:spacing w:line="316" w:lineRule="auto" w:before="20"/>
              <w:ind w:left="23" w:right="19"/>
              <w:jc w:val="left"/>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pacing w:val="-13"/>
                <w:sz w:val="18"/>
                <w:szCs w:val="18"/>
              </w:rPr>
              <w:t>2012-013</w:t>
            </w:r>
            <w:r>
              <w:rPr>
                <w:rFonts w:ascii="宋体" w:hAnsi="宋体" w:cs="宋体" w:eastAsia="宋体" w:hint="default"/>
                <w:spacing w:val="-13"/>
                <w:sz w:val="18"/>
                <w:szCs w:val="18"/>
              </w:rPr>
              <w:t>），刊登</w:t>
            </w:r>
            <w:r>
              <w:rPr>
                <w:rFonts w:ascii="宋体" w:hAnsi="宋体" w:cs="宋体" w:eastAsia="宋体" w:hint="default"/>
                <w:sz w:val="18"/>
                <w:szCs w:val="18"/>
              </w:rPr>
              <w:t> 于《证券时报》 和巨潮资讯网。</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pict>
          <v:shape style="position:absolute;margin-left:222.529999pt;margin-top:-58.89632pt;width:167.2pt;height:45.85pt;mso-position-horizontal-relative:page;mso-position-vertical-relative:paragraph;z-index:-77221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《关于续聘会计师事务所的议案》</w:t>
                  </w:r>
                </w:p>
              </w:txbxContent>
            </v:textbox>
            <w10:wrap type="none"/>
          </v:shape>
        </w:pict>
      </w: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2764"/>
        <w:gridCol w:w="708"/>
        <w:gridCol w:w="1561"/>
        <w:gridCol w:w="1344"/>
      </w:tblGrid>
      <w:tr>
        <w:trPr>
          <w:trHeight w:val="749"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836"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70" w:right="167"/>
              <w:jc w:val="left"/>
              <w:rPr>
                <w:rFonts w:ascii="宋体" w:hAnsi="宋体" w:cs="宋体" w:eastAsia="宋体" w:hint="default"/>
                <w:sz w:val="18"/>
                <w:szCs w:val="18"/>
              </w:rPr>
            </w:pPr>
            <w:r>
              <w:rPr>
                <w:rFonts w:ascii="宋体" w:hAnsi="宋体" w:cs="宋体" w:eastAsia="宋体" w:hint="default"/>
                <w:sz w:val="18"/>
                <w:szCs w:val="18"/>
              </w:rPr>
              <w:t>决议 情况</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314" w:lineRule="auto"/>
              <w:ind w:left="22" w:right="7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年第一次临时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7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pacing w:val="-11"/>
                <w:sz w:val="18"/>
                <w:szCs w:val="18"/>
              </w:rPr>
              <w:t>1</w:t>
            </w:r>
            <w:r>
              <w:rPr>
                <w:rFonts w:ascii="宋体" w:hAnsi="宋体" w:cs="宋体" w:eastAsia="宋体" w:hint="default"/>
                <w:spacing w:val="-11"/>
                <w:sz w:val="18"/>
                <w:szCs w:val="18"/>
              </w:rPr>
              <w:t>、《关于</w:t>
            </w:r>
            <w:r>
              <w:rPr>
                <w:rFonts w:ascii="宋体" w:hAnsi="宋体" w:cs="宋体" w:eastAsia="宋体" w:hint="default"/>
                <w:spacing w:val="-11"/>
                <w:sz w:val="18"/>
                <w:szCs w:val="18"/>
              </w:rPr>
              <w:t>&lt;</w:t>
            </w:r>
            <w:r>
              <w:rPr>
                <w:rFonts w:ascii="宋体" w:hAnsi="宋体" w:cs="宋体" w:eastAsia="宋体" w:hint="default"/>
                <w:spacing w:val="-11"/>
                <w:sz w:val="18"/>
                <w:szCs w:val="18"/>
              </w:rPr>
              <w:t>深圳达实智能股份有限公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司限制性股票激励计划（草案）</w:t>
            </w:r>
            <w:r>
              <w:rPr>
                <w:rFonts w:ascii="宋体" w:hAnsi="宋体" w:cs="宋体" w:eastAsia="宋体" w:hint="default"/>
                <w:sz w:val="18"/>
                <w:szCs w:val="18"/>
              </w:rPr>
              <w:t>&gt; </w:t>
            </w:r>
            <w:r>
              <w:rPr>
                <w:rFonts w:ascii="宋体" w:hAnsi="宋体" w:cs="宋体" w:eastAsia="宋体" w:hint="default"/>
                <w:spacing w:val="-11"/>
                <w:sz w:val="18"/>
                <w:szCs w:val="18"/>
              </w:rPr>
              <w:t>及其摘要的议案》：</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激励对象的确定依据和范围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限制性股票的来源和数量</w:t>
            </w:r>
          </w:p>
        </w:tc>
        <w:tc>
          <w:tcPr>
            <w:tcW w:w="7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360" w:lineRule="auto"/>
              <w:ind w:left="170" w:right="167"/>
              <w:jc w:val="left"/>
              <w:rPr>
                <w:rFonts w:ascii="宋体" w:hAnsi="宋体" w:cs="宋体" w:eastAsia="宋体" w:hint="default"/>
                <w:sz w:val="18"/>
                <w:szCs w:val="18"/>
              </w:rPr>
            </w:pPr>
            <w:r>
              <w:rPr>
                <w:rFonts w:ascii="宋体" w:hAnsi="宋体" w:cs="宋体" w:eastAsia="宋体" w:hint="default"/>
                <w:sz w:val="18"/>
                <w:szCs w:val="18"/>
              </w:rPr>
              <w:t>审议 通过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1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年第一次 临时股东大会决 </w:t>
            </w:r>
            <w:r>
              <w:rPr>
                <w:rFonts w:ascii="宋体" w:hAnsi="宋体" w:cs="宋体" w:eastAsia="宋体" w:hint="default"/>
                <w:spacing w:val="-20"/>
                <w:sz w:val="18"/>
                <w:szCs w:val="18"/>
              </w:rPr>
              <w:t>议公告》（公告编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号：</w:t>
            </w:r>
            <w:r>
              <w:rPr>
                <w:rFonts w:ascii="宋体" w:hAnsi="宋体" w:cs="宋体" w:eastAsia="宋体" w:hint="default"/>
                <w:spacing w:val="-16"/>
                <w:sz w:val="18"/>
                <w:szCs w:val="18"/>
              </w:rPr>
              <w:t>2012-024</w:t>
            </w:r>
            <w:r>
              <w:rPr>
                <w:rFonts w:ascii="宋体" w:hAnsi="宋体" w:cs="宋体" w:eastAsia="宋体" w:hint="default"/>
                <w:spacing w:val="-16"/>
                <w:sz w:val="18"/>
                <w:szCs w:val="18"/>
              </w:rPr>
              <w:t>），</w:t>
            </w:r>
            <w:r>
              <w:rPr>
                <w:rFonts w:ascii="宋体" w:hAnsi="宋体" w:cs="宋体" w:eastAsia="宋体" w:hint="default"/>
                <w:spacing w:val="-83"/>
                <w:sz w:val="18"/>
                <w:szCs w:val="18"/>
              </w:rPr>
              <w:t> </w:t>
            </w:r>
            <w:r>
              <w:rPr>
                <w:rFonts w:ascii="宋体" w:hAnsi="宋体" w:cs="宋体" w:eastAsia="宋体" w:hint="default"/>
                <w:sz w:val="18"/>
                <w:szCs w:val="18"/>
              </w:rPr>
              <w:t>刊登于《证券时</w:t>
            </w:r>
          </w:p>
        </w:tc>
      </w:tr>
    </w:tbl>
    <w:p>
      <w:pPr>
        <w:spacing w:after="0" w:line="316" w:lineRule="auto"/>
        <w:jc w:val="both"/>
        <w:rPr>
          <w:rFonts w:ascii="宋体" w:hAnsi="宋体" w:cs="宋体" w:eastAsia="宋体" w:hint="default"/>
          <w:sz w:val="18"/>
          <w:szCs w:val="18"/>
        </w:rPr>
        <w:sectPr>
          <w:pgSz w:w="11910" w:h="16840"/>
          <w:pgMar w:header="877" w:footer="1316" w:top="1100" w:bottom="150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2764"/>
        <w:gridCol w:w="708"/>
        <w:gridCol w:w="1561"/>
        <w:gridCol w:w="1344"/>
      </w:tblGrid>
      <w:tr>
        <w:trPr>
          <w:trHeight w:val="5667"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限制性股票的分配情况</w:t>
            </w:r>
          </w:p>
          <w:p>
            <w:pPr>
              <w:pStyle w:val="TableParagraph"/>
              <w:spacing w:line="316" w:lineRule="auto" w:before="77"/>
              <w:ind w:left="22" w:right="75"/>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7"/>
                <w:sz w:val="18"/>
                <w:szCs w:val="18"/>
              </w:rPr>
              <w:t> </w:t>
            </w:r>
            <w:r>
              <w:rPr>
                <w:rFonts w:ascii="宋体" w:hAnsi="宋体" w:cs="宋体" w:eastAsia="宋体" w:hint="default"/>
                <w:sz w:val="18"/>
                <w:szCs w:val="18"/>
              </w:rPr>
              <w:t>激励计划的有效期、授予日、 禁售期、解锁期、相关限售规定 </w:t>
            </w:r>
            <w:r>
              <w:rPr>
                <w:rFonts w:ascii="宋体" w:hAnsi="宋体" w:cs="宋体" w:eastAsia="宋体" w:hint="default"/>
                <w:sz w:val="18"/>
                <w:szCs w:val="18"/>
              </w:rPr>
              <w:t>1.5</w:t>
            </w:r>
            <w:r>
              <w:rPr>
                <w:rFonts w:ascii="宋体" w:hAnsi="宋体" w:cs="宋体" w:eastAsia="宋体" w:hint="default"/>
                <w:spacing w:val="-47"/>
                <w:sz w:val="18"/>
                <w:szCs w:val="18"/>
              </w:rPr>
              <w:t> </w:t>
            </w:r>
            <w:r>
              <w:rPr>
                <w:rFonts w:ascii="宋体" w:hAnsi="宋体" w:cs="宋体" w:eastAsia="宋体" w:hint="default"/>
                <w:sz w:val="18"/>
                <w:szCs w:val="18"/>
              </w:rPr>
              <w:t>限制性股票的授予价格和授予 价格的确定方法</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8"/>
                <w:sz w:val="18"/>
                <w:szCs w:val="18"/>
              </w:rPr>
              <w:t> </w:t>
            </w:r>
            <w:r>
              <w:rPr>
                <w:rFonts w:ascii="宋体" w:hAnsi="宋体" w:cs="宋体" w:eastAsia="宋体" w:hint="default"/>
                <w:sz w:val="18"/>
                <w:szCs w:val="18"/>
              </w:rPr>
              <w:t>限制性股票的授予与解锁条件</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8"/>
                <w:sz w:val="18"/>
                <w:szCs w:val="18"/>
              </w:rPr>
              <w:t> </w:t>
            </w:r>
            <w:r>
              <w:rPr>
                <w:rFonts w:ascii="宋体" w:hAnsi="宋体" w:cs="宋体" w:eastAsia="宋体" w:hint="default"/>
                <w:sz w:val="18"/>
                <w:szCs w:val="18"/>
              </w:rPr>
              <w:t>激励计划的调整方法和程序</w:t>
            </w:r>
          </w:p>
          <w:p>
            <w:pPr>
              <w:pStyle w:val="TableParagraph"/>
              <w:spacing w:line="316" w:lineRule="auto" w:before="76"/>
              <w:ind w:left="22" w:right="75"/>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7"/>
                <w:sz w:val="18"/>
                <w:szCs w:val="18"/>
              </w:rPr>
              <w:t> </w:t>
            </w:r>
            <w:r>
              <w:rPr>
                <w:rFonts w:ascii="宋体" w:hAnsi="宋体" w:cs="宋体" w:eastAsia="宋体" w:hint="default"/>
                <w:sz w:val="18"/>
                <w:szCs w:val="18"/>
              </w:rPr>
              <w:t>授予限制性股票及激励对象解 锁的程序</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8"/>
                <w:sz w:val="18"/>
                <w:szCs w:val="18"/>
              </w:rPr>
              <w:t> </w:t>
            </w:r>
            <w:r>
              <w:rPr>
                <w:rFonts w:ascii="宋体" w:hAnsi="宋体" w:cs="宋体" w:eastAsia="宋体" w:hint="default"/>
                <w:sz w:val="18"/>
                <w:szCs w:val="18"/>
              </w:rPr>
              <w:t>公司与激励对象的权利和义务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1.10</w:t>
            </w:r>
            <w:r>
              <w:rPr>
                <w:rFonts w:ascii="宋体" w:hAnsi="宋体" w:cs="宋体" w:eastAsia="宋体" w:hint="default"/>
                <w:spacing w:val="-43"/>
                <w:sz w:val="18"/>
                <w:szCs w:val="18"/>
              </w:rPr>
              <w:t> </w:t>
            </w:r>
            <w:r>
              <w:rPr>
                <w:rFonts w:ascii="宋体" w:hAnsi="宋体" w:cs="宋体" w:eastAsia="宋体" w:hint="default"/>
                <w:sz w:val="18"/>
                <w:szCs w:val="18"/>
              </w:rPr>
              <w:t>激励计划的变更与终止</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1.11</w:t>
            </w:r>
            <w:r>
              <w:rPr>
                <w:rFonts w:ascii="宋体" w:hAnsi="宋体" w:cs="宋体" w:eastAsia="宋体" w:hint="default"/>
                <w:spacing w:val="-43"/>
                <w:sz w:val="18"/>
                <w:szCs w:val="18"/>
              </w:rPr>
              <w:t> </w:t>
            </w:r>
            <w:r>
              <w:rPr>
                <w:rFonts w:ascii="宋体" w:hAnsi="宋体" w:cs="宋体" w:eastAsia="宋体" w:hint="default"/>
                <w:sz w:val="18"/>
                <w:szCs w:val="18"/>
              </w:rPr>
              <w:t>限制性股票的回购注销</w:t>
            </w:r>
          </w:p>
          <w:p>
            <w:pPr>
              <w:pStyle w:val="TableParagraph"/>
              <w:spacing w:line="316" w:lineRule="auto" w:before="77"/>
              <w:ind w:left="22" w:right="22"/>
              <w:jc w:val="left"/>
              <w:rPr>
                <w:rFonts w:ascii="宋体" w:hAnsi="宋体" w:cs="宋体" w:eastAsia="宋体" w:hint="default"/>
                <w:sz w:val="18"/>
                <w:szCs w:val="18"/>
              </w:rPr>
            </w:pPr>
            <w:r>
              <w:rPr>
                <w:rFonts w:ascii="宋体" w:hAnsi="宋体" w:cs="宋体" w:eastAsia="宋体" w:hint="default"/>
                <w:spacing w:val="-11"/>
                <w:sz w:val="18"/>
                <w:szCs w:val="18"/>
              </w:rPr>
              <w:t>2</w:t>
            </w:r>
            <w:r>
              <w:rPr>
                <w:rFonts w:ascii="宋体" w:hAnsi="宋体" w:cs="宋体" w:eastAsia="宋体" w:hint="default"/>
                <w:spacing w:val="-11"/>
                <w:sz w:val="18"/>
                <w:szCs w:val="18"/>
              </w:rPr>
              <w:t>、《关于</w:t>
            </w:r>
            <w:r>
              <w:rPr>
                <w:rFonts w:ascii="宋体" w:hAnsi="宋体" w:cs="宋体" w:eastAsia="宋体" w:hint="default"/>
                <w:spacing w:val="-11"/>
                <w:sz w:val="18"/>
                <w:szCs w:val="18"/>
              </w:rPr>
              <w:t>&lt;</w:t>
            </w:r>
            <w:r>
              <w:rPr>
                <w:rFonts w:ascii="宋体" w:hAnsi="宋体" w:cs="宋体" w:eastAsia="宋体" w:hint="default"/>
                <w:spacing w:val="-11"/>
                <w:sz w:val="18"/>
                <w:szCs w:val="18"/>
              </w:rPr>
              <w:t>深圳达实智能股份有限公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司限制性股票激励计划考核管理办 法</w:t>
            </w:r>
            <w:r>
              <w:rPr>
                <w:rFonts w:ascii="宋体" w:hAnsi="宋体" w:cs="宋体" w:eastAsia="宋体" w:hint="default"/>
                <w:sz w:val="18"/>
                <w:szCs w:val="18"/>
              </w:rPr>
              <w:t>&gt;</w:t>
            </w:r>
            <w:r>
              <w:rPr>
                <w:rFonts w:ascii="宋体" w:hAnsi="宋体" w:cs="宋体" w:eastAsia="宋体" w:hint="default"/>
                <w:sz w:val="18"/>
                <w:szCs w:val="18"/>
              </w:rPr>
              <w:t>的议案》 </w:t>
            </w:r>
            <w:r>
              <w:rPr>
                <w:rFonts w:ascii="宋体" w:hAnsi="宋体" w:cs="宋体" w:eastAsia="宋体" w:hint="default"/>
                <w:spacing w:val="-6"/>
                <w:sz w:val="18"/>
                <w:szCs w:val="18"/>
              </w:rPr>
              <w:t>3</w:t>
            </w:r>
            <w:r>
              <w:rPr>
                <w:rFonts w:ascii="宋体" w:hAnsi="宋体" w:cs="宋体" w:eastAsia="宋体" w:hint="default"/>
                <w:spacing w:val="-6"/>
                <w:sz w:val="18"/>
                <w:szCs w:val="18"/>
              </w:rPr>
              <w:t>、《关于提请股东大会授权董事会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办理公司限制性股票激励计划相关 事宜的议案》</w:t>
            </w:r>
          </w:p>
        </w:tc>
        <w:tc>
          <w:tcPr>
            <w:tcW w:w="70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3" w:right="48"/>
              <w:jc w:val="left"/>
              <w:rPr>
                <w:rFonts w:ascii="宋体" w:hAnsi="宋体" w:cs="宋体" w:eastAsia="宋体" w:hint="default"/>
                <w:sz w:val="18"/>
                <w:szCs w:val="18"/>
              </w:rPr>
            </w:pPr>
            <w:r>
              <w:rPr>
                <w:rFonts w:ascii="宋体" w:hAnsi="宋体" w:cs="宋体" w:eastAsia="宋体" w:hint="default"/>
                <w:sz w:val="18"/>
                <w:szCs w:val="18"/>
              </w:rPr>
              <w:t>报》和巨潮资讯 网。</w:t>
            </w:r>
          </w:p>
        </w:tc>
      </w:tr>
      <w:tr>
        <w:trPr>
          <w:trHeight w:val="258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2" w:right="7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年第二次临时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7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8"/>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《关于收购上海联欣科技发展有</w:t>
            </w:r>
            <w:r>
              <w:rPr>
                <w:rFonts w:ascii="宋体" w:hAnsi="宋体" w:cs="宋体" w:eastAsia="宋体" w:hint="default"/>
                <w:sz w:val="18"/>
                <w:szCs w:val="18"/>
              </w:rPr>
              <w:t> 限公司</w:t>
            </w:r>
            <w:r>
              <w:rPr>
                <w:rFonts w:ascii="宋体" w:hAnsi="宋体" w:cs="宋体" w:eastAsia="宋体" w:hint="default"/>
                <w:spacing w:val="-45"/>
                <w:sz w:val="18"/>
                <w:szCs w:val="18"/>
              </w:rPr>
              <w:t> </w:t>
            </w:r>
            <w:r>
              <w:rPr>
                <w:rFonts w:ascii="宋体" w:hAnsi="宋体" w:cs="宋体" w:eastAsia="宋体" w:hint="default"/>
                <w:spacing w:val="1"/>
                <w:sz w:val="18"/>
                <w:szCs w:val="18"/>
              </w:rPr>
              <w:t>5</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z w:val="18"/>
                <w:szCs w:val="18"/>
              </w:rPr>
              <w:t>股权的议案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pacing w:val="1"/>
                <w:sz w:val="18"/>
                <w:szCs w:val="18"/>
              </w:rPr>
              <w:t>2</w:t>
            </w:r>
            <w:r>
              <w:rPr>
                <w:rFonts w:ascii="宋体" w:hAnsi="宋体" w:cs="宋体" w:eastAsia="宋体" w:hint="default"/>
                <w:spacing w:val="-132"/>
                <w:sz w:val="18"/>
                <w:szCs w:val="18"/>
              </w:rPr>
              <w:t>、</w:t>
            </w:r>
            <w:r>
              <w:rPr>
                <w:rFonts w:ascii="宋体" w:hAnsi="宋体" w:cs="宋体" w:eastAsia="宋体" w:hint="default"/>
                <w:sz w:val="18"/>
                <w:szCs w:val="18"/>
              </w:rPr>
              <w:t>《股东分红回报规</w:t>
            </w:r>
            <w:r>
              <w:rPr>
                <w:rFonts w:ascii="宋体" w:hAnsi="宋体" w:cs="宋体" w:eastAsia="宋体" w:hint="default"/>
                <w:spacing w:val="-41"/>
                <w:sz w:val="18"/>
                <w:szCs w:val="18"/>
              </w:rPr>
              <w:t>划</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pacing w:val="-1"/>
                <w:sz w:val="18"/>
                <w:szCs w:val="18"/>
              </w:rPr>
              <w:t>2</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01</w:t>
            </w:r>
            <w:r>
              <w:rPr>
                <w:rFonts w:ascii="宋体" w:hAnsi="宋体" w:cs="宋体" w:eastAsia="宋体" w:hint="default"/>
                <w:sz w:val="18"/>
                <w:szCs w:val="18"/>
              </w:rPr>
              <w:t>4</w:t>
            </w:r>
            <w:r>
              <w:rPr>
                <w:rFonts w:ascii="宋体" w:hAnsi="宋体" w:cs="宋体" w:eastAsia="宋体" w:hint="default"/>
                <w:sz w:val="18"/>
                <w:szCs w:val="18"/>
              </w:rPr>
              <w:t> </w:t>
            </w:r>
            <w:r>
              <w:rPr>
                <w:rFonts w:ascii="宋体" w:hAnsi="宋体" w:cs="宋体" w:eastAsia="宋体" w:hint="default"/>
                <w:sz w:val="18"/>
                <w:szCs w:val="18"/>
              </w:rPr>
              <w:t>年</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《关于对公司章程进行修订的议</w:t>
            </w:r>
            <w:r>
              <w:rPr>
                <w:rFonts w:ascii="宋体" w:hAnsi="宋体" w:cs="宋体" w:eastAsia="宋体" w:hint="default"/>
                <w:sz w:val="18"/>
                <w:szCs w:val="18"/>
              </w:rPr>
              <w:t> 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《关于为深圳达实信息技术有限</w:t>
            </w:r>
            <w:r>
              <w:rPr>
                <w:rFonts w:ascii="宋体" w:hAnsi="宋体" w:cs="宋体" w:eastAsia="宋体" w:hint="default"/>
                <w:sz w:val="18"/>
                <w:szCs w:val="18"/>
              </w:rPr>
              <w:t> 公司提供担保的议案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7" w:lineRule="auto" w:before="138"/>
              <w:ind w:left="170" w:right="167"/>
              <w:jc w:val="left"/>
              <w:rPr>
                <w:rFonts w:ascii="宋体" w:hAnsi="宋体" w:cs="宋体" w:eastAsia="宋体" w:hint="default"/>
                <w:sz w:val="18"/>
                <w:szCs w:val="18"/>
              </w:rPr>
            </w:pPr>
            <w:r>
              <w:rPr>
                <w:rFonts w:ascii="宋体" w:hAnsi="宋体" w:cs="宋体" w:eastAsia="宋体" w:hint="default"/>
                <w:sz w:val="18"/>
                <w:szCs w:val="18"/>
              </w:rPr>
              <w:t>审议 通过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年第二次 临时股东大会决 </w:t>
            </w:r>
            <w:r>
              <w:rPr>
                <w:rFonts w:ascii="宋体" w:hAnsi="宋体" w:cs="宋体" w:eastAsia="宋体" w:hint="default"/>
                <w:spacing w:val="-20"/>
                <w:sz w:val="18"/>
                <w:szCs w:val="18"/>
              </w:rPr>
              <w:t>议公告》（公告编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号：</w:t>
            </w:r>
            <w:r>
              <w:rPr>
                <w:rFonts w:ascii="宋体" w:hAnsi="宋体" w:cs="宋体" w:eastAsia="宋体" w:hint="default"/>
                <w:spacing w:val="-16"/>
                <w:sz w:val="18"/>
                <w:szCs w:val="18"/>
              </w:rPr>
              <w:t>2012-036</w:t>
            </w:r>
            <w:r>
              <w:rPr>
                <w:rFonts w:ascii="宋体" w:hAnsi="宋体" w:cs="宋体" w:eastAsia="宋体" w:hint="default"/>
                <w:spacing w:val="-16"/>
                <w:sz w:val="18"/>
                <w:szCs w:val="18"/>
              </w:rPr>
              <w:t>），</w:t>
            </w:r>
            <w:r>
              <w:rPr>
                <w:rFonts w:ascii="宋体" w:hAnsi="宋体" w:cs="宋体" w:eastAsia="宋体" w:hint="default"/>
                <w:spacing w:val="-83"/>
                <w:sz w:val="18"/>
                <w:szCs w:val="18"/>
              </w:rPr>
              <w:t> </w:t>
            </w:r>
            <w:r>
              <w:rPr>
                <w:rFonts w:ascii="宋体" w:hAnsi="宋体" w:cs="宋体" w:eastAsia="宋体" w:hint="default"/>
                <w:sz w:val="18"/>
                <w:szCs w:val="18"/>
              </w:rPr>
              <w:t>刊登于《证券时</w:t>
            </w:r>
            <w:r>
              <w:rPr>
                <w:rFonts w:ascii="宋体" w:hAnsi="宋体" w:cs="宋体" w:eastAsia="宋体" w:hint="default"/>
                <w:sz w:val="18"/>
                <w:szCs w:val="18"/>
              </w:rPr>
              <w:t> 报》和巨潮资讯 网。</w:t>
            </w:r>
          </w:p>
        </w:tc>
      </w:tr>
      <w:tr>
        <w:trPr>
          <w:trHeight w:val="227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年第三次临时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7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2" w:right="118"/>
              <w:jc w:val="left"/>
              <w:rPr>
                <w:rFonts w:ascii="宋体" w:hAnsi="宋体" w:cs="宋体" w:eastAsia="宋体" w:hint="default"/>
                <w:sz w:val="18"/>
                <w:szCs w:val="18"/>
              </w:rPr>
            </w:pPr>
            <w:r>
              <w:rPr>
                <w:rFonts w:ascii="宋体" w:hAnsi="宋体" w:cs="宋体" w:eastAsia="宋体" w:hint="default"/>
                <w:spacing w:val="-19"/>
                <w:sz w:val="18"/>
                <w:szCs w:val="18"/>
              </w:rPr>
              <w:t>1</w:t>
            </w:r>
            <w:r>
              <w:rPr>
                <w:rFonts w:ascii="宋体" w:hAnsi="宋体" w:cs="宋体" w:eastAsia="宋体" w:hint="default"/>
                <w:spacing w:val="-19"/>
                <w:sz w:val="18"/>
                <w:szCs w:val="18"/>
              </w:rPr>
              <w:t>、《公司</w:t>
            </w:r>
            <w:r>
              <w:rPr>
                <w:rFonts w:ascii="宋体" w:hAnsi="宋体" w:cs="宋体" w:eastAsia="宋体" w:hint="default"/>
                <w:spacing w:val="-42"/>
                <w:sz w:val="18"/>
                <w:szCs w:val="18"/>
              </w:rPr>
              <w:t> </w:t>
            </w:r>
            <w:r>
              <w:rPr>
                <w:rFonts w:ascii="宋体" w:hAnsi="宋体" w:cs="宋体" w:eastAsia="宋体" w:hint="default"/>
                <w:sz w:val="18"/>
                <w:szCs w:val="18"/>
              </w:rPr>
              <w:t>2012</w:t>
            </w:r>
            <w:r>
              <w:rPr>
                <w:rFonts w:ascii="宋体" w:hAnsi="宋体" w:cs="宋体" w:eastAsia="宋体" w:hint="default"/>
                <w:spacing w:val="-40"/>
                <w:sz w:val="18"/>
                <w:szCs w:val="18"/>
              </w:rPr>
              <w:t> </w:t>
            </w:r>
            <w:r>
              <w:rPr>
                <w:rFonts w:ascii="宋体" w:hAnsi="宋体" w:cs="宋体" w:eastAsia="宋体" w:hint="default"/>
                <w:spacing w:val="-1"/>
                <w:sz w:val="18"/>
                <w:szCs w:val="18"/>
              </w:rPr>
              <w:t>年半年度报告全文</w:t>
            </w:r>
            <w:r>
              <w:rPr>
                <w:rFonts w:ascii="宋体" w:hAnsi="宋体" w:cs="宋体" w:eastAsia="宋体" w:hint="default"/>
                <w:sz w:val="18"/>
                <w:szCs w:val="18"/>
              </w:rPr>
              <w:t> 及摘要</w:t>
            </w:r>
            <w:r>
              <w:rPr>
                <w:rFonts w:ascii="宋体" w:hAnsi="宋体" w:cs="宋体" w:eastAsia="宋体" w:hint="default"/>
                <w:spacing w:val="1"/>
                <w:sz w:val="18"/>
                <w:szCs w:val="18"/>
              </w:rPr>
              <w:t> </w:t>
            </w:r>
            <w:r>
              <w:rPr>
                <w:rFonts w:ascii="宋体" w:hAnsi="宋体" w:cs="宋体" w:eastAsia="宋体" w:hint="default"/>
                <w:sz w:val="18"/>
                <w:szCs w:val="18"/>
              </w:rPr>
              <w:t>；</w:t>
            </w:r>
          </w:p>
          <w:p>
            <w:pPr>
              <w:pStyle w:val="TableParagraph"/>
              <w:spacing w:line="316" w:lineRule="auto" w:before="19"/>
              <w:ind w:left="22" w:right="118"/>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年中期利润分</w:t>
            </w:r>
            <w:r>
              <w:rPr>
                <w:rFonts w:ascii="宋体" w:hAnsi="宋体" w:cs="宋体" w:eastAsia="宋体" w:hint="default"/>
                <w:spacing w:val="-3"/>
                <w:sz w:val="18"/>
                <w:szCs w:val="18"/>
              </w:rPr>
              <w:t>配</w:t>
            </w:r>
            <w:r>
              <w:rPr>
                <w:rFonts w:ascii="宋体" w:hAnsi="宋体" w:cs="宋体" w:eastAsia="宋体" w:hint="default"/>
                <w:sz w:val="18"/>
                <w:szCs w:val="18"/>
              </w:rPr>
              <w:t>预</w:t>
            </w:r>
            <w:r>
              <w:rPr>
                <w:rFonts w:ascii="宋体" w:hAnsi="宋体" w:cs="宋体" w:eastAsia="宋体" w:hint="default"/>
                <w:sz w:val="18"/>
                <w:szCs w:val="18"/>
              </w:rPr>
              <w:t> 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57" w:lineRule="auto" w:before="57"/>
              <w:ind w:left="170" w:right="167"/>
              <w:jc w:val="left"/>
              <w:rPr>
                <w:rFonts w:ascii="宋体" w:hAnsi="宋体" w:cs="宋体" w:eastAsia="宋体" w:hint="default"/>
                <w:sz w:val="18"/>
                <w:szCs w:val="18"/>
              </w:rPr>
            </w:pPr>
            <w:r>
              <w:rPr>
                <w:rFonts w:ascii="宋体" w:hAnsi="宋体" w:cs="宋体" w:eastAsia="宋体" w:hint="default"/>
                <w:sz w:val="18"/>
                <w:szCs w:val="18"/>
              </w:rPr>
              <w:t>审议 通过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年第三次 临时股东大会决 </w:t>
            </w:r>
            <w:r>
              <w:rPr>
                <w:rFonts w:ascii="宋体" w:hAnsi="宋体" w:cs="宋体" w:eastAsia="宋体" w:hint="default"/>
                <w:spacing w:val="-20"/>
                <w:sz w:val="18"/>
                <w:szCs w:val="18"/>
              </w:rPr>
              <w:t>议公告》（公告编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号：</w:t>
            </w:r>
            <w:r>
              <w:rPr>
                <w:rFonts w:ascii="宋体" w:hAnsi="宋体" w:cs="宋体" w:eastAsia="宋体" w:hint="default"/>
                <w:spacing w:val="-16"/>
                <w:sz w:val="18"/>
                <w:szCs w:val="18"/>
              </w:rPr>
              <w:t>2012-046</w:t>
            </w:r>
            <w:r>
              <w:rPr>
                <w:rFonts w:ascii="宋体" w:hAnsi="宋体" w:cs="宋体" w:eastAsia="宋体" w:hint="default"/>
                <w:spacing w:val="-16"/>
                <w:sz w:val="18"/>
                <w:szCs w:val="18"/>
              </w:rPr>
              <w:t>），</w:t>
            </w:r>
            <w:r>
              <w:rPr>
                <w:rFonts w:ascii="宋体" w:hAnsi="宋体" w:cs="宋体" w:eastAsia="宋体" w:hint="default"/>
                <w:spacing w:val="-83"/>
                <w:sz w:val="18"/>
                <w:szCs w:val="18"/>
              </w:rPr>
              <w:t> </w:t>
            </w:r>
            <w:r>
              <w:rPr>
                <w:rFonts w:ascii="宋体" w:hAnsi="宋体" w:cs="宋体" w:eastAsia="宋体" w:hint="default"/>
                <w:sz w:val="18"/>
                <w:szCs w:val="18"/>
              </w:rPr>
              <w:t>刊登于《证券时</w:t>
            </w:r>
            <w:r>
              <w:rPr>
                <w:rFonts w:ascii="宋体" w:hAnsi="宋体" w:cs="宋体" w:eastAsia="宋体" w:hint="default"/>
                <w:sz w:val="18"/>
                <w:szCs w:val="18"/>
              </w:rPr>
              <w:t> 报》和巨潮资讯 网。</w:t>
            </w:r>
          </w:p>
        </w:tc>
      </w:tr>
      <w:tr>
        <w:trPr>
          <w:trHeight w:val="227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年第四次临时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7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2" w:right="29"/>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《关于改聘会计师事务所的议</w:t>
            </w:r>
            <w:r>
              <w:rPr>
                <w:rFonts w:ascii="宋体" w:hAnsi="宋体" w:cs="宋体" w:eastAsia="宋体" w:hint="default"/>
                <w:sz w:val="18"/>
                <w:szCs w:val="18"/>
              </w:rPr>
              <w:t> 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《关于子公司向银行申请授信额</w:t>
            </w:r>
            <w:r>
              <w:rPr>
                <w:rFonts w:ascii="宋体" w:hAnsi="宋体" w:cs="宋体" w:eastAsia="宋体" w:hint="default"/>
                <w:sz w:val="18"/>
                <w:szCs w:val="18"/>
              </w:rPr>
              <w:t> 度的议案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57" w:lineRule="auto"/>
              <w:ind w:left="170" w:right="167"/>
              <w:jc w:val="left"/>
              <w:rPr>
                <w:rFonts w:ascii="宋体" w:hAnsi="宋体" w:cs="宋体" w:eastAsia="宋体" w:hint="default"/>
                <w:sz w:val="18"/>
                <w:szCs w:val="18"/>
              </w:rPr>
            </w:pPr>
            <w:r>
              <w:rPr>
                <w:rFonts w:ascii="宋体" w:hAnsi="宋体" w:cs="宋体" w:eastAsia="宋体" w:hint="default"/>
                <w:sz w:val="18"/>
                <w:szCs w:val="18"/>
              </w:rPr>
              <w:t>审议 通过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年第四次 临时股东大会决 </w:t>
            </w:r>
            <w:r>
              <w:rPr>
                <w:rFonts w:ascii="宋体" w:hAnsi="宋体" w:cs="宋体" w:eastAsia="宋体" w:hint="default"/>
                <w:spacing w:val="-20"/>
                <w:sz w:val="18"/>
                <w:szCs w:val="18"/>
              </w:rPr>
              <w:t>议公告》（公告编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号：</w:t>
            </w:r>
            <w:r>
              <w:rPr>
                <w:rFonts w:ascii="宋体" w:hAnsi="宋体" w:cs="宋体" w:eastAsia="宋体" w:hint="default"/>
                <w:spacing w:val="-16"/>
                <w:sz w:val="18"/>
                <w:szCs w:val="18"/>
              </w:rPr>
              <w:t>2012-055</w:t>
            </w:r>
            <w:r>
              <w:rPr>
                <w:rFonts w:ascii="宋体" w:hAnsi="宋体" w:cs="宋体" w:eastAsia="宋体" w:hint="default"/>
                <w:spacing w:val="-16"/>
                <w:sz w:val="18"/>
                <w:szCs w:val="18"/>
              </w:rPr>
              <w:t>），</w:t>
            </w:r>
            <w:r>
              <w:rPr>
                <w:rFonts w:ascii="宋体" w:hAnsi="宋体" w:cs="宋体" w:eastAsia="宋体" w:hint="default"/>
                <w:spacing w:val="-83"/>
                <w:sz w:val="18"/>
                <w:szCs w:val="18"/>
              </w:rPr>
              <w:t> </w:t>
            </w:r>
            <w:r>
              <w:rPr>
                <w:rFonts w:ascii="宋体" w:hAnsi="宋体" w:cs="宋体" w:eastAsia="宋体" w:hint="default"/>
                <w:sz w:val="18"/>
                <w:szCs w:val="18"/>
              </w:rPr>
              <w:t>刊登于《证券时</w:t>
            </w:r>
            <w:r>
              <w:rPr>
                <w:rFonts w:ascii="宋体" w:hAnsi="宋体" w:cs="宋体" w:eastAsia="宋体" w:hint="default"/>
                <w:sz w:val="18"/>
                <w:szCs w:val="18"/>
              </w:rPr>
              <w:t> 报》和巨潮资讯 网。</w:t>
            </w:r>
          </w:p>
        </w:tc>
      </w:tr>
    </w:tbl>
    <w:p>
      <w:pPr>
        <w:spacing w:after="0" w:line="319" w:lineRule="auto"/>
        <w:jc w:val="both"/>
        <w:rPr>
          <w:rFonts w:ascii="宋体" w:hAnsi="宋体" w:cs="宋体" w:eastAsia="宋体" w:hint="default"/>
          <w:sz w:val="18"/>
          <w:szCs w:val="18"/>
        </w:rPr>
        <w:sectPr>
          <w:pgSz w:w="11910" w:h="16840"/>
          <w:pgMar w:header="877" w:footer="1316" w:top="1100" w:bottom="1500" w:left="98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1123"/>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李黑虎</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孙进山</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崔军</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r>
    </w:tbl>
    <w:p>
      <w:pPr>
        <w:spacing w:line="360" w:lineRule="auto" w:before="49"/>
        <w:ind w:left="152" w:right="805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2"/>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3"/>
        <w:rPr>
          <w:rFonts w:ascii="宋体" w:hAnsi="宋体" w:cs="宋体" w:eastAsia="宋体" w:hint="default"/>
          <w:b/>
          <w:bCs/>
          <w:sz w:val="23"/>
          <w:szCs w:val="23"/>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5"/>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0"/>
        <w:rPr>
          <w:rFonts w:ascii="宋体" w:hAnsi="宋体" w:cs="宋体" w:eastAsia="宋体" w:hint="default"/>
          <w:sz w:val="18"/>
          <w:szCs w:val="18"/>
        </w:rPr>
      </w:pPr>
    </w:p>
    <w:p>
      <w:pPr>
        <w:pStyle w:val="Heading3"/>
        <w:spacing w:line="240" w:lineRule="auto" w:before="125"/>
        <w:ind w:right="112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3"/>
          <w:szCs w:val="23"/>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spacing w:line="350" w:lineRule="auto" w:before="41"/>
        <w:ind w:left="152" w:right="112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年度，独立董事充分利用参加董事会现场会议及现场检查的机会向公司董事、管理层了解公司生产经营、重大投 </w:t>
      </w:r>
      <w:r>
        <w:rPr>
          <w:rFonts w:ascii="宋体" w:hAnsi="宋体" w:cs="宋体" w:eastAsia="宋体" w:hint="default"/>
          <w:spacing w:val="-2"/>
          <w:sz w:val="18"/>
          <w:szCs w:val="18"/>
        </w:rPr>
        <w:t>融资情况等方面的情况，及时了解公司的日常经营状态和可能产生的经营风险，在积极与董事、监事、高管人员及内审部门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负责人进行沟通外，时刻关注外部环境及市场变化对公司的影响，关注传媒、网络有关公司的相关报道，并结合自己经营管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理方面的专业优势适时提出了建设性意见。</w:t>
      </w:r>
    </w:p>
    <w:p>
      <w:pPr>
        <w:spacing w:line="240" w:lineRule="auto" w:before="13"/>
        <w:rPr>
          <w:rFonts w:ascii="宋体" w:hAnsi="宋体" w:cs="宋体" w:eastAsia="宋体" w:hint="default"/>
          <w:sz w:val="24"/>
          <w:szCs w:val="24"/>
        </w:rPr>
      </w:pPr>
    </w:p>
    <w:p>
      <w:pPr>
        <w:pStyle w:val="Heading2"/>
        <w:spacing w:line="240" w:lineRule="auto"/>
        <w:ind w:right="1123"/>
        <w:jc w:val="left"/>
        <w:rPr>
          <w:b w:val="0"/>
          <w:bCs w:val="0"/>
        </w:rPr>
      </w:pPr>
      <w:r>
        <w:rPr/>
        <w:t>四、董事会下设专门委员会在报告期内履行职责情况</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573" w:right="6434"/>
        <w:jc w:val="left"/>
      </w:pPr>
      <w:r>
        <w:rPr>
          <w:rFonts w:ascii="宋体" w:hAnsi="宋体" w:cs="宋体" w:eastAsia="宋体" w:hint="default"/>
        </w:rPr>
        <w:t>1</w:t>
      </w:r>
      <w:r>
        <w:rPr/>
        <w:t>、审计委员会履职情况</w:t>
      </w:r>
      <w:r>
        <w:rPr>
          <w:w w:val="100"/>
        </w:rPr>
        <w:t> </w:t>
      </w:r>
      <w:r>
        <w:rPr>
          <w:spacing w:val="-2"/>
        </w:rPr>
        <w:t>主任委员：孙进山，委员：崔军、程朋胜</w:t>
      </w:r>
    </w:p>
    <w:p>
      <w:pPr>
        <w:pStyle w:val="BodyText"/>
        <w:spacing w:line="355" w:lineRule="auto" w:before="34"/>
        <w:ind w:right="0" w:firstLine="420"/>
        <w:jc w:val="left"/>
      </w:pPr>
      <w:r>
        <w:rPr>
          <w:rFonts w:ascii="宋体" w:hAnsi="宋体" w:cs="宋体" w:eastAsia="宋体" w:hint="default"/>
        </w:rPr>
        <w:t>2012</w:t>
      </w:r>
      <w:r>
        <w:rPr/>
        <w:t>年度，审计委员会共召开</w:t>
      </w:r>
      <w:r>
        <w:rPr>
          <w:rFonts w:ascii="宋体" w:hAnsi="宋体" w:cs="宋体" w:eastAsia="宋体" w:hint="default"/>
        </w:rPr>
        <w:t>5</w:t>
      </w:r>
      <w:r>
        <w:rPr/>
        <w:t>次会议，审议了公司内部控制情况、募资资金使用情况、对外投资的</w:t>
      </w:r>
      <w:r>
        <w:rPr>
          <w:w w:val="100"/>
        </w:rPr>
        <w:t> </w:t>
      </w:r>
      <w:r>
        <w:rPr>
          <w:spacing w:val="-2"/>
        </w:rPr>
        <w:t>审批情况及续聘、改聘会计师事务所等事项。内控审计、工程审计、结算审计三管齐下，全年减少分包审</w:t>
      </w:r>
      <w:r>
        <w:rPr>
          <w:spacing w:val="-43"/>
        </w:rPr>
        <w:t> </w:t>
      </w:r>
      <w:r>
        <w:rPr>
          <w:spacing w:val="-43"/>
        </w:rPr>
      </w:r>
      <w:r>
        <w:rPr>
          <w:spacing w:val="-4"/>
        </w:rPr>
        <w:t>计百余万元，切实维护了公司的利益。同时，在</w:t>
      </w:r>
      <w:r>
        <w:rPr>
          <w:rFonts w:ascii="宋体" w:hAnsi="宋体" w:cs="宋体" w:eastAsia="宋体" w:hint="default"/>
          <w:spacing w:val="-4"/>
        </w:rPr>
        <w:t>2011</w:t>
      </w:r>
      <w:r>
        <w:rPr>
          <w:spacing w:val="-4"/>
        </w:rPr>
        <w:t>年年度报告编制过程中，积极与年审会计师进行沟通，</w:t>
      </w:r>
      <w:r>
        <w:rPr>
          <w:spacing w:val="-46"/>
        </w:rPr>
        <w:t> </w:t>
      </w:r>
      <w:r>
        <w:rPr>
          <w:spacing w:val="-46"/>
        </w:rPr>
      </w:r>
      <w:r>
        <w:rPr/>
        <w:t>确定公司</w:t>
      </w:r>
      <w:r>
        <w:rPr>
          <w:rFonts w:ascii="宋体" w:hAnsi="宋体" w:cs="宋体" w:eastAsia="宋体" w:hint="default"/>
        </w:rPr>
        <w:t>2011</w:t>
      </w:r>
      <w:r>
        <w:rPr/>
        <w:t>年度财务报告审计工作的时间安排，并就审计过程中发现的问题进行了充分的沟通和交流，</w:t>
      </w:r>
      <w:r>
        <w:rPr>
          <w:w w:val="100"/>
        </w:rPr>
        <w:t> </w:t>
      </w:r>
      <w:r>
        <w:rPr/>
        <w:t>确保年审工作的顺利开展。</w:t>
      </w:r>
    </w:p>
    <w:p>
      <w:pPr>
        <w:spacing w:after="0" w:line="355" w:lineRule="auto"/>
        <w:jc w:val="left"/>
        <w:sectPr>
          <w:pgSz w:w="11910" w:h="16840"/>
          <w:pgMar w:header="877" w:footer="1316" w:top="1100" w:bottom="1500" w:left="980" w:right="0"/>
        </w:sectPr>
      </w:pPr>
    </w:p>
    <w:p>
      <w:pPr>
        <w:spacing w:line="240" w:lineRule="auto" w:before="3"/>
        <w:rPr>
          <w:rFonts w:ascii="宋体" w:hAnsi="宋体" w:cs="宋体" w:eastAsia="宋体" w:hint="default"/>
          <w:sz w:val="19"/>
          <w:szCs w:val="19"/>
        </w:rPr>
      </w:pPr>
    </w:p>
    <w:p>
      <w:pPr>
        <w:pStyle w:val="BodyText"/>
        <w:spacing w:line="357" w:lineRule="auto" w:before="36"/>
        <w:ind w:left="573" w:right="7334"/>
        <w:jc w:val="left"/>
      </w:pPr>
      <w:r>
        <w:rPr>
          <w:rFonts w:ascii="宋体" w:hAnsi="宋体" w:cs="宋体" w:eastAsia="宋体" w:hint="default"/>
          <w:spacing w:val="-2"/>
        </w:rPr>
        <w:t>2</w:t>
      </w:r>
      <w:r>
        <w:rPr>
          <w:spacing w:val="-2"/>
        </w:rPr>
        <w:t>、战略发展委员会履职情况</w:t>
      </w:r>
      <w:r>
        <w:rPr>
          <w:spacing w:val="-82"/>
        </w:rPr>
        <w:t> </w:t>
      </w:r>
      <w:r>
        <w:rPr>
          <w:spacing w:val="-82"/>
        </w:rPr>
      </w:r>
      <w:r>
        <w:rPr/>
        <w:t>主任委员：刘磅</w:t>
      </w:r>
      <w:r>
        <w:rPr>
          <w:spacing w:val="-103"/>
        </w:rPr>
        <w:t> </w:t>
      </w:r>
      <w:r>
        <w:rPr>
          <w:spacing w:val="-103"/>
        </w:rPr>
      </w:r>
      <w:r>
        <w:rPr/>
        <w:t>委员：李黑虎、刘昂</w:t>
      </w:r>
    </w:p>
    <w:p>
      <w:pPr>
        <w:pStyle w:val="BodyText"/>
        <w:spacing w:line="355" w:lineRule="auto" w:before="32"/>
        <w:ind w:right="1126" w:firstLine="420"/>
        <w:jc w:val="both"/>
      </w:pPr>
      <w:r>
        <w:rPr>
          <w:rFonts w:ascii="宋体" w:hAnsi="宋体" w:cs="宋体" w:eastAsia="宋体" w:hint="default"/>
        </w:rPr>
        <w:t>2012</w:t>
      </w:r>
      <w:r>
        <w:rPr/>
        <w:t>年度，战略发展委员会共召开</w:t>
      </w:r>
      <w:r>
        <w:rPr>
          <w:rFonts w:ascii="宋体" w:hAnsi="宋体" w:cs="宋体" w:eastAsia="宋体" w:hint="default"/>
        </w:rPr>
        <w:t>2</w:t>
      </w:r>
      <w:r>
        <w:rPr/>
        <w:t>次会议，分别就使用超募资金对北京启迪德润能源科技有限公司</w:t>
      </w:r>
      <w:r>
        <w:rPr>
          <w:w w:val="100"/>
        </w:rPr>
        <w:t> </w:t>
      </w:r>
      <w:r>
        <w:rPr>
          <w:spacing w:val="-2"/>
        </w:rPr>
        <w:t>及上海联欣科技发展有限公司进行投资的事项进行了审议，对项目的可行性和投资价值进行了充分讨论和</w:t>
      </w:r>
      <w:r>
        <w:rPr>
          <w:spacing w:val="-43"/>
        </w:rPr>
        <w:t> </w:t>
      </w:r>
      <w:r>
        <w:rPr>
          <w:spacing w:val="-43"/>
        </w:rPr>
      </w:r>
      <w:r>
        <w:rPr>
          <w:spacing w:val="-2"/>
        </w:rPr>
        <w:t>挖掘，提高了公司的科学决策水平。上述收购事项对延伸公司的产业结构，加快区域化布局均产生了积极</w:t>
      </w:r>
      <w:r>
        <w:rPr>
          <w:spacing w:val="-44"/>
        </w:rPr>
        <w:t> </w:t>
      </w:r>
      <w:r>
        <w:rPr>
          <w:spacing w:val="-44"/>
        </w:rPr>
      </w:r>
      <w:r>
        <w:rPr/>
        <w:t>作用。</w:t>
      </w:r>
    </w:p>
    <w:p>
      <w:pPr>
        <w:pStyle w:val="BodyText"/>
        <w:spacing w:line="355" w:lineRule="auto" w:before="34"/>
        <w:ind w:left="573" w:right="6434"/>
        <w:jc w:val="left"/>
      </w:pPr>
      <w:r>
        <w:rPr>
          <w:rFonts w:ascii="宋体" w:hAnsi="宋体" w:cs="宋体" w:eastAsia="宋体" w:hint="default"/>
        </w:rPr>
        <w:t>3</w:t>
      </w:r>
      <w:r>
        <w:rPr/>
        <w:t>、薪酬与考核委员会履职情况</w:t>
      </w:r>
      <w:r>
        <w:rPr>
          <w:w w:val="100"/>
        </w:rPr>
        <w:t> </w:t>
      </w:r>
      <w:r>
        <w:rPr>
          <w:spacing w:val="-2"/>
        </w:rPr>
        <w:t>主任委员：崔军，委员：孙进山、刘昂</w:t>
      </w:r>
    </w:p>
    <w:p>
      <w:pPr>
        <w:pStyle w:val="BodyText"/>
        <w:spacing w:line="357" w:lineRule="auto" w:before="32"/>
        <w:ind w:right="1126" w:firstLine="420"/>
        <w:jc w:val="both"/>
      </w:pPr>
      <w:r>
        <w:rPr>
          <w:rFonts w:ascii="宋体" w:hAnsi="宋体" w:cs="宋体" w:eastAsia="宋体" w:hint="default"/>
        </w:rPr>
        <w:t>2012</w:t>
      </w:r>
      <w:r>
        <w:rPr/>
        <w:t>年度，薪酬与考核委员会共召开</w:t>
      </w:r>
      <w:r>
        <w:rPr>
          <w:rFonts w:ascii="宋体" w:hAnsi="宋体" w:cs="宋体" w:eastAsia="宋体" w:hint="default"/>
        </w:rPr>
        <w:t>2</w:t>
      </w:r>
      <w:r>
        <w:rPr/>
        <w:t>次，听取高级管理人员的年度述职，对公司董事、高级管理人</w:t>
      </w:r>
      <w:r>
        <w:rPr>
          <w:w w:val="100"/>
        </w:rPr>
        <w:t> </w:t>
      </w:r>
      <w:r>
        <w:rPr>
          <w:spacing w:val="-2"/>
        </w:rPr>
        <w:t>员</w:t>
      </w:r>
      <w:r>
        <w:rPr>
          <w:rFonts w:ascii="宋体" w:hAnsi="宋体" w:cs="宋体" w:eastAsia="宋体" w:hint="default"/>
          <w:spacing w:val="-2"/>
        </w:rPr>
        <w:t>2011</w:t>
      </w:r>
      <w:r>
        <w:rPr>
          <w:spacing w:val="-2"/>
        </w:rPr>
        <w:t>年度的薪酬发放情况及</w:t>
      </w:r>
      <w:r>
        <w:rPr>
          <w:rFonts w:ascii="宋体" w:hAnsi="宋体" w:cs="宋体" w:eastAsia="宋体" w:hint="default"/>
          <w:spacing w:val="-2"/>
        </w:rPr>
        <w:t>2012</w:t>
      </w:r>
      <w:r>
        <w:rPr>
          <w:spacing w:val="-2"/>
        </w:rPr>
        <w:t>年度薪酬的发放计划进行审议，同时制定、实施了公司首次限制性股票</w:t>
      </w:r>
      <w:r>
        <w:rPr>
          <w:spacing w:val="-35"/>
        </w:rPr>
        <w:t> </w:t>
      </w:r>
      <w:r>
        <w:rPr>
          <w:spacing w:val="-35"/>
        </w:rPr>
      </w:r>
      <w:r>
        <w:rPr/>
        <w:t>激励计划，完善了激励体系，使高管、员工与公司的利益最大程度的保持了一致。</w:t>
      </w:r>
    </w:p>
    <w:p>
      <w:pPr>
        <w:pStyle w:val="BodyText"/>
        <w:spacing w:line="240" w:lineRule="auto" w:before="32"/>
        <w:ind w:left="573" w:right="1123"/>
        <w:jc w:val="left"/>
      </w:pPr>
      <w:r>
        <w:rPr>
          <w:rFonts w:ascii="宋体" w:hAnsi="宋体" w:cs="宋体" w:eastAsia="宋体" w:hint="default"/>
        </w:rPr>
        <w:t>4</w:t>
      </w:r>
      <w:r>
        <w:rPr/>
        <w:t>、</w:t>
      </w:r>
      <w:r>
        <w:rPr>
          <w:rFonts w:ascii="宋体" w:hAnsi="宋体" w:cs="宋体" w:eastAsia="宋体" w:hint="default"/>
        </w:rPr>
        <w:t>2012</w:t>
      </w:r>
      <w:r>
        <w:rPr/>
        <w:t>年度，公司未发生董事、高级管理人员的变更事项，未召开提名委员会议。</w:t>
      </w:r>
    </w:p>
    <w:p>
      <w:pPr>
        <w:spacing w:line="240" w:lineRule="auto" w:before="0"/>
        <w:rPr>
          <w:rFonts w:ascii="宋体" w:hAnsi="宋体" w:cs="宋体" w:eastAsia="宋体" w:hint="default"/>
          <w:sz w:val="20"/>
          <w:szCs w:val="20"/>
        </w:rPr>
      </w:pPr>
    </w:p>
    <w:p>
      <w:pPr>
        <w:pStyle w:val="Heading2"/>
        <w:spacing w:line="240" w:lineRule="auto" w:before="167"/>
        <w:ind w:right="1123"/>
        <w:jc w:val="left"/>
        <w:rPr>
          <w:b w:val="0"/>
          <w:bCs w:val="0"/>
        </w:rPr>
      </w:pPr>
      <w:r>
        <w:rPr/>
        <w:t>五、监事会工作情况</w:t>
      </w:r>
      <w:r>
        <w:rPr>
          <w:b w:val="0"/>
          <w:bCs w:val="0"/>
        </w:rPr>
      </w:r>
    </w:p>
    <w:p>
      <w:pPr>
        <w:spacing w:line="240" w:lineRule="auto" w:before="2"/>
        <w:rPr>
          <w:rFonts w:ascii="宋体" w:hAnsi="宋体" w:cs="宋体" w:eastAsia="宋体" w:hint="default"/>
          <w:b/>
          <w:bCs/>
          <w:sz w:val="23"/>
          <w:szCs w:val="23"/>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57" w:lineRule="auto" w:before="115"/>
        <w:ind w:left="152" w:right="769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监事会对报告期内的监督事项无异议。</w:t>
      </w:r>
    </w:p>
    <w:p>
      <w:pPr>
        <w:spacing w:line="240" w:lineRule="auto" w:before="8"/>
        <w:rPr>
          <w:rFonts w:ascii="宋体" w:hAnsi="宋体" w:cs="宋体" w:eastAsia="宋体" w:hint="default"/>
          <w:sz w:val="24"/>
          <w:szCs w:val="24"/>
        </w:rPr>
      </w:pPr>
    </w:p>
    <w:p>
      <w:pPr>
        <w:pStyle w:val="Heading2"/>
        <w:spacing w:line="240" w:lineRule="auto"/>
        <w:ind w:right="1123"/>
        <w:jc w:val="left"/>
        <w:rPr>
          <w:b w:val="0"/>
          <w:bCs w:val="0"/>
        </w:rPr>
      </w:pPr>
      <w:r>
        <w:rPr/>
        <w:t>六、公司相对于控股股东在业务、人员、资产、机构、财务等方面的独立完整情况</w:t>
      </w:r>
      <w:r>
        <w:rPr>
          <w:b w:val="0"/>
          <w:bCs w:val="0"/>
        </w:rPr>
      </w:r>
    </w:p>
    <w:p>
      <w:pPr>
        <w:spacing w:line="240" w:lineRule="auto" w:before="3"/>
        <w:rPr>
          <w:rFonts w:ascii="宋体" w:hAnsi="宋体" w:cs="宋体" w:eastAsia="宋体" w:hint="default"/>
          <w:b/>
          <w:bCs/>
          <w:sz w:val="23"/>
          <w:szCs w:val="23"/>
        </w:rPr>
      </w:pPr>
    </w:p>
    <w:p>
      <w:pPr>
        <w:pStyle w:val="BodyText"/>
        <w:spacing w:line="355" w:lineRule="auto" w:before="0"/>
        <w:ind w:right="1129" w:firstLine="420"/>
        <w:jc w:val="both"/>
      </w:pPr>
      <w:r>
        <w:rPr>
          <w:spacing w:val="-7"/>
          <w:w w:val="100"/>
        </w:rPr>
        <w:t>公司严格按照《公司法》、《证券法》等有关法律、法规和《公司章程》的要求规范运作，与控股股东</w:t>
      </w:r>
      <w:r>
        <w:rPr>
          <w:w w:val="100"/>
        </w:rPr>
        <w:t> </w:t>
      </w:r>
      <w:r>
        <w:rPr/>
        <w:t>在业务、人员、资产、机构、财务等方面完全分开，具有独立完整的业务及自主经营能力。</w:t>
      </w:r>
    </w:p>
    <w:p>
      <w:pPr>
        <w:pStyle w:val="BodyText"/>
        <w:spacing w:line="355" w:lineRule="auto" w:before="32"/>
        <w:ind w:right="1210" w:firstLine="420"/>
        <w:jc w:val="both"/>
      </w:pPr>
      <w:r>
        <w:rPr>
          <w:rFonts w:ascii="宋体" w:hAnsi="宋体" w:cs="宋体" w:eastAsia="宋体" w:hint="default"/>
          <w:spacing w:val="-2"/>
        </w:rPr>
        <w:t>1</w:t>
      </w:r>
      <w:r>
        <w:rPr>
          <w:spacing w:val="-2"/>
        </w:rPr>
        <w:t>、业务方面：公司业务结构完整，自主独立经营，与控股股东之间无同业竞争，控股股东未曾利用</w:t>
      </w:r>
      <w:r>
        <w:rPr>
          <w:w w:val="100"/>
        </w:rPr>
        <w:t> </w:t>
      </w:r>
      <w:r>
        <w:rPr/>
        <w:t>控股股东地位干涉公司决策和生产经营活动；</w:t>
      </w:r>
    </w:p>
    <w:p>
      <w:pPr>
        <w:pStyle w:val="BodyText"/>
        <w:spacing w:line="357" w:lineRule="auto" w:before="32"/>
        <w:ind w:right="1210" w:firstLine="420"/>
        <w:jc w:val="both"/>
      </w:pPr>
      <w:r>
        <w:rPr>
          <w:rFonts w:ascii="宋体" w:hAnsi="宋体" w:cs="宋体" w:eastAsia="宋体" w:hint="default"/>
          <w:spacing w:val="-2"/>
        </w:rPr>
        <w:t>2</w:t>
      </w:r>
      <w:r>
        <w:rPr>
          <w:spacing w:val="-2"/>
        </w:rPr>
        <w:t>、人员方面：公司在劳动、人事及工资管理等各方面均独立于控股股东。高级管理人员均在公司领</w:t>
      </w:r>
      <w:r>
        <w:rPr>
          <w:w w:val="100"/>
        </w:rPr>
        <w:t> </w:t>
      </w:r>
      <w:r>
        <w:rPr/>
        <w:t>取报酬，未在控股股东或股东关联单位担任除董事以外的任何职务；</w:t>
      </w:r>
    </w:p>
    <w:p>
      <w:pPr>
        <w:pStyle w:val="BodyText"/>
        <w:spacing w:line="357" w:lineRule="auto"/>
        <w:ind w:right="1210" w:firstLine="420"/>
        <w:jc w:val="both"/>
      </w:pPr>
      <w:r>
        <w:rPr>
          <w:rFonts w:ascii="宋体" w:hAnsi="宋体" w:cs="宋体" w:eastAsia="宋体" w:hint="default"/>
          <w:spacing w:val="-2"/>
        </w:rPr>
        <w:t>3</w:t>
      </w:r>
      <w:r>
        <w:rPr>
          <w:spacing w:val="-2"/>
        </w:rPr>
        <w:t>、资产方面：公司生产经营场所及土地使用权情况、商标注册及使用情况独立，各发起人投入股份</w:t>
      </w:r>
      <w:r>
        <w:rPr>
          <w:w w:val="100"/>
        </w:rPr>
        <w:t> </w:t>
      </w:r>
      <w:r>
        <w:rPr/>
        <w:t>公司的资产权属明确；</w:t>
      </w:r>
    </w:p>
    <w:p>
      <w:pPr>
        <w:pStyle w:val="BodyText"/>
        <w:spacing w:line="357" w:lineRule="auto"/>
        <w:ind w:right="1210" w:firstLine="420"/>
        <w:jc w:val="both"/>
      </w:pPr>
      <w:r>
        <w:rPr>
          <w:rFonts w:ascii="宋体" w:hAnsi="宋体" w:cs="宋体" w:eastAsia="宋体" w:hint="default"/>
          <w:spacing w:val="-2"/>
        </w:rPr>
        <w:t>4</w:t>
      </w:r>
      <w:r>
        <w:rPr>
          <w:spacing w:val="-2"/>
        </w:rPr>
        <w:t>、机构方面：公司设组织体系健全，董事会、监事会、管理层及部门运作独立，不存在与控股股东</w:t>
      </w:r>
      <w:r>
        <w:rPr>
          <w:w w:val="100"/>
        </w:rPr>
        <w:t> </w:t>
      </w:r>
      <w:r>
        <w:rPr/>
        <w:t>之间的从属关系；</w:t>
      </w:r>
    </w:p>
    <w:p>
      <w:pPr>
        <w:pStyle w:val="BodyText"/>
        <w:spacing w:line="355" w:lineRule="auto"/>
        <w:ind w:right="1210" w:firstLine="420"/>
        <w:jc w:val="both"/>
        <w:rPr>
          <w:rFonts w:ascii="宋体" w:hAnsi="宋体" w:cs="宋体" w:eastAsia="宋体" w:hint="default"/>
        </w:rPr>
      </w:pPr>
      <w:r>
        <w:rPr>
          <w:rFonts w:ascii="宋体" w:hAnsi="宋体" w:cs="宋体" w:eastAsia="宋体" w:hint="default"/>
          <w:spacing w:val="-2"/>
        </w:rPr>
        <w:t>5</w:t>
      </w:r>
      <w:r>
        <w:rPr>
          <w:spacing w:val="-2"/>
        </w:rPr>
        <w:t>、财务方面：设有独立的财务部门，并建立了独立的会计核算体系和财务管理制度，独立在银行开</w:t>
      </w:r>
      <w:r>
        <w:rPr>
          <w:w w:val="100"/>
        </w:rPr>
        <w:t> </w:t>
      </w:r>
      <w:r>
        <w:rPr>
          <w:spacing w:val="-2"/>
          <w:w w:val="95"/>
        </w:rPr>
        <w:t>户、并依法独立纳税。</w:t>
      </w:r>
      <w:r>
        <w:rPr>
          <w:rFonts w:ascii="宋体" w:hAnsi="宋体" w:cs="宋体" w:eastAsia="宋体" w:hint="default"/>
          <w:spacing w:val="-2"/>
          <w:w w:val="95"/>
        </w:rPr>
        <w:t>’</w:t>
      </w:r>
      <w:r>
        <w:rPr>
          <w:rFonts w:ascii="宋体" w:hAnsi="宋体" w:cs="宋体" w:eastAsia="宋体" w:hint="default"/>
          <w:spacing w:val="-2"/>
        </w:rPr>
      </w:r>
    </w:p>
    <w:p>
      <w:pPr>
        <w:spacing w:after="0" w:line="355" w:lineRule="auto"/>
        <w:jc w:val="both"/>
        <w:rPr>
          <w:rFonts w:ascii="宋体" w:hAnsi="宋体" w:cs="宋体" w:eastAsia="宋体" w:hint="default"/>
        </w:rPr>
        <w:sectPr>
          <w:pgSz w:w="11910" w:h="16840"/>
          <w:pgMar w:header="877" w:footer="1316" w:top="1100" w:bottom="150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23"/>
        <w:jc w:val="left"/>
        <w:rPr>
          <w:b w:val="0"/>
          <w:bCs w:val="0"/>
        </w:rPr>
      </w:pPr>
      <w:r>
        <w:rPr/>
        <w:t>七、高级管理人员的考评及激励情况</w:t>
      </w:r>
      <w:r>
        <w:rPr>
          <w:b w:val="0"/>
          <w:bCs w:val="0"/>
        </w:rPr>
      </w:r>
    </w:p>
    <w:p>
      <w:pPr>
        <w:spacing w:line="240" w:lineRule="auto" w:before="4"/>
        <w:rPr>
          <w:rFonts w:ascii="宋体" w:hAnsi="宋体" w:cs="宋体" w:eastAsia="宋体" w:hint="default"/>
          <w:b/>
          <w:bCs/>
          <w:sz w:val="23"/>
          <w:szCs w:val="23"/>
        </w:rPr>
      </w:pPr>
    </w:p>
    <w:p>
      <w:pPr>
        <w:pStyle w:val="BodyText"/>
        <w:spacing w:line="355" w:lineRule="auto" w:before="0"/>
        <w:ind w:right="0" w:firstLine="451"/>
        <w:jc w:val="left"/>
      </w:pPr>
      <w:r>
        <w:rPr>
          <w:spacing w:val="-3"/>
        </w:rPr>
        <w:t>根据《上市公司治理准则》的要求，公司建立了《董事、监事及高级管理人员薪酬管理制度》及考核</w:t>
      </w:r>
      <w:r>
        <w:rPr>
          <w:w w:val="100"/>
        </w:rPr>
        <w:t> </w:t>
      </w:r>
      <w:r>
        <w:rPr>
          <w:spacing w:val="-2"/>
        </w:rPr>
        <w:t>激励体系，且高级管理人员全部由董事会聘任，直接对董事会负责，承担董事会下达的经营指标。董事会</w:t>
      </w:r>
      <w:r>
        <w:rPr>
          <w:spacing w:val="-50"/>
        </w:rPr>
        <w:t> </w:t>
      </w:r>
      <w:r>
        <w:rPr>
          <w:spacing w:val="-50"/>
        </w:rPr>
      </w:r>
      <w:r>
        <w:rPr>
          <w:spacing w:val="-5"/>
        </w:rPr>
        <w:t>下设的薪酬与考核委员会负责对高级管理人员的工作能力、履职情况、责任目标完成情况等进行年终考评，</w:t>
      </w:r>
      <w:r>
        <w:rPr>
          <w:spacing w:val="-4"/>
        </w:rPr>
        <w:t> </w:t>
      </w:r>
      <w:r>
        <w:rPr>
          <w:spacing w:val="-4"/>
        </w:rPr>
      </w:r>
      <w:r>
        <w:rPr/>
        <w:t>制定薪酬方案并报董事会审批。</w:t>
      </w:r>
    </w:p>
    <w:p>
      <w:pPr>
        <w:pStyle w:val="BodyText"/>
        <w:spacing w:line="240" w:lineRule="auto" w:before="32"/>
        <w:ind w:left="573" w:right="1123"/>
        <w:jc w:val="left"/>
      </w:pP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14</w:t>
      </w:r>
      <w:r>
        <w:rPr>
          <w:rFonts w:ascii="宋体" w:hAnsi="宋体" w:cs="宋体" w:eastAsia="宋体" w:hint="default"/>
          <w:spacing w:val="-55"/>
        </w:rPr>
        <w:t> </w:t>
      </w:r>
      <w:r>
        <w:rPr/>
        <w:t>日，公司实施了上市后的首次限制性股票激励计划，除实际控制人刘磅先生担任总经</w:t>
      </w:r>
    </w:p>
    <w:p>
      <w:pPr>
        <w:pStyle w:val="BodyText"/>
        <w:spacing w:line="355" w:lineRule="auto" w:before="135"/>
        <w:ind w:right="1123"/>
        <w:jc w:val="left"/>
      </w:pPr>
      <w:r>
        <w:rPr>
          <w:spacing w:val="-3"/>
        </w:rPr>
        <w:t>理外，其余</w:t>
      </w:r>
      <w:r>
        <w:rPr>
          <w:spacing w:val="-58"/>
        </w:rPr>
        <w:t> </w:t>
      </w:r>
      <w:r>
        <w:rPr>
          <w:rFonts w:ascii="宋体" w:hAnsi="宋体" w:cs="宋体" w:eastAsia="宋体" w:hint="default"/>
        </w:rPr>
        <w:t>5</w:t>
      </w:r>
      <w:r>
        <w:rPr>
          <w:rFonts w:ascii="宋体" w:hAnsi="宋体" w:cs="宋体" w:eastAsia="宋体" w:hint="default"/>
          <w:spacing w:val="-61"/>
        </w:rPr>
        <w:t> </w:t>
      </w:r>
      <w:r>
        <w:rPr/>
        <w:t>名高管均为激励对象，有效调动高级管理人员的积极性，更好地将个人与公司的利益进行了</w:t>
      </w:r>
      <w:r>
        <w:rPr>
          <w:w w:val="100"/>
        </w:rPr>
        <w:t> </w:t>
      </w:r>
      <w:r>
        <w:rPr/>
        <w:t>绑定。</w:t>
      </w:r>
    </w:p>
    <w:p>
      <w:pPr>
        <w:spacing w:after="0" w:line="355" w:lineRule="auto"/>
        <w:jc w:val="left"/>
        <w:sectPr>
          <w:pgSz w:w="11910" w:h="16840"/>
          <w:pgMar w:header="877" w:footer="1316" w:top="1100" w:bottom="15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1109"/>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一、内部控制建设情况</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right="1104" w:firstLine="451"/>
        <w:jc w:val="both"/>
      </w:pPr>
      <w:r>
        <w:rPr>
          <w:spacing w:val="-16"/>
          <w:w w:val="100"/>
        </w:rPr>
        <w:t>公司根据《公司法》、《证券法》、《深圳证券交易所股票上市规则》、《企业内部控制基本规范》等有关</w:t>
      </w:r>
      <w:r>
        <w:rPr>
          <w:w w:val="100"/>
        </w:rPr>
        <w:t> </w:t>
      </w:r>
      <w:r>
        <w:rPr>
          <w:spacing w:val="-2"/>
        </w:rPr>
        <w:t>法律、法规和规章制度，结合公司的实际情况、自身特点和管理需要，制定了一系列公司内部管理制度。</w:t>
      </w:r>
      <w:r>
        <w:rPr>
          <w:spacing w:val="-20"/>
        </w:rPr>
        <w:t> </w:t>
      </w:r>
      <w:r>
        <w:rPr>
          <w:spacing w:val="-20"/>
        </w:rPr>
      </w:r>
      <w:r>
        <w:rPr/>
        <w:t>各项制度建立后均得到有效执行，对公司的经营和管理起到了有效的监督、控制和指导作用。</w:t>
      </w:r>
    </w:p>
    <w:p>
      <w:pPr>
        <w:pStyle w:val="BodyText"/>
        <w:spacing w:line="357" w:lineRule="auto"/>
        <w:ind w:right="1123" w:firstLine="420"/>
        <w:jc w:val="left"/>
      </w:pPr>
      <w:r>
        <w:rPr>
          <w:rFonts w:ascii="宋体" w:hAnsi="宋体" w:cs="宋体" w:eastAsia="宋体" w:hint="default"/>
        </w:rPr>
        <w:t>1</w:t>
      </w:r>
      <w:r>
        <w:rPr/>
        <w:t>、在经营管理控制方面，公司明确了各部门的工作权限与职责，针对管理层、职能部门、事业部、</w:t>
      </w:r>
      <w:r>
        <w:rPr>
          <w:w w:val="100"/>
        </w:rPr>
        <w:t> </w:t>
      </w:r>
      <w:r>
        <w:rPr>
          <w:spacing w:val="-2"/>
        </w:rPr>
        <w:t>子公司建立了一系列考核激励机制，规定了销售与收款、采购及付款、工程项目施工管理、生产过程管理</w:t>
      </w:r>
      <w:r>
        <w:rPr>
          <w:spacing w:val="-47"/>
        </w:rPr>
        <w:t> </w:t>
      </w:r>
      <w:r>
        <w:rPr>
          <w:spacing w:val="-47"/>
        </w:rPr>
      </w:r>
      <w:r>
        <w:rPr/>
        <w:t>销售等程序与工作流程，建立了质量管理体系，通过了</w:t>
      </w:r>
      <w:r>
        <w:rPr>
          <w:spacing w:val="-54"/>
        </w:rPr>
        <w:t> </w:t>
      </w:r>
      <w:r>
        <w:rPr>
          <w:rFonts w:ascii="宋体" w:hAnsi="宋体" w:cs="宋体" w:eastAsia="宋体" w:hint="default"/>
        </w:rPr>
        <w:t>ISO14001</w:t>
      </w:r>
      <w:r>
        <w:rPr/>
        <w:t>、</w:t>
      </w:r>
      <w:r>
        <w:rPr>
          <w:rFonts w:ascii="宋体" w:hAnsi="宋体" w:cs="宋体" w:eastAsia="宋体" w:hint="default"/>
        </w:rPr>
        <w:t>OHS18001</w:t>
      </w:r>
      <w:r>
        <w:rPr>
          <w:rFonts w:ascii="宋体" w:hAnsi="宋体" w:cs="宋体" w:eastAsia="宋体" w:hint="default"/>
          <w:spacing w:val="-57"/>
        </w:rPr>
        <w:t> </w:t>
      </w:r>
      <w:r>
        <w:rPr/>
        <w:t>体系认证，使公司的经营运</w:t>
      </w:r>
      <w:r>
        <w:rPr>
          <w:w w:val="100"/>
        </w:rPr>
        <w:t> </w:t>
      </w:r>
      <w:r>
        <w:rPr/>
        <w:t>作得到有效控制。</w:t>
      </w:r>
    </w:p>
    <w:p>
      <w:pPr>
        <w:pStyle w:val="BodyText"/>
        <w:spacing w:line="355" w:lineRule="auto" w:before="32"/>
        <w:ind w:right="1123" w:firstLine="420"/>
        <w:jc w:val="left"/>
      </w:pPr>
      <w:r>
        <w:rPr>
          <w:rFonts w:ascii="宋体" w:hAnsi="宋体" w:cs="宋体" w:eastAsia="宋体" w:hint="default"/>
        </w:rPr>
        <w:t>2</w:t>
      </w:r>
      <w:r>
        <w:rPr/>
        <w:t>、在财务管理控制方面，公司根据《企业会计准则》等相关法律、法规，结合公司的具体情况制定</w:t>
      </w:r>
      <w:r>
        <w:rPr>
          <w:w w:val="100"/>
        </w:rPr>
        <w:t> </w:t>
      </w:r>
      <w:r>
        <w:rPr>
          <w:spacing w:val="-8"/>
          <w:w w:val="100"/>
        </w:rPr>
        <w:t>了《财务管理制度》、《财务报告内部控制制度》及《资产管理制度》，作为财务管理和会计核算工作的依</w:t>
      </w:r>
      <w:r>
        <w:rPr>
          <w:w w:val="100"/>
        </w:rPr>
        <w:t> </w:t>
      </w:r>
      <w:r>
        <w:rPr>
          <w:spacing w:val="-2"/>
        </w:rPr>
        <w:t>据，保证了财务信息的真实性、准确性和有效性及公司资产的安全与完整。报告期内公司未发现财务管理</w:t>
      </w:r>
      <w:r>
        <w:rPr>
          <w:spacing w:val="-43"/>
        </w:rPr>
        <w:t> </w:t>
      </w:r>
      <w:r>
        <w:rPr>
          <w:spacing w:val="-43"/>
        </w:rPr>
      </w:r>
      <w:r>
        <w:rPr/>
        <w:t>控制存在重大缺陷的具体情况。</w:t>
      </w:r>
    </w:p>
    <w:p>
      <w:pPr>
        <w:pStyle w:val="BodyText"/>
        <w:spacing w:line="357" w:lineRule="auto" w:before="32"/>
        <w:ind w:right="0" w:firstLine="420"/>
        <w:jc w:val="left"/>
      </w:pPr>
      <w:r>
        <w:rPr>
          <w:rFonts w:ascii="宋体" w:hAnsi="宋体" w:cs="宋体" w:eastAsia="宋体" w:hint="default"/>
          <w:spacing w:val="-5"/>
          <w:w w:val="100"/>
        </w:rPr>
        <w:t>3</w:t>
      </w:r>
      <w:r>
        <w:rPr>
          <w:spacing w:val="-5"/>
          <w:w w:val="100"/>
        </w:rPr>
        <w:t>、在对外投资管理控制方面，公司制定了《对外投资管理制度》，明确了重大投资的审批权限和审批</w:t>
      </w:r>
      <w:r>
        <w:rPr>
          <w:w w:val="100"/>
        </w:rPr>
        <w:t> </w:t>
      </w:r>
      <w:r>
        <w:rPr>
          <w:spacing w:val="-5"/>
        </w:rPr>
        <w:t>程序，建立了严格的投资审查和决策程序。报告期内的两次投资行为均事前进行了可行性论证及尽职调查， </w:t>
      </w:r>
      <w:r>
        <w:rPr>
          <w:spacing w:val="-5"/>
        </w:rPr>
      </w:r>
      <w:r>
        <w:rPr/>
        <w:t>并根据投资额大小提交董事会、股东会审议通过。</w:t>
      </w:r>
    </w:p>
    <w:p>
      <w:pPr>
        <w:pStyle w:val="BodyText"/>
        <w:spacing w:line="355" w:lineRule="auto"/>
        <w:ind w:right="1123" w:firstLine="420"/>
        <w:jc w:val="left"/>
      </w:pPr>
      <w:r>
        <w:rPr>
          <w:rFonts w:ascii="宋体" w:hAnsi="宋体" w:cs="宋体" w:eastAsia="宋体" w:hint="default"/>
          <w:spacing w:val="-5"/>
          <w:w w:val="100"/>
        </w:rPr>
        <w:t>4</w:t>
      </w:r>
      <w:r>
        <w:rPr>
          <w:spacing w:val="-5"/>
          <w:w w:val="100"/>
        </w:rPr>
        <w:t>、在对外担保管理控制方面，公司按照监管部门的相关要求制定了《对外担保管理办法》，对担保的</w:t>
      </w:r>
      <w:r>
        <w:rPr>
          <w:w w:val="100"/>
        </w:rPr>
        <w:t> </w:t>
      </w:r>
      <w:r>
        <w:rPr/>
        <w:t>基本原则、担保的审批权限和审批程序、担保对象的限制条件都做了明确规定。经</w:t>
      </w:r>
      <w:r>
        <w:rPr>
          <w:spacing w:val="-58"/>
        </w:rPr>
        <w:t> </w:t>
      </w:r>
      <w:r>
        <w:rPr>
          <w:rFonts w:ascii="宋体" w:hAnsi="宋体" w:cs="宋体" w:eastAsia="宋体" w:hint="default"/>
        </w:rPr>
        <w:t>2012</w:t>
      </w:r>
      <w:r>
        <w:rPr>
          <w:rFonts w:ascii="宋体" w:hAnsi="宋体" w:cs="宋体" w:eastAsia="宋体" w:hint="default"/>
          <w:spacing w:val="-57"/>
        </w:rPr>
        <w:t> </w:t>
      </w:r>
      <w:r>
        <w:rPr/>
        <w:t>年第二次临时股</w:t>
      </w:r>
    </w:p>
    <w:p>
      <w:pPr>
        <w:pStyle w:val="BodyText"/>
        <w:spacing w:line="240" w:lineRule="auto" w:before="34"/>
        <w:ind w:right="1123"/>
        <w:jc w:val="left"/>
      </w:pPr>
      <w:r>
        <w:rPr>
          <w:w w:val="100"/>
        </w:rPr>
        <w:t>东大</w:t>
      </w:r>
      <w:r>
        <w:rPr>
          <w:spacing w:val="-3"/>
          <w:w w:val="100"/>
        </w:rPr>
        <w:t>会</w:t>
      </w:r>
      <w:r>
        <w:rPr>
          <w:w w:val="100"/>
        </w:rPr>
        <w:t>批</w:t>
      </w:r>
      <w:r>
        <w:rPr>
          <w:spacing w:val="-3"/>
          <w:w w:val="100"/>
        </w:rPr>
        <w:t>准</w:t>
      </w:r>
      <w:r>
        <w:rPr>
          <w:w w:val="100"/>
        </w:rPr>
        <w:t>，</w:t>
      </w:r>
      <w:r>
        <w:rPr>
          <w:spacing w:val="-3"/>
          <w:w w:val="100"/>
        </w:rPr>
        <w:t>公</w:t>
      </w:r>
      <w:r>
        <w:rPr>
          <w:w w:val="100"/>
        </w:rPr>
        <w:t>司</w:t>
      </w:r>
      <w:r>
        <w:rPr>
          <w:spacing w:val="-3"/>
          <w:w w:val="100"/>
        </w:rPr>
        <w:t>审</w:t>
      </w:r>
      <w:r>
        <w:rPr>
          <w:w w:val="100"/>
        </w:rPr>
        <w:t>议</w:t>
      </w:r>
      <w:r>
        <w:rPr>
          <w:spacing w:val="-3"/>
          <w:w w:val="100"/>
        </w:rPr>
        <w:t>通</w:t>
      </w:r>
      <w:r>
        <w:rPr>
          <w:w w:val="100"/>
        </w:rPr>
        <w:t>过《</w:t>
      </w:r>
      <w:r>
        <w:rPr>
          <w:spacing w:val="-3"/>
          <w:w w:val="100"/>
        </w:rPr>
        <w:t>关</w:t>
      </w:r>
      <w:r>
        <w:rPr>
          <w:w w:val="100"/>
        </w:rPr>
        <w:t>于</w:t>
      </w:r>
      <w:r>
        <w:rPr>
          <w:spacing w:val="-3"/>
          <w:w w:val="100"/>
        </w:rPr>
        <w:t>为</w:t>
      </w:r>
      <w:r>
        <w:rPr>
          <w:w w:val="100"/>
        </w:rPr>
        <w:t>深</w:t>
      </w:r>
      <w:r>
        <w:rPr>
          <w:spacing w:val="-3"/>
          <w:w w:val="100"/>
        </w:rPr>
        <w:t>圳</w:t>
      </w:r>
      <w:r>
        <w:rPr>
          <w:w w:val="100"/>
        </w:rPr>
        <w:t>达</w:t>
      </w:r>
      <w:r>
        <w:rPr>
          <w:spacing w:val="-3"/>
          <w:w w:val="100"/>
        </w:rPr>
        <w:t>实</w:t>
      </w:r>
      <w:r>
        <w:rPr>
          <w:w w:val="100"/>
        </w:rPr>
        <w:t>信</w:t>
      </w:r>
      <w:r>
        <w:rPr>
          <w:spacing w:val="-3"/>
          <w:w w:val="100"/>
        </w:rPr>
        <w:t>息</w:t>
      </w:r>
      <w:r>
        <w:rPr>
          <w:w w:val="100"/>
        </w:rPr>
        <w:t>技术</w:t>
      </w:r>
      <w:r>
        <w:rPr>
          <w:spacing w:val="-3"/>
          <w:w w:val="100"/>
        </w:rPr>
        <w:t>有</w:t>
      </w:r>
      <w:r>
        <w:rPr>
          <w:w w:val="100"/>
        </w:rPr>
        <w:t>限</w:t>
      </w:r>
      <w:r>
        <w:rPr>
          <w:spacing w:val="-3"/>
          <w:w w:val="100"/>
        </w:rPr>
        <w:t>公</w:t>
      </w:r>
      <w:r>
        <w:rPr>
          <w:w w:val="100"/>
        </w:rPr>
        <w:t>司</w:t>
      </w:r>
      <w:r>
        <w:rPr>
          <w:spacing w:val="-3"/>
          <w:w w:val="100"/>
        </w:rPr>
        <w:t>提</w:t>
      </w:r>
      <w:r>
        <w:rPr>
          <w:w w:val="100"/>
        </w:rPr>
        <w:t>供</w:t>
      </w:r>
      <w:r>
        <w:rPr>
          <w:spacing w:val="-3"/>
          <w:w w:val="100"/>
        </w:rPr>
        <w:t>担</w:t>
      </w:r>
      <w:r>
        <w:rPr>
          <w:w w:val="100"/>
        </w:rPr>
        <w:t>保</w:t>
      </w:r>
      <w:r>
        <w:rPr>
          <w:spacing w:val="-3"/>
          <w:w w:val="100"/>
        </w:rPr>
        <w:t>的</w:t>
      </w:r>
      <w:r>
        <w:rPr>
          <w:w w:val="100"/>
        </w:rPr>
        <w:t>议案</w:t>
      </w:r>
      <w:r>
        <w:rPr>
          <w:spacing w:val="-108"/>
          <w:w w:val="100"/>
        </w:rPr>
        <w:t>》</w:t>
      </w:r>
      <w:r>
        <w:rPr>
          <w:w w:val="100"/>
        </w:rPr>
        <w:t>，</w:t>
      </w:r>
      <w:r>
        <w:rPr>
          <w:spacing w:val="-3"/>
          <w:w w:val="100"/>
        </w:rPr>
        <w:t>但</w:t>
      </w:r>
      <w:r>
        <w:rPr>
          <w:w w:val="100"/>
        </w:rPr>
        <w:t>截至</w:t>
      </w:r>
      <w:r>
        <w:rPr>
          <w:spacing w:val="-54"/>
        </w:rPr>
        <w:t> </w:t>
      </w:r>
      <w:r>
        <w:rPr>
          <w:rFonts w:ascii="宋体" w:hAnsi="宋体" w:cs="宋体" w:eastAsia="宋体" w:hint="default"/>
          <w:w w:val="100"/>
        </w:rPr>
        <w:t>2012</w:t>
      </w:r>
      <w:r>
        <w:rPr>
          <w:rFonts w:ascii="宋体" w:hAnsi="宋体" w:cs="宋体" w:eastAsia="宋体" w:hint="default"/>
          <w:spacing w:val="-55"/>
        </w:rPr>
        <w:t> </w:t>
      </w:r>
      <w:r>
        <w:rPr>
          <w:w w:val="100"/>
        </w:rPr>
        <w:t>年</w:t>
      </w:r>
      <w:r>
        <w:rPr>
          <w:spacing w:val="-53"/>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5"/>
        </w:rPr>
        <w:t> </w:t>
      </w:r>
      <w:r>
        <w:rPr>
          <w:w w:val="100"/>
        </w:rPr>
        <w:t>月</w:t>
      </w:r>
    </w:p>
    <w:p>
      <w:pPr>
        <w:pStyle w:val="BodyText"/>
        <w:spacing w:line="240" w:lineRule="auto" w:before="133"/>
        <w:ind w:right="1123"/>
        <w:jc w:val="left"/>
      </w:pPr>
      <w:r>
        <w:rPr>
          <w:rFonts w:ascii="宋体" w:hAnsi="宋体" w:cs="宋体" w:eastAsia="宋体" w:hint="default"/>
        </w:rPr>
        <w:t>31</w:t>
      </w:r>
      <w:r>
        <w:rPr>
          <w:rFonts w:ascii="宋体" w:hAnsi="宋体" w:cs="宋体" w:eastAsia="宋体" w:hint="default"/>
          <w:spacing w:val="-57"/>
        </w:rPr>
        <w:t> </w:t>
      </w:r>
      <w:r>
        <w:rPr/>
        <w:t>日，该公司未向中国银行申请授信额度。</w:t>
      </w:r>
    </w:p>
    <w:p>
      <w:pPr>
        <w:pStyle w:val="BodyText"/>
        <w:spacing w:line="357" w:lineRule="auto" w:before="133"/>
        <w:ind w:right="0" w:firstLine="420"/>
        <w:jc w:val="left"/>
      </w:pPr>
      <w:r>
        <w:rPr>
          <w:rFonts w:ascii="宋体" w:hAnsi="宋体" w:cs="宋体" w:eastAsia="宋体" w:hint="default"/>
          <w:spacing w:val="-5"/>
          <w:w w:val="100"/>
        </w:rPr>
        <w:t>5</w:t>
      </w:r>
      <w:r>
        <w:rPr>
          <w:spacing w:val="-5"/>
          <w:w w:val="100"/>
        </w:rPr>
        <w:t>、在关联交易管理控制方面，公司制定了《关联交易管理办法》，对关联人的认定、交易范围、决策</w:t>
      </w:r>
      <w:r>
        <w:rPr>
          <w:w w:val="100"/>
        </w:rPr>
        <w:t> </w:t>
      </w:r>
      <w:r>
        <w:rPr>
          <w:spacing w:val="-2"/>
        </w:rPr>
        <w:t>程序及信息披露原则均作了明确规定，并建立独立董事的审查机制。报告期内，公司与界首达实置业有限</w:t>
      </w:r>
      <w:r>
        <w:rPr>
          <w:spacing w:val="-43"/>
        </w:rPr>
        <w:t> </w:t>
      </w:r>
      <w:r>
        <w:rPr>
          <w:spacing w:val="-43"/>
        </w:rPr>
      </w:r>
      <w:r>
        <w:rPr>
          <w:spacing w:val="-5"/>
        </w:rPr>
        <w:t>公司发生的关联交易已遵照相关规定执行，交易价格按市场价格确定，定价公平、公允、合理。独立董事、 </w:t>
      </w:r>
      <w:r>
        <w:rPr>
          <w:spacing w:val="-5"/>
        </w:rPr>
      </w:r>
      <w:r>
        <w:rPr/>
        <w:t>监事会分别对关联交易事项进行了监督核查。</w:t>
      </w:r>
    </w:p>
    <w:p>
      <w:pPr>
        <w:pStyle w:val="BodyText"/>
        <w:spacing w:line="355" w:lineRule="auto" w:before="31"/>
        <w:ind w:right="1210" w:firstLine="420"/>
        <w:jc w:val="both"/>
      </w:pPr>
      <w:r>
        <w:rPr>
          <w:rFonts w:ascii="宋体" w:hAnsi="宋体" w:cs="宋体" w:eastAsia="宋体" w:hint="default"/>
          <w:spacing w:val="-2"/>
        </w:rPr>
        <w:t>6</w:t>
      </w:r>
      <w:r>
        <w:rPr>
          <w:spacing w:val="-2"/>
        </w:rPr>
        <w:t>、在募集资金管理控制方面，公司根据中国证监会关于加强募集资金管理的有关规定，制定了《募</w:t>
      </w:r>
      <w:r>
        <w:rPr>
          <w:w w:val="100"/>
        </w:rPr>
        <w:t> </w:t>
      </w:r>
      <w:r>
        <w:rPr>
          <w:spacing w:val="-4"/>
          <w:w w:val="100"/>
        </w:rPr>
        <w:t>集资金管理制度》，公司对募集资金采取专户存储、专款专用的原则，明确了募集资金的管理、使用、审</w:t>
      </w:r>
      <w:r>
        <w:rPr>
          <w:spacing w:val="-91"/>
          <w:w w:val="100"/>
        </w:rPr>
        <w:t> </w:t>
      </w:r>
      <w:r>
        <w:rPr>
          <w:spacing w:val="-91"/>
          <w:w w:val="100"/>
        </w:rPr>
      </w:r>
      <w:r>
        <w:rPr>
          <w:spacing w:val="-2"/>
        </w:rPr>
        <w:t>批程序、监督和责任追究等内容。</w:t>
      </w:r>
      <w:r>
        <w:rPr>
          <w:rFonts w:ascii="宋体" w:hAnsi="宋体" w:cs="宋体" w:eastAsia="宋体" w:hint="default"/>
          <w:spacing w:val="-2"/>
        </w:rPr>
        <w:t>2012</w:t>
      </w:r>
      <w:r>
        <w:rPr>
          <w:rFonts w:ascii="宋体" w:hAnsi="宋体" w:cs="宋体" w:eastAsia="宋体" w:hint="default"/>
          <w:spacing w:val="19"/>
        </w:rPr>
        <w:t> </w:t>
      </w:r>
      <w:r>
        <w:rPr>
          <w:spacing w:val="-2"/>
        </w:rPr>
        <w:t>年度，公司不存在违规使用募集资金的现象。</w:t>
      </w:r>
    </w:p>
    <w:p>
      <w:pPr>
        <w:pStyle w:val="BodyText"/>
        <w:spacing w:line="240" w:lineRule="auto" w:before="32"/>
        <w:ind w:left="573" w:right="0"/>
        <w:jc w:val="left"/>
      </w:pPr>
      <w:r>
        <w:rPr>
          <w:rFonts w:ascii="宋体" w:hAnsi="宋体" w:cs="宋体" w:eastAsia="宋体" w:hint="default"/>
          <w:w w:val="100"/>
        </w:rPr>
        <w:t>7</w:t>
      </w:r>
      <w:r>
        <w:rPr>
          <w:w w:val="100"/>
        </w:rPr>
        <w:t>、</w:t>
      </w:r>
      <w:r>
        <w:rPr>
          <w:spacing w:val="-3"/>
          <w:w w:val="100"/>
        </w:rPr>
        <w:t>在</w:t>
      </w:r>
      <w:r>
        <w:rPr>
          <w:w w:val="100"/>
        </w:rPr>
        <w:t>信</w:t>
      </w:r>
      <w:r>
        <w:rPr>
          <w:spacing w:val="-3"/>
          <w:w w:val="100"/>
        </w:rPr>
        <w:t>息</w:t>
      </w:r>
      <w:r>
        <w:rPr>
          <w:w w:val="100"/>
        </w:rPr>
        <w:t>披</w:t>
      </w:r>
      <w:r>
        <w:rPr>
          <w:spacing w:val="-3"/>
          <w:w w:val="100"/>
        </w:rPr>
        <w:t>露</w:t>
      </w:r>
      <w:r>
        <w:rPr>
          <w:w w:val="100"/>
        </w:rPr>
        <w:t>管</w:t>
      </w:r>
      <w:r>
        <w:rPr>
          <w:spacing w:val="-3"/>
          <w:w w:val="100"/>
        </w:rPr>
        <w:t>理</w:t>
      </w:r>
      <w:r>
        <w:rPr>
          <w:w w:val="100"/>
        </w:rPr>
        <w:t>控</w:t>
      </w:r>
      <w:r>
        <w:rPr>
          <w:spacing w:val="-3"/>
          <w:w w:val="100"/>
        </w:rPr>
        <w:t>制方</w:t>
      </w:r>
      <w:r>
        <w:rPr>
          <w:w w:val="100"/>
        </w:rPr>
        <w:t>面，</w:t>
      </w:r>
      <w:r>
        <w:rPr>
          <w:spacing w:val="-3"/>
          <w:w w:val="100"/>
        </w:rPr>
        <w:t>公</w:t>
      </w:r>
      <w:r>
        <w:rPr>
          <w:w w:val="100"/>
        </w:rPr>
        <w:t>司</w:t>
      </w:r>
      <w:r>
        <w:rPr>
          <w:spacing w:val="-3"/>
          <w:w w:val="100"/>
        </w:rPr>
        <w:t>制</w:t>
      </w:r>
      <w:r>
        <w:rPr>
          <w:w w:val="100"/>
        </w:rPr>
        <w:t>定</w:t>
      </w:r>
      <w:r>
        <w:rPr>
          <w:spacing w:val="-3"/>
          <w:w w:val="100"/>
        </w:rPr>
        <w:t>了</w:t>
      </w:r>
      <w:r>
        <w:rPr>
          <w:w w:val="100"/>
        </w:rPr>
        <w:t>《</w:t>
      </w:r>
      <w:r>
        <w:rPr>
          <w:spacing w:val="-3"/>
          <w:w w:val="100"/>
        </w:rPr>
        <w:t>信</w:t>
      </w:r>
      <w:r>
        <w:rPr>
          <w:w w:val="100"/>
        </w:rPr>
        <w:t>息</w:t>
      </w:r>
      <w:r>
        <w:rPr>
          <w:spacing w:val="-3"/>
          <w:w w:val="100"/>
        </w:rPr>
        <w:t>披</w:t>
      </w:r>
      <w:r>
        <w:rPr>
          <w:w w:val="100"/>
        </w:rPr>
        <w:t>露管</w:t>
      </w:r>
      <w:r>
        <w:rPr>
          <w:spacing w:val="-3"/>
          <w:w w:val="100"/>
        </w:rPr>
        <w:t>理</w:t>
      </w:r>
      <w:r>
        <w:rPr>
          <w:w w:val="100"/>
        </w:rPr>
        <w:t>办</w:t>
      </w:r>
      <w:r>
        <w:rPr>
          <w:spacing w:val="-3"/>
          <w:w w:val="100"/>
        </w:rPr>
        <w:t>法</w:t>
      </w:r>
      <w:r>
        <w:rPr>
          <w:spacing w:val="-106"/>
          <w:w w:val="100"/>
        </w:rPr>
        <w:t>》、</w:t>
      </w:r>
      <w:r>
        <w:rPr>
          <w:spacing w:val="-3"/>
          <w:w w:val="100"/>
        </w:rPr>
        <w:t>《</w:t>
      </w:r>
      <w:r>
        <w:rPr>
          <w:w w:val="100"/>
        </w:rPr>
        <w:t>内</w:t>
      </w:r>
      <w:r>
        <w:rPr>
          <w:spacing w:val="-3"/>
          <w:w w:val="100"/>
        </w:rPr>
        <w:t>幕</w:t>
      </w:r>
      <w:r>
        <w:rPr>
          <w:w w:val="100"/>
        </w:rPr>
        <w:t>信</w:t>
      </w:r>
      <w:r>
        <w:rPr>
          <w:spacing w:val="-3"/>
          <w:w w:val="100"/>
        </w:rPr>
        <w:t>息</w:t>
      </w:r>
      <w:r>
        <w:rPr>
          <w:w w:val="100"/>
        </w:rPr>
        <w:t>知情</w:t>
      </w:r>
      <w:r>
        <w:rPr>
          <w:spacing w:val="-3"/>
          <w:w w:val="100"/>
        </w:rPr>
        <w:t>人</w:t>
      </w:r>
      <w:r>
        <w:rPr>
          <w:w w:val="100"/>
        </w:rPr>
        <w:t>登</w:t>
      </w:r>
      <w:r>
        <w:rPr>
          <w:spacing w:val="-3"/>
          <w:w w:val="100"/>
        </w:rPr>
        <w:t>记</w:t>
      </w:r>
      <w:r>
        <w:rPr>
          <w:w w:val="100"/>
        </w:rPr>
        <w:t>管</w:t>
      </w:r>
      <w:r>
        <w:rPr>
          <w:spacing w:val="-3"/>
          <w:w w:val="100"/>
        </w:rPr>
        <w:t>理</w:t>
      </w:r>
      <w:r>
        <w:rPr>
          <w:w w:val="100"/>
        </w:rPr>
        <w:t>制</w:t>
      </w:r>
      <w:r>
        <w:rPr>
          <w:spacing w:val="-3"/>
          <w:w w:val="100"/>
        </w:rPr>
        <w:t>度</w:t>
      </w:r>
      <w:r>
        <w:rPr>
          <w:spacing w:val="-106"/>
          <w:w w:val="100"/>
        </w:rPr>
        <w:t>》</w:t>
      </w:r>
      <w:r>
        <w:rPr>
          <w:w w:val="100"/>
        </w:rPr>
        <w:t>、</w:t>
      </w:r>
    </w:p>
    <w:p>
      <w:pPr>
        <w:pStyle w:val="BodyText"/>
        <w:spacing w:line="355" w:lineRule="auto" w:before="135"/>
        <w:ind w:right="1123"/>
        <w:jc w:val="left"/>
      </w:pPr>
      <w:r>
        <w:rPr>
          <w:spacing w:val="-4"/>
          <w:w w:val="100"/>
        </w:rPr>
        <w:t>《年报信息披露重大差错责任追究制度》及《重大信息内部报告制度》，分别对信息披露的基本原则，信</w:t>
      </w:r>
      <w:r>
        <w:rPr>
          <w:spacing w:val="-90"/>
          <w:w w:val="100"/>
        </w:rPr>
        <w:t> </w:t>
      </w:r>
      <w:r>
        <w:rPr>
          <w:spacing w:val="-90"/>
          <w:w w:val="100"/>
        </w:rPr>
      </w:r>
      <w:r>
        <w:rPr>
          <w:spacing w:val="-2"/>
        </w:rPr>
        <w:t>息披露的内容、信息披露程序与传递、信息披露的责任划分、信息披露的方式、档案管理、内幕信息知情</w:t>
      </w:r>
      <w:r>
        <w:rPr>
          <w:spacing w:val="-42"/>
        </w:rPr>
        <w:t> </w:t>
      </w:r>
      <w:r>
        <w:rPr>
          <w:spacing w:val="-42"/>
        </w:rPr>
      </w:r>
      <w:r>
        <w:rPr>
          <w:spacing w:val="-2"/>
        </w:rPr>
        <w:t>人范围和保密措施以及责任追究做了明确规定。报告期内，公司按要求履行了信息披露义务，未发生违规</w:t>
      </w:r>
    </w:p>
    <w:p>
      <w:pPr>
        <w:spacing w:after="0" w:line="355" w:lineRule="auto"/>
        <w:jc w:val="left"/>
        <w:sectPr>
          <w:pgSz w:w="11910" w:h="16840"/>
          <w:pgMar w:header="877" w:footer="1316" w:top="1100" w:bottom="1500" w:left="980" w:right="0"/>
        </w:sectPr>
      </w:pPr>
    </w:p>
    <w:p>
      <w:pPr>
        <w:spacing w:line="240" w:lineRule="auto" w:before="3"/>
        <w:rPr>
          <w:rFonts w:ascii="宋体" w:hAnsi="宋体" w:cs="宋体" w:eastAsia="宋体" w:hint="default"/>
          <w:sz w:val="19"/>
          <w:szCs w:val="19"/>
        </w:rPr>
      </w:pPr>
    </w:p>
    <w:p>
      <w:pPr>
        <w:pStyle w:val="BodyText"/>
        <w:spacing w:line="240" w:lineRule="auto" w:before="36"/>
        <w:ind w:right="1123"/>
        <w:jc w:val="left"/>
      </w:pPr>
      <w:r>
        <w:rPr/>
        <w:t>行为。</w:t>
      </w:r>
    </w:p>
    <w:p>
      <w:pPr>
        <w:pStyle w:val="BodyText"/>
        <w:spacing w:line="357" w:lineRule="auto" w:before="133"/>
        <w:ind w:right="1107" w:firstLine="420"/>
        <w:jc w:val="both"/>
      </w:pPr>
      <w:r>
        <w:rPr>
          <w:rFonts w:ascii="宋体" w:hAnsi="宋体" w:cs="宋体" w:eastAsia="宋体" w:hint="default"/>
          <w:spacing w:val="-5"/>
          <w:w w:val="100"/>
        </w:rPr>
        <w:t>8</w:t>
      </w:r>
      <w:r>
        <w:rPr>
          <w:spacing w:val="-5"/>
          <w:w w:val="100"/>
        </w:rPr>
        <w:t>、在子公司管理控制方面，公司制定了《子公司管理制度》，规定子公司的经营及发展必须服从于公</w:t>
      </w:r>
      <w:r>
        <w:rPr>
          <w:w w:val="100"/>
        </w:rPr>
        <w:t> </w:t>
      </w:r>
      <w:r>
        <w:rPr>
          <w:spacing w:val="-2"/>
        </w:rPr>
        <w:t>司的发展战略和总体规划，其重要人事变动、重大经济活动等均需报公司相关职能部门审核和备案。公司</w:t>
      </w:r>
      <w:r>
        <w:rPr>
          <w:spacing w:val="-44"/>
        </w:rPr>
        <w:t> </w:t>
      </w:r>
      <w:r>
        <w:rPr>
          <w:spacing w:val="-44"/>
        </w:rPr>
      </w:r>
      <w:r>
        <w:rPr>
          <w:spacing w:val="-2"/>
        </w:rPr>
        <w:t>通过财务报表、经营会议等方式及时掌握子公司的生产经营情况，重点关注和控制财务风险和经营风险。</w:t>
      </w:r>
    </w:p>
    <w:p>
      <w:pPr>
        <w:pStyle w:val="BodyText"/>
        <w:spacing w:line="357" w:lineRule="auto"/>
        <w:ind w:right="1123" w:firstLine="420"/>
        <w:jc w:val="left"/>
      </w:pPr>
      <w:r>
        <w:rPr>
          <w:rFonts w:ascii="宋体" w:hAnsi="宋体" w:cs="宋体" w:eastAsia="宋体" w:hint="default"/>
        </w:rPr>
        <w:t>9</w:t>
      </w:r>
      <w:r>
        <w:rPr/>
        <w:t>、在内部监督控制活动方面，公司指定审计部履行内部控制监督职责。审计部定期开展针对内控管</w:t>
      </w:r>
      <w:r>
        <w:rPr>
          <w:spacing w:val="-3"/>
          <w:w w:val="100"/>
        </w:rPr>
        <w:t> </w:t>
      </w:r>
      <w:r>
        <w:rPr>
          <w:spacing w:val="-2"/>
        </w:rPr>
        <w:t>理、募集资金的存放和使用、对外投资与担保、关联交易等事项的审计，向董事会审计委员会报告相关审</w:t>
      </w:r>
      <w:r>
        <w:rPr>
          <w:spacing w:val="-47"/>
        </w:rPr>
        <w:t> </w:t>
      </w:r>
      <w:r>
        <w:rPr>
          <w:spacing w:val="-47"/>
        </w:rPr>
      </w:r>
      <w:r>
        <w:rPr>
          <w:spacing w:val="-2"/>
        </w:rPr>
        <w:t>计工作情况，由其监督审计计划的实施和审计工作的完成情况，促进内部监督控制工作更趋于规范化、制</w:t>
      </w:r>
      <w:r>
        <w:rPr>
          <w:spacing w:val="-42"/>
        </w:rPr>
        <w:t> </w:t>
      </w:r>
      <w:r>
        <w:rPr>
          <w:spacing w:val="-42"/>
        </w:rPr>
      </w:r>
      <w:r>
        <w:rPr/>
        <w:t>度化。</w:t>
      </w:r>
    </w:p>
    <w:p>
      <w:pPr>
        <w:spacing w:line="240" w:lineRule="auto" w:before="12"/>
        <w:rPr>
          <w:rFonts w:ascii="宋体" w:hAnsi="宋体" w:cs="宋体" w:eastAsia="宋体" w:hint="default"/>
          <w:sz w:val="24"/>
          <w:szCs w:val="24"/>
        </w:rPr>
      </w:pPr>
    </w:p>
    <w:p>
      <w:pPr>
        <w:pStyle w:val="Heading2"/>
        <w:spacing w:line="240" w:lineRule="auto"/>
        <w:ind w:right="1123"/>
        <w:jc w:val="left"/>
        <w:rPr>
          <w:b w:val="0"/>
          <w:bCs w:val="0"/>
        </w:rPr>
      </w:pPr>
      <w:r>
        <w:rPr/>
        <w:t>二、董事会关于内部控制责任的声明</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right="1123" w:firstLine="420"/>
        <w:jc w:val="left"/>
      </w:pPr>
      <w:r>
        <w:rPr>
          <w:spacing w:val="-2"/>
        </w:rPr>
        <w:t>董事会认为：公司的内部控制活动涵盖了管理控制、生产过程控制、财务管理控制、人事和信息披露</w:t>
      </w:r>
      <w:r>
        <w:rPr>
          <w:w w:val="100"/>
        </w:rPr>
        <w:t> </w:t>
      </w:r>
      <w:r>
        <w:rPr>
          <w:spacing w:val="-2"/>
        </w:rPr>
        <w:t>等公司所有营运环节，公司各职能部门以及相关岗位具有明确的目标、职责、权限，公司的架构设置保证</w:t>
      </w:r>
      <w:r>
        <w:rPr>
          <w:spacing w:val="-47"/>
        </w:rPr>
        <w:t> </w:t>
      </w:r>
      <w:r>
        <w:rPr>
          <w:spacing w:val="-47"/>
        </w:rPr>
      </w:r>
      <w:r>
        <w:rPr/>
        <w:t>了公司董事会及管理层下达的指令被有效执行，确保公司生产经营活动健康地运行</w:t>
      </w:r>
      <w:r>
        <w:rPr>
          <w:rFonts w:ascii="宋体" w:hAnsi="宋体" w:cs="宋体" w:eastAsia="宋体" w:hint="default"/>
        </w:rPr>
        <w:t>,</w:t>
      </w:r>
      <w:r>
        <w:rPr/>
        <w:t>保障了控制目标的实</w:t>
      </w:r>
      <w:r>
        <w:rPr>
          <w:w w:val="100"/>
        </w:rPr>
        <w:t> </w:t>
      </w:r>
      <w:r>
        <w:rPr>
          <w:spacing w:val="-2"/>
          <w:w w:val="99"/>
        </w:rPr>
        <w:t>现。</w:t>
      </w:r>
      <w:r>
        <w:rPr>
          <w:rFonts w:ascii="宋体" w:hAnsi="宋体" w:cs="宋体" w:eastAsia="宋体" w:hint="default"/>
          <w:spacing w:val="-2"/>
          <w:w w:val="99"/>
        </w:rPr>
        <w:t>’</w:t>
      </w:r>
      <w:r>
        <w:rPr>
          <w:spacing w:val="-2"/>
          <w:w w:val="99"/>
        </w:rPr>
        <w:t>根据《企业内部控制基本规范》等规定，公司内控制度体系的设计与运行符合我国有关法规和监管</w:t>
      </w:r>
      <w:r>
        <w:rPr>
          <w:spacing w:val="-76"/>
          <w:w w:val="99"/>
        </w:rPr>
        <w:t> </w:t>
      </w:r>
      <w:r>
        <w:rPr>
          <w:spacing w:val="-76"/>
          <w:w w:val="99"/>
        </w:rPr>
      </w:r>
      <w:r>
        <w:rPr>
          <w:spacing w:val="-2"/>
        </w:rPr>
        <w:t>部门的要求，符合公司自身经营特点，在所有重大管理工作方面中制定了健全、合理的内部控制制度，并</w:t>
      </w:r>
      <w:r>
        <w:rPr>
          <w:spacing w:val="-47"/>
        </w:rPr>
        <w:t> </w:t>
      </w:r>
      <w:r>
        <w:rPr>
          <w:spacing w:val="-47"/>
        </w:rPr>
      </w:r>
      <w:r>
        <w:rPr/>
        <w:t>得到了有效遵循。从整体来看，公司的内部控制是完整、合理、有效的。</w:t>
      </w:r>
    </w:p>
    <w:p>
      <w:pPr>
        <w:pStyle w:val="BodyText"/>
        <w:spacing w:line="357" w:lineRule="auto" w:before="32"/>
        <w:ind w:right="1123" w:firstLine="420"/>
        <w:jc w:val="left"/>
        <w:rPr>
          <w:rFonts w:ascii="宋体" w:hAnsi="宋体" w:cs="宋体" w:eastAsia="宋体" w:hint="default"/>
        </w:rPr>
      </w:pPr>
      <w:r>
        <w:rPr>
          <w:spacing w:val="-2"/>
          <w:w w:val="100"/>
        </w:rPr>
        <w:t>董事会出具了《</w:t>
      </w:r>
      <w:r>
        <w:rPr>
          <w:rFonts w:ascii="宋体" w:hAnsi="宋体" w:cs="宋体" w:eastAsia="宋体" w:hint="default"/>
          <w:spacing w:val="-2"/>
          <w:w w:val="100"/>
        </w:rPr>
        <w:t>2012</w:t>
      </w:r>
      <w:r>
        <w:rPr>
          <w:rFonts w:ascii="宋体" w:hAnsi="宋体" w:cs="宋体" w:eastAsia="宋体" w:hint="default"/>
          <w:spacing w:val="-53"/>
          <w:w w:val="100"/>
        </w:rPr>
        <w:t> </w:t>
      </w:r>
      <w:r>
        <w:rPr>
          <w:spacing w:val="-8"/>
          <w:w w:val="100"/>
        </w:rPr>
        <w:t>年度内部控制的自我评价报告》，刊登在</w:t>
      </w:r>
      <w:r>
        <w:rPr>
          <w:spacing w:val="-52"/>
          <w:w w:val="100"/>
        </w:rPr>
        <w:t> </w:t>
      </w:r>
      <w:r>
        <w:rPr>
          <w:rFonts w:ascii="宋体" w:hAnsi="宋体" w:cs="宋体" w:eastAsia="宋体" w:hint="default"/>
          <w:spacing w:val="-1"/>
          <w:w w:val="100"/>
        </w:rPr>
        <w:t>2013</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4</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24</w:t>
      </w:r>
      <w:r>
        <w:rPr>
          <w:rFonts w:ascii="宋体" w:hAnsi="宋体" w:cs="宋体" w:eastAsia="宋体" w:hint="default"/>
          <w:spacing w:val="-55"/>
          <w:w w:val="100"/>
        </w:rPr>
        <w:t> </w:t>
      </w:r>
      <w:r>
        <w:rPr>
          <w:spacing w:val="-1"/>
          <w:w w:val="100"/>
        </w:rPr>
        <w:t>日巨潮资讯网</w:t>
      </w:r>
      <w:r>
        <w:rPr>
          <w:w w:val="100"/>
        </w:rPr>
        <w:t> </w:t>
      </w:r>
      <w:r>
        <w:rPr>
          <w:rFonts w:ascii="宋体" w:hAnsi="宋体" w:cs="宋体" w:eastAsia="宋体" w:hint="default"/>
          <w:spacing w:val="-2"/>
        </w:rPr>
        <w:t>(www.cninfo.com.cn)</w:t>
      </w:r>
      <w:r>
        <w:rPr>
          <w:spacing w:val="-2"/>
        </w:rPr>
        <w:t>上，公司董事会及全体董事保证报告内容不存在任何虚假记载、误导性陈述或重大</w:t>
      </w:r>
      <w:r>
        <w:rPr>
          <w:spacing w:val="-4"/>
        </w:rPr>
        <w:t> </w:t>
      </w:r>
      <w:r>
        <w:rPr>
          <w:spacing w:val="-4"/>
        </w:rPr>
      </w:r>
      <w:r>
        <w:rPr>
          <w:spacing w:val="-2"/>
          <w:w w:val="98"/>
        </w:rPr>
        <w:t>遗漏，并对报告内容的真实性、准确性和完整性承担个别及连带责任。</w:t>
      </w:r>
      <w:r>
        <w:rPr>
          <w:rFonts w:ascii="宋体" w:hAnsi="宋体" w:cs="宋体" w:eastAsia="宋体" w:hint="default"/>
          <w:spacing w:val="-2"/>
          <w:w w:val="98"/>
        </w:rPr>
        <w:t>’</w:t>
      </w:r>
      <w:r>
        <w:rPr>
          <w:rFonts w:ascii="宋体" w:hAnsi="宋体" w:cs="宋体" w:eastAsia="宋体" w:hint="default"/>
          <w:spacing w:val="-2"/>
        </w:rPr>
      </w:r>
    </w:p>
    <w:p>
      <w:pPr>
        <w:spacing w:line="240" w:lineRule="auto" w:before="12"/>
        <w:rPr>
          <w:rFonts w:ascii="宋体" w:hAnsi="宋体" w:cs="宋体" w:eastAsia="宋体" w:hint="default"/>
          <w:sz w:val="24"/>
          <w:szCs w:val="24"/>
        </w:rPr>
      </w:pPr>
    </w:p>
    <w:p>
      <w:pPr>
        <w:pStyle w:val="Heading2"/>
        <w:spacing w:line="240" w:lineRule="auto"/>
        <w:ind w:right="1123"/>
        <w:jc w:val="left"/>
        <w:rPr>
          <w:b w:val="0"/>
          <w:bCs w:val="0"/>
        </w:rPr>
      </w:pPr>
      <w:r>
        <w:rPr/>
        <w:t>三、建立财务报告内部控制的依据</w:t>
      </w:r>
      <w:r>
        <w:rPr>
          <w:b w:val="0"/>
          <w:bCs w:val="0"/>
        </w:rPr>
      </w:r>
    </w:p>
    <w:p>
      <w:pPr>
        <w:spacing w:line="240" w:lineRule="auto" w:before="3"/>
        <w:rPr>
          <w:rFonts w:ascii="宋体" w:hAnsi="宋体" w:cs="宋体" w:eastAsia="宋体" w:hint="default"/>
          <w:b/>
          <w:bCs/>
          <w:sz w:val="23"/>
          <w:szCs w:val="23"/>
        </w:rPr>
      </w:pPr>
    </w:p>
    <w:p>
      <w:pPr>
        <w:pStyle w:val="BodyText"/>
        <w:spacing w:line="355" w:lineRule="auto" w:before="0"/>
        <w:ind w:right="1125" w:firstLine="420"/>
        <w:jc w:val="left"/>
      </w:pPr>
      <w:r>
        <w:rPr>
          <w:spacing w:val="-11"/>
          <w:w w:val="100"/>
        </w:rPr>
        <w:t>公司依据《公司法》、《会计法》、《企业会计准则》和《企业内部控制基本规范》以及监管部门的相关</w:t>
      </w:r>
      <w:r>
        <w:rPr>
          <w:w w:val="100"/>
        </w:rPr>
        <w:t> </w:t>
      </w:r>
      <w:r>
        <w:rPr/>
        <w:t>规范性文件为依据，建立了财务报告内部控制。报告期内，公司财务报告内部控制不存在重大缺陷。</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21"/>
        <w:gridCol w:w="6450"/>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0"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4"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内部控制自我评价报告全文披露日期</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内部控制自我评价报告全文披露索引</w:t>
            </w:r>
          </w:p>
        </w:tc>
        <w:tc>
          <w:tcPr>
            <w:tcW w:w="64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pacing w:val="-49"/>
                <w:sz w:val="18"/>
                <w:szCs w:val="18"/>
              </w:rPr>
              <w:t> </w:t>
            </w:r>
            <w:r>
              <w:rPr>
                <w:rFonts w:ascii="宋体" w:hAnsi="宋体" w:cs="宋体" w:eastAsia="宋体" w:hint="default"/>
                <w:sz w:val="18"/>
                <w:szCs w:val="18"/>
              </w:rPr>
              <w:t>年度内部控制自我评价报告》刊登于巨潮资讯网</w:t>
            </w:r>
            <w:r>
              <w:rPr>
                <w:rFonts w:ascii="宋体" w:hAnsi="宋体" w:cs="宋体" w:eastAsia="宋体" w:hint="default"/>
                <w:sz w:val="18"/>
                <w:szCs w:val="18"/>
              </w:rPr>
              <w:t>(www.cninfo.com.cn)</w:t>
            </w: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五、内部控制审计报告</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会计师事务所是否出具非标准意见的内部控制审计报告</w:t>
      </w:r>
    </w:p>
    <w:p>
      <w:pPr>
        <w:spacing w:after="0" w:line="340" w:lineRule="auto"/>
        <w:jc w:val="left"/>
        <w:rPr>
          <w:rFonts w:ascii="宋体" w:hAnsi="宋体" w:cs="宋体" w:eastAsia="宋体" w:hint="default"/>
          <w:sz w:val="18"/>
          <w:szCs w:val="18"/>
        </w:rPr>
        <w:sectPr>
          <w:pgSz w:w="11910" w:h="16840"/>
          <w:pgMar w:header="877" w:footer="1316" w:top="1100" w:bottom="1500" w:left="980" w:right="0"/>
        </w:sectPr>
      </w:pPr>
    </w:p>
    <w:p>
      <w:pPr>
        <w:spacing w:line="240" w:lineRule="auto" w:before="11"/>
        <w:rPr>
          <w:rFonts w:ascii="宋体" w:hAnsi="宋体" w:cs="宋体" w:eastAsia="宋体" w:hint="default"/>
          <w:sz w:val="21"/>
          <w:szCs w:val="21"/>
        </w:rPr>
      </w:pPr>
    </w:p>
    <w:p>
      <w:pPr>
        <w:spacing w:line="340" w:lineRule="auto" w:before="44"/>
        <w:ind w:left="15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39"/>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六、年度报告重大差错责任追究制度的建立与执行情况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0"/>
        <w:ind w:left="573" w:right="0"/>
        <w:jc w:val="left"/>
      </w:pPr>
      <w:r>
        <w:rPr/>
        <w:t>经公司第三届董事会第十三次会议审议批准，公司建立了《年报信息披露重大差错责任追究制度》和</w:t>
      </w:r>
    </w:p>
    <w:p>
      <w:pPr>
        <w:pStyle w:val="BodyText"/>
        <w:spacing w:line="357" w:lineRule="auto" w:before="133"/>
        <w:ind w:right="1123"/>
        <w:jc w:val="left"/>
      </w:pPr>
      <w:r>
        <w:rPr>
          <w:spacing w:val="-4"/>
          <w:w w:val="100"/>
        </w:rPr>
        <w:t>《董事会审计委员会年度财务报告工作制度》，经第四届董事会第五次会议审议批准，公司建立了《独立</w:t>
      </w:r>
      <w:r>
        <w:rPr>
          <w:spacing w:val="-90"/>
          <w:w w:val="100"/>
        </w:rPr>
        <w:t> </w:t>
      </w:r>
      <w:r>
        <w:rPr>
          <w:spacing w:val="-90"/>
          <w:w w:val="100"/>
        </w:rPr>
      </w:r>
      <w:r>
        <w:rPr>
          <w:spacing w:val="-12"/>
          <w:w w:val="100"/>
        </w:rPr>
        <w:t>董事年报工作制度》。在</w:t>
      </w:r>
      <w:r>
        <w:rPr>
          <w:spacing w:val="-52"/>
          <w:w w:val="100"/>
        </w:rPr>
        <w:t> </w:t>
      </w:r>
      <w:r>
        <w:rPr>
          <w:rFonts w:ascii="宋体" w:hAnsi="宋体" w:cs="宋体" w:eastAsia="宋体" w:hint="default"/>
          <w:spacing w:val="-1"/>
          <w:w w:val="100"/>
        </w:rPr>
        <w:t>2012</w:t>
      </w:r>
      <w:r>
        <w:rPr>
          <w:rFonts w:ascii="宋体" w:hAnsi="宋体" w:cs="宋体" w:eastAsia="宋体" w:hint="default"/>
          <w:spacing w:val="-48"/>
          <w:w w:val="100"/>
        </w:rPr>
        <w:t> </w:t>
      </w:r>
      <w:r>
        <w:rPr>
          <w:spacing w:val="-2"/>
          <w:w w:val="100"/>
        </w:rPr>
        <w:t>年年度报告的编制期间，独立董事、董事会审计委员会均能按照相关制度的</w:t>
      </w:r>
      <w:r>
        <w:rPr>
          <w:spacing w:val="-104"/>
          <w:w w:val="100"/>
        </w:rPr>
        <w:t> </w:t>
      </w:r>
      <w:r>
        <w:rPr>
          <w:spacing w:val="-104"/>
          <w:w w:val="100"/>
        </w:rPr>
      </w:r>
      <w:r>
        <w:rPr>
          <w:spacing w:val="-2"/>
        </w:rPr>
        <w:t>要求，认真履行职责。召集公司管理层、独立董事与年审会计师的年报协调会，通过听取公司管理层对上</w:t>
      </w:r>
      <w:r>
        <w:rPr>
          <w:spacing w:val="-47"/>
        </w:rPr>
        <w:t> </w:t>
      </w:r>
      <w:r>
        <w:rPr>
          <w:spacing w:val="-47"/>
        </w:rPr>
      </w:r>
      <w:r>
        <w:rPr>
          <w:spacing w:val="-2"/>
        </w:rPr>
        <w:t>一年度的经营情况汇报，与审计会计师就年度审计的工作安排进行充分沟通等方式，确保年审工作的顺利</w:t>
      </w:r>
      <w:r>
        <w:rPr>
          <w:spacing w:val="-43"/>
        </w:rPr>
        <w:t> </w:t>
      </w:r>
      <w:r>
        <w:rPr>
          <w:spacing w:val="-43"/>
        </w:rPr>
      </w:r>
      <w:r>
        <w:rPr/>
        <w:t>开展。</w:t>
      </w:r>
    </w:p>
    <w:p>
      <w:pPr>
        <w:pStyle w:val="BodyText"/>
        <w:spacing w:line="240" w:lineRule="auto"/>
        <w:ind w:left="573" w:right="1123"/>
        <w:jc w:val="left"/>
      </w:pPr>
      <w:r>
        <w:rPr/>
        <w:t>报告期内，公司未发生重大会计差错更正、重大遗漏信息补充的情况。</w:t>
      </w:r>
    </w:p>
    <w:p>
      <w:pPr>
        <w:spacing w:after="0" w:line="240" w:lineRule="auto"/>
        <w:jc w:val="left"/>
        <w:sectPr>
          <w:pgSz w:w="11910" w:h="16840"/>
          <w:pgMar w:header="877" w:footer="1316" w:top="1100" w:bottom="15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1109"/>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中勤万信会计师事务所有限公司</w:t>
            </w:r>
          </w:p>
        </w:tc>
      </w:tr>
      <w:tr>
        <w:trPr>
          <w:trHeight w:val="401" w:hRule="exact"/>
        </w:trPr>
        <w:tc>
          <w:tcPr>
            <w:tcW w:w="478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勤信审字</w:t>
            </w:r>
            <w:r>
              <w:rPr>
                <w:rFonts w:ascii="宋体" w:hAnsi="宋体" w:cs="宋体" w:eastAsia="宋体" w:hint="default"/>
                <w:sz w:val="18"/>
                <w:szCs w:val="18"/>
              </w:rPr>
              <w:t>[2013]</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宋体" w:hAnsi="宋体" w:cs="宋体" w:eastAsia="宋体" w:hint="default"/>
                <w:sz w:val="18"/>
                <w:szCs w:val="18"/>
              </w:rPr>
              <w:t>576</w:t>
            </w:r>
            <w:r>
              <w:rPr>
                <w:rFonts w:ascii="宋体" w:hAnsi="宋体" w:cs="宋体" w:eastAsia="宋体" w:hint="default"/>
                <w:spacing w:val="-45"/>
                <w:sz w:val="18"/>
                <w:szCs w:val="18"/>
              </w:rPr>
              <w:t> </w:t>
            </w:r>
            <w:r>
              <w:rPr>
                <w:rFonts w:ascii="宋体" w:hAnsi="宋体" w:cs="宋体" w:eastAsia="宋体" w:hint="default"/>
                <w:sz w:val="18"/>
                <w:szCs w:val="18"/>
              </w:rPr>
              <w:t>号</w:t>
            </w:r>
          </w:p>
        </w:tc>
      </w:tr>
    </w:tbl>
    <w:p>
      <w:pPr>
        <w:pStyle w:val="BodyText"/>
        <w:spacing w:line="241" w:lineRule="exact" w:before="0"/>
        <w:ind w:left="4341" w:right="1123"/>
        <w:jc w:val="left"/>
      </w:pPr>
      <w:r>
        <w:rPr/>
        <w:t>审计报告正文</w:t>
      </w:r>
    </w:p>
    <w:p>
      <w:pPr>
        <w:pStyle w:val="BodyText"/>
        <w:spacing w:line="357" w:lineRule="auto" w:before="133"/>
        <w:ind w:right="1123" w:firstLine="420"/>
        <w:jc w:val="left"/>
      </w:pPr>
      <w:r>
        <w:rPr/>
        <w:t>我们审计了后附的深圳达实智能股份有限公司（以下简称贵公司）财务报表，包括</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w w:val="100"/>
        </w:rPr>
        <w:t> </w:t>
      </w:r>
      <w:r>
        <w:rPr>
          <w:spacing w:val="-3"/>
        </w:rPr>
        <w:t>日的资产负债表和合并资产负债表，</w:t>
      </w:r>
      <w:r>
        <w:rPr>
          <w:rFonts w:ascii="宋体" w:hAnsi="宋体" w:cs="宋体" w:eastAsia="宋体" w:hint="default"/>
          <w:spacing w:val="-3"/>
        </w:rPr>
        <w:t>2012 </w:t>
      </w:r>
      <w:r>
        <w:rPr>
          <w:spacing w:val="-3"/>
        </w:rPr>
        <w:t>年度的利润表和合并利润表、股东权益变动表和合并股东权益变</w:t>
      </w:r>
      <w:r>
        <w:rPr>
          <w:spacing w:val="-92"/>
        </w:rPr>
        <w:t> </w:t>
      </w:r>
      <w:r>
        <w:rPr>
          <w:spacing w:val="-92"/>
        </w:rPr>
      </w:r>
      <w:r>
        <w:rPr/>
        <w:t>动表、现金流量表和合并现金流量表以及财务报表附注。</w:t>
      </w:r>
    </w:p>
    <w:p>
      <w:pPr>
        <w:spacing w:line="355" w:lineRule="auto" w:before="30"/>
        <w:ind w:left="573" w:right="1123"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编制和公允列报财务报表是贵公司管理层的责任。这种责任包括：（</w:t>
      </w:r>
      <w:r>
        <w:rPr>
          <w:rFonts w:ascii="宋体" w:hAnsi="宋体" w:cs="宋体" w:eastAsia="宋体" w:hint="default"/>
          <w:spacing w:val="-5"/>
          <w:w w:val="100"/>
          <w:sz w:val="21"/>
          <w:szCs w:val="21"/>
        </w:rPr>
        <w:t>1</w:t>
      </w:r>
      <w:r>
        <w:rPr>
          <w:rFonts w:ascii="宋体" w:hAnsi="宋体" w:cs="宋体" w:eastAsia="宋体" w:hint="default"/>
          <w:spacing w:val="-5"/>
          <w:w w:val="100"/>
          <w:sz w:val="21"/>
          <w:szCs w:val="21"/>
        </w:rPr>
        <w:t>）按照企业会计准则的规定编制</w:t>
      </w:r>
    </w:p>
    <w:p>
      <w:pPr>
        <w:pStyle w:val="BodyText"/>
        <w:spacing w:line="355" w:lineRule="auto" w:before="34"/>
        <w:ind w:right="1123"/>
        <w:jc w:val="left"/>
      </w:pPr>
      <w:r>
        <w:rPr>
          <w:spacing w:val="-5"/>
          <w:w w:val="100"/>
        </w:rPr>
        <w:t>财务报表，并使其实现公允反映；（</w:t>
      </w:r>
      <w:r>
        <w:rPr>
          <w:rFonts w:ascii="宋体" w:hAnsi="宋体" w:cs="宋体" w:eastAsia="宋体" w:hint="default"/>
          <w:spacing w:val="-5"/>
          <w:w w:val="100"/>
        </w:rPr>
        <w:t>2</w:t>
      </w:r>
      <w:r>
        <w:rPr>
          <w:spacing w:val="-5"/>
          <w:w w:val="100"/>
        </w:rPr>
        <w:t>）设计、执行和维护必要的内部控制，以使财务报表不存在由于舞弊</w:t>
      </w:r>
      <w:r>
        <w:rPr>
          <w:spacing w:val="-62"/>
          <w:w w:val="100"/>
        </w:rPr>
        <w:t> </w:t>
      </w:r>
      <w:r>
        <w:rPr>
          <w:spacing w:val="-62"/>
          <w:w w:val="100"/>
        </w:rPr>
      </w:r>
      <w:r>
        <w:rPr/>
        <w:t>或错误导致的重大错报。</w:t>
      </w:r>
    </w:p>
    <w:p>
      <w:pPr>
        <w:pStyle w:val="BodyText"/>
        <w:spacing w:line="357" w:lineRule="auto" w:before="32"/>
        <w:ind w:left="573" w:right="1123" w:firstLine="2"/>
        <w:jc w:val="left"/>
      </w:pPr>
      <w:r>
        <w:rPr>
          <w:rFonts w:ascii="宋体" w:hAnsi="宋体" w:cs="宋体" w:eastAsia="宋体" w:hint="default"/>
          <w:b/>
          <w:bCs/>
        </w:rPr>
        <w:t>二、注册会计师的责任</w:t>
      </w:r>
      <w:r>
        <w:rPr>
          <w:rFonts w:ascii="宋体" w:hAnsi="宋体" w:cs="宋体" w:eastAsia="宋体" w:hint="default"/>
          <w:b/>
          <w:bCs/>
          <w:w w:val="100"/>
        </w:rPr>
        <w:t> </w:t>
      </w:r>
      <w:r>
        <w:rPr>
          <w:spacing w:val="-2"/>
        </w:rPr>
        <w:t>我们的责任是在执行审计工作的基础上对财务报表发表审计意见。我们按照中国注册会计师审计准则</w:t>
      </w:r>
    </w:p>
    <w:p>
      <w:pPr>
        <w:pStyle w:val="BodyText"/>
        <w:spacing w:line="357" w:lineRule="auto"/>
        <w:ind w:right="1123"/>
        <w:jc w:val="left"/>
      </w:pP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BodyText"/>
        <w:spacing w:line="357" w:lineRule="auto"/>
        <w:ind w:right="1126" w:firstLine="420"/>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pStyle w:val="BodyText"/>
        <w:spacing w:line="357" w:lineRule="auto"/>
        <w:ind w:left="575" w:right="2675" w:hanging="3"/>
        <w:jc w:val="left"/>
        <w:rPr>
          <w:rFonts w:ascii="宋体" w:hAnsi="宋体" w:cs="宋体" w:eastAsia="宋体" w:hint="default"/>
        </w:rPr>
      </w:pPr>
      <w:r>
        <w:rPr>
          <w:spacing w:val="-2"/>
        </w:rPr>
        <w:t>我们相信，我们获取的审计证据是充分、适当的，为发表审计意见提供了基础。</w:t>
      </w:r>
      <w:r>
        <w:rPr>
          <w:spacing w:val="-38"/>
        </w:rPr>
        <w:t> </w:t>
      </w:r>
      <w:r>
        <w:rPr>
          <w:spacing w:val="-38"/>
        </w:rPr>
      </w:r>
      <w:r>
        <w:rPr>
          <w:rFonts w:ascii="宋体" w:hAnsi="宋体" w:cs="宋体" w:eastAsia="宋体" w:hint="default"/>
          <w:b/>
          <w:bCs/>
        </w:rPr>
        <w:t>三、审计意见</w:t>
      </w:r>
      <w:r>
        <w:rPr>
          <w:rFonts w:ascii="宋体" w:hAnsi="宋体" w:cs="宋体" w:eastAsia="宋体" w:hint="default"/>
        </w:rPr>
      </w:r>
    </w:p>
    <w:p>
      <w:pPr>
        <w:pStyle w:val="BodyText"/>
        <w:spacing w:line="240" w:lineRule="auto"/>
        <w:ind w:left="573" w:right="1123"/>
        <w:jc w:val="left"/>
        <w:rPr>
          <w:rFonts w:ascii="宋体" w:hAnsi="宋体" w:cs="宋体" w:eastAsia="宋体" w:hint="default"/>
        </w:rPr>
      </w:pPr>
      <w:r>
        <w:rPr>
          <w:spacing w:val="-2"/>
        </w:rPr>
        <w:t>我们认为，贵公司财务报表在所有重大方面按照企业会计准则的规定编制，公允反映了贵公司</w:t>
      </w:r>
      <w:r>
        <w:rPr>
          <w:spacing w:val="27"/>
        </w:rPr>
        <w:t> </w:t>
      </w:r>
      <w:r>
        <w:rPr>
          <w:rFonts w:ascii="宋体" w:hAnsi="宋体" w:cs="宋体" w:eastAsia="宋体" w:hint="default"/>
          <w:spacing w:val="-1"/>
        </w:rPr>
        <w:t>2012</w:t>
      </w:r>
    </w:p>
    <w:p>
      <w:pPr>
        <w:pStyle w:val="BodyText"/>
        <w:spacing w:line="240" w:lineRule="auto" w:before="135"/>
        <w:ind w:right="1123"/>
        <w:jc w:val="left"/>
      </w:pP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日的财务状况以及</w:t>
      </w:r>
      <w:r>
        <w:rPr>
          <w:spacing w:val="-52"/>
        </w:rPr>
        <w:t> </w:t>
      </w:r>
      <w:r>
        <w:rPr>
          <w:rFonts w:ascii="宋体" w:hAnsi="宋体" w:cs="宋体" w:eastAsia="宋体" w:hint="default"/>
        </w:rPr>
        <w:t>2012</w:t>
      </w:r>
      <w:r>
        <w:rPr>
          <w:rFonts w:ascii="宋体" w:hAnsi="宋体" w:cs="宋体" w:eastAsia="宋体" w:hint="default"/>
          <w:spacing w:val="-55"/>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2"/>
        <w:spacing w:line="240" w:lineRule="auto"/>
        <w:ind w:right="1123"/>
        <w:jc w:val="left"/>
        <w:rPr>
          <w:b w:val="0"/>
          <w:bCs w:val="0"/>
        </w:rPr>
      </w:pPr>
      <w:r>
        <w:rPr/>
        <w:t>二、财务报表</w:t>
      </w:r>
      <w:r>
        <w:rPr>
          <w:b w:val="0"/>
          <w:bCs w:val="0"/>
        </w:rPr>
      </w:r>
    </w:p>
    <w:p>
      <w:pPr>
        <w:spacing w:line="240" w:lineRule="auto" w:before="9"/>
        <w:rPr>
          <w:rFonts w:ascii="宋体" w:hAnsi="宋体" w:cs="宋体" w:eastAsia="宋体" w:hint="default"/>
          <w:b/>
          <w:bCs/>
          <w:sz w:val="24"/>
          <w:szCs w:val="24"/>
        </w:rPr>
      </w:pPr>
    </w:p>
    <w:p>
      <w:pPr>
        <w:pStyle w:val="BodyText"/>
        <w:spacing w:line="240" w:lineRule="auto" w:before="0"/>
        <w:ind w:left="573" w:right="1123"/>
        <w:jc w:val="left"/>
      </w:pPr>
      <w:r>
        <w:rPr/>
        <w:t>财务附注中报表的单位为：人民币元</w:t>
      </w:r>
    </w:p>
    <w:p>
      <w:pPr>
        <w:spacing w:after="0" w:line="240" w:lineRule="auto"/>
        <w:jc w:val="left"/>
        <w:sectPr>
          <w:pgSz w:w="11910" w:h="16840"/>
          <w:pgMar w:header="877" w:footer="1316" w:top="1100" w:bottom="150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编制单位：深圳达实智能股份有限公司</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5"/>
        <w:gridCol w:w="2740"/>
        <w:gridCol w:w="2725"/>
      </w:tblGrid>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232,046,262.87</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300,820,292.64</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339,591.58</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7,579,255.00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13,309,769.00</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382,434,910.18</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180,486,152.25</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19,667,082.26</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21,406,417.20</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52,616.68</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233,622.44</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19,563,812.48</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13,105,895.50</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120,555,330.22</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110,700,298.02</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107,621.73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52,808.00</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782,346,483.00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640,115,255.05</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146,240,343.22</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103,104,840.71</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79,421,434.08</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62,864,630.49</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18,026,185.51</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10,417,468.50</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16" w:top="1100" w:bottom="160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105"/>
        <w:gridCol w:w="2740"/>
        <w:gridCol w:w="2725"/>
      </w:tblGrid>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2,120,681.53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368,316.37</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19,868.53</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166,026,118.73</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19,246,509.85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6,043,734.05</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5,347,244.88</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6,027,313.97</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436,448,386.33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188,826,304.09</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1,218,794,869.33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828,941,559.14</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6,734,437.76</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15,415,124.74</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260,735,387.71</w:t>
            </w:r>
            <w:r>
              <w:rPr>
                <w:rFonts w:ascii="宋体"/>
                <w:sz w:val="18"/>
              </w:rPr>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135,429,943.73</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62,968,177.12</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35,664,112.82</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11,560,019.99</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6,091,653.69</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19,097,291.58</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5,810,141.73</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36,333,025.41</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15,797,034.05</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5,579,832.17</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6,380,000.00</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403,008,171.74</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220,588,010.76</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316" w:top="1100" w:bottom="150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60.320007pt;margin-top:764.919983pt;width:135.0pt;height:77pt;mso-position-horizontal-relative:page;mso-position-vertical-relative:page;z-index:-772192" type="#_x0000_t75" stroked="false">
            <v:imagedata r:id="rId6" o:title=""/>
          </v:shape>
        </w:pict>
      </w:r>
    </w:p>
    <w:tbl>
      <w:tblPr>
        <w:tblW w:w="0" w:type="auto"/>
        <w:jc w:val="left"/>
        <w:tblInd w:w="149" w:type="dxa"/>
        <w:tblLayout w:type="fixed"/>
        <w:tblCellMar>
          <w:top w:w="0" w:type="dxa"/>
          <w:left w:w="0" w:type="dxa"/>
          <w:bottom w:w="0" w:type="dxa"/>
          <w:right w:w="0" w:type="dxa"/>
        </w:tblCellMar>
        <w:tblLook w:val="01E0"/>
      </w:tblPr>
      <w:tblGrid>
        <w:gridCol w:w="4105"/>
        <w:gridCol w:w="2740"/>
        <w:gridCol w:w="2725"/>
      </w:tblGrid>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45,449,788.00</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50,938.74</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45,500,726.74</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448,508,898.48</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220,588,010.76</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208,800,000.00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101,400,000.00</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283,179,409.03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359,804,100.00</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22,385,301.31</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18,158,337.68</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181,808,180.23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128,513,823.46</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696,172,890.57</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607,876,261.14</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74,113,080.28</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477,287.24</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770,285,970.85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608,353,548.38</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1,218,794,869.33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828,941,559.14</w:t>
            </w:r>
          </w:p>
        </w:tc>
      </w:tr>
    </w:tbl>
    <w:p>
      <w:pPr>
        <w:spacing w:line="240" w:lineRule="auto" w:before="11"/>
        <w:rPr>
          <w:rFonts w:ascii="Times New Roman" w:hAnsi="Times New Roman" w:cs="Times New Roman" w:eastAsia="Times New Roman" w:hint="default"/>
          <w:sz w:val="22"/>
          <w:szCs w:val="22"/>
        </w:rPr>
      </w:pPr>
    </w:p>
    <w:p>
      <w:pPr>
        <w:tabs>
          <w:tab w:pos="3487" w:val="left" w:leader="none"/>
          <w:tab w:pos="7718"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法定代表人：刘磅</w:t>
        <w:tab/>
      </w:r>
      <w:r>
        <w:rPr>
          <w:rFonts w:ascii="宋体" w:hAnsi="宋体" w:cs="宋体" w:eastAsia="宋体" w:hint="default"/>
          <w:spacing w:val="-1"/>
          <w:sz w:val="18"/>
          <w:szCs w:val="18"/>
        </w:rPr>
        <w:t>主管会计工作负责人：黄天朗</w:t>
        <w:tab/>
      </w:r>
      <w:r>
        <w:rPr>
          <w:rFonts w:ascii="宋体" w:hAnsi="宋体" w:cs="宋体" w:eastAsia="宋体" w:hint="default"/>
          <w:sz w:val="18"/>
          <w:szCs w:val="18"/>
        </w:rPr>
        <w:t>会计机构负责人：蒋国清</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编制单位：深圳达实智能股份有限公司</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2745"/>
        <w:gridCol w:w="2725"/>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191,211,133.55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296,757,141.57</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6,997,681.00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13,104,669.00</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272,625,260.64</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175,233,196.06</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17,714,410.91</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20,371,081.36</w:t>
            </w:r>
          </w:p>
        </w:tc>
      </w:tr>
    </w:tbl>
    <w:p>
      <w:pPr>
        <w:spacing w:after="0" w:line="240" w:lineRule="auto"/>
        <w:jc w:val="right"/>
        <w:rPr>
          <w:rFonts w:ascii="宋体" w:hAnsi="宋体" w:cs="宋体" w:eastAsia="宋体" w:hint="default"/>
          <w:sz w:val="18"/>
          <w:szCs w:val="18"/>
        </w:rPr>
        <w:sectPr>
          <w:footerReference w:type="default" r:id="rId15"/>
          <w:pgSz w:w="11910" w:h="16840"/>
          <w:pgMar w:footer="1227" w:header="877" w:top="1100" w:bottom="1420" w:left="980" w:right="0"/>
          <w:pgNumType w:start="60"/>
        </w:sectPr>
      </w:pPr>
    </w:p>
    <w:p>
      <w:pPr>
        <w:spacing w:line="240" w:lineRule="auto" w:before="11"/>
        <w:rPr>
          <w:rFonts w:ascii="Times New Roman" w:hAnsi="Times New Roman" w:cs="Times New Roman" w:eastAsia="Times New Roman" w:hint="default"/>
          <w:sz w:val="27"/>
          <w:szCs w:val="27"/>
        </w:rPr>
      </w:pPr>
      <w:r>
        <w:rPr/>
        <w:pict>
          <v:shape style="position:absolute;margin-left:460.320007pt;margin-top:764.919983pt;width:135.0pt;height:77pt;mso-position-horizontal-relative:page;mso-position-vertical-relative:page;z-index:1456" type="#_x0000_t75" stroked="false">
            <v:imagedata r:id="rId6" o:title=""/>
          </v:shape>
        </w:pict>
      </w:r>
    </w:p>
    <w:tbl>
      <w:tblPr>
        <w:tblW w:w="0" w:type="auto"/>
        <w:jc w:val="left"/>
        <w:tblInd w:w="149" w:type="dxa"/>
        <w:tblLayout w:type="fixed"/>
        <w:tblCellMar>
          <w:top w:w="0" w:type="dxa"/>
          <w:left w:w="0" w:type="dxa"/>
          <w:bottom w:w="0" w:type="dxa"/>
          <w:right w:w="0" w:type="dxa"/>
        </w:tblCellMar>
        <w:tblLook w:val="01E0"/>
      </w:tblPr>
      <w:tblGrid>
        <w:gridCol w:w="4100"/>
        <w:gridCol w:w="2745"/>
        <w:gridCol w:w="2725"/>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52,616.68</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233,622.44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55,613,658.86</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75,572,240.00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96,758,768.70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95,425,633.26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640,973,530.34</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676,697,583.69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285,472,144.91</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70,828,144.91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320,826.32</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35,625,099.33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26,137,638.24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18,026,185.51</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10,361,069.59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2,120,681.53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368,316.37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19,868.53</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9,497,736.40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4,993,304.90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4,399,925.30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3,167,652.08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355,482,467.83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115,856,126.09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996,455,998.17</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792,553,709.78</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6,734,437.76</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15,415,124.74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204,554,083.38</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127,084,278.36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40,848,276.75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26,604,848.32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8,636,051.64</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4,855,953.13</w:t>
            </w:r>
          </w:p>
        </w:tc>
      </w:tr>
    </w:tbl>
    <w:p>
      <w:pPr>
        <w:spacing w:after="0" w:line="240" w:lineRule="auto"/>
        <w:jc w:val="right"/>
        <w:rPr>
          <w:rFonts w:ascii="宋体" w:hAnsi="宋体" w:cs="宋体" w:eastAsia="宋体" w:hint="default"/>
          <w:sz w:val="18"/>
          <w:szCs w:val="18"/>
        </w:rPr>
        <w:sectPr>
          <w:pgSz w:w="11910" w:h="16840"/>
          <w:pgMar w:header="877" w:footer="1227" w:top="1100" w:bottom="142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60.320007pt;margin-top:764.919983pt;width:135.0pt;height:77pt;mso-position-horizontal-relative:page;mso-position-vertical-relative:page;z-index:-772144" type="#_x0000_t75" stroked="false">
            <v:imagedata r:id="rId6" o:title=""/>
          </v:shape>
        </w:pict>
      </w:r>
    </w:p>
    <w:tbl>
      <w:tblPr>
        <w:tblW w:w="0" w:type="auto"/>
        <w:jc w:val="left"/>
        <w:tblInd w:w="149" w:type="dxa"/>
        <w:tblLayout w:type="fixed"/>
        <w:tblCellMar>
          <w:top w:w="0" w:type="dxa"/>
          <w:left w:w="0" w:type="dxa"/>
          <w:bottom w:w="0" w:type="dxa"/>
          <w:right w:w="0" w:type="dxa"/>
        </w:tblCellMar>
        <w:tblLook w:val="01E0"/>
      </w:tblPr>
      <w:tblGrid>
        <w:gridCol w:w="4100"/>
        <w:gridCol w:w="2745"/>
        <w:gridCol w:w="2725"/>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6,885,931.17</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5,115,658.72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30,296,440.20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12,391,634.76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5,579,832.17</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6,380,000.00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303,535,053.07</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197,847,498.03</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45,449,788.00</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45,449,788.00</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348,984,841.07</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197,847,498.03</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208,800,000.00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101,400,000.00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283,179,409.03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359,804,100.00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22,224,933.72</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17,997,970.09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133,266,814.35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115,504,141.66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647,471,157.10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594,706,211.75</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996,455,998.17</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792,553,709.78</w:t>
            </w:r>
          </w:p>
        </w:tc>
      </w:tr>
    </w:tbl>
    <w:p>
      <w:pPr>
        <w:spacing w:line="240" w:lineRule="auto" w:before="11"/>
        <w:rPr>
          <w:rFonts w:ascii="Times New Roman" w:hAnsi="Times New Roman" w:cs="Times New Roman" w:eastAsia="Times New Roman" w:hint="default"/>
          <w:sz w:val="22"/>
          <w:szCs w:val="22"/>
        </w:rPr>
      </w:pPr>
    </w:p>
    <w:p>
      <w:pPr>
        <w:tabs>
          <w:tab w:pos="3487" w:val="left" w:leader="none"/>
          <w:tab w:pos="7718"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法定代表人：刘磅</w:t>
        <w:tab/>
      </w:r>
      <w:r>
        <w:rPr>
          <w:rFonts w:ascii="宋体" w:hAnsi="宋体" w:cs="宋体" w:eastAsia="宋体" w:hint="default"/>
          <w:spacing w:val="-1"/>
          <w:sz w:val="18"/>
          <w:szCs w:val="18"/>
        </w:rPr>
        <w:t>主管会计工作负责人：黄天朗</w:t>
        <w:tab/>
      </w:r>
      <w:r>
        <w:rPr>
          <w:rFonts w:ascii="宋体" w:hAnsi="宋体" w:cs="宋体" w:eastAsia="宋体" w:hint="default"/>
          <w:sz w:val="18"/>
          <w:szCs w:val="18"/>
        </w:rPr>
        <w:t>会计机构负责人：蒋国清</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编制单位：深圳达实智能股份有限公司</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2"/>
        <w:gridCol w:w="2728"/>
        <w:gridCol w:w="2717"/>
      </w:tblGrid>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877" w:footer="1227" w:top="1100" w:bottom="142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62.609985pt;margin-top:453.969971pt;width:134.7pt;height:20.65pt;mso-position-horizontal-relative:page;mso-position-vertical-relative:page;z-index:-772120" coordorigin="5252,9079" coordsize="2694,413">
            <v:group style="position:absolute;left:5263;top:9090;width:2;height:392" coordorigin="5263,9090" coordsize="2,392">
              <v:shape style="position:absolute;left:5263;top:9090;width:2;height:392" coordorigin="5263,9090" coordsize="0,392" path="m5263,9090l5263,9481e" filled="false" stroked="true" strokeweight="1.08pt" strokecolor="#ffffff">
                <v:path arrowok="t"/>
              </v:shape>
            </v:group>
            <v:group style="position:absolute;left:5274;top:9090;width:2672;height:392" coordorigin="5274,9090" coordsize="2672,392">
              <v:shape style="position:absolute;left:5274;top:9090;width:2672;height:392" coordorigin="5274,9090" coordsize="2672,392" path="m5274,9481l7945,9481,7945,9090,5274,9090,5274,9481xe" filled="true" fillcolor="#ffffff" stroked="false">
                <v:path arrowok="t"/>
                <v:fill type="solid"/>
              </v:shape>
            </v:group>
            <w10:wrap type="none"/>
          </v:group>
        </w:pict>
      </w:r>
      <w:r>
        <w:rPr/>
        <w:pict>
          <v:shape style="position:absolute;margin-left:460.320007pt;margin-top:764.919983pt;width:135.0pt;height:77pt;mso-position-horizontal-relative:page;mso-position-vertical-relative:page;z-index:1528" type="#_x0000_t75" stroked="false">
            <v:imagedata r:id="rId6" o:title=""/>
          </v:shape>
        </w:pict>
      </w:r>
    </w:p>
    <w:tbl>
      <w:tblPr>
        <w:tblW w:w="0" w:type="auto"/>
        <w:jc w:val="left"/>
        <w:tblInd w:w="149" w:type="dxa"/>
        <w:tblLayout w:type="fixed"/>
        <w:tblCellMar>
          <w:top w:w="0" w:type="dxa"/>
          <w:left w:w="0" w:type="dxa"/>
          <w:bottom w:w="0" w:type="dxa"/>
          <w:right w:w="0" w:type="dxa"/>
        </w:tblCellMar>
        <w:tblLook w:val="01E0"/>
      </w:tblPr>
      <w:tblGrid>
        <w:gridCol w:w="4100"/>
        <w:gridCol w:w="940"/>
        <w:gridCol w:w="1800"/>
        <w:gridCol w:w="2729"/>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435" w:right="0"/>
              <w:jc w:val="left"/>
              <w:rPr>
                <w:rFonts w:ascii="宋体" w:hAnsi="宋体" w:cs="宋体" w:eastAsia="宋体" w:hint="default"/>
                <w:sz w:val="18"/>
                <w:szCs w:val="18"/>
              </w:rPr>
            </w:pPr>
            <w:r>
              <w:rPr>
                <w:rFonts w:ascii="宋体"/>
                <w:sz w:val="18"/>
              </w:rPr>
              <w:t>824,070,264.21</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530,560,041.34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435" w:right="0"/>
              <w:jc w:val="left"/>
              <w:rPr>
                <w:rFonts w:ascii="宋体" w:hAnsi="宋体" w:cs="宋体" w:eastAsia="宋体" w:hint="default"/>
                <w:sz w:val="18"/>
                <w:szCs w:val="18"/>
              </w:rPr>
            </w:pPr>
            <w:r>
              <w:rPr>
                <w:rFonts w:ascii="宋体"/>
                <w:sz w:val="18"/>
              </w:rPr>
              <w:t>824,070,264.21</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530,560,041.34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40" w:type="dxa"/>
            <w:gridSpan w:val="2"/>
            <w:tcBorders>
              <w:top w:val="single" w:sz="4" w:space="0" w:color="000000"/>
              <w:left w:val="single" w:sz="12"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740" w:type="dxa"/>
            <w:gridSpan w:val="2"/>
            <w:tcBorders>
              <w:top w:val="single" w:sz="4" w:space="0" w:color="000000"/>
              <w:left w:val="single" w:sz="12"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740" w:type="dxa"/>
            <w:gridSpan w:val="2"/>
            <w:tcBorders>
              <w:top w:val="single" w:sz="4" w:space="0" w:color="000000"/>
              <w:left w:val="single" w:sz="12"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435" w:right="0"/>
              <w:jc w:val="left"/>
              <w:rPr>
                <w:rFonts w:ascii="宋体" w:hAnsi="宋体" w:cs="宋体" w:eastAsia="宋体" w:hint="default"/>
                <w:sz w:val="18"/>
                <w:szCs w:val="18"/>
              </w:rPr>
            </w:pPr>
            <w:r>
              <w:rPr>
                <w:rFonts w:ascii="宋体"/>
                <w:sz w:val="18"/>
              </w:rPr>
              <w:t>707,788,365.56</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479,050,750.32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435" w:right="0"/>
              <w:jc w:val="left"/>
              <w:rPr>
                <w:rFonts w:ascii="宋体" w:hAnsi="宋体" w:cs="宋体" w:eastAsia="宋体" w:hint="default"/>
                <w:sz w:val="18"/>
                <w:szCs w:val="18"/>
              </w:rPr>
            </w:pPr>
            <w:r>
              <w:rPr>
                <w:rFonts w:ascii="宋体"/>
                <w:sz w:val="18"/>
              </w:rPr>
              <w:t>570,537,078.75</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389,305,660.38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40" w:type="dxa"/>
            <w:gridSpan w:val="2"/>
            <w:tcBorders>
              <w:top w:val="single" w:sz="4" w:space="0" w:color="000000"/>
              <w:left w:val="single" w:sz="12"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740" w:type="dxa"/>
            <w:gridSpan w:val="2"/>
            <w:tcBorders>
              <w:top w:val="single" w:sz="4" w:space="0" w:color="000000"/>
              <w:left w:val="single" w:sz="12"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740" w:type="dxa"/>
            <w:gridSpan w:val="2"/>
            <w:tcBorders>
              <w:top w:val="single" w:sz="4" w:space="0" w:color="000000"/>
              <w:left w:val="single" w:sz="12"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740" w:type="dxa"/>
            <w:gridSpan w:val="2"/>
            <w:tcBorders>
              <w:top w:val="single" w:sz="4" w:space="0" w:color="000000"/>
              <w:left w:val="single" w:sz="12"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740" w:type="dxa"/>
            <w:gridSpan w:val="2"/>
            <w:tcBorders>
              <w:top w:val="single" w:sz="4" w:space="0" w:color="000000"/>
              <w:left w:val="single" w:sz="12"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740" w:type="dxa"/>
            <w:gridSpan w:val="2"/>
            <w:tcBorders>
              <w:top w:val="single" w:sz="4" w:space="0" w:color="000000"/>
              <w:left w:val="single" w:sz="12"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740" w:type="dxa"/>
            <w:gridSpan w:val="2"/>
            <w:tcBorders>
              <w:top w:val="single" w:sz="4" w:space="0" w:color="000000"/>
              <w:left w:val="single" w:sz="12"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524" w:right="0"/>
              <w:jc w:val="left"/>
              <w:rPr>
                <w:rFonts w:ascii="宋体" w:hAnsi="宋体" w:cs="宋体" w:eastAsia="宋体" w:hint="default"/>
                <w:sz w:val="18"/>
                <w:szCs w:val="18"/>
              </w:rPr>
            </w:pPr>
            <w:r>
              <w:rPr>
                <w:rFonts w:ascii="宋体"/>
                <w:sz w:val="18"/>
              </w:rPr>
              <w:t>23,354,549.35</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14,926,486.52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524" w:right="0"/>
              <w:jc w:val="left"/>
              <w:rPr>
                <w:rFonts w:ascii="宋体" w:hAnsi="宋体" w:cs="宋体" w:eastAsia="宋体" w:hint="default"/>
                <w:sz w:val="18"/>
                <w:szCs w:val="18"/>
              </w:rPr>
            </w:pPr>
            <w:r>
              <w:rPr>
                <w:rFonts w:ascii="宋体"/>
                <w:sz w:val="18"/>
              </w:rPr>
              <w:t>56,462,601.93</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43,412,398.90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524" w:right="0"/>
              <w:jc w:val="left"/>
              <w:rPr>
                <w:rFonts w:ascii="宋体" w:hAnsi="宋体" w:cs="宋体" w:eastAsia="宋体" w:hint="default"/>
                <w:sz w:val="18"/>
                <w:szCs w:val="18"/>
              </w:rPr>
            </w:pPr>
            <w:r>
              <w:rPr>
                <w:rFonts w:ascii="宋体"/>
                <w:sz w:val="18"/>
              </w:rPr>
              <w:t>50,900,322.79</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28,692,119.36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524" w:right="0"/>
              <w:jc w:val="left"/>
              <w:rPr>
                <w:rFonts w:ascii="宋体" w:hAnsi="宋体" w:cs="宋体" w:eastAsia="宋体" w:hint="default"/>
                <w:sz w:val="18"/>
                <w:szCs w:val="18"/>
              </w:rPr>
            </w:pPr>
            <w:r>
              <w:rPr>
                <w:rFonts w:ascii="宋体"/>
                <w:sz w:val="18"/>
              </w:rPr>
              <w:t>-3,718,914.03</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-3,502,539.61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524" w:right="0"/>
              <w:jc w:val="left"/>
              <w:rPr>
                <w:rFonts w:ascii="宋体" w:hAnsi="宋体" w:cs="宋体" w:eastAsia="宋体" w:hint="default"/>
                <w:sz w:val="18"/>
                <w:szCs w:val="18"/>
              </w:rPr>
            </w:pPr>
            <w:r>
              <w:rPr>
                <w:rFonts w:ascii="宋体"/>
                <w:sz w:val="18"/>
              </w:rPr>
              <w:t>10,252,726.77</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6,216,624.77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4"/>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940"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50"/>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871" w:right="0"/>
              <w:jc w:val="left"/>
              <w:rPr>
                <w:rFonts w:ascii="宋体" w:hAnsi="宋体" w:cs="宋体" w:eastAsia="宋体" w:hint="default"/>
                <w:sz w:val="18"/>
                <w:szCs w:val="18"/>
              </w:rPr>
            </w:pPr>
            <w:r>
              <w:rPr>
                <w:rFonts w:ascii="宋体"/>
                <w:sz w:val="18"/>
              </w:rPr>
              <w:t>-22,800.45</w:t>
            </w: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
              <w:jc w:val="righ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5"/>
                <w:sz w:val="18"/>
                <w:szCs w:val="18"/>
              </w:rPr>
              <w:t>：</w:t>
            </w:r>
            <w:r>
              <w:rPr>
                <w:rFonts w:ascii="宋体" w:hAnsi="宋体" w:cs="宋体" w:eastAsia="宋体" w:hint="default"/>
                <w:sz w:val="18"/>
                <w:szCs w:val="18"/>
              </w:rPr>
              <w:t>对联营企业和合营企业的投资收益</w:t>
            </w:r>
          </w:p>
        </w:tc>
        <w:tc>
          <w:tcPr>
            <w:tcW w:w="2740" w:type="dxa"/>
            <w:gridSpan w:val="2"/>
            <w:tcBorders>
              <w:top w:val="single" w:sz="4" w:space="0" w:color="000000"/>
              <w:left w:val="single" w:sz="12"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740" w:type="dxa"/>
            <w:gridSpan w:val="2"/>
            <w:tcBorders>
              <w:top w:val="single" w:sz="4" w:space="0" w:color="000000"/>
              <w:left w:val="single" w:sz="12"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435" w:right="0"/>
              <w:jc w:val="left"/>
              <w:rPr>
                <w:rFonts w:ascii="宋体" w:hAnsi="宋体" w:cs="宋体" w:eastAsia="宋体" w:hint="default"/>
                <w:sz w:val="18"/>
                <w:szCs w:val="18"/>
              </w:rPr>
            </w:pPr>
            <w:r>
              <w:rPr>
                <w:rFonts w:ascii="宋体"/>
                <w:sz w:val="18"/>
              </w:rPr>
              <w:t>116,259,098.20</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51,509,291.02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15" w:right="0"/>
              <w:jc w:val="left"/>
              <w:rPr>
                <w:rFonts w:ascii="宋体" w:hAnsi="宋体" w:cs="宋体" w:eastAsia="宋体" w:hint="default"/>
                <w:sz w:val="18"/>
                <w:szCs w:val="18"/>
              </w:rPr>
            </w:pPr>
            <w:r>
              <w:rPr>
                <w:rFonts w:ascii="宋体"/>
                <w:sz w:val="18"/>
              </w:rPr>
              <w:t>8,993,707.52</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2,485,988.94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6,760.48</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1,630,536.26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5,040.85</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62,548.39</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435" w:right="0"/>
              <w:jc w:val="left"/>
              <w:rPr>
                <w:rFonts w:ascii="宋体" w:hAnsi="宋体" w:cs="宋体" w:eastAsia="宋体" w:hint="default"/>
                <w:sz w:val="18"/>
                <w:szCs w:val="18"/>
              </w:rPr>
            </w:pPr>
            <w:r>
              <w:rPr>
                <w:rFonts w:ascii="宋体"/>
                <w:sz w:val="18"/>
              </w:rPr>
              <w:t>125,246,045.24</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52,364,743.70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524" w:right="0"/>
              <w:jc w:val="left"/>
              <w:rPr>
                <w:rFonts w:ascii="宋体" w:hAnsi="宋体" w:cs="宋体" w:eastAsia="宋体" w:hint="default"/>
                <w:sz w:val="18"/>
                <w:szCs w:val="18"/>
              </w:rPr>
            </w:pPr>
            <w:r>
              <w:rPr>
                <w:rFonts w:ascii="宋体"/>
                <w:sz w:val="18"/>
              </w:rPr>
              <w:t>22,152,551.38</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7,390,237.59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435" w:right="0"/>
              <w:jc w:val="left"/>
              <w:rPr>
                <w:rFonts w:ascii="宋体" w:hAnsi="宋体" w:cs="宋体" w:eastAsia="宋体" w:hint="default"/>
                <w:sz w:val="18"/>
                <w:szCs w:val="18"/>
              </w:rPr>
            </w:pPr>
            <w:r>
              <w:rPr>
                <w:rFonts w:ascii="宋体"/>
                <w:sz w:val="18"/>
              </w:rPr>
              <w:t>103,093,493.86</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44,974,506.11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2740" w:type="dxa"/>
            <w:gridSpan w:val="2"/>
            <w:tcBorders>
              <w:top w:val="single" w:sz="4" w:space="0" w:color="000000"/>
              <w:left w:val="single" w:sz="12"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524" w:right="0"/>
              <w:jc w:val="left"/>
              <w:rPr>
                <w:rFonts w:ascii="宋体" w:hAnsi="宋体" w:cs="宋体" w:eastAsia="宋体" w:hint="default"/>
                <w:sz w:val="18"/>
                <w:szCs w:val="18"/>
              </w:rPr>
            </w:pPr>
            <w:r>
              <w:rPr>
                <w:rFonts w:ascii="宋体"/>
                <w:sz w:val="18"/>
              </w:rPr>
              <w:t>77,801,320.40</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44,962,647.11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74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524" w:right="0"/>
              <w:jc w:val="left"/>
              <w:rPr>
                <w:rFonts w:ascii="宋体" w:hAnsi="宋体" w:cs="宋体" w:eastAsia="宋体" w:hint="default"/>
                <w:sz w:val="18"/>
                <w:szCs w:val="18"/>
              </w:rPr>
            </w:pPr>
            <w:r>
              <w:rPr>
                <w:rFonts w:ascii="宋体"/>
                <w:sz w:val="18"/>
              </w:rPr>
              <w:t>25,292,173.46</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11,859.00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27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sz w:val="18"/>
              </w:rPr>
              <w:t>--</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1227" w:top="1100" w:bottom="142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62.850006pt;margin-top:483.009979pt;width:134.8pt;height:20.65pt;mso-position-horizontal-relative:page;mso-position-vertical-relative:page;z-index:-772072" coordorigin="5257,9660" coordsize="2696,413">
            <v:group style="position:absolute;left:5268;top:9671;width:2;height:392" coordorigin="5268,9671" coordsize="2,392">
              <v:shape style="position:absolute;left:5268;top:9671;width:2;height:392" coordorigin="5268,9671" coordsize="0,392" path="m5268,9671l5268,10062e" filled="false" stroked="true" strokeweight="1.08pt" strokecolor="#ffffff">
                <v:path arrowok="t"/>
              </v:shape>
            </v:group>
            <v:group style="position:absolute;left:5279;top:9671;width:2674;height:392" coordorigin="5279,9671" coordsize="2674,392">
              <v:shape style="position:absolute;left:5279;top:9671;width:2674;height:392" coordorigin="5279,9671" coordsize="2674,392" path="m5279,10062l7953,10062,7953,9671,5279,9671,5279,1006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4100"/>
        <w:gridCol w:w="2740"/>
        <w:gridCol w:w="2729"/>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0.3753</w:t>
            </w:r>
            <w:r>
              <w:rPr>
                <w:rFonts w:ascii="宋体"/>
                <w:sz w:val="18"/>
              </w:rPr>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0.2217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0.3753</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pacing w:val="-1"/>
                <w:sz w:val="18"/>
              </w:rPr>
              <w:t>0.2217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103,093,493.86</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44,974,506.11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77,801,320.40</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44,962,647.11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25,292,173.46</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11,859.00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tabs>
          <w:tab w:pos="3487" w:val="left" w:leader="none"/>
          <w:tab w:pos="7718" w:val="left" w:leader="none"/>
        </w:tabs>
        <w:spacing w:before="138"/>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法定代表人：刘磅</w:t>
        <w:tab/>
      </w:r>
      <w:r>
        <w:rPr>
          <w:rFonts w:ascii="宋体" w:hAnsi="宋体" w:cs="宋体" w:eastAsia="宋体" w:hint="default"/>
          <w:spacing w:val="-1"/>
          <w:sz w:val="18"/>
          <w:szCs w:val="18"/>
        </w:rPr>
        <w:t>主管会计工作负责人：黄天朗</w:t>
        <w:tab/>
      </w:r>
      <w:r>
        <w:rPr>
          <w:rFonts w:ascii="宋体" w:hAnsi="宋体" w:cs="宋体" w:eastAsia="宋体" w:hint="default"/>
          <w:sz w:val="18"/>
          <w:szCs w:val="18"/>
        </w:rPr>
        <w:t>会计机构负责人：蒋国清</w:t>
      </w:r>
    </w:p>
    <w:p>
      <w:pPr>
        <w:spacing w:line="240" w:lineRule="auto" w:before="0"/>
        <w:rPr>
          <w:rFonts w:ascii="宋体" w:hAnsi="宋体" w:cs="宋体" w:eastAsia="宋体" w:hint="default"/>
          <w:sz w:val="18"/>
          <w:szCs w:val="18"/>
        </w:rPr>
      </w:pPr>
    </w:p>
    <w:p>
      <w:pPr>
        <w:pStyle w:val="Heading3"/>
        <w:spacing w:line="240" w:lineRule="auto" w:before="121"/>
        <w:ind w:right="112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编制单位：深圳达实智能股份有限公司</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5"/>
        <w:gridCol w:w="2740"/>
        <w:gridCol w:w="2725"/>
      </w:tblGrid>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560,313,908.45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464,477,945.53</w:t>
            </w: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427,962,661.66</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359,135,968.57</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16,571,039.55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12,871,275.66</w:t>
            </w: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45,280,757.49</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34,911,955.19</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30,091,642.53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21,771,210.49</w:t>
            </w: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-7,472,901.77</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-7,163,864.32</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6,784,219.38</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5,992,336.47</w:t>
            </w: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9"/>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0"/>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41,096,489.61</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36,959,063.47</w:t>
            </w: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8,583,269.11</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2,394,908.50</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2,549.06</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706,722.97</w:t>
            </w: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2,503.50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6,197.45</w:t>
            </w:r>
          </w:p>
        </w:tc>
      </w:tr>
      <w:tr>
        <w:trPr>
          <w:trHeight w:val="404"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49,677,209.66</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38,647,249.00</w:t>
            </w: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7,407,573.34</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5,579,005.46</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42,269,636.32</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33,068,243.54</w:t>
            </w: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0.2039</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0.1631</w:t>
            </w: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0.2039</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0.1631</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1334" w:header="877" w:top="1100" w:bottom="1520" w:left="980" w:right="0"/>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772048" type="#_x0000_t75" stroked="false">
            <v:imagedata r:id="rId6" o:title=""/>
          </v:shape>
        </w:pict>
      </w:r>
    </w:p>
    <w:tbl>
      <w:tblPr>
        <w:tblW w:w="0" w:type="auto"/>
        <w:jc w:val="left"/>
        <w:tblInd w:w="149" w:type="dxa"/>
        <w:tblLayout w:type="fixed"/>
        <w:tblCellMar>
          <w:top w:w="0" w:type="dxa"/>
          <w:left w:w="0" w:type="dxa"/>
          <w:bottom w:w="0" w:type="dxa"/>
          <w:right w:w="0" w:type="dxa"/>
        </w:tblCellMar>
        <w:tblLook w:val="01E0"/>
      </w:tblPr>
      <w:tblGrid>
        <w:gridCol w:w="4105"/>
        <w:gridCol w:w="2740"/>
        <w:gridCol w:w="2725"/>
      </w:tblGrid>
      <w:tr>
        <w:trPr>
          <w:trHeight w:val="404"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526" w:right="0"/>
              <w:jc w:val="left"/>
              <w:rPr>
                <w:rFonts w:ascii="宋体" w:hAnsi="宋体" w:cs="宋体" w:eastAsia="宋体" w:hint="default"/>
                <w:sz w:val="18"/>
                <w:szCs w:val="18"/>
              </w:rPr>
            </w:pPr>
            <w:r>
              <w:rPr>
                <w:rFonts w:ascii="宋体"/>
                <w:sz w:val="18"/>
              </w:rPr>
              <w:t>42,269,636.32</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19" w:right="0"/>
              <w:jc w:val="left"/>
              <w:rPr>
                <w:rFonts w:ascii="宋体" w:hAnsi="宋体" w:cs="宋体" w:eastAsia="宋体" w:hint="default"/>
                <w:sz w:val="18"/>
                <w:szCs w:val="18"/>
              </w:rPr>
            </w:pPr>
            <w:r>
              <w:rPr>
                <w:rFonts w:ascii="宋体"/>
                <w:sz w:val="18"/>
              </w:rPr>
              <w:t>33,068,243.54</w:t>
            </w:r>
          </w:p>
        </w:tc>
      </w:tr>
    </w:tbl>
    <w:p>
      <w:pPr>
        <w:spacing w:line="240" w:lineRule="auto" w:before="2"/>
        <w:rPr>
          <w:rFonts w:ascii="宋体" w:hAnsi="宋体" w:cs="宋体" w:eastAsia="宋体" w:hint="default"/>
          <w:sz w:val="20"/>
          <w:szCs w:val="20"/>
        </w:rPr>
      </w:pPr>
    </w:p>
    <w:p>
      <w:pPr>
        <w:tabs>
          <w:tab w:pos="3487" w:val="left" w:leader="none"/>
          <w:tab w:pos="7718"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法定代表人：刘磅</w:t>
        <w:tab/>
      </w:r>
      <w:r>
        <w:rPr>
          <w:rFonts w:ascii="宋体" w:hAnsi="宋体" w:cs="宋体" w:eastAsia="宋体" w:hint="default"/>
          <w:spacing w:val="-1"/>
          <w:sz w:val="18"/>
          <w:szCs w:val="18"/>
        </w:rPr>
        <w:t>主管会计工作负责人：黄天朗</w:t>
        <w:tab/>
      </w:r>
      <w:r>
        <w:rPr>
          <w:rFonts w:ascii="宋体" w:hAnsi="宋体" w:cs="宋体" w:eastAsia="宋体" w:hint="default"/>
          <w:sz w:val="18"/>
          <w:szCs w:val="18"/>
        </w:rPr>
        <w:t>会计机构负责人：蒋国清</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编制单位：深圳达实智能股份有限公司</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5"/>
        <w:gridCol w:w="2740"/>
        <w:gridCol w:w="2725"/>
      </w:tblGrid>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649,906,472.32</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480,749,269.45</w:t>
            </w:r>
          </w:p>
        </w:tc>
      </w:tr>
      <w:tr>
        <w:trPr>
          <w:trHeight w:val="404"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0"/>
              <w:jc w:val="right"/>
              <w:rPr>
                <w:rFonts w:ascii="宋体" w:hAnsi="宋体" w:cs="宋体" w:eastAsia="宋体" w:hint="default"/>
                <w:sz w:val="18"/>
                <w:szCs w:val="18"/>
              </w:rPr>
            </w:pPr>
            <w:r>
              <w:rPr>
                <w:rFonts w:ascii="宋体" w:hAnsi="宋体" w:cs="宋体" w:eastAsia="宋体" w:hint="default"/>
                <w:spacing w:val="-1"/>
                <w:sz w:val="18"/>
                <w:szCs w:val="18"/>
              </w:rPr>
              <w:t>客户存款和同业存放款项净增加额</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0"/>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2,469,746.41</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44,223.58</w:t>
            </w: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26,664,502.85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21,080,037.80</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679,040,721.58</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501,873,530.83</w:t>
            </w: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401,885,760.44</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384,108,022.10</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0"/>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58,628,145.24</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47,044,035.79</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43,009,119.04</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27,068,840.00</w:t>
            </w: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71,207,764.24</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35,727,719.11</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574,730,788.96</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493,948,617.00</w:t>
            </w:r>
          </w:p>
        </w:tc>
      </w:tr>
      <w:tr>
        <w:trPr>
          <w:trHeight w:val="401"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104,309,932.62</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7,924,913.83</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17"/>
          <w:pgSz w:w="11910" w:h="16840"/>
          <w:pgMar w:footer="1227" w:header="877" w:top="1100" w:bottom="1420" w:left="980" w:right="0"/>
          <w:pgNumType w:start="65"/>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1600" type="#_x0000_t75" stroked="false">
            <v:imagedata r:id="rId6" o:title=""/>
          </v:shape>
        </w:pict>
      </w:r>
    </w:p>
    <w:tbl>
      <w:tblPr>
        <w:tblW w:w="0" w:type="auto"/>
        <w:jc w:val="left"/>
        <w:tblInd w:w="149" w:type="dxa"/>
        <w:tblLayout w:type="fixed"/>
        <w:tblCellMar>
          <w:top w:w="0" w:type="dxa"/>
          <w:left w:w="0" w:type="dxa"/>
          <w:bottom w:w="0" w:type="dxa"/>
          <w:right w:w="0" w:type="dxa"/>
        </w:tblCellMar>
        <w:tblLook w:val="01E0"/>
      </w:tblPr>
      <w:tblGrid>
        <w:gridCol w:w="4105"/>
        <w:gridCol w:w="2740"/>
        <w:gridCol w:w="2725"/>
      </w:tblGrid>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17,500,000.00</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80,465.71</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36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处置固定资产、无形资产和其他长期资产收回的</w:t>
            </w:r>
            <w:r>
              <w:rPr>
                <w:rFonts w:ascii="宋体" w:hAnsi="宋体" w:cs="宋体" w:eastAsia="宋体" w:hint="default"/>
                <w:sz w:val="18"/>
                <w:szCs w:val="18"/>
              </w:rPr>
              <w:t> 现金净额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984,040.26</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5,495.00</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90"/>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8,000,000.00</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18,564,505.97</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8,005,495.00</w:t>
            </w:r>
          </w:p>
        </w:tc>
      </w:tr>
      <w:tr>
        <w:trPr>
          <w:trHeight w:val="714"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购建固定资产</w:t>
            </w:r>
            <w:r>
              <w:rPr>
                <w:rFonts w:ascii="宋体" w:hAnsi="宋体" w:cs="宋体" w:eastAsia="宋体" w:hint="default"/>
                <w:spacing w:val="-80"/>
                <w:sz w:val="18"/>
                <w:szCs w:val="18"/>
              </w:rPr>
              <w:t>、</w:t>
            </w:r>
            <w:r>
              <w:rPr>
                <w:rFonts w:ascii="宋体" w:hAnsi="宋体" w:cs="宋体" w:eastAsia="宋体" w:hint="default"/>
                <w:sz w:val="18"/>
                <w:szCs w:val="18"/>
              </w:rPr>
              <w:t>无形资产和其他长期资产支付的</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25,078,138.27</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22,251,033.18</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168,544,282.00</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9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380,000.00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80,000.00</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194,002,420.27</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22,331,033.18</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-175,437,914.30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-14,325,538.18</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25,530,000.00</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90"/>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25,530,000.00</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133,535,446.43</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30,323,135.70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1,643,849.99</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1,178,763.35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40,200.00</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31,501,899.05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135,219,496.42</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-5,971,899.05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-135,219,496.42</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-77,099,880.73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-141,620,120.77</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298,781,247.03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426,025,826.74</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221,681,366.30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284,405,705.97</w:t>
            </w:r>
          </w:p>
        </w:tc>
      </w:tr>
    </w:tbl>
    <w:p>
      <w:pPr>
        <w:spacing w:line="240" w:lineRule="auto" w:before="2"/>
        <w:rPr>
          <w:rFonts w:ascii="宋体" w:hAnsi="宋体" w:cs="宋体" w:eastAsia="宋体" w:hint="default"/>
          <w:sz w:val="20"/>
          <w:szCs w:val="20"/>
        </w:rPr>
      </w:pPr>
    </w:p>
    <w:p>
      <w:pPr>
        <w:tabs>
          <w:tab w:pos="3487" w:val="left" w:leader="none"/>
          <w:tab w:pos="7718"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法定代表人：刘磅</w:t>
        <w:tab/>
      </w:r>
      <w:r>
        <w:rPr>
          <w:rFonts w:ascii="宋体" w:hAnsi="宋体" w:cs="宋体" w:eastAsia="宋体" w:hint="default"/>
          <w:spacing w:val="-1"/>
          <w:sz w:val="18"/>
          <w:szCs w:val="18"/>
        </w:rPr>
        <w:t>主管会计工作负责人：黄天朗</w:t>
        <w:tab/>
      </w:r>
      <w:r>
        <w:rPr>
          <w:rFonts w:ascii="宋体" w:hAnsi="宋体" w:cs="宋体" w:eastAsia="宋体" w:hint="default"/>
          <w:sz w:val="18"/>
          <w:szCs w:val="18"/>
        </w:rPr>
        <w:t>会计机构负责人：蒋国清</w:t>
      </w:r>
    </w:p>
    <w:p>
      <w:pPr>
        <w:spacing w:after="0"/>
        <w:jc w:val="left"/>
        <w:rPr>
          <w:rFonts w:ascii="宋体" w:hAnsi="宋体" w:cs="宋体" w:eastAsia="宋体" w:hint="default"/>
          <w:sz w:val="18"/>
          <w:szCs w:val="18"/>
        </w:rPr>
        <w:sectPr>
          <w:pgSz w:w="11910" w:h="16840"/>
          <w:pgMar w:header="877" w:footer="1227" w:top="1100" w:bottom="142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编制单位：深圳达实智能股份有限公司</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2745"/>
        <w:gridCol w:w="2725"/>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483,918,318.59</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402,661,368.41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23,118,775.16</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19,167,634.66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507,037,093.75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421,829,003.07</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359,417,113.28</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351,851,399.37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41,978,361.52</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34,159,133.65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25,332,536.73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22,226,007.42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33,277,898.46</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28,935,114.41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460,005,909.99</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437,171,654.85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47,031,183.76</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-15,342,651.78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8,600,000.00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4,036,481.95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3,378,708.67</w:t>
            </w: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4" w:firstLine="36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处置固定资产、无形资产和其他长期资产收回的</w:t>
            </w:r>
            <w:r>
              <w:rPr>
                <w:rFonts w:ascii="宋体" w:hAnsi="宋体" w:cs="宋体" w:eastAsia="宋体" w:hint="default"/>
                <w:sz w:val="18"/>
                <w:szCs w:val="18"/>
              </w:rPr>
              <w:t> 现金净额</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1,750.00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1,850.00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5"/>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25,000,000.00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8,000,000.00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29,038,231.95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19,980,558.67</w:t>
            </w: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购建固定资产</w:t>
            </w:r>
            <w:r>
              <w:rPr>
                <w:rFonts w:ascii="宋体" w:hAnsi="宋体" w:cs="宋体" w:eastAsia="宋体" w:hint="default"/>
                <w:spacing w:val="-80"/>
                <w:sz w:val="18"/>
                <w:szCs w:val="18"/>
              </w:rPr>
              <w:t>、</w:t>
            </w:r>
            <w:r>
              <w:rPr>
                <w:rFonts w:ascii="宋体" w:hAnsi="宋体" w:cs="宋体" w:eastAsia="宋体" w:hint="default"/>
                <w:sz w:val="18"/>
                <w:szCs w:val="18"/>
              </w:rPr>
              <w:t>无形资产和其他长期资产支付的</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24,191,037.79</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22,090,751.28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154,044,282.00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73,600,000.00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85"/>
              <w:jc w:val="right"/>
              <w:rPr>
                <w:rFonts w:ascii="宋体" w:hAnsi="宋体" w:cs="宋体" w:eastAsia="宋体" w:hint="default"/>
                <w:sz w:val="18"/>
                <w:szCs w:val="18"/>
              </w:rPr>
            </w:pPr>
            <w:r>
              <w:rPr>
                <w:rFonts w:ascii="宋体" w:hAnsi="宋体" w:cs="宋体" w:eastAsia="宋体" w:hint="default"/>
                <w:spacing w:val="-1"/>
                <w:sz w:val="18"/>
                <w:szCs w:val="18"/>
              </w:rPr>
              <w:t>取得子公司及其他营业单位支付的现金净额</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380,000.00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178,615,319.79</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95,770,751.28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-149,577,087.84</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-75,790,192.61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7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25,530,000.00</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745"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1340" w:header="877" w:top="1100" w:bottom="1540" w:left="980" w:right="0"/>
          <w:pgNumType w:start="67"/>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105"/>
        <w:gridCol w:w="2740"/>
        <w:gridCol w:w="2725"/>
      </w:tblGrid>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25,530,000.00</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51,400,000.00</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20,280,000.00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1,214,236.66</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178,763.35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40,200.00</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20,458,763.35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52,654,436.66</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5,071,236.65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-52,654,436.66</w:t>
            </w: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740" w:type="dxa"/>
            <w:tcBorders>
              <w:top w:val="single" w:sz="4" w:space="0" w:color="000000"/>
              <w:left w:val="single" w:sz="12" w:space="0" w:color="D2D2D2"/>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-97,474,667.43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-143,787,281.05</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280,367,104.90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424,154,385.95</w:t>
            </w:r>
          </w:p>
        </w:tc>
      </w:tr>
      <w:tr>
        <w:trPr>
          <w:trHeight w:val="403" w:hRule="exact"/>
        </w:trPr>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182,892,437.47</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280,367,104.90</w:t>
            </w:r>
          </w:p>
        </w:tc>
      </w:tr>
    </w:tbl>
    <w:p>
      <w:pPr>
        <w:spacing w:line="240" w:lineRule="auto" w:before="2"/>
        <w:rPr>
          <w:rFonts w:ascii="宋体" w:hAnsi="宋体" w:cs="宋体" w:eastAsia="宋体" w:hint="default"/>
          <w:sz w:val="20"/>
          <w:szCs w:val="20"/>
        </w:rPr>
      </w:pPr>
    </w:p>
    <w:p>
      <w:pPr>
        <w:tabs>
          <w:tab w:pos="3487" w:val="left" w:leader="none"/>
          <w:tab w:pos="7718"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法定代表人：刘磅</w:t>
        <w:tab/>
      </w:r>
      <w:r>
        <w:rPr>
          <w:rFonts w:ascii="宋体" w:hAnsi="宋体" w:cs="宋体" w:eastAsia="宋体" w:hint="default"/>
          <w:spacing w:val="-1"/>
          <w:sz w:val="18"/>
          <w:szCs w:val="18"/>
        </w:rPr>
        <w:t>主管会计工作负责人：黄天朗</w:t>
        <w:tab/>
      </w:r>
      <w:r>
        <w:rPr>
          <w:rFonts w:ascii="宋体" w:hAnsi="宋体" w:cs="宋体" w:eastAsia="宋体" w:hint="default"/>
          <w:sz w:val="18"/>
          <w:szCs w:val="18"/>
        </w:rPr>
        <w:t>会计机构负责人：蒋国清</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340" w:top="1100" w:bottom="1540" w:left="980" w:right="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编制单位：深圳达实智能股份有限公司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0" w:left="980" w:right="0"/>
          <w:cols w:num="2" w:equalWidth="0">
            <w:col w:w="3213" w:space="5707"/>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85"/>
        <w:gridCol w:w="881"/>
        <w:gridCol w:w="792"/>
        <w:gridCol w:w="622"/>
        <w:gridCol w:w="562"/>
        <w:gridCol w:w="728"/>
        <w:gridCol w:w="641"/>
        <w:gridCol w:w="787"/>
        <w:gridCol w:w="545"/>
        <w:gridCol w:w="818"/>
        <w:gridCol w:w="893"/>
      </w:tblGrid>
      <w:tr>
        <w:trPr>
          <w:trHeight w:val="403" w:hRule="exact"/>
        </w:trPr>
        <w:tc>
          <w:tcPr>
            <w:tcW w:w="2285" w:type="dxa"/>
            <w:vMerge w:val="restart"/>
            <w:tcBorders>
              <w:top w:val="single" w:sz="4" w:space="0" w:color="000000"/>
              <w:left w:val="single" w:sz="4" w:space="0" w:color="000000"/>
              <w:right w:val="single" w:sz="4" w:space="0" w:color="000000"/>
            </w:tcBorders>
            <w:shd w:val="clear" w:color="auto" w:fill="D2D2D2"/>
          </w:tcPr>
          <w:p>
            <w:pPr/>
          </w:p>
        </w:tc>
        <w:tc>
          <w:tcPr>
            <w:tcW w:w="72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03"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5558"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8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22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5558" w:type="dxa"/>
            <w:gridSpan w:val="8"/>
            <w:vMerge/>
            <w:tcBorders>
              <w:left w:val="single" w:sz="4" w:space="0" w:color="000000"/>
              <w:bottom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2"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8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5"/>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622"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3"/>
              <w:ind w:left="35" w:right="35" w:firstLine="91"/>
              <w:jc w:val="left"/>
              <w:rPr>
                <w:rFonts w:ascii="宋体" w:hAnsi="宋体" w:cs="宋体" w:eastAsia="宋体" w:hint="default"/>
                <w:sz w:val="18"/>
                <w:szCs w:val="18"/>
              </w:rPr>
            </w:pPr>
            <w:r>
              <w:rPr>
                <w:rFonts w:ascii="宋体" w:hAnsi="宋体" w:cs="宋体" w:eastAsia="宋体" w:hint="default"/>
                <w:sz w:val="18"/>
                <w:szCs w:val="18"/>
              </w:rPr>
              <w:t>减： 库存股</w:t>
            </w: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5"/>
              <w:ind w:left="96" w:right="9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5"/>
              <w:ind w:left="269"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5"/>
              <w:ind w:left="45" w:right="4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5"/>
              <w:ind w:left="297" w:right="26"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71"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881" w:type="dxa"/>
            <w:vMerge/>
            <w:tcBorders>
              <w:left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5" w:lineRule="exact" w:before="51"/>
              <w:ind w:left="31"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65" w:lineRule="exact"/>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622"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5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194" w:hRule="exact"/>
        </w:trPr>
        <w:tc>
          <w:tcPr>
            <w:tcW w:w="2285" w:type="dxa"/>
            <w:vMerge/>
            <w:tcBorders>
              <w:left w:val="single" w:sz="4" w:space="0" w:color="000000"/>
              <w:bottom w:val="single" w:sz="4" w:space="0" w:color="000000"/>
              <w:right w:val="single" w:sz="4" w:space="0" w:color="000000"/>
            </w:tcBorders>
            <w:shd w:val="clear" w:color="auto" w:fill="D2D2D2"/>
          </w:tcPr>
          <w:p>
            <w:pPr/>
          </w:p>
        </w:tc>
        <w:tc>
          <w:tcPr>
            <w:tcW w:w="881"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22"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72"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1" w:type="dxa"/>
            <w:vMerge w:val="restart"/>
            <w:tcBorders>
              <w:top w:val="single" w:sz="8" w:space="0" w:color="D2D2D2"/>
              <w:left w:val="single" w:sz="10" w:space="0" w:color="D2D2D2"/>
              <w:right w:val="single" w:sz="4" w:space="0" w:color="000000"/>
            </w:tcBorders>
          </w:tcPr>
          <w:p>
            <w:pPr>
              <w:pStyle w:val="TableParagraph"/>
              <w:spacing w:line="240" w:lineRule="auto" w:before="55"/>
              <w:ind w:left="31" w:right="0"/>
              <w:jc w:val="left"/>
              <w:rPr>
                <w:rFonts w:ascii="宋体" w:hAnsi="宋体" w:cs="宋体" w:eastAsia="宋体" w:hint="default"/>
                <w:sz w:val="18"/>
                <w:szCs w:val="18"/>
              </w:rPr>
            </w:pPr>
            <w:r>
              <w:rPr>
                <w:rFonts w:ascii="宋体"/>
                <w:sz w:val="18"/>
              </w:rPr>
              <w:t>101,400,0</w:t>
            </w:r>
          </w:p>
          <w:p>
            <w:pPr>
              <w:pStyle w:val="TableParagraph"/>
              <w:spacing w:line="240" w:lineRule="auto" w:before="74"/>
              <w:ind w:left="391" w:right="0"/>
              <w:jc w:val="left"/>
              <w:rPr>
                <w:rFonts w:ascii="宋体" w:hAnsi="宋体" w:cs="宋体" w:eastAsia="宋体" w:hint="default"/>
                <w:sz w:val="18"/>
                <w:szCs w:val="18"/>
              </w:rPr>
            </w:pPr>
            <w:r>
              <w:rPr>
                <w:rFonts w:ascii="宋体"/>
                <w:sz w:val="18"/>
              </w:rPr>
              <w:t>00.00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59"/>
              <w:ind w:left="14" w:right="0"/>
              <w:jc w:val="center"/>
              <w:rPr>
                <w:rFonts w:ascii="宋体" w:hAnsi="宋体" w:cs="宋体" w:eastAsia="宋体" w:hint="default"/>
                <w:sz w:val="18"/>
                <w:szCs w:val="18"/>
              </w:rPr>
            </w:pPr>
            <w:r>
              <w:rPr>
                <w:rFonts w:ascii="宋体"/>
                <w:sz w:val="18"/>
              </w:rPr>
              <w:t>359,804,</w:t>
            </w:r>
          </w:p>
          <w:p>
            <w:pPr>
              <w:pStyle w:val="TableParagraph"/>
              <w:spacing w:line="240" w:lineRule="auto" w:before="74"/>
              <w:ind w:left="195" w:right="0"/>
              <w:jc w:val="center"/>
              <w:rPr>
                <w:rFonts w:ascii="宋体" w:hAnsi="宋体" w:cs="宋体" w:eastAsia="宋体" w:hint="default"/>
                <w:sz w:val="18"/>
                <w:szCs w:val="18"/>
              </w:rPr>
            </w:pPr>
            <w:r>
              <w:rPr>
                <w:rFonts w:ascii="宋体"/>
                <w:sz w:val="18"/>
              </w:rPr>
              <w:t>100.00</w:t>
            </w:r>
          </w:p>
        </w:tc>
        <w:tc>
          <w:tcPr>
            <w:tcW w:w="62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8" w:space="0" w:color="D2D2D2"/>
              <w:left w:val="single" w:sz="4" w:space="0" w:color="000000"/>
              <w:right w:val="single" w:sz="4" w:space="0" w:color="000000"/>
            </w:tcBorders>
          </w:tcPr>
          <w:p>
            <w:pPr/>
          </w:p>
        </w:tc>
        <w:tc>
          <w:tcPr>
            <w:tcW w:w="728" w:type="dxa"/>
            <w:vMerge w:val="restart"/>
            <w:tcBorders>
              <w:top w:val="single" w:sz="8" w:space="0" w:color="D2D2D2"/>
              <w:left w:val="single" w:sz="4" w:space="0" w:color="000000"/>
              <w:right w:val="single" w:sz="4" w:space="0" w:color="000000"/>
            </w:tcBorders>
          </w:tcPr>
          <w:p>
            <w:pPr>
              <w:pStyle w:val="TableParagraph"/>
              <w:spacing w:line="240" w:lineRule="auto" w:before="55"/>
              <w:ind w:left="65" w:right="0"/>
              <w:jc w:val="left"/>
              <w:rPr>
                <w:rFonts w:ascii="宋体" w:hAnsi="宋体" w:cs="宋体" w:eastAsia="宋体" w:hint="default"/>
                <w:sz w:val="18"/>
                <w:szCs w:val="18"/>
              </w:rPr>
            </w:pPr>
            <w:r>
              <w:rPr>
                <w:rFonts w:ascii="宋体"/>
                <w:sz w:val="18"/>
              </w:rPr>
              <w:t>18,158,</w:t>
            </w:r>
          </w:p>
          <w:p>
            <w:pPr>
              <w:pStyle w:val="TableParagraph"/>
              <w:spacing w:line="240" w:lineRule="auto" w:before="74"/>
              <w:ind w:left="156" w:right="0"/>
              <w:jc w:val="left"/>
              <w:rPr>
                <w:rFonts w:ascii="宋体" w:hAnsi="宋体" w:cs="宋体" w:eastAsia="宋体" w:hint="default"/>
                <w:sz w:val="18"/>
                <w:szCs w:val="18"/>
              </w:rPr>
            </w:pPr>
            <w:r>
              <w:rPr>
                <w:rFonts w:ascii="宋体"/>
                <w:sz w:val="18"/>
              </w:rPr>
              <w:t>337.68</w:t>
            </w:r>
          </w:p>
        </w:tc>
        <w:tc>
          <w:tcPr>
            <w:tcW w:w="641" w:type="dxa"/>
            <w:vMerge w:val="restart"/>
            <w:tcBorders>
              <w:top w:val="single" w:sz="8" w:space="0" w:color="D2D2D2"/>
              <w:left w:val="single" w:sz="4" w:space="0" w:color="000000"/>
              <w:right w:val="single" w:sz="4" w:space="0" w:color="000000"/>
            </w:tcBorders>
          </w:tcPr>
          <w:p>
            <w:pPr/>
          </w:p>
        </w:tc>
        <w:tc>
          <w:tcPr>
            <w:tcW w:w="787" w:type="dxa"/>
            <w:vMerge w:val="restart"/>
            <w:tcBorders>
              <w:top w:val="single" w:sz="8" w:space="0" w:color="D2D2D2"/>
              <w:left w:val="single" w:sz="4" w:space="0" w:color="000000"/>
              <w:right w:val="single" w:sz="4" w:space="0" w:color="000000"/>
            </w:tcBorders>
          </w:tcPr>
          <w:p>
            <w:pPr>
              <w:pStyle w:val="TableParagraph"/>
              <w:spacing w:line="240" w:lineRule="auto" w:before="55"/>
              <w:ind w:left="10" w:right="0"/>
              <w:jc w:val="center"/>
              <w:rPr>
                <w:rFonts w:ascii="宋体" w:hAnsi="宋体" w:cs="宋体" w:eastAsia="宋体" w:hint="default"/>
                <w:sz w:val="18"/>
                <w:szCs w:val="18"/>
              </w:rPr>
            </w:pPr>
            <w:r>
              <w:rPr>
                <w:rFonts w:ascii="宋体"/>
                <w:sz w:val="18"/>
              </w:rPr>
              <w:t>128,513,</w:t>
            </w:r>
          </w:p>
          <w:p>
            <w:pPr>
              <w:pStyle w:val="TableParagraph"/>
              <w:spacing w:line="240" w:lineRule="auto" w:before="74"/>
              <w:ind w:left="190" w:right="0"/>
              <w:jc w:val="center"/>
              <w:rPr>
                <w:rFonts w:ascii="宋体" w:hAnsi="宋体" w:cs="宋体" w:eastAsia="宋体" w:hint="default"/>
                <w:sz w:val="18"/>
                <w:szCs w:val="18"/>
              </w:rPr>
            </w:pPr>
            <w:r>
              <w:rPr>
                <w:rFonts w:ascii="宋体"/>
                <w:sz w:val="18"/>
              </w:rPr>
              <w:t>823.46</w:t>
            </w:r>
          </w:p>
        </w:tc>
        <w:tc>
          <w:tcPr>
            <w:tcW w:w="545"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pacing w:val="-1"/>
                <w:sz w:val="18"/>
              </w:rPr>
              <w:t>477,287.</w:t>
            </w:r>
          </w:p>
          <w:p>
            <w:pPr>
              <w:pStyle w:val="TableParagraph"/>
              <w:spacing w:line="240" w:lineRule="auto" w:before="74"/>
              <w:ind w:right="19"/>
              <w:jc w:val="right"/>
              <w:rPr>
                <w:rFonts w:ascii="宋体" w:hAnsi="宋体" w:cs="宋体" w:eastAsia="宋体" w:hint="default"/>
                <w:sz w:val="18"/>
                <w:szCs w:val="18"/>
              </w:rPr>
            </w:pPr>
            <w:r>
              <w:rPr>
                <w:rFonts w:ascii="宋体"/>
                <w:sz w:val="18"/>
              </w:rPr>
              <w:t>24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59"/>
              <w:ind w:left="50" w:right="0"/>
              <w:jc w:val="left"/>
              <w:rPr>
                <w:rFonts w:ascii="宋体" w:hAnsi="宋体" w:cs="宋体" w:eastAsia="宋体" w:hint="default"/>
                <w:sz w:val="18"/>
                <w:szCs w:val="18"/>
              </w:rPr>
            </w:pPr>
            <w:r>
              <w:rPr>
                <w:rFonts w:ascii="宋体"/>
                <w:sz w:val="18"/>
              </w:rPr>
              <w:t>608,353,5</w:t>
            </w:r>
          </w:p>
          <w:p>
            <w:pPr>
              <w:pStyle w:val="TableParagraph"/>
              <w:spacing w:line="240" w:lineRule="auto" w:before="74"/>
              <w:ind w:left="410" w:right="0"/>
              <w:jc w:val="left"/>
              <w:rPr>
                <w:rFonts w:ascii="宋体" w:hAnsi="宋体" w:cs="宋体" w:eastAsia="宋体" w:hint="default"/>
                <w:sz w:val="18"/>
                <w:szCs w:val="18"/>
              </w:rPr>
            </w:pPr>
            <w:r>
              <w:rPr>
                <w:rFonts w:ascii="宋体"/>
                <w:sz w:val="18"/>
              </w:rPr>
              <w:t>48.38</w:t>
            </w:r>
          </w:p>
        </w:tc>
      </w:tr>
      <w:tr>
        <w:trPr>
          <w:trHeight w:val="391" w:hRule="exact"/>
        </w:trPr>
        <w:tc>
          <w:tcPr>
            <w:tcW w:w="2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1" w:type="dxa"/>
            <w:vMerge/>
            <w:tcBorders>
              <w:left w:val="single" w:sz="10" w:space="0" w:color="D2D2D2"/>
              <w:right w:val="single" w:sz="4" w:space="0" w:color="000000"/>
            </w:tcBorders>
          </w:tcPr>
          <w:p>
            <w:pPr/>
          </w:p>
        </w:tc>
        <w:tc>
          <w:tcPr>
            <w:tcW w:w="79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545"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1" w:type="dxa"/>
            <w:vMerge/>
            <w:tcBorders>
              <w:left w:val="single" w:sz="10" w:space="0" w:color="D2D2D2"/>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62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545"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1" w:type="dxa"/>
            <w:tcBorders>
              <w:top w:val="single" w:sz="4" w:space="0" w:color="000000"/>
              <w:left w:val="single" w:sz="13" w:space="0" w:color="D2D2D2"/>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1" w:type="dxa"/>
            <w:tcBorders>
              <w:top w:val="single" w:sz="4" w:space="0" w:color="000000"/>
              <w:left w:val="single" w:sz="13" w:space="0" w:color="D2D2D2"/>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1" w:type="dxa"/>
            <w:tcBorders>
              <w:top w:val="single" w:sz="4" w:space="0" w:color="000000"/>
              <w:left w:val="single" w:sz="13" w:space="0" w:color="D2D2D2"/>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1" w:type="dxa"/>
            <w:vMerge w:val="restart"/>
            <w:tcBorders>
              <w:top w:val="single" w:sz="4" w:space="0" w:color="000000"/>
              <w:left w:val="single" w:sz="10" w:space="0" w:color="D2D2D2"/>
              <w:right w:val="single" w:sz="4" w:space="0" w:color="000000"/>
            </w:tcBorders>
          </w:tcPr>
          <w:p>
            <w:pPr>
              <w:pStyle w:val="TableParagraph"/>
              <w:spacing w:line="240" w:lineRule="auto" w:before="51"/>
              <w:ind w:left="31" w:right="0"/>
              <w:jc w:val="left"/>
              <w:rPr>
                <w:rFonts w:ascii="宋体" w:hAnsi="宋体" w:cs="宋体" w:eastAsia="宋体" w:hint="default"/>
                <w:sz w:val="18"/>
                <w:szCs w:val="18"/>
              </w:rPr>
            </w:pPr>
            <w:r>
              <w:rPr>
                <w:rFonts w:ascii="宋体"/>
                <w:sz w:val="18"/>
              </w:rPr>
              <w:t>101,400,0</w:t>
            </w:r>
          </w:p>
          <w:p>
            <w:pPr>
              <w:pStyle w:val="TableParagraph"/>
              <w:spacing w:line="240" w:lineRule="auto" w:before="74"/>
              <w:ind w:left="391" w:right="0"/>
              <w:jc w:val="left"/>
              <w:rPr>
                <w:rFonts w:ascii="宋体" w:hAnsi="宋体" w:cs="宋体" w:eastAsia="宋体" w:hint="default"/>
                <w:sz w:val="18"/>
                <w:szCs w:val="18"/>
              </w:rPr>
            </w:pPr>
            <w:r>
              <w:rPr>
                <w:rFonts w:ascii="宋体"/>
                <w:sz w:val="18"/>
              </w:rPr>
              <w:t>00.00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sz w:val="18"/>
              </w:rPr>
              <w:t>359,804,</w:t>
            </w:r>
          </w:p>
          <w:p>
            <w:pPr>
              <w:pStyle w:val="TableParagraph"/>
              <w:spacing w:line="240" w:lineRule="auto" w:before="74"/>
              <w:ind w:left="195" w:right="0"/>
              <w:jc w:val="center"/>
              <w:rPr>
                <w:rFonts w:ascii="宋体" w:hAnsi="宋体" w:cs="宋体" w:eastAsia="宋体" w:hint="default"/>
                <w:sz w:val="18"/>
                <w:szCs w:val="18"/>
              </w:rPr>
            </w:pPr>
            <w:r>
              <w:rPr>
                <w:rFonts w:ascii="宋体"/>
                <w:sz w:val="18"/>
              </w:rPr>
              <w:t>100.00</w:t>
            </w:r>
          </w:p>
        </w:tc>
        <w:tc>
          <w:tcPr>
            <w:tcW w:w="62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51"/>
              <w:ind w:left="65" w:right="0"/>
              <w:jc w:val="left"/>
              <w:rPr>
                <w:rFonts w:ascii="宋体" w:hAnsi="宋体" w:cs="宋体" w:eastAsia="宋体" w:hint="default"/>
                <w:sz w:val="18"/>
                <w:szCs w:val="18"/>
              </w:rPr>
            </w:pPr>
            <w:r>
              <w:rPr>
                <w:rFonts w:ascii="宋体"/>
                <w:sz w:val="18"/>
              </w:rPr>
              <w:t>18,158,</w:t>
            </w:r>
          </w:p>
          <w:p>
            <w:pPr>
              <w:pStyle w:val="TableParagraph"/>
              <w:spacing w:line="240" w:lineRule="auto" w:before="74"/>
              <w:ind w:left="156" w:right="0"/>
              <w:jc w:val="left"/>
              <w:rPr>
                <w:rFonts w:ascii="宋体" w:hAnsi="宋体" w:cs="宋体" w:eastAsia="宋体" w:hint="default"/>
                <w:sz w:val="18"/>
                <w:szCs w:val="18"/>
              </w:rPr>
            </w:pPr>
            <w:r>
              <w:rPr>
                <w:rFonts w:ascii="宋体"/>
                <w:sz w:val="18"/>
              </w:rPr>
              <w:t>337.68</w:t>
            </w:r>
          </w:p>
        </w:tc>
        <w:tc>
          <w:tcPr>
            <w:tcW w:w="641"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51"/>
              <w:ind w:left="10" w:right="0"/>
              <w:jc w:val="center"/>
              <w:rPr>
                <w:rFonts w:ascii="宋体" w:hAnsi="宋体" w:cs="宋体" w:eastAsia="宋体" w:hint="default"/>
                <w:sz w:val="18"/>
                <w:szCs w:val="18"/>
              </w:rPr>
            </w:pPr>
            <w:r>
              <w:rPr>
                <w:rFonts w:ascii="宋体"/>
                <w:sz w:val="18"/>
              </w:rPr>
              <w:t>128,513,</w:t>
            </w:r>
          </w:p>
          <w:p>
            <w:pPr>
              <w:pStyle w:val="TableParagraph"/>
              <w:spacing w:line="240" w:lineRule="auto" w:before="74"/>
              <w:ind w:left="190" w:right="0"/>
              <w:jc w:val="center"/>
              <w:rPr>
                <w:rFonts w:ascii="宋体" w:hAnsi="宋体" w:cs="宋体" w:eastAsia="宋体" w:hint="default"/>
                <w:sz w:val="18"/>
                <w:szCs w:val="18"/>
              </w:rPr>
            </w:pPr>
            <w:r>
              <w:rPr>
                <w:rFonts w:ascii="宋体"/>
                <w:sz w:val="18"/>
              </w:rPr>
              <w:t>823.46</w:t>
            </w:r>
          </w:p>
        </w:tc>
        <w:tc>
          <w:tcPr>
            <w:tcW w:w="545"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477,287.</w:t>
            </w:r>
          </w:p>
          <w:p>
            <w:pPr>
              <w:pStyle w:val="TableParagraph"/>
              <w:spacing w:line="240" w:lineRule="auto" w:before="74"/>
              <w:ind w:right="19"/>
              <w:jc w:val="right"/>
              <w:rPr>
                <w:rFonts w:ascii="宋体" w:hAnsi="宋体" w:cs="宋体" w:eastAsia="宋体" w:hint="default"/>
                <w:sz w:val="18"/>
                <w:szCs w:val="18"/>
              </w:rPr>
            </w:pPr>
            <w:r>
              <w:rPr>
                <w:rFonts w:ascii="宋体"/>
                <w:sz w:val="18"/>
              </w:rPr>
              <w:t>24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51"/>
              <w:ind w:left="50" w:right="0"/>
              <w:jc w:val="left"/>
              <w:rPr>
                <w:rFonts w:ascii="宋体" w:hAnsi="宋体" w:cs="宋体" w:eastAsia="宋体" w:hint="default"/>
                <w:sz w:val="18"/>
                <w:szCs w:val="18"/>
              </w:rPr>
            </w:pPr>
            <w:r>
              <w:rPr>
                <w:rFonts w:ascii="宋体"/>
                <w:sz w:val="18"/>
              </w:rPr>
              <w:t>608,353,5</w:t>
            </w:r>
          </w:p>
          <w:p>
            <w:pPr>
              <w:pStyle w:val="TableParagraph"/>
              <w:spacing w:line="240" w:lineRule="auto" w:before="74"/>
              <w:ind w:left="410" w:right="0"/>
              <w:jc w:val="left"/>
              <w:rPr>
                <w:rFonts w:ascii="宋体" w:hAnsi="宋体" w:cs="宋体" w:eastAsia="宋体" w:hint="default"/>
                <w:sz w:val="18"/>
                <w:szCs w:val="18"/>
              </w:rPr>
            </w:pPr>
            <w:r>
              <w:rPr>
                <w:rFonts w:ascii="宋体"/>
                <w:sz w:val="18"/>
              </w:rPr>
              <w:t>48.38</w:t>
            </w:r>
          </w:p>
        </w:tc>
      </w:tr>
      <w:tr>
        <w:trPr>
          <w:trHeight w:val="392" w:hRule="exact"/>
        </w:trPr>
        <w:tc>
          <w:tcPr>
            <w:tcW w:w="2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1" w:type="dxa"/>
            <w:vMerge/>
            <w:tcBorders>
              <w:left w:val="single" w:sz="10" w:space="0" w:color="D2D2D2"/>
              <w:right w:val="single" w:sz="4" w:space="0" w:color="000000"/>
            </w:tcBorders>
          </w:tcPr>
          <w:p>
            <w:pPr/>
          </w:p>
        </w:tc>
        <w:tc>
          <w:tcPr>
            <w:tcW w:w="79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545"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1" w:type="dxa"/>
            <w:vMerge/>
            <w:tcBorders>
              <w:left w:val="single" w:sz="10" w:space="0" w:color="D2D2D2"/>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62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545"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1"/>
              <w:jc w:val="left"/>
              <w:rPr>
                <w:rFonts w:ascii="宋体" w:hAnsi="宋体" w:cs="宋体" w:eastAsia="宋体" w:hint="default"/>
                <w:sz w:val="18"/>
                <w:szCs w:val="18"/>
              </w:rPr>
            </w:pPr>
            <w:r>
              <w:rPr>
                <w:rFonts w:ascii="宋体" w:hAnsi="宋体" w:cs="宋体" w:eastAsia="宋体" w:hint="default"/>
                <w:sz w:val="18"/>
                <w:szCs w:val="18"/>
              </w:rPr>
              <w:t>三、本期增减变动金额（减 少以“－”号填列）</w:t>
            </w:r>
          </w:p>
        </w:tc>
        <w:tc>
          <w:tcPr>
            <w:tcW w:w="8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107,400,0</w:t>
            </w:r>
          </w:p>
          <w:p>
            <w:pPr>
              <w:pStyle w:val="TableParagraph"/>
              <w:spacing w:line="240" w:lineRule="auto" w:before="76"/>
              <w:ind w:left="386" w:right="0"/>
              <w:jc w:val="left"/>
              <w:rPr>
                <w:rFonts w:ascii="宋体" w:hAnsi="宋体" w:cs="宋体" w:eastAsia="宋体" w:hint="default"/>
                <w:sz w:val="18"/>
                <w:szCs w:val="18"/>
              </w:rPr>
            </w:pPr>
            <w:r>
              <w:rPr>
                <w:rFonts w:ascii="宋体"/>
                <w:sz w:val="18"/>
              </w:rPr>
              <w:t>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center"/>
              <w:rPr>
                <w:rFonts w:ascii="宋体" w:hAnsi="宋体" w:cs="宋体" w:eastAsia="宋体" w:hint="default"/>
                <w:sz w:val="18"/>
                <w:szCs w:val="18"/>
              </w:rPr>
            </w:pPr>
            <w:r>
              <w:rPr>
                <w:rFonts w:ascii="宋体"/>
                <w:sz w:val="18"/>
              </w:rPr>
              <w:t>-76,624,</w:t>
            </w:r>
          </w:p>
          <w:p>
            <w:pPr>
              <w:pStyle w:val="TableParagraph"/>
              <w:spacing w:line="240" w:lineRule="auto" w:before="76"/>
              <w:ind w:left="195" w:right="0"/>
              <w:jc w:val="center"/>
              <w:rPr>
                <w:rFonts w:ascii="宋体" w:hAnsi="宋体" w:cs="宋体" w:eastAsia="宋体" w:hint="default"/>
                <w:sz w:val="18"/>
                <w:szCs w:val="18"/>
              </w:rPr>
            </w:pPr>
            <w:r>
              <w:rPr>
                <w:rFonts w:ascii="宋体"/>
                <w:sz w:val="18"/>
              </w:rPr>
              <w:t>690.97</w:t>
            </w: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宋体" w:hAnsi="宋体" w:cs="宋体" w:eastAsia="宋体" w:hint="default"/>
                <w:sz w:val="18"/>
                <w:szCs w:val="18"/>
              </w:rPr>
            </w:pPr>
            <w:r>
              <w:rPr>
                <w:rFonts w:ascii="宋体"/>
                <w:sz w:val="18"/>
              </w:rPr>
              <w:t>4,226,9</w:t>
            </w:r>
          </w:p>
          <w:p>
            <w:pPr>
              <w:pStyle w:val="TableParagraph"/>
              <w:spacing w:line="240" w:lineRule="auto" w:before="76"/>
              <w:ind w:left="224" w:right="0"/>
              <w:jc w:val="center"/>
              <w:rPr>
                <w:rFonts w:ascii="宋体" w:hAnsi="宋体" w:cs="宋体" w:eastAsia="宋体" w:hint="default"/>
                <w:sz w:val="18"/>
                <w:szCs w:val="18"/>
              </w:rPr>
            </w:pPr>
            <w:r>
              <w:rPr>
                <w:rFonts w:ascii="宋体"/>
                <w:sz w:val="18"/>
              </w:rPr>
              <w:t>63.63</w:t>
            </w: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53,294,3</w:t>
            </w:r>
          </w:p>
          <w:p>
            <w:pPr>
              <w:pStyle w:val="TableParagraph"/>
              <w:spacing w:line="240" w:lineRule="auto" w:before="76"/>
              <w:ind w:left="302" w:right="0"/>
              <w:jc w:val="left"/>
              <w:rPr>
                <w:rFonts w:ascii="宋体" w:hAnsi="宋体" w:cs="宋体" w:eastAsia="宋体" w:hint="default"/>
                <w:sz w:val="18"/>
                <w:szCs w:val="18"/>
              </w:rPr>
            </w:pPr>
            <w:r>
              <w:rPr>
                <w:rFonts w:ascii="宋体"/>
                <w:sz w:val="18"/>
              </w:rPr>
              <w:t>56.77</w:t>
            </w: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sz w:val="18"/>
              </w:rPr>
              <w:t>73,635,7</w:t>
            </w:r>
          </w:p>
          <w:p>
            <w:pPr>
              <w:pStyle w:val="TableParagraph"/>
              <w:spacing w:line="240" w:lineRule="auto" w:before="76"/>
              <w:ind w:left="333" w:right="0"/>
              <w:jc w:val="left"/>
              <w:rPr>
                <w:rFonts w:ascii="宋体" w:hAnsi="宋体" w:cs="宋体" w:eastAsia="宋体" w:hint="default"/>
                <w:sz w:val="18"/>
                <w:szCs w:val="18"/>
              </w:rPr>
            </w:pPr>
            <w:r>
              <w:rPr>
                <w:rFonts w:ascii="宋体"/>
                <w:sz w:val="18"/>
              </w:rPr>
              <w:t>93.04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sz w:val="18"/>
              </w:rPr>
              <w:t>161,932,4</w:t>
            </w:r>
          </w:p>
          <w:p>
            <w:pPr>
              <w:pStyle w:val="TableParagraph"/>
              <w:spacing w:line="240" w:lineRule="auto" w:before="76"/>
              <w:ind w:left="410" w:right="0"/>
              <w:jc w:val="left"/>
              <w:rPr>
                <w:rFonts w:ascii="宋体" w:hAnsi="宋体" w:cs="宋体" w:eastAsia="宋体" w:hint="default"/>
                <w:sz w:val="18"/>
                <w:szCs w:val="18"/>
              </w:rPr>
            </w:pPr>
            <w:r>
              <w:rPr>
                <w:rFonts w:ascii="宋体"/>
                <w:sz w:val="18"/>
              </w:rPr>
              <w:t>22.47</w:t>
            </w:r>
          </w:p>
        </w:tc>
      </w:tr>
      <w:tr>
        <w:trPr>
          <w:trHeight w:val="163"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1" w:type="dxa"/>
            <w:vMerge w:val="restart"/>
            <w:tcBorders>
              <w:top w:val="single" w:sz="4" w:space="0" w:color="000000"/>
              <w:left w:val="single" w:sz="10" w:space="0" w:color="D2D2D2"/>
              <w:right w:val="single" w:sz="4" w:space="0" w:color="000000"/>
            </w:tcBorders>
          </w:tcPr>
          <w:p>
            <w:pPr/>
          </w:p>
        </w:tc>
        <w:tc>
          <w:tcPr>
            <w:tcW w:w="792" w:type="dxa"/>
            <w:vMerge w:val="restart"/>
            <w:tcBorders>
              <w:top w:val="single" w:sz="4" w:space="0" w:color="000000"/>
              <w:left w:val="single" w:sz="4" w:space="0" w:color="000000"/>
              <w:right w:val="single" w:sz="4" w:space="0" w:color="000000"/>
            </w:tcBorders>
          </w:tcPr>
          <w:p>
            <w:pPr/>
          </w:p>
        </w:tc>
        <w:tc>
          <w:tcPr>
            <w:tcW w:w="62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z w:val="18"/>
              </w:rPr>
              <w:t>77,801,3</w:t>
            </w:r>
          </w:p>
          <w:p>
            <w:pPr>
              <w:pStyle w:val="TableParagraph"/>
              <w:spacing w:line="240" w:lineRule="auto" w:before="74"/>
              <w:ind w:left="302" w:right="0"/>
              <w:jc w:val="left"/>
              <w:rPr>
                <w:rFonts w:ascii="宋体" w:hAnsi="宋体" w:cs="宋体" w:eastAsia="宋体" w:hint="default"/>
                <w:sz w:val="18"/>
                <w:szCs w:val="18"/>
              </w:rPr>
            </w:pPr>
            <w:r>
              <w:rPr>
                <w:rFonts w:ascii="宋体"/>
                <w:sz w:val="18"/>
              </w:rPr>
              <w:t>20.40</w:t>
            </w:r>
          </w:p>
        </w:tc>
        <w:tc>
          <w:tcPr>
            <w:tcW w:w="545"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51"/>
              <w:ind w:left="64" w:right="0"/>
              <w:jc w:val="left"/>
              <w:rPr>
                <w:rFonts w:ascii="宋体" w:hAnsi="宋体" w:cs="宋体" w:eastAsia="宋体" w:hint="default"/>
                <w:sz w:val="18"/>
                <w:szCs w:val="18"/>
              </w:rPr>
            </w:pPr>
            <w:r>
              <w:rPr>
                <w:rFonts w:ascii="宋体"/>
                <w:sz w:val="18"/>
              </w:rPr>
              <w:t>25,292,1</w:t>
            </w:r>
          </w:p>
          <w:p>
            <w:pPr>
              <w:pStyle w:val="TableParagraph"/>
              <w:spacing w:line="240" w:lineRule="auto" w:before="74"/>
              <w:ind w:left="333" w:right="0"/>
              <w:jc w:val="left"/>
              <w:rPr>
                <w:rFonts w:ascii="宋体" w:hAnsi="宋体" w:cs="宋体" w:eastAsia="宋体" w:hint="default"/>
                <w:sz w:val="18"/>
                <w:szCs w:val="18"/>
              </w:rPr>
            </w:pPr>
            <w:r>
              <w:rPr>
                <w:rFonts w:ascii="宋体"/>
                <w:sz w:val="18"/>
              </w:rPr>
              <w:t>73.46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51"/>
              <w:ind w:left="50" w:right="0"/>
              <w:jc w:val="left"/>
              <w:rPr>
                <w:rFonts w:ascii="宋体" w:hAnsi="宋体" w:cs="宋体" w:eastAsia="宋体" w:hint="default"/>
                <w:sz w:val="18"/>
                <w:szCs w:val="18"/>
              </w:rPr>
            </w:pPr>
            <w:r>
              <w:rPr>
                <w:rFonts w:ascii="宋体"/>
                <w:sz w:val="18"/>
              </w:rPr>
              <w:t>103,093,4</w:t>
            </w:r>
          </w:p>
          <w:p>
            <w:pPr>
              <w:pStyle w:val="TableParagraph"/>
              <w:spacing w:line="240" w:lineRule="auto" w:before="74"/>
              <w:ind w:left="410" w:right="0"/>
              <w:jc w:val="left"/>
              <w:rPr>
                <w:rFonts w:ascii="宋体" w:hAnsi="宋体" w:cs="宋体" w:eastAsia="宋体" w:hint="default"/>
                <w:sz w:val="18"/>
                <w:szCs w:val="18"/>
              </w:rPr>
            </w:pPr>
            <w:r>
              <w:rPr>
                <w:rFonts w:ascii="宋体"/>
                <w:sz w:val="18"/>
              </w:rPr>
              <w:t>93.86</w:t>
            </w:r>
          </w:p>
        </w:tc>
      </w:tr>
      <w:tr>
        <w:trPr>
          <w:trHeight w:val="391" w:hRule="exact"/>
        </w:trPr>
        <w:tc>
          <w:tcPr>
            <w:tcW w:w="2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1" w:type="dxa"/>
            <w:vMerge/>
            <w:tcBorders>
              <w:left w:val="single" w:sz="10" w:space="0" w:color="D2D2D2"/>
              <w:right w:val="single" w:sz="4" w:space="0" w:color="000000"/>
            </w:tcBorders>
          </w:tcPr>
          <w:p>
            <w:pPr/>
          </w:p>
        </w:tc>
        <w:tc>
          <w:tcPr>
            <w:tcW w:w="79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545"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1" w:type="dxa"/>
            <w:vMerge/>
            <w:tcBorders>
              <w:left w:val="single" w:sz="10" w:space="0" w:color="D2D2D2"/>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62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545"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1" w:type="dxa"/>
            <w:tcBorders>
              <w:top w:val="single" w:sz="4" w:space="0" w:color="000000"/>
              <w:left w:val="single" w:sz="13" w:space="0" w:color="D2D2D2"/>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1" w:type="dxa"/>
            <w:vMerge w:val="restart"/>
            <w:tcBorders>
              <w:top w:val="single" w:sz="4" w:space="0" w:color="000000"/>
              <w:left w:val="single" w:sz="10" w:space="0" w:color="D2D2D2"/>
              <w:right w:val="single" w:sz="4" w:space="0" w:color="000000"/>
            </w:tcBorders>
          </w:tcPr>
          <w:p>
            <w:pPr/>
          </w:p>
        </w:tc>
        <w:tc>
          <w:tcPr>
            <w:tcW w:w="792" w:type="dxa"/>
            <w:vMerge w:val="restart"/>
            <w:tcBorders>
              <w:top w:val="single" w:sz="4" w:space="0" w:color="000000"/>
              <w:left w:val="single" w:sz="4" w:space="0" w:color="000000"/>
              <w:right w:val="single" w:sz="4" w:space="0" w:color="000000"/>
            </w:tcBorders>
          </w:tcPr>
          <w:p>
            <w:pPr/>
          </w:p>
        </w:tc>
        <w:tc>
          <w:tcPr>
            <w:tcW w:w="62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z w:val="18"/>
              </w:rPr>
              <w:t>77,801,3</w:t>
            </w:r>
          </w:p>
          <w:p>
            <w:pPr>
              <w:pStyle w:val="TableParagraph"/>
              <w:spacing w:line="240" w:lineRule="auto" w:before="74"/>
              <w:ind w:left="302" w:right="0"/>
              <w:jc w:val="left"/>
              <w:rPr>
                <w:rFonts w:ascii="宋体" w:hAnsi="宋体" w:cs="宋体" w:eastAsia="宋体" w:hint="default"/>
                <w:sz w:val="18"/>
                <w:szCs w:val="18"/>
              </w:rPr>
            </w:pPr>
            <w:r>
              <w:rPr>
                <w:rFonts w:ascii="宋体"/>
                <w:sz w:val="18"/>
              </w:rPr>
              <w:t>20.40</w:t>
            </w:r>
          </w:p>
        </w:tc>
        <w:tc>
          <w:tcPr>
            <w:tcW w:w="545"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51"/>
              <w:ind w:left="64" w:right="0"/>
              <w:jc w:val="left"/>
              <w:rPr>
                <w:rFonts w:ascii="宋体" w:hAnsi="宋体" w:cs="宋体" w:eastAsia="宋体" w:hint="default"/>
                <w:sz w:val="18"/>
                <w:szCs w:val="18"/>
              </w:rPr>
            </w:pPr>
            <w:r>
              <w:rPr>
                <w:rFonts w:ascii="宋体"/>
                <w:sz w:val="18"/>
              </w:rPr>
              <w:t>25,292,1</w:t>
            </w:r>
          </w:p>
          <w:p>
            <w:pPr>
              <w:pStyle w:val="TableParagraph"/>
              <w:spacing w:line="240" w:lineRule="auto" w:before="74"/>
              <w:ind w:left="333" w:right="0"/>
              <w:jc w:val="left"/>
              <w:rPr>
                <w:rFonts w:ascii="宋体" w:hAnsi="宋体" w:cs="宋体" w:eastAsia="宋体" w:hint="default"/>
                <w:sz w:val="18"/>
                <w:szCs w:val="18"/>
              </w:rPr>
            </w:pPr>
            <w:r>
              <w:rPr>
                <w:rFonts w:ascii="宋体"/>
                <w:sz w:val="18"/>
              </w:rPr>
              <w:t>73.46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51"/>
              <w:ind w:left="50" w:right="0"/>
              <w:jc w:val="left"/>
              <w:rPr>
                <w:rFonts w:ascii="宋体" w:hAnsi="宋体" w:cs="宋体" w:eastAsia="宋体" w:hint="default"/>
                <w:sz w:val="18"/>
                <w:szCs w:val="18"/>
              </w:rPr>
            </w:pPr>
            <w:r>
              <w:rPr>
                <w:rFonts w:ascii="宋体"/>
                <w:sz w:val="18"/>
              </w:rPr>
              <w:t>103,093,4</w:t>
            </w:r>
          </w:p>
          <w:p>
            <w:pPr>
              <w:pStyle w:val="TableParagraph"/>
              <w:spacing w:line="240" w:lineRule="auto" w:before="74"/>
              <w:ind w:left="410" w:right="0"/>
              <w:jc w:val="left"/>
              <w:rPr>
                <w:rFonts w:ascii="宋体" w:hAnsi="宋体" w:cs="宋体" w:eastAsia="宋体" w:hint="default"/>
                <w:sz w:val="18"/>
                <w:szCs w:val="18"/>
              </w:rPr>
            </w:pPr>
            <w:r>
              <w:rPr>
                <w:rFonts w:ascii="宋体"/>
                <w:sz w:val="18"/>
              </w:rPr>
              <w:t>93.86</w:t>
            </w:r>
          </w:p>
        </w:tc>
      </w:tr>
      <w:tr>
        <w:trPr>
          <w:trHeight w:val="391" w:hRule="exact"/>
        </w:trPr>
        <w:tc>
          <w:tcPr>
            <w:tcW w:w="2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1" w:type="dxa"/>
            <w:vMerge/>
            <w:tcBorders>
              <w:left w:val="single" w:sz="10" w:space="0" w:color="D2D2D2"/>
              <w:right w:val="single" w:sz="4" w:space="0" w:color="000000"/>
            </w:tcBorders>
          </w:tcPr>
          <w:p>
            <w:pPr/>
          </w:p>
        </w:tc>
        <w:tc>
          <w:tcPr>
            <w:tcW w:w="79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545"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1" w:type="dxa"/>
            <w:vMerge/>
            <w:tcBorders>
              <w:left w:val="single" w:sz="10" w:space="0" w:color="D2D2D2"/>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62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545"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580" w:bottom="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96"/>
        <w:gridCol w:w="881"/>
        <w:gridCol w:w="792"/>
        <w:gridCol w:w="622"/>
        <w:gridCol w:w="562"/>
        <w:gridCol w:w="728"/>
        <w:gridCol w:w="641"/>
        <w:gridCol w:w="787"/>
        <w:gridCol w:w="545"/>
        <w:gridCol w:w="818"/>
        <w:gridCol w:w="893"/>
      </w:tblGrid>
      <w:tr>
        <w:trPr>
          <w:trHeight w:val="71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01"/>
              <w:jc w:val="left"/>
              <w:rPr>
                <w:rFonts w:ascii="宋体" w:hAnsi="宋体" w:cs="宋体" w:eastAsia="宋体" w:hint="default"/>
                <w:sz w:val="18"/>
                <w:szCs w:val="18"/>
              </w:rPr>
            </w:pPr>
            <w:r>
              <w:rPr>
                <w:rFonts w:ascii="宋体" w:hAnsi="宋体" w:cs="宋体" w:eastAsia="宋体" w:hint="default"/>
                <w:sz w:val="18"/>
                <w:szCs w:val="18"/>
              </w:rPr>
              <w:t>（三）所有者投入和减少资 本</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3,000,000</w:t>
            </w:r>
          </w:p>
          <w:p>
            <w:pPr>
              <w:pStyle w:val="TableParagraph"/>
              <w:spacing w:line="240" w:lineRule="auto" w:before="77"/>
              <w:ind w:left="578" w:right="0"/>
              <w:jc w:val="left"/>
              <w:rPr>
                <w:rFonts w:ascii="宋体" w:hAnsi="宋体" w:cs="宋体" w:eastAsia="宋体" w:hint="default"/>
                <w:sz w:val="18"/>
                <w:szCs w:val="18"/>
              </w:rPr>
            </w:pPr>
            <w:r>
              <w:rPr>
                <w:rFonts w:ascii="宋体"/>
                <w:sz w:val="18"/>
              </w:rPr>
              <w:t>.00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27,775,3</w:t>
            </w:r>
          </w:p>
          <w:p>
            <w:pPr>
              <w:pStyle w:val="TableParagraph"/>
              <w:spacing w:line="240" w:lineRule="auto" w:before="77"/>
              <w:ind w:left="307" w:right="0"/>
              <w:jc w:val="left"/>
              <w:rPr>
                <w:rFonts w:ascii="宋体" w:hAnsi="宋体" w:cs="宋体" w:eastAsia="宋体" w:hint="default"/>
                <w:sz w:val="18"/>
                <w:szCs w:val="18"/>
              </w:rPr>
            </w:pPr>
            <w:r>
              <w:rPr>
                <w:rFonts w:ascii="宋体"/>
                <w:sz w:val="18"/>
              </w:rPr>
              <w:t>09.03</w:t>
            </w: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sz w:val="18"/>
              </w:rPr>
              <w:t>30,775,30</w:t>
            </w:r>
          </w:p>
          <w:p>
            <w:pPr>
              <w:pStyle w:val="TableParagraph"/>
              <w:spacing w:line="240" w:lineRule="auto" w:before="77"/>
              <w:ind w:left="501" w:right="0"/>
              <w:jc w:val="left"/>
              <w:rPr>
                <w:rFonts w:ascii="宋体" w:hAnsi="宋体" w:cs="宋体" w:eastAsia="宋体" w:hint="default"/>
                <w:sz w:val="18"/>
                <w:szCs w:val="18"/>
              </w:rPr>
            </w:pPr>
            <w:r>
              <w:rPr>
                <w:rFonts w:ascii="宋体"/>
                <w:sz w:val="18"/>
              </w:rPr>
              <w:t>9.03</w:t>
            </w:r>
          </w:p>
        </w:tc>
      </w:tr>
      <w:tr>
        <w:trPr>
          <w:trHeight w:val="715"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left"/>
              <w:rPr>
                <w:rFonts w:ascii="宋体" w:hAnsi="宋体" w:cs="宋体" w:eastAsia="宋体" w:hint="default"/>
                <w:sz w:val="18"/>
                <w:szCs w:val="18"/>
              </w:rPr>
            </w:pPr>
            <w:r>
              <w:rPr>
                <w:rFonts w:ascii="宋体"/>
                <w:sz w:val="18"/>
              </w:rPr>
              <w:t>3,000,000</w:t>
            </w:r>
          </w:p>
          <w:p>
            <w:pPr>
              <w:pStyle w:val="TableParagraph"/>
              <w:spacing w:line="240" w:lineRule="auto" w:before="74"/>
              <w:ind w:left="578" w:right="0"/>
              <w:jc w:val="left"/>
              <w:rPr>
                <w:rFonts w:ascii="宋体" w:hAnsi="宋体" w:cs="宋体" w:eastAsia="宋体" w:hint="default"/>
                <w:sz w:val="18"/>
                <w:szCs w:val="18"/>
              </w:rPr>
            </w:pPr>
            <w:r>
              <w:rPr>
                <w:rFonts w:ascii="宋体"/>
                <w:sz w:val="18"/>
              </w:rPr>
              <w:t>.00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left"/>
              <w:rPr>
                <w:rFonts w:ascii="宋体" w:hAnsi="宋体" w:cs="宋体" w:eastAsia="宋体" w:hint="default"/>
                <w:sz w:val="18"/>
                <w:szCs w:val="18"/>
              </w:rPr>
            </w:pPr>
            <w:r>
              <w:rPr>
                <w:rFonts w:ascii="宋体"/>
                <w:sz w:val="18"/>
              </w:rPr>
              <w:t>22,530,0</w:t>
            </w:r>
          </w:p>
          <w:p>
            <w:pPr>
              <w:pStyle w:val="TableParagraph"/>
              <w:spacing w:line="240" w:lineRule="auto" w:before="74"/>
              <w:ind w:left="307" w:right="0"/>
              <w:jc w:val="left"/>
              <w:rPr>
                <w:rFonts w:ascii="宋体" w:hAnsi="宋体" w:cs="宋体" w:eastAsia="宋体" w:hint="default"/>
                <w:sz w:val="18"/>
                <w:szCs w:val="18"/>
              </w:rPr>
            </w:pPr>
            <w:r>
              <w:rPr>
                <w:rFonts w:ascii="宋体"/>
                <w:sz w:val="18"/>
              </w:rPr>
              <w:t>00.00</w:t>
            </w: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left"/>
              <w:rPr>
                <w:rFonts w:ascii="宋体" w:hAnsi="宋体" w:cs="宋体" w:eastAsia="宋体" w:hint="default"/>
                <w:sz w:val="18"/>
                <w:szCs w:val="18"/>
              </w:rPr>
            </w:pPr>
            <w:r>
              <w:rPr>
                <w:rFonts w:ascii="宋体"/>
                <w:sz w:val="18"/>
              </w:rPr>
              <w:t>25,530,00</w:t>
            </w:r>
          </w:p>
          <w:p>
            <w:pPr>
              <w:pStyle w:val="TableParagraph"/>
              <w:spacing w:line="240" w:lineRule="auto" w:before="74"/>
              <w:ind w:left="501" w:right="0"/>
              <w:jc w:val="left"/>
              <w:rPr>
                <w:rFonts w:ascii="宋体" w:hAnsi="宋体" w:cs="宋体" w:eastAsia="宋体" w:hint="default"/>
                <w:sz w:val="18"/>
                <w:szCs w:val="18"/>
              </w:rPr>
            </w:pPr>
            <w:r>
              <w:rPr>
                <w:rFonts w:ascii="宋体"/>
                <w:sz w:val="18"/>
              </w:rPr>
              <w:t>0.00</w:t>
            </w:r>
          </w:p>
        </w:tc>
      </w:tr>
      <w:tr>
        <w:trPr>
          <w:trHeight w:val="71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 的金额</w:t>
            </w:r>
          </w:p>
        </w:tc>
        <w:tc>
          <w:tcPr>
            <w:tcW w:w="88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5,245,30</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9.03</w:t>
            </w: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5,245,309</w:t>
            </w:r>
          </w:p>
          <w:p>
            <w:pPr>
              <w:pStyle w:val="TableParagraph"/>
              <w:spacing w:line="240" w:lineRule="auto" w:before="76"/>
              <w:ind w:right="17"/>
              <w:jc w:val="right"/>
              <w:rPr>
                <w:rFonts w:ascii="宋体" w:hAnsi="宋体" w:cs="宋体" w:eastAsia="宋体" w:hint="default"/>
                <w:sz w:val="18"/>
                <w:szCs w:val="18"/>
              </w:rPr>
            </w:pPr>
            <w:r>
              <w:rPr>
                <w:rFonts w:ascii="宋体"/>
                <w:sz w:val="18"/>
              </w:rPr>
              <w:t>.03</w:t>
            </w:r>
          </w:p>
        </w:tc>
      </w:tr>
      <w:tr>
        <w:trPr>
          <w:trHeight w:val="40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88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宋体" w:hAnsi="宋体" w:cs="宋体" w:eastAsia="宋体" w:hint="default"/>
                <w:sz w:val="18"/>
                <w:szCs w:val="18"/>
              </w:rPr>
            </w:pPr>
            <w:r>
              <w:rPr>
                <w:rFonts w:ascii="宋体"/>
                <w:sz w:val="18"/>
              </w:rPr>
              <w:t>4,226,9</w:t>
            </w:r>
          </w:p>
          <w:p>
            <w:pPr>
              <w:pStyle w:val="TableParagraph"/>
              <w:spacing w:line="240" w:lineRule="auto" w:before="76"/>
              <w:ind w:left="224" w:right="0"/>
              <w:jc w:val="center"/>
              <w:rPr>
                <w:rFonts w:ascii="宋体" w:hAnsi="宋体" w:cs="宋体" w:eastAsia="宋体" w:hint="default"/>
                <w:sz w:val="18"/>
                <w:szCs w:val="18"/>
              </w:rPr>
            </w:pPr>
            <w:r>
              <w:rPr>
                <w:rFonts w:ascii="宋体"/>
                <w:sz w:val="18"/>
              </w:rPr>
              <w:t>63.63</w:t>
            </w: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 w:right="0"/>
              <w:jc w:val="center"/>
              <w:rPr>
                <w:rFonts w:ascii="宋体" w:hAnsi="宋体" w:cs="宋体" w:eastAsia="宋体" w:hint="default"/>
                <w:sz w:val="18"/>
                <w:szCs w:val="18"/>
              </w:rPr>
            </w:pPr>
            <w:r>
              <w:rPr>
                <w:rFonts w:ascii="宋体"/>
                <w:sz w:val="18"/>
              </w:rPr>
              <w:t>-24,506,</w:t>
            </w:r>
          </w:p>
          <w:p>
            <w:pPr>
              <w:pStyle w:val="TableParagraph"/>
              <w:spacing w:line="240" w:lineRule="auto" w:before="76"/>
              <w:ind w:left="190" w:right="0"/>
              <w:jc w:val="center"/>
              <w:rPr>
                <w:rFonts w:ascii="宋体" w:hAnsi="宋体" w:cs="宋体" w:eastAsia="宋体" w:hint="default"/>
                <w:sz w:val="18"/>
                <w:szCs w:val="18"/>
              </w:rPr>
            </w:pPr>
            <w:r>
              <w:rPr>
                <w:rFonts w:ascii="宋体"/>
                <w:sz w:val="18"/>
              </w:rPr>
              <w:t>963.63</w:t>
            </w: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sz w:val="18"/>
              </w:rPr>
              <w:t>-20,280,0</w:t>
            </w:r>
          </w:p>
          <w:p>
            <w:pPr>
              <w:pStyle w:val="TableParagraph"/>
              <w:spacing w:line="240" w:lineRule="auto" w:before="76"/>
              <w:ind w:left="410" w:right="0"/>
              <w:jc w:val="left"/>
              <w:rPr>
                <w:rFonts w:ascii="宋体" w:hAnsi="宋体" w:cs="宋体" w:eastAsia="宋体" w:hint="default"/>
                <w:sz w:val="18"/>
                <w:szCs w:val="18"/>
              </w:rPr>
            </w:pPr>
            <w:r>
              <w:rPr>
                <w:rFonts w:ascii="宋体"/>
                <w:sz w:val="18"/>
              </w:rPr>
              <w:t>00.00</w:t>
            </w:r>
          </w:p>
        </w:tc>
      </w:tr>
      <w:tr>
        <w:trPr>
          <w:trHeight w:val="716"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8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center"/>
              <w:rPr>
                <w:rFonts w:ascii="宋体" w:hAnsi="宋体" w:cs="宋体" w:eastAsia="宋体" w:hint="default"/>
                <w:sz w:val="18"/>
                <w:szCs w:val="18"/>
              </w:rPr>
            </w:pPr>
            <w:r>
              <w:rPr>
                <w:rFonts w:ascii="宋体"/>
                <w:sz w:val="18"/>
              </w:rPr>
              <w:t>4,226,9</w:t>
            </w:r>
          </w:p>
          <w:p>
            <w:pPr>
              <w:pStyle w:val="TableParagraph"/>
              <w:spacing w:line="240" w:lineRule="auto" w:before="74"/>
              <w:ind w:left="224" w:right="0"/>
              <w:jc w:val="center"/>
              <w:rPr>
                <w:rFonts w:ascii="宋体" w:hAnsi="宋体" w:cs="宋体" w:eastAsia="宋体" w:hint="default"/>
                <w:sz w:val="18"/>
                <w:szCs w:val="18"/>
              </w:rPr>
            </w:pPr>
            <w:r>
              <w:rPr>
                <w:rFonts w:ascii="宋体"/>
                <w:sz w:val="18"/>
              </w:rPr>
              <w:t>63.63</w:t>
            </w: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z w:val="18"/>
              </w:rPr>
              <w:t>-4,226,9</w:t>
            </w:r>
          </w:p>
          <w:p>
            <w:pPr>
              <w:pStyle w:val="TableParagraph"/>
              <w:spacing w:line="240" w:lineRule="auto" w:before="74"/>
              <w:ind w:left="302" w:right="0"/>
              <w:jc w:val="left"/>
              <w:rPr>
                <w:rFonts w:ascii="宋体" w:hAnsi="宋体" w:cs="宋体" w:eastAsia="宋体" w:hint="default"/>
                <w:sz w:val="18"/>
                <w:szCs w:val="18"/>
              </w:rPr>
            </w:pPr>
            <w:r>
              <w:rPr>
                <w:rFonts w:ascii="宋体"/>
                <w:sz w:val="18"/>
              </w:rPr>
              <w:t>63.63</w:t>
            </w: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8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．对所有者（或股东）的分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配</w:t>
            </w:r>
          </w:p>
        </w:tc>
        <w:tc>
          <w:tcPr>
            <w:tcW w:w="88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 w:right="0"/>
              <w:jc w:val="center"/>
              <w:rPr>
                <w:rFonts w:ascii="宋体" w:hAnsi="宋体" w:cs="宋体" w:eastAsia="宋体" w:hint="default"/>
                <w:sz w:val="18"/>
                <w:szCs w:val="18"/>
              </w:rPr>
            </w:pPr>
            <w:r>
              <w:rPr>
                <w:rFonts w:ascii="宋体"/>
                <w:sz w:val="18"/>
              </w:rPr>
              <w:t>-20,280,</w:t>
            </w:r>
          </w:p>
          <w:p>
            <w:pPr>
              <w:pStyle w:val="TableParagraph"/>
              <w:spacing w:line="240" w:lineRule="auto" w:before="74"/>
              <w:ind w:left="190" w:right="0"/>
              <w:jc w:val="center"/>
              <w:rPr>
                <w:rFonts w:ascii="宋体" w:hAnsi="宋体" w:cs="宋体" w:eastAsia="宋体" w:hint="default"/>
                <w:sz w:val="18"/>
                <w:szCs w:val="18"/>
              </w:rPr>
            </w:pPr>
            <w:r>
              <w:rPr>
                <w:rFonts w:ascii="宋体"/>
                <w:sz w:val="18"/>
              </w:rPr>
              <w:t>000.00</w:t>
            </w: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left"/>
              <w:rPr>
                <w:rFonts w:ascii="宋体" w:hAnsi="宋体" w:cs="宋体" w:eastAsia="宋体" w:hint="default"/>
                <w:sz w:val="18"/>
                <w:szCs w:val="18"/>
              </w:rPr>
            </w:pPr>
            <w:r>
              <w:rPr>
                <w:rFonts w:ascii="宋体"/>
                <w:sz w:val="18"/>
              </w:rPr>
              <w:t>-20,280,0</w:t>
            </w:r>
          </w:p>
          <w:p>
            <w:pPr>
              <w:pStyle w:val="TableParagraph"/>
              <w:spacing w:line="240" w:lineRule="auto" w:before="74"/>
              <w:ind w:left="410" w:right="0"/>
              <w:jc w:val="left"/>
              <w:rPr>
                <w:rFonts w:ascii="宋体" w:hAnsi="宋体" w:cs="宋体" w:eastAsia="宋体" w:hint="default"/>
                <w:sz w:val="18"/>
                <w:szCs w:val="18"/>
              </w:rPr>
            </w:pPr>
            <w:r>
              <w:rPr>
                <w:rFonts w:ascii="宋体"/>
                <w:sz w:val="18"/>
              </w:rPr>
              <w:t>00.00</w:t>
            </w:r>
          </w:p>
        </w:tc>
      </w:tr>
      <w:tr>
        <w:trPr>
          <w:trHeight w:val="401"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8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left"/>
              <w:rPr>
                <w:rFonts w:ascii="宋体" w:hAnsi="宋体" w:cs="宋体" w:eastAsia="宋体" w:hint="default"/>
                <w:sz w:val="18"/>
                <w:szCs w:val="18"/>
              </w:rPr>
            </w:pPr>
            <w:r>
              <w:rPr>
                <w:rFonts w:ascii="宋体"/>
                <w:sz w:val="18"/>
              </w:rPr>
              <w:t>104,400,0</w:t>
            </w:r>
          </w:p>
          <w:p>
            <w:pPr>
              <w:pStyle w:val="TableParagraph"/>
              <w:spacing w:line="240" w:lineRule="auto" w:before="74"/>
              <w:ind w:left="398" w:right="0"/>
              <w:jc w:val="left"/>
              <w:rPr>
                <w:rFonts w:ascii="宋体" w:hAnsi="宋体" w:cs="宋体" w:eastAsia="宋体" w:hint="default"/>
                <w:sz w:val="18"/>
                <w:szCs w:val="18"/>
              </w:rPr>
            </w:pPr>
            <w:r>
              <w:rPr>
                <w:rFonts w:ascii="宋体"/>
                <w:sz w:val="18"/>
              </w:rPr>
              <w:t>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left"/>
              <w:rPr>
                <w:rFonts w:ascii="宋体" w:hAnsi="宋体" w:cs="宋体" w:eastAsia="宋体" w:hint="default"/>
                <w:sz w:val="18"/>
                <w:szCs w:val="18"/>
              </w:rPr>
            </w:pPr>
            <w:r>
              <w:rPr>
                <w:rFonts w:ascii="宋体"/>
                <w:sz w:val="18"/>
              </w:rPr>
              <w:t>-104,400</w:t>
            </w:r>
          </w:p>
          <w:p>
            <w:pPr>
              <w:pStyle w:val="TableParagraph"/>
              <w:spacing w:line="240" w:lineRule="auto" w:before="74"/>
              <w:ind w:left="127" w:right="0"/>
              <w:jc w:val="left"/>
              <w:rPr>
                <w:rFonts w:ascii="宋体" w:hAnsi="宋体" w:cs="宋体" w:eastAsia="宋体" w:hint="default"/>
                <w:sz w:val="18"/>
                <w:szCs w:val="18"/>
              </w:rPr>
            </w:pPr>
            <w:r>
              <w:rPr>
                <w:rFonts w:ascii="宋体"/>
                <w:sz w:val="18"/>
              </w:rPr>
              <w:t>,000.00</w:t>
            </w: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 本）</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104,400,0</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-104,400</w:t>
            </w:r>
          </w:p>
          <w:p>
            <w:pPr>
              <w:pStyle w:val="TableParagraph"/>
              <w:spacing w:line="240" w:lineRule="auto" w:before="76"/>
              <w:ind w:left="127" w:right="0"/>
              <w:jc w:val="left"/>
              <w:rPr>
                <w:rFonts w:ascii="宋体" w:hAnsi="宋体" w:cs="宋体" w:eastAsia="宋体" w:hint="default"/>
                <w:sz w:val="18"/>
                <w:szCs w:val="18"/>
              </w:rPr>
            </w:pPr>
            <w:r>
              <w:rPr>
                <w:rFonts w:ascii="宋体"/>
                <w:sz w:val="18"/>
              </w:rPr>
              <w:t>,000.00</w:t>
            </w: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．盈余公积转增资本（或股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88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8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8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8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8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left"/>
              <w:rPr>
                <w:rFonts w:ascii="宋体" w:hAnsi="宋体" w:cs="宋体" w:eastAsia="宋体" w:hint="default"/>
                <w:sz w:val="18"/>
                <w:szCs w:val="18"/>
              </w:rPr>
            </w:pPr>
            <w:r>
              <w:rPr>
                <w:rFonts w:ascii="宋体"/>
                <w:sz w:val="18"/>
              </w:rPr>
              <w:t>48,343,6</w:t>
            </w:r>
          </w:p>
          <w:p>
            <w:pPr>
              <w:pStyle w:val="TableParagraph"/>
              <w:spacing w:line="240" w:lineRule="auto" w:before="74"/>
              <w:ind w:left="333" w:right="0"/>
              <w:jc w:val="left"/>
              <w:rPr>
                <w:rFonts w:ascii="宋体" w:hAnsi="宋体" w:cs="宋体" w:eastAsia="宋体" w:hint="default"/>
                <w:sz w:val="18"/>
                <w:szCs w:val="18"/>
              </w:rPr>
            </w:pPr>
            <w:r>
              <w:rPr>
                <w:rFonts w:ascii="宋体"/>
                <w:sz w:val="18"/>
              </w:rPr>
              <w:t>19.58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left"/>
              <w:rPr>
                <w:rFonts w:ascii="宋体" w:hAnsi="宋体" w:cs="宋体" w:eastAsia="宋体" w:hint="default"/>
                <w:sz w:val="18"/>
                <w:szCs w:val="18"/>
              </w:rPr>
            </w:pPr>
            <w:r>
              <w:rPr>
                <w:rFonts w:ascii="宋体"/>
                <w:sz w:val="18"/>
              </w:rPr>
              <w:t>48,343,61</w:t>
            </w:r>
          </w:p>
          <w:p>
            <w:pPr>
              <w:pStyle w:val="TableParagraph"/>
              <w:spacing w:line="240" w:lineRule="auto" w:before="74"/>
              <w:ind w:left="501" w:right="0"/>
              <w:jc w:val="left"/>
              <w:rPr>
                <w:rFonts w:ascii="宋体" w:hAnsi="宋体" w:cs="宋体" w:eastAsia="宋体" w:hint="default"/>
                <w:sz w:val="18"/>
                <w:szCs w:val="18"/>
              </w:rPr>
            </w:pPr>
            <w:r>
              <w:rPr>
                <w:rFonts w:ascii="宋体"/>
                <w:sz w:val="18"/>
              </w:rPr>
              <w:t>9.58</w:t>
            </w:r>
          </w:p>
        </w:tc>
      </w:tr>
      <w:tr>
        <w:trPr>
          <w:trHeight w:val="716"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208,800,0</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 w:right="0"/>
              <w:jc w:val="center"/>
              <w:rPr>
                <w:rFonts w:ascii="宋体" w:hAnsi="宋体" w:cs="宋体" w:eastAsia="宋体" w:hint="default"/>
                <w:sz w:val="18"/>
                <w:szCs w:val="18"/>
              </w:rPr>
            </w:pPr>
            <w:r>
              <w:rPr>
                <w:rFonts w:ascii="宋体"/>
                <w:sz w:val="18"/>
              </w:rPr>
              <w:t>283,179,</w:t>
            </w:r>
          </w:p>
          <w:p>
            <w:pPr>
              <w:pStyle w:val="TableParagraph"/>
              <w:spacing w:line="240" w:lineRule="auto" w:before="76"/>
              <w:ind w:left="195" w:right="0"/>
              <w:jc w:val="center"/>
              <w:rPr>
                <w:rFonts w:ascii="宋体" w:hAnsi="宋体" w:cs="宋体" w:eastAsia="宋体" w:hint="default"/>
                <w:sz w:val="18"/>
                <w:szCs w:val="18"/>
              </w:rPr>
            </w:pPr>
            <w:r>
              <w:rPr>
                <w:rFonts w:ascii="宋体"/>
                <w:sz w:val="18"/>
              </w:rPr>
              <w:t>409.03</w:t>
            </w:r>
          </w:p>
        </w:tc>
        <w:tc>
          <w:tcPr>
            <w:tcW w:w="6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 w:right="0"/>
              <w:jc w:val="left"/>
              <w:rPr>
                <w:rFonts w:ascii="宋体" w:hAnsi="宋体" w:cs="宋体" w:eastAsia="宋体" w:hint="default"/>
                <w:sz w:val="18"/>
                <w:szCs w:val="18"/>
              </w:rPr>
            </w:pPr>
            <w:r>
              <w:rPr>
                <w:rFonts w:ascii="宋体"/>
                <w:sz w:val="18"/>
              </w:rPr>
              <w:t>22,385,</w:t>
            </w:r>
          </w:p>
          <w:p>
            <w:pPr>
              <w:pStyle w:val="TableParagraph"/>
              <w:spacing w:line="240" w:lineRule="auto" w:before="76"/>
              <w:ind w:left="156" w:right="0"/>
              <w:jc w:val="left"/>
              <w:rPr>
                <w:rFonts w:ascii="宋体" w:hAnsi="宋体" w:cs="宋体" w:eastAsia="宋体" w:hint="default"/>
                <w:sz w:val="18"/>
                <w:szCs w:val="18"/>
              </w:rPr>
            </w:pPr>
            <w:r>
              <w:rPr>
                <w:rFonts w:ascii="宋体"/>
                <w:sz w:val="18"/>
              </w:rPr>
              <w:t>301.31</w:t>
            </w:r>
          </w:p>
        </w:tc>
        <w:tc>
          <w:tcPr>
            <w:tcW w:w="64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 w:right="0"/>
              <w:jc w:val="center"/>
              <w:rPr>
                <w:rFonts w:ascii="宋体" w:hAnsi="宋体" w:cs="宋体" w:eastAsia="宋体" w:hint="default"/>
                <w:sz w:val="18"/>
                <w:szCs w:val="18"/>
              </w:rPr>
            </w:pPr>
            <w:r>
              <w:rPr>
                <w:rFonts w:ascii="宋体"/>
                <w:sz w:val="18"/>
              </w:rPr>
              <w:t>181,808,</w:t>
            </w:r>
          </w:p>
          <w:p>
            <w:pPr>
              <w:pStyle w:val="TableParagraph"/>
              <w:spacing w:line="240" w:lineRule="auto" w:before="76"/>
              <w:ind w:left="190" w:right="0"/>
              <w:jc w:val="center"/>
              <w:rPr>
                <w:rFonts w:ascii="宋体" w:hAnsi="宋体" w:cs="宋体" w:eastAsia="宋体" w:hint="default"/>
                <w:sz w:val="18"/>
                <w:szCs w:val="18"/>
              </w:rPr>
            </w:pPr>
            <w:r>
              <w:rPr>
                <w:rFonts w:ascii="宋体"/>
                <w:sz w:val="18"/>
              </w:rPr>
              <w:t>180.23</w:t>
            </w: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sz w:val="18"/>
              </w:rPr>
              <w:t>74,113,0</w:t>
            </w:r>
          </w:p>
          <w:p>
            <w:pPr>
              <w:pStyle w:val="TableParagraph"/>
              <w:spacing w:line="240" w:lineRule="auto" w:before="76"/>
              <w:ind w:left="333" w:right="0"/>
              <w:jc w:val="left"/>
              <w:rPr>
                <w:rFonts w:ascii="宋体" w:hAnsi="宋体" w:cs="宋体" w:eastAsia="宋体" w:hint="default"/>
                <w:sz w:val="18"/>
                <w:szCs w:val="18"/>
              </w:rPr>
            </w:pPr>
            <w:r>
              <w:rPr>
                <w:rFonts w:ascii="宋体"/>
                <w:sz w:val="18"/>
              </w:rPr>
              <w:t>80.28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sz w:val="18"/>
              </w:rPr>
              <w:t>770,285,9</w:t>
            </w:r>
          </w:p>
          <w:p>
            <w:pPr>
              <w:pStyle w:val="TableParagraph"/>
              <w:spacing w:line="240" w:lineRule="auto" w:before="76"/>
              <w:ind w:left="410" w:right="0"/>
              <w:jc w:val="left"/>
              <w:rPr>
                <w:rFonts w:ascii="宋体" w:hAnsi="宋体" w:cs="宋体" w:eastAsia="宋体" w:hint="default"/>
                <w:sz w:val="18"/>
                <w:szCs w:val="18"/>
              </w:rPr>
            </w:pPr>
            <w:r>
              <w:rPr>
                <w:rFonts w:ascii="宋体"/>
                <w:sz w:val="18"/>
              </w:rPr>
              <w:t>70.85</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97"/>
        <w:gridCol w:w="871"/>
        <w:gridCol w:w="822"/>
        <w:gridCol w:w="604"/>
        <w:gridCol w:w="561"/>
        <w:gridCol w:w="727"/>
        <w:gridCol w:w="644"/>
        <w:gridCol w:w="772"/>
        <w:gridCol w:w="569"/>
        <w:gridCol w:w="806"/>
        <w:gridCol w:w="882"/>
      </w:tblGrid>
      <w:tr>
        <w:trPr>
          <w:trHeight w:val="401" w:hRule="exact"/>
        </w:trPr>
        <w:tc>
          <w:tcPr>
            <w:tcW w:w="2297" w:type="dxa"/>
            <w:vMerge w:val="restart"/>
            <w:tcBorders>
              <w:top w:val="single" w:sz="4" w:space="0" w:color="000000"/>
              <w:left w:val="single" w:sz="4" w:space="0" w:color="000000"/>
              <w:right w:val="single" w:sz="4" w:space="0" w:color="000000"/>
            </w:tcBorders>
            <w:shd w:val="clear" w:color="auto" w:fill="D2D2D2"/>
          </w:tcPr>
          <w:p>
            <w:pPr/>
          </w:p>
        </w:tc>
        <w:tc>
          <w:tcPr>
            <w:tcW w:w="7258"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04" w:hRule="exact"/>
        </w:trPr>
        <w:tc>
          <w:tcPr>
            <w:tcW w:w="2297" w:type="dxa"/>
            <w:vMerge/>
            <w:tcBorders>
              <w:left w:val="single" w:sz="4" w:space="0" w:color="000000"/>
              <w:bottom w:val="nil" w:sz="6" w:space="0" w:color="auto"/>
              <w:right w:val="single" w:sz="4" w:space="0" w:color="000000"/>
            </w:tcBorders>
            <w:shd w:val="clear" w:color="auto" w:fill="D2D2D2"/>
          </w:tcPr>
          <w:p>
            <w:pPr/>
          </w:p>
        </w:tc>
        <w:tc>
          <w:tcPr>
            <w:tcW w:w="5570"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8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0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22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570" w:type="dxa"/>
            <w:gridSpan w:val="8"/>
            <w:vMerge/>
            <w:tcBorders>
              <w:left w:val="single" w:sz="4" w:space="0" w:color="000000"/>
              <w:bottom w:val="single" w:sz="4" w:space="0" w:color="000000"/>
              <w:right w:val="single" w:sz="4" w:space="0" w:color="000000"/>
            </w:tcBorders>
            <w:shd w:val="clear" w:color="auto" w:fill="D2D2D2"/>
          </w:tcPr>
          <w:p>
            <w:pPr/>
          </w:p>
        </w:tc>
        <w:tc>
          <w:tcPr>
            <w:tcW w:w="80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211"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172" w:right="68"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0" w:hRule="exact"/>
        </w:trPr>
        <w:tc>
          <w:tcPr>
            <w:tcW w:w="2297" w:type="dxa"/>
            <w:vMerge/>
            <w:tcBorders>
              <w:left w:val="single" w:sz="4" w:space="0" w:color="000000"/>
              <w:bottom w:val="nil" w:sz="6" w:space="0" w:color="auto"/>
              <w:right w:val="single" w:sz="4" w:space="0" w:color="000000"/>
            </w:tcBorders>
            <w:shd w:val="clear" w:color="auto" w:fill="D2D2D2"/>
          </w:tcPr>
          <w:p>
            <w:pP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3"/>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53"/>
              <w:ind w:left="21" w:right="30" w:firstLine="88"/>
              <w:jc w:val="left"/>
              <w:rPr>
                <w:rFonts w:ascii="宋体" w:hAnsi="宋体" w:cs="宋体" w:eastAsia="宋体" w:hint="default"/>
                <w:sz w:val="18"/>
                <w:szCs w:val="18"/>
              </w:rPr>
            </w:pPr>
            <w:r>
              <w:rPr>
                <w:rFonts w:ascii="宋体" w:hAnsi="宋体" w:cs="宋体" w:eastAsia="宋体" w:hint="default"/>
                <w:sz w:val="18"/>
                <w:szCs w:val="18"/>
              </w:rPr>
              <w:t>减： 库存股</w:t>
            </w:r>
          </w:p>
        </w:tc>
        <w:tc>
          <w:tcPr>
            <w:tcW w:w="5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94" w:right="9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48" w:right="44"/>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296" w:right="1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5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06" w:type="dxa"/>
            <w:vMerge/>
            <w:tcBorders>
              <w:left w:val="single" w:sz="4" w:space="0" w:color="000000"/>
              <w:right w:val="single" w:sz="4" w:space="0" w:color="000000"/>
            </w:tcBorders>
            <w:shd w:val="clear" w:color="auto" w:fill="D2D2D2"/>
          </w:tcPr>
          <w:p>
            <w:pPr/>
          </w:p>
        </w:tc>
        <w:tc>
          <w:tcPr>
            <w:tcW w:w="882" w:type="dxa"/>
            <w:vMerge/>
            <w:tcBorders>
              <w:left w:val="single" w:sz="4" w:space="0" w:color="000000"/>
              <w:right w:val="single" w:sz="4" w:space="0" w:color="000000"/>
            </w:tcBorders>
            <w:shd w:val="clear" w:color="auto" w:fill="D2D2D2"/>
          </w:tcPr>
          <w:p>
            <w:pPr/>
          </w:p>
        </w:tc>
      </w:tr>
      <w:tr>
        <w:trPr>
          <w:trHeight w:val="372" w:hRule="exact"/>
        </w:trPr>
        <w:tc>
          <w:tcPr>
            <w:tcW w:w="2297" w:type="dxa"/>
            <w:vMerge w:val="restart"/>
            <w:tcBorders>
              <w:top w:val="nil" w:sz="6" w:space="0" w:color="auto"/>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6" w:lineRule="exact" w:before="51"/>
              <w:ind w:left="44"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65"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604" w:type="dxa"/>
            <w:vMerge/>
            <w:tcBorders>
              <w:left w:val="single" w:sz="4" w:space="0" w:color="000000"/>
              <w:right w:val="single" w:sz="4" w:space="0" w:color="000000"/>
            </w:tcBorders>
            <w:shd w:val="clear" w:color="auto" w:fill="D2D2D2"/>
          </w:tcPr>
          <w:p>
            <w:pPr/>
          </w:p>
        </w:tc>
        <w:tc>
          <w:tcPr>
            <w:tcW w:w="561"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c>
          <w:tcPr>
            <w:tcW w:w="772" w:type="dxa"/>
            <w:vMerge/>
            <w:tcBorders>
              <w:left w:val="single" w:sz="4" w:space="0" w:color="000000"/>
              <w:right w:val="single" w:sz="4" w:space="0" w:color="000000"/>
            </w:tcBorders>
            <w:shd w:val="clear" w:color="auto" w:fill="D2D2D2"/>
          </w:tcPr>
          <w:p>
            <w:pPr/>
          </w:p>
        </w:tc>
        <w:tc>
          <w:tcPr>
            <w:tcW w:w="5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6"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r>
      <w:tr>
        <w:trPr>
          <w:trHeight w:val="193" w:hRule="exact"/>
        </w:trPr>
        <w:tc>
          <w:tcPr>
            <w:tcW w:w="2297"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561"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772" w:type="dxa"/>
            <w:vMerge/>
            <w:tcBorders>
              <w:left w:val="single" w:sz="4" w:space="0" w:color="000000"/>
              <w:bottom w:val="single" w:sz="4" w:space="0" w:color="000000"/>
              <w:right w:val="single" w:sz="4" w:space="0" w:color="000000"/>
            </w:tcBorders>
            <w:shd w:val="clear" w:color="auto" w:fill="D2D2D2"/>
          </w:tcPr>
          <w:p>
            <w:pPr/>
          </w:p>
        </w:tc>
        <w:tc>
          <w:tcPr>
            <w:tcW w:w="5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0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12"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71" w:type="dxa"/>
            <w:tcBorders>
              <w:top w:val="single" w:sz="12" w:space="0" w:color="D2D2D2"/>
              <w:left w:val="single" w:sz="13" w:space="0" w:color="D2D2D2"/>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sz w:val="18"/>
              </w:rPr>
              <w:t>78,000,00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6" w:right="0"/>
              <w:jc w:val="left"/>
              <w:rPr>
                <w:rFonts w:ascii="宋体" w:hAnsi="宋体" w:cs="宋体" w:eastAsia="宋体" w:hint="default"/>
                <w:sz w:val="18"/>
                <w:szCs w:val="18"/>
              </w:rPr>
            </w:pPr>
            <w:r>
              <w:rPr>
                <w:rFonts w:ascii="宋体"/>
                <w:sz w:val="18"/>
              </w:rPr>
              <w:t>383,204,</w:t>
            </w:r>
          </w:p>
        </w:tc>
        <w:tc>
          <w:tcPr>
            <w:tcW w:w="604"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12" w:space="0" w:color="D2D2D2"/>
              <w:left w:val="single" w:sz="4" w:space="0" w:color="000000"/>
              <w:bottom w:val="single" w:sz="4" w:space="0" w:color="000000"/>
              <w:right w:val="single" w:sz="4" w:space="0" w:color="000000"/>
            </w:tcBorders>
          </w:tcPr>
          <w:p>
            <w:pPr/>
          </w:p>
        </w:tc>
        <w:tc>
          <w:tcPr>
            <w:tcW w:w="72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68"/>
              <w:ind w:left="64" w:right="0"/>
              <w:jc w:val="left"/>
              <w:rPr>
                <w:rFonts w:ascii="宋体" w:hAnsi="宋体" w:cs="宋体" w:eastAsia="宋体" w:hint="default"/>
                <w:sz w:val="18"/>
                <w:szCs w:val="18"/>
              </w:rPr>
            </w:pPr>
            <w:r>
              <w:rPr>
                <w:rFonts w:ascii="宋体"/>
                <w:sz w:val="18"/>
              </w:rPr>
              <w:t>14,851,</w:t>
            </w:r>
          </w:p>
        </w:tc>
        <w:tc>
          <w:tcPr>
            <w:tcW w:w="644" w:type="dxa"/>
            <w:tcBorders>
              <w:top w:val="single" w:sz="12" w:space="0" w:color="D2D2D2"/>
              <w:left w:val="single" w:sz="4" w:space="0" w:color="000000"/>
              <w:bottom w:val="single" w:sz="4" w:space="0" w:color="000000"/>
              <w:right w:val="single" w:sz="4" w:space="0" w:color="000000"/>
            </w:tcBorders>
          </w:tcPr>
          <w:p>
            <w:pPr/>
          </w:p>
        </w:tc>
        <w:tc>
          <w:tcPr>
            <w:tcW w:w="7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68"/>
              <w:ind w:left="30" w:right="0"/>
              <w:jc w:val="left"/>
              <w:rPr>
                <w:rFonts w:ascii="宋体" w:hAnsi="宋体" w:cs="宋体" w:eastAsia="宋体" w:hint="default"/>
                <w:sz w:val="18"/>
                <w:szCs w:val="18"/>
              </w:rPr>
            </w:pPr>
            <w:r>
              <w:rPr>
                <w:rFonts w:ascii="宋体"/>
                <w:sz w:val="18"/>
              </w:rPr>
              <w:t>86,858,0</w:t>
            </w:r>
          </w:p>
        </w:tc>
        <w:tc>
          <w:tcPr>
            <w:tcW w:w="56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2" w:right="0"/>
              <w:jc w:val="left"/>
              <w:rPr>
                <w:rFonts w:ascii="宋体" w:hAnsi="宋体" w:cs="宋体" w:eastAsia="宋体" w:hint="default"/>
                <w:sz w:val="18"/>
                <w:szCs w:val="18"/>
              </w:rPr>
            </w:pPr>
            <w:r>
              <w:rPr>
                <w:rFonts w:ascii="宋体"/>
                <w:sz w:val="18"/>
              </w:rPr>
              <w:t>465,428.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0" w:right="0"/>
              <w:jc w:val="left"/>
              <w:rPr>
                <w:rFonts w:ascii="宋体" w:hAnsi="宋体" w:cs="宋体" w:eastAsia="宋体" w:hint="default"/>
                <w:sz w:val="18"/>
                <w:szCs w:val="18"/>
              </w:rPr>
            </w:pPr>
            <w:r>
              <w:rPr>
                <w:rFonts w:ascii="宋体"/>
                <w:sz w:val="18"/>
              </w:rPr>
              <w:t>563,379,0</w:t>
            </w:r>
          </w:p>
        </w:tc>
      </w:tr>
    </w:tbl>
    <w:p>
      <w:pPr>
        <w:spacing w:after="0" w:line="240" w:lineRule="auto"/>
        <w:jc w:val="left"/>
        <w:rPr>
          <w:rFonts w:ascii="宋体" w:hAnsi="宋体" w:cs="宋体" w:eastAsia="宋体" w:hint="default"/>
          <w:sz w:val="18"/>
          <w:szCs w:val="18"/>
        </w:rPr>
        <w:sectPr>
          <w:pgSz w:w="11910" w:h="16840"/>
          <w:pgMar w:header="877" w:footer="1340" w:top="1100" w:bottom="154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96"/>
        <w:gridCol w:w="881"/>
        <w:gridCol w:w="799"/>
        <w:gridCol w:w="614"/>
        <w:gridCol w:w="562"/>
        <w:gridCol w:w="728"/>
        <w:gridCol w:w="643"/>
        <w:gridCol w:w="785"/>
        <w:gridCol w:w="545"/>
        <w:gridCol w:w="818"/>
        <w:gridCol w:w="893"/>
      </w:tblGrid>
      <w:tr>
        <w:trPr>
          <w:trHeight w:val="36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0"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5" w:right="0"/>
              <w:jc w:val="left"/>
              <w:rPr>
                <w:rFonts w:ascii="宋体" w:hAnsi="宋体" w:cs="宋体" w:eastAsia="宋体" w:hint="default"/>
                <w:sz w:val="18"/>
                <w:szCs w:val="18"/>
              </w:rPr>
            </w:pPr>
            <w:r>
              <w:rPr>
                <w:rFonts w:ascii="宋体"/>
                <w:sz w:val="18"/>
              </w:rPr>
              <w:t>100.00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6" w:right="0"/>
              <w:jc w:val="left"/>
              <w:rPr>
                <w:rFonts w:ascii="宋体" w:hAnsi="宋体" w:cs="宋体" w:eastAsia="宋体" w:hint="default"/>
                <w:sz w:val="18"/>
                <w:szCs w:val="18"/>
              </w:rPr>
            </w:pPr>
            <w:r>
              <w:rPr>
                <w:rFonts w:ascii="宋体"/>
                <w:sz w:val="18"/>
              </w:rPr>
              <w:t>513.33</w:t>
            </w: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0" w:right="0"/>
              <w:jc w:val="left"/>
              <w:rPr>
                <w:rFonts w:ascii="宋体" w:hAnsi="宋体" w:cs="宋体" w:eastAsia="宋体" w:hint="default"/>
                <w:sz w:val="18"/>
                <w:szCs w:val="18"/>
              </w:rPr>
            </w:pPr>
            <w:r>
              <w:rPr>
                <w:rFonts w:ascii="宋体"/>
                <w:sz w:val="18"/>
              </w:rPr>
              <w:t>00.70</w:t>
            </w: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0" w:right="0"/>
              <w:jc w:val="left"/>
              <w:rPr>
                <w:rFonts w:ascii="宋体" w:hAnsi="宋体" w:cs="宋体" w:eastAsia="宋体" w:hint="default"/>
                <w:sz w:val="18"/>
                <w:szCs w:val="18"/>
              </w:rPr>
            </w:pPr>
            <w:r>
              <w:rPr>
                <w:rFonts w:ascii="宋体"/>
                <w:sz w:val="18"/>
              </w:rPr>
              <w:t>42.27</w:t>
            </w:r>
          </w:p>
        </w:tc>
      </w:tr>
      <w:tr>
        <w:trPr>
          <w:trHeight w:val="71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1" w:firstLine="360"/>
              <w:jc w:val="left"/>
              <w:rPr>
                <w:rFonts w:ascii="宋体" w:hAnsi="宋体" w:cs="宋体" w:eastAsia="宋体" w:hint="default"/>
                <w:sz w:val="18"/>
                <w:szCs w:val="18"/>
              </w:rPr>
            </w:pPr>
            <w:r>
              <w:rPr>
                <w:rFonts w:ascii="宋体" w:hAnsi="宋体" w:cs="宋体" w:eastAsia="宋体" w:hint="default"/>
                <w:sz w:val="18"/>
                <w:szCs w:val="18"/>
              </w:rPr>
              <w:t>加：同一控制下企业合 并产生的追溯调整</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78,000,00</w:t>
            </w:r>
          </w:p>
          <w:p>
            <w:pPr>
              <w:pStyle w:val="TableParagraph"/>
              <w:spacing w:line="240" w:lineRule="auto" w:before="76"/>
              <w:ind w:left="490"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sz w:val="18"/>
              </w:rPr>
              <w:t>383,204,</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100.00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 w:right="0"/>
              <w:jc w:val="left"/>
              <w:rPr>
                <w:rFonts w:ascii="宋体" w:hAnsi="宋体" w:cs="宋体" w:eastAsia="宋体" w:hint="default"/>
                <w:sz w:val="18"/>
                <w:szCs w:val="18"/>
              </w:rPr>
            </w:pPr>
            <w:r>
              <w:rPr>
                <w:rFonts w:ascii="宋体"/>
                <w:sz w:val="18"/>
              </w:rPr>
              <w:t>14,851,</w:t>
            </w:r>
          </w:p>
          <w:p>
            <w:pPr>
              <w:pStyle w:val="TableParagraph"/>
              <w:spacing w:line="240" w:lineRule="auto" w:before="76"/>
              <w:ind w:left="156" w:right="0"/>
              <w:jc w:val="left"/>
              <w:rPr>
                <w:rFonts w:ascii="宋体" w:hAnsi="宋体" w:cs="宋体" w:eastAsia="宋体" w:hint="default"/>
                <w:sz w:val="18"/>
                <w:szCs w:val="18"/>
              </w:rPr>
            </w:pPr>
            <w:r>
              <w:rPr>
                <w:rFonts w:ascii="宋体"/>
                <w:sz w:val="18"/>
              </w:rPr>
              <w:t>513.33</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sz w:val="18"/>
              </w:rPr>
              <w:t>86,858,0</w:t>
            </w:r>
          </w:p>
          <w:p>
            <w:pPr>
              <w:pStyle w:val="TableParagraph"/>
              <w:spacing w:line="240" w:lineRule="auto" w:before="76"/>
              <w:ind w:left="300" w:right="0"/>
              <w:jc w:val="left"/>
              <w:rPr>
                <w:rFonts w:ascii="宋体" w:hAnsi="宋体" w:cs="宋体" w:eastAsia="宋体" w:hint="default"/>
                <w:sz w:val="18"/>
                <w:szCs w:val="18"/>
              </w:rPr>
            </w:pPr>
            <w:r>
              <w:rPr>
                <w:rFonts w:ascii="宋体"/>
                <w:sz w:val="18"/>
              </w:rPr>
              <w:t>00.70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465,428.</w:t>
            </w:r>
          </w:p>
          <w:p>
            <w:pPr>
              <w:pStyle w:val="TableParagraph"/>
              <w:spacing w:line="240" w:lineRule="auto" w:before="76"/>
              <w:ind w:right="19"/>
              <w:jc w:val="right"/>
              <w:rPr>
                <w:rFonts w:ascii="宋体" w:hAnsi="宋体" w:cs="宋体" w:eastAsia="宋体" w:hint="default"/>
                <w:sz w:val="18"/>
                <w:szCs w:val="18"/>
              </w:rPr>
            </w:pPr>
            <w:r>
              <w:rPr>
                <w:rFonts w:ascii="宋体"/>
                <w:sz w:val="18"/>
              </w:rPr>
              <w:t>24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sz w:val="18"/>
              </w:rPr>
              <w:t>563,379,0</w:t>
            </w:r>
          </w:p>
          <w:p>
            <w:pPr>
              <w:pStyle w:val="TableParagraph"/>
              <w:spacing w:line="240" w:lineRule="auto" w:before="76"/>
              <w:ind w:left="410" w:right="0"/>
              <w:jc w:val="left"/>
              <w:rPr>
                <w:rFonts w:ascii="宋体" w:hAnsi="宋体" w:cs="宋体" w:eastAsia="宋体" w:hint="default"/>
                <w:sz w:val="18"/>
                <w:szCs w:val="18"/>
              </w:rPr>
            </w:pPr>
            <w:r>
              <w:rPr>
                <w:rFonts w:ascii="宋体"/>
                <w:sz w:val="18"/>
              </w:rPr>
              <w:t>42.27</w:t>
            </w:r>
          </w:p>
        </w:tc>
      </w:tr>
      <w:tr>
        <w:trPr>
          <w:trHeight w:val="715"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 少以“－”号填列）</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23,400,00</w:t>
            </w:r>
          </w:p>
          <w:p>
            <w:pPr>
              <w:pStyle w:val="TableParagraph"/>
              <w:spacing w:line="240" w:lineRule="auto" w:before="76"/>
              <w:ind w:left="490"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sz w:val="18"/>
              </w:rPr>
              <w:t>-23,400,</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000.00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宋体" w:hAnsi="宋体" w:cs="宋体" w:eastAsia="宋体" w:hint="default"/>
                <w:sz w:val="18"/>
                <w:szCs w:val="18"/>
              </w:rPr>
            </w:pPr>
            <w:r>
              <w:rPr>
                <w:rFonts w:ascii="宋体"/>
                <w:sz w:val="18"/>
              </w:rPr>
              <w:t>3,306,8</w:t>
            </w:r>
          </w:p>
          <w:p>
            <w:pPr>
              <w:pStyle w:val="TableParagraph"/>
              <w:spacing w:line="240" w:lineRule="auto" w:before="76"/>
              <w:ind w:left="224" w:right="0"/>
              <w:jc w:val="center"/>
              <w:rPr>
                <w:rFonts w:ascii="宋体" w:hAnsi="宋体" w:cs="宋体" w:eastAsia="宋体" w:hint="default"/>
                <w:sz w:val="18"/>
                <w:szCs w:val="18"/>
              </w:rPr>
            </w:pPr>
            <w:r>
              <w:rPr>
                <w:rFonts w:ascii="宋体"/>
                <w:sz w:val="18"/>
              </w:rPr>
              <w:t>24.35</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sz w:val="18"/>
              </w:rPr>
              <w:t>41,655,8</w:t>
            </w:r>
          </w:p>
          <w:p>
            <w:pPr>
              <w:pStyle w:val="TableParagraph"/>
              <w:spacing w:line="240" w:lineRule="auto" w:before="76"/>
              <w:ind w:left="300" w:right="0"/>
              <w:jc w:val="left"/>
              <w:rPr>
                <w:rFonts w:ascii="宋体" w:hAnsi="宋体" w:cs="宋体" w:eastAsia="宋体" w:hint="default"/>
                <w:sz w:val="18"/>
                <w:szCs w:val="18"/>
              </w:rPr>
            </w:pPr>
            <w:r>
              <w:rPr>
                <w:rFonts w:ascii="宋体"/>
                <w:sz w:val="18"/>
              </w:rPr>
              <w:t>22.76</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11,859.0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sz w:val="18"/>
              </w:rPr>
              <w:t>44,974,50</w:t>
            </w:r>
          </w:p>
          <w:p>
            <w:pPr>
              <w:pStyle w:val="TableParagraph"/>
              <w:spacing w:line="240" w:lineRule="auto" w:before="76"/>
              <w:ind w:left="501" w:right="0"/>
              <w:jc w:val="left"/>
              <w:rPr>
                <w:rFonts w:ascii="宋体" w:hAnsi="宋体" w:cs="宋体" w:eastAsia="宋体" w:hint="default"/>
                <w:sz w:val="18"/>
                <w:szCs w:val="18"/>
              </w:rPr>
            </w:pPr>
            <w:r>
              <w:rPr>
                <w:rFonts w:ascii="宋体"/>
                <w:sz w:val="18"/>
              </w:rPr>
              <w:t>6.11</w:t>
            </w:r>
          </w:p>
        </w:tc>
      </w:tr>
      <w:tr>
        <w:trPr>
          <w:trHeight w:val="71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sz w:val="18"/>
              </w:rPr>
              <w:t>44,962,6</w:t>
            </w:r>
          </w:p>
          <w:p>
            <w:pPr>
              <w:pStyle w:val="TableParagraph"/>
              <w:spacing w:line="240" w:lineRule="auto" w:before="76"/>
              <w:ind w:left="300" w:right="0"/>
              <w:jc w:val="left"/>
              <w:rPr>
                <w:rFonts w:ascii="宋体" w:hAnsi="宋体" w:cs="宋体" w:eastAsia="宋体" w:hint="default"/>
                <w:sz w:val="18"/>
                <w:szCs w:val="18"/>
              </w:rPr>
            </w:pPr>
            <w:r>
              <w:rPr>
                <w:rFonts w:ascii="宋体"/>
                <w:sz w:val="18"/>
              </w:rPr>
              <w:t>47.11</w:t>
            </w: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11,859.0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sz w:val="18"/>
              </w:rPr>
              <w:t>44,974,50</w:t>
            </w:r>
          </w:p>
          <w:p>
            <w:pPr>
              <w:pStyle w:val="TableParagraph"/>
              <w:spacing w:line="240" w:lineRule="auto" w:before="76"/>
              <w:ind w:left="501" w:right="0"/>
              <w:jc w:val="left"/>
              <w:rPr>
                <w:rFonts w:ascii="宋体" w:hAnsi="宋体" w:cs="宋体" w:eastAsia="宋体" w:hint="default"/>
                <w:sz w:val="18"/>
                <w:szCs w:val="18"/>
              </w:rPr>
            </w:pPr>
            <w:r>
              <w:rPr>
                <w:rFonts w:ascii="宋体"/>
                <w:sz w:val="18"/>
              </w:rPr>
              <w:t>6.11</w:t>
            </w:r>
          </w:p>
        </w:tc>
      </w:tr>
      <w:tr>
        <w:trPr>
          <w:trHeight w:val="40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sz w:val="18"/>
              </w:rPr>
              <w:t>44,962,6</w:t>
            </w:r>
          </w:p>
          <w:p>
            <w:pPr>
              <w:pStyle w:val="TableParagraph"/>
              <w:spacing w:line="240" w:lineRule="auto" w:before="76"/>
              <w:ind w:left="300" w:right="0"/>
              <w:jc w:val="left"/>
              <w:rPr>
                <w:rFonts w:ascii="宋体" w:hAnsi="宋体" w:cs="宋体" w:eastAsia="宋体" w:hint="default"/>
                <w:sz w:val="18"/>
                <w:szCs w:val="18"/>
              </w:rPr>
            </w:pPr>
            <w:r>
              <w:rPr>
                <w:rFonts w:ascii="宋体"/>
                <w:sz w:val="18"/>
              </w:rPr>
              <w:t>47.11</w:t>
            </w: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11,859.0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sz w:val="18"/>
              </w:rPr>
              <w:t>44,974,50</w:t>
            </w:r>
          </w:p>
          <w:p>
            <w:pPr>
              <w:pStyle w:val="TableParagraph"/>
              <w:spacing w:line="240" w:lineRule="auto" w:before="76"/>
              <w:ind w:left="501" w:right="0"/>
              <w:jc w:val="left"/>
              <w:rPr>
                <w:rFonts w:ascii="宋体" w:hAnsi="宋体" w:cs="宋体" w:eastAsia="宋体" w:hint="default"/>
                <w:sz w:val="18"/>
                <w:szCs w:val="18"/>
              </w:rPr>
            </w:pPr>
            <w:r>
              <w:rPr>
                <w:rFonts w:ascii="宋体"/>
                <w:sz w:val="18"/>
              </w:rPr>
              <w:t>6.11</w:t>
            </w:r>
          </w:p>
        </w:tc>
      </w:tr>
      <w:tr>
        <w:trPr>
          <w:trHeight w:val="715"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1"/>
              <w:jc w:val="left"/>
              <w:rPr>
                <w:rFonts w:ascii="宋体" w:hAnsi="宋体" w:cs="宋体" w:eastAsia="宋体" w:hint="default"/>
                <w:sz w:val="18"/>
                <w:szCs w:val="18"/>
              </w:rPr>
            </w:pPr>
            <w:r>
              <w:rPr>
                <w:rFonts w:ascii="宋体" w:hAnsi="宋体" w:cs="宋体" w:eastAsia="宋体" w:hint="default"/>
                <w:sz w:val="18"/>
                <w:szCs w:val="18"/>
              </w:rPr>
              <w:t>（三）所有者投入和减少资 本</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 的金额</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宋体" w:hAnsi="宋体" w:cs="宋体" w:eastAsia="宋体" w:hint="default"/>
                <w:sz w:val="18"/>
                <w:szCs w:val="18"/>
              </w:rPr>
            </w:pPr>
            <w:r>
              <w:rPr>
                <w:rFonts w:ascii="宋体"/>
                <w:sz w:val="18"/>
              </w:rPr>
              <w:t>3,306,8</w:t>
            </w:r>
          </w:p>
          <w:p>
            <w:pPr>
              <w:pStyle w:val="TableParagraph"/>
              <w:spacing w:line="240" w:lineRule="auto" w:before="76"/>
              <w:ind w:left="224" w:right="0"/>
              <w:jc w:val="center"/>
              <w:rPr>
                <w:rFonts w:ascii="宋体" w:hAnsi="宋体" w:cs="宋体" w:eastAsia="宋体" w:hint="default"/>
                <w:sz w:val="18"/>
                <w:szCs w:val="18"/>
              </w:rPr>
            </w:pPr>
            <w:r>
              <w:rPr>
                <w:rFonts w:ascii="宋体"/>
                <w:sz w:val="18"/>
              </w:rPr>
              <w:t>24.35</w:t>
            </w: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sz w:val="18"/>
              </w:rPr>
              <w:t>-3,306,8</w:t>
            </w:r>
          </w:p>
          <w:p>
            <w:pPr>
              <w:pStyle w:val="TableParagraph"/>
              <w:spacing w:line="240" w:lineRule="auto" w:before="76"/>
              <w:ind w:left="300" w:right="0"/>
              <w:jc w:val="left"/>
              <w:rPr>
                <w:rFonts w:ascii="宋体" w:hAnsi="宋体" w:cs="宋体" w:eastAsia="宋体" w:hint="default"/>
                <w:sz w:val="18"/>
                <w:szCs w:val="18"/>
              </w:rPr>
            </w:pPr>
            <w:r>
              <w:rPr>
                <w:rFonts w:ascii="宋体"/>
                <w:sz w:val="18"/>
              </w:rPr>
              <w:t>24.35</w:t>
            </w: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宋体" w:hAnsi="宋体" w:cs="宋体" w:eastAsia="宋体" w:hint="default"/>
                <w:sz w:val="18"/>
                <w:szCs w:val="18"/>
              </w:rPr>
            </w:pPr>
            <w:r>
              <w:rPr>
                <w:rFonts w:ascii="宋体"/>
                <w:sz w:val="18"/>
              </w:rPr>
              <w:t>3,306,8</w:t>
            </w:r>
          </w:p>
          <w:p>
            <w:pPr>
              <w:pStyle w:val="TableParagraph"/>
              <w:spacing w:line="240" w:lineRule="auto" w:before="76"/>
              <w:ind w:left="224" w:right="0"/>
              <w:jc w:val="center"/>
              <w:rPr>
                <w:rFonts w:ascii="宋体" w:hAnsi="宋体" w:cs="宋体" w:eastAsia="宋体" w:hint="default"/>
                <w:sz w:val="18"/>
                <w:szCs w:val="18"/>
              </w:rPr>
            </w:pPr>
            <w:r>
              <w:rPr>
                <w:rFonts w:ascii="宋体"/>
                <w:sz w:val="18"/>
              </w:rPr>
              <w:t>24.35</w:t>
            </w: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sz w:val="18"/>
              </w:rPr>
              <w:t>-3,306,8</w:t>
            </w:r>
          </w:p>
          <w:p>
            <w:pPr>
              <w:pStyle w:val="TableParagraph"/>
              <w:spacing w:line="240" w:lineRule="auto" w:before="76"/>
              <w:ind w:left="300" w:right="0"/>
              <w:jc w:val="left"/>
              <w:rPr>
                <w:rFonts w:ascii="宋体" w:hAnsi="宋体" w:cs="宋体" w:eastAsia="宋体" w:hint="default"/>
                <w:sz w:val="18"/>
                <w:szCs w:val="18"/>
              </w:rPr>
            </w:pPr>
            <w:r>
              <w:rPr>
                <w:rFonts w:ascii="宋体"/>
                <w:sz w:val="18"/>
              </w:rPr>
              <w:t>24.35</w:t>
            </w: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．对所有者（或股东）的分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配</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23,400,00</w:t>
            </w:r>
          </w:p>
          <w:p>
            <w:pPr>
              <w:pStyle w:val="TableParagraph"/>
              <w:spacing w:line="240" w:lineRule="auto" w:before="77"/>
              <w:ind w:left="490"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sz w:val="18"/>
              </w:rPr>
              <w:t>-23,400,</w:t>
            </w:r>
          </w:p>
          <w:p>
            <w:pPr>
              <w:pStyle w:val="TableParagraph"/>
              <w:spacing w:line="240" w:lineRule="auto" w:before="77"/>
              <w:ind w:left="202" w:right="0"/>
              <w:jc w:val="center"/>
              <w:rPr>
                <w:rFonts w:ascii="宋体" w:hAnsi="宋体" w:cs="宋体" w:eastAsia="宋体" w:hint="default"/>
                <w:sz w:val="18"/>
                <w:szCs w:val="18"/>
              </w:rPr>
            </w:pPr>
            <w:r>
              <w:rPr>
                <w:rFonts w:ascii="宋体"/>
                <w:sz w:val="18"/>
              </w:rPr>
              <w:t>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 本）</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23,400,00</w:t>
            </w:r>
          </w:p>
          <w:p>
            <w:pPr>
              <w:pStyle w:val="TableParagraph"/>
              <w:spacing w:line="240" w:lineRule="auto" w:before="76"/>
              <w:ind w:left="490"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sz w:val="18"/>
              </w:rPr>
              <w:t>-23,400,</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．盈余公积转增资本（或股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100" w:bottom="154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96"/>
        <w:gridCol w:w="881"/>
        <w:gridCol w:w="799"/>
        <w:gridCol w:w="614"/>
        <w:gridCol w:w="562"/>
        <w:gridCol w:w="728"/>
        <w:gridCol w:w="643"/>
        <w:gridCol w:w="785"/>
        <w:gridCol w:w="545"/>
        <w:gridCol w:w="818"/>
        <w:gridCol w:w="893"/>
      </w:tblGrid>
      <w:tr>
        <w:trPr>
          <w:trHeight w:val="401"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101,400,0</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sz w:val="18"/>
              </w:rPr>
              <w:t>359,804,</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100.00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3" w:right="0"/>
              <w:jc w:val="left"/>
              <w:rPr>
                <w:rFonts w:ascii="宋体" w:hAnsi="宋体" w:cs="宋体" w:eastAsia="宋体" w:hint="default"/>
                <w:sz w:val="18"/>
                <w:szCs w:val="18"/>
              </w:rPr>
            </w:pPr>
            <w:r>
              <w:rPr>
                <w:rFonts w:ascii="宋体"/>
                <w:sz w:val="18"/>
              </w:rPr>
              <w:t>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7" w:right="0"/>
              <w:jc w:val="left"/>
              <w:rPr>
                <w:rFonts w:ascii="宋体" w:hAnsi="宋体" w:cs="宋体" w:eastAsia="宋体" w:hint="default"/>
                <w:sz w:val="18"/>
                <w:szCs w:val="18"/>
              </w:rPr>
            </w:pPr>
            <w:r>
              <w:rPr>
                <w:rFonts w:ascii="宋体"/>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 w:right="0"/>
              <w:jc w:val="left"/>
              <w:rPr>
                <w:rFonts w:ascii="宋体" w:hAnsi="宋体" w:cs="宋体" w:eastAsia="宋体" w:hint="default"/>
                <w:sz w:val="18"/>
                <w:szCs w:val="18"/>
              </w:rPr>
            </w:pPr>
            <w:r>
              <w:rPr>
                <w:rFonts w:ascii="宋体"/>
                <w:sz w:val="18"/>
              </w:rPr>
              <w:t>18,158,</w:t>
            </w:r>
          </w:p>
          <w:p>
            <w:pPr>
              <w:pStyle w:val="TableParagraph"/>
              <w:spacing w:line="240" w:lineRule="auto" w:before="76"/>
              <w:ind w:left="156" w:right="0"/>
              <w:jc w:val="left"/>
              <w:rPr>
                <w:rFonts w:ascii="宋体" w:hAnsi="宋体" w:cs="宋体" w:eastAsia="宋体" w:hint="default"/>
                <w:sz w:val="18"/>
                <w:szCs w:val="18"/>
              </w:rPr>
            </w:pPr>
            <w:r>
              <w:rPr>
                <w:rFonts w:ascii="宋体"/>
                <w:sz w:val="18"/>
              </w:rPr>
              <w:t>337.68</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1" w:right="0"/>
              <w:jc w:val="left"/>
              <w:rPr>
                <w:rFonts w:ascii="宋体" w:hAnsi="宋体" w:cs="宋体" w:eastAsia="宋体" w:hint="default"/>
                <w:sz w:val="18"/>
                <w:szCs w:val="18"/>
              </w:rPr>
            </w:pPr>
            <w:r>
              <w:rPr>
                <w:rFonts w:ascii="宋体"/>
                <w:sz w:val="18"/>
              </w:rPr>
              <w:t>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 w:right="0"/>
              <w:jc w:val="center"/>
              <w:rPr>
                <w:rFonts w:ascii="宋体" w:hAnsi="宋体" w:cs="宋体" w:eastAsia="宋体" w:hint="default"/>
                <w:sz w:val="18"/>
                <w:szCs w:val="18"/>
              </w:rPr>
            </w:pPr>
            <w:r>
              <w:rPr>
                <w:rFonts w:ascii="宋体"/>
                <w:sz w:val="18"/>
              </w:rPr>
              <w:t>128,513,</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823.46</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3" w:right="0"/>
              <w:jc w:val="left"/>
              <w:rPr>
                <w:rFonts w:ascii="宋体" w:hAnsi="宋体" w:cs="宋体" w:eastAsia="宋体" w:hint="default"/>
                <w:sz w:val="18"/>
                <w:szCs w:val="18"/>
              </w:rPr>
            </w:pPr>
            <w:r>
              <w:rPr>
                <w:rFonts w:ascii="宋体"/>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477,287.</w:t>
            </w:r>
          </w:p>
          <w:p>
            <w:pPr>
              <w:pStyle w:val="TableParagraph"/>
              <w:spacing w:line="240" w:lineRule="auto" w:before="76"/>
              <w:ind w:right="19"/>
              <w:jc w:val="right"/>
              <w:rPr>
                <w:rFonts w:ascii="宋体" w:hAnsi="宋体" w:cs="宋体" w:eastAsia="宋体" w:hint="default"/>
                <w:sz w:val="18"/>
                <w:szCs w:val="18"/>
              </w:rPr>
            </w:pPr>
            <w:r>
              <w:rPr>
                <w:rFonts w:ascii="宋体"/>
                <w:sz w:val="18"/>
              </w:rPr>
              <w:t>24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sz w:val="18"/>
              </w:rPr>
              <w:t>608,353,5</w:t>
            </w:r>
          </w:p>
          <w:p>
            <w:pPr>
              <w:pStyle w:val="TableParagraph"/>
              <w:spacing w:line="240" w:lineRule="auto" w:before="76"/>
              <w:ind w:left="410" w:right="0"/>
              <w:jc w:val="left"/>
              <w:rPr>
                <w:rFonts w:ascii="宋体" w:hAnsi="宋体" w:cs="宋体" w:eastAsia="宋体" w:hint="default"/>
                <w:sz w:val="18"/>
                <w:szCs w:val="18"/>
              </w:rPr>
            </w:pPr>
            <w:r>
              <w:rPr>
                <w:rFonts w:ascii="宋体"/>
                <w:sz w:val="18"/>
              </w:rPr>
              <w:t>48.38</w:t>
            </w:r>
          </w:p>
        </w:tc>
      </w:tr>
    </w:tbl>
    <w:p>
      <w:pPr>
        <w:spacing w:line="240" w:lineRule="auto" w:before="11"/>
        <w:rPr>
          <w:rFonts w:ascii="Times New Roman" w:hAnsi="Times New Roman" w:cs="Times New Roman" w:eastAsia="Times New Roman" w:hint="default"/>
          <w:sz w:val="22"/>
          <w:szCs w:val="22"/>
        </w:rPr>
      </w:pPr>
    </w:p>
    <w:p>
      <w:pPr>
        <w:tabs>
          <w:tab w:pos="3487" w:val="left" w:leader="none"/>
          <w:tab w:pos="7718"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法定代表人：刘磅</w:t>
        <w:tab/>
      </w:r>
      <w:r>
        <w:rPr>
          <w:rFonts w:ascii="宋体" w:hAnsi="宋体" w:cs="宋体" w:eastAsia="宋体" w:hint="default"/>
          <w:spacing w:val="-1"/>
          <w:sz w:val="18"/>
          <w:szCs w:val="18"/>
        </w:rPr>
        <w:t>主管会计工作负责人：黄天朗</w:t>
        <w:tab/>
      </w:r>
      <w:r>
        <w:rPr>
          <w:rFonts w:ascii="宋体" w:hAnsi="宋体" w:cs="宋体" w:eastAsia="宋体" w:hint="default"/>
          <w:sz w:val="18"/>
          <w:szCs w:val="18"/>
        </w:rPr>
        <w:t>会计机构负责人：蒋国清</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340" w:top="1100" w:bottom="1600" w:left="980" w:right="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编制单位：深圳达实智能股份有限公司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0" w:left="980" w:right="0"/>
          <w:cols w:num="2" w:equalWidth="0">
            <w:col w:w="3213" w:space="5707"/>
            <w:col w:w="2010"/>
          </w:cols>
        </w:sectPr>
      </w:pPr>
    </w:p>
    <w:p>
      <w:pPr>
        <w:spacing w:line="240" w:lineRule="auto" w:before="5"/>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53"/>
        <w:gridCol w:w="1009"/>
        <w:gridCol w:w="924"/>
        <w:gridCol w:w="734"/>
        <w:gridCol w:w="886"/>
        <w:gridCol w:w="929"/>
        <w:gridCol w:w="853"/>
        <w:gridCol w:w="878"/>
        <w:gridCol w:w="890"/>
      </w:tblGrid>
      <w:tr>
        <w:trPr>
          <w:trHeight w:val="403"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80"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14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5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58"/>
              <w:ind w:left="93" w:right="89" w:firstLine="88"/>
              <w:jc w:val="left"/>
              <w:rPr>
                <w:rFonts w:ascii="宋体" w:hAnsi="宋体" w:cs="宋体" w:eastAsia="宋体" w:hint="default"/>
                <w:sz w:val="18"/>
                <w:szCs w:val="18"/>
              </w:rPr>
            </w:pPr>
            <w:r>
              <w:rPr>
                <w:rFonts w:ascii="宋体" w:hAnsi="宋体" w:cs="宋体" w:eastAsia="宋体" w:hint="default"/>
                <w:sz w:val="18"/>
                <w:szCs w:val="18"/>
              </w:rPr>
              <w:t>减： 库存股</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92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240" w:right="62"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345" w:right="7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1009"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34"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3" w:type="dxa"/>
            <w:vMerge/>
            <w:tcBorders>
              <w:left w:val="single" w:sz="4" w:space="0" w:color="000000"/>
              <w:right w:val="single" w:sz="4" w:space="0" w:color="000000"/>
            </w:tcBorders>
            <w:shd w:val="clear" w:color="auto" w:fill="D2D2D2"/>
          </w:tcPr>
          <w:p>
            <w:pPr/>
          </w:p>
        </w:tc>
        <w:tc>
          <w:tcPr>
            <w:tcW w:w="87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1009"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7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80"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7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9" w:type="dxa"/>
            <w:vMerge w:val="restart"/>
            <w:tcBorders>
              <w:top w:val="single" w:sz="8" w:space="0" w:color="D2D2D2"/>
              <w:left w:val="single" w:sz="10" w:space="0" w:color="D2D2D2"/>
              <w:right w:val="single" w:sz="4" w:space="0" w:color="000000"/>
            </w:tcBorders>
          </w:tcPr>
          <w:p>
            <w:pPr>
              <w:pStyle w:val="TableParagraph"/>
              <w:spacing w:line="240" w:lineRule="auto" w:before="53"/>
              <w:ind w:left="69" w:right="0"/>
              <w:jc w:val="left"/>
              <w:rPr>
                <w:rFonts w:ascii="宋体" w:hAnsi="宋体" w:cs="宋体" w:eastAsia="宋体" w:hint="default"/>
                <w:sz w:val="18"/>
                <w:szCs w:val="18"/>
              </w:rPr>
            </w:pPr>
            <w:r>
              <w:rPr>
                <w:rFonts w:ascii="宋体"/>
                <w:sz w:val="18"/>
              </w:rPr>
              <w:t>101,400,00</w:t>
            </w:r>
          </w:p>
          <w:p>
            <w:pPr>
              <w:pStyle w:val="TableParagraph"/>
              <w:spacing w:line="240" w:lineRule="auto" w:before="76"/>
              <w:ind w:left="610" w:right="0"/>
              <w:jc w:val="left"/>
              <w:rPr>
                <w:rFonts w:ascii="宋体" w:hAnsi="宋体" w:cs="宋体" w:eastAsia="宋体" w:hint="default"/>
                <w:sz w:val="18"/>
                <w:szCs w:val="18"/>
              </w:rPr>
            </w:pPr>
            <w:r>
              <w:rPr>
                <w:rFonts w:ascii="宋体"/>
                <w:sz w:val="18"/>
              </w:rPr>
              <w:t>0.00</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58"/>
              <w:ind w:left="81" w:right="0"/>
              <w:jc w:val="left"/>
              <w:rPr>
                <w:rFonts w:ascii="宋体" w:hAnsi="宋体" w:cs="宋体" w:eastAsia="宋体" w:hint="default"/>
                <w:sz w:val="18"/>
                <w:szCs w:val="18"/>
              </w:rPr>
            </w:pPr>
            <w:r>
              <w:rPr>
                <w:rFonts w:ascii="宋体"/>
                <w:sz w:val="18"/>
              </w:rPr>
              <w:t>359,804,1</w:t>
            </w:r>
          </w:p>
          <w:p>
            <w:pPr>
              <w:pStyle w:val="TableParagraph"/>
              <w:spacing w:line="240" w:lineRule="auto" w:before="76"/>
              <w:ind w:left="441" w:right="0"/>
              <w:jc w:val="left"/>
              <w:rPr>
                <w:rFonts w:ascii="宋体" w:hAnsi="宋体" w:cs="宋体" w:eastAsia="宋体" w:hint="default"/>
                <w:sz w:val="18"/>
                <w:szCs w:val="18"/>
              </w:rPr>
            </w:pPr>
            <w:r>
              <w:rPr>
                <w:rFonts w:ascii="宋体"/>
                <w:sz w:val="18"/>
              </w:rPr>
              <w:t>00.00</w:t>
            </w:r>
          </w:p>
        </w:tc>
        <w:tc>
          <w:tcPr>
            <w:tcW w:w="73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929" w:type="dxa"/>
            <w:vMerge w:val="restart"/>
            <w:tcBorders>
              <w:top w:val="single" w:sz="4" w:space="0" w:color="000000"/>
              <w:left w:val="single" w:sz="4" w:space="0" w:color="000000"/>
              <w:right w:val="single" w:sz="4" w:space="0" w:color="000000"/>
            </w:tcBorders>
          </w:tcPr>
          <w:p>
            <w:pPr>
              <w:pStyle w:val="TableParagraph"/>
              <w:spacing w:line="240" w:lineRule="auto" w:before="58"/>
              <w:ind w:left="86" w:right="0"/>
              <w:jc w:val="left"/>
              <w:rPr>
                <w:rFonts w:ascii="宋体" w:hAnsi="宋体" w:cs="宋体" w:eastAsia="宋体" w:hint="default"/>
                <w:sz w:val="18"/>
                <w:szCs w:val="18"/>
              </w:rPr>
            </w:pPr>
            <w:r>
              <w:rPr>
                <w:rFonts w:ascii="宋体"/>
                <w:sz w:val="18"/>
              </w:rPr>
              <w:t>17,997,97</w:t>
            </w:r>
          </w:p>
          <w:p>
            <w:pPr>
              <w:pStyle w:val="TableParagraph"/>
              <w:spacing w:line="240" w:lineRule="auto" w:before="76"/>
              <w:ind w:left="537" w:right="0"/>
              <w:jc w:val="left"/>
              <w:rPr>
                <w:rFonts w:ascii="宋体" w:hAnsi="宋体" w:cs="宋体" w:eastAsia="宋体" w:hint="default"/>
                <w:sz w:val="18"/>
                <w:szCs w:val="18"/>
              </w:rPr>
            </w:pPr>
            <w:r>
              <w:rPr>
                <w:rFonts w:ascii="宋体"/>
                <w:sz w:val="18"/>
              </w:rPr>
              <w:t>0.09</w:t>
            </w:r>
          </w:p>
        </w:tc>
        <w:tc>
          <w:tcPr>
            <w:tcW w:w="853" w:type="dxa"/>
            <w:vMerge w:val="restart"/>
            <w:tcBorders>
              <w:top w:val="single" w:sz="8" w:space="0" w:color="D2D2D2"/>
              <w:left w:val="single" w:sz="4" w:space="0" w:color="000000"/>
              <w:right w:val="single" w:sz="4" w:space="0" w:color="000000"/>
            </w:tcBorders>
          </w:tcPr>
          <w:p>
            <w:pPr/>
          </w:p>
        </w:tc>
        <w:tc>
          <w:tcPr>
            <w:tcW w:w="878" w:type="dxa"/>
            <w:vMerge w:val="restart"/>
            <w:tcBorders>
              <w:top w:val="single" w:sz="8" w:space="0" w:color="D2D2D2"/>
              <w:left w:val="single" w:sz="4" w:space="0" w:color="000000"/>
              <w:right w:val="single" w:sz="4" w:space="0" w:color="000000"/>
            </w:tcBorders>
          </w:tcPr>
          <w:p>
            <w:pPr>
              <w:pStyle w:val="TableParagraph"/>
              <w:spacing w:line="240" w:lineRule="auto" w:before="53"/>
              <w:ind w:left="36" w:right="0"/>
              <w:jc w:val="left"/>
              <w:rPr>
                <w:rFonts w:ascii="宋体" w:hAnsi="宋体" w:cs="宋体" w:eastAsia="宋体" w:hint="default"/>
                <w:sz w:val="18"/>
                <w:szCs w:val="18"/>
              </w:rPr>
            </w:pPr>
            <w:r>
              <w:rPr>
                <w:rFonts w:ascii="宋体"/>
                <w:sz w:val="18"/>
              </w:rPr>
              <w:t>115,504,1</w:t>
            </w:r>
          </w:p>
          <w:p>
            <w:pPr>
              <w:pStyle w:val="TableParagraph"/>
              <w:spacing w:line="240" w:lineRule="auto" w:before="76"/>
              <w:ind w:left="396" w:right="0"/>
              <w:jc w:val="left"/>
              <w:rPr>
                <w:rFonts w:ascii="宋体" w:hAnsi="宋体" w:cs="宋体" w:eastAsia="宋体" w:hint="default"/>
                <w:sz w:val="18"/>
                <w:szCs w:val="18"/>
              </w:rPr>
            </w:pPr>
            <w:r>
              <w:rPr>
                <w:rFonts w:ascii="宋体"/>
                <w:sz w:val="18"/>
              </w:rPr>
              <w:t>41.66</w:t>
            </w:r>
          </w:p>
        </w:tc>
        <w:tc>
          <w:tcPr>
            <w:tcW w:w="890" w:type="dxa"/>
            <w:vMerge w:val="restart"/>
            <w:tcBorders>
              <w:top w:val="single" w:sz="8" w:space="0" w:color="D2D2D2"/>
              <w:left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8"/>
                <w:szCs w:val="18"/>
              </w:rPr>
            </w:pPr>
            <w:r>
              <w:rPr>
                <w:rFonts w:ascii="宋体"/>
                <w:sz w:val="18"/>
              </w:rPr>
              <w:t>594,706,2</w:t>
            </w:r>
          </w:p>
          <w:p>
            <w:pPr>
              <w:pStyle w:val="TableParagraph"/>
              <w:spacing w:line="240" w:lineRule="auto" w:before="76"/>
              <w:ind w:left="407" w:right="0"/>
              <w:jc w:val="left"/>
              <w:rPr>
                <w:rFonts w:ascii="宋体" w:hAnsi="宋体" w:cs="宋体" w:eastAsia="宋体" w:hint="default"/>
                <w:sz w:val="18"/>
                <w:szCs w:val="18"/>
              </w:rPr>
            </w:pPr>
            <w:r>
              <w:rPr>
                <w:rFonts w:ascii="宋体"/>
                <w:sz w:val="18"/>
              </w:rPr>
              <w:t>11.75</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009" w:type="dxa"/>
            <w:vMerge/>
            <w:tcBorders>
              <w:left w:val="single" w:sz="10" w:space="0" w:color="D2D2D2"/>
              <w:right w:val="single" w:sz="4" w:space="0" w:color="000000"/>
            </w:tcBorders>
          </w:tcPr>
          <w:p>
            <w:pPr/>
          </w:p>
        </w:tc>
        <w:tc>
          <w:tcPr>
            <w:tcW w:w="92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29"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9" w:type="dxa"/>
            <w:vMerge/>
            <w:tcBorders>
              <w:left w:val="single" w:sz="10" w:space="0" w:color="D2D2D2"/>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09" w:type="dxa"/>
            <w:tcBorders>
              <w:top w:val="single" w:sz="4" w:space="0" w:color="000000"/>
              <w:left w:val="single" w:sz="13" w:space="0" w:color="D2D2D2"/>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09" w:type="dxa"/>
            <w:tcBorders>
              <w:top w:val="single" w:sz="4" w:space="0" w:color="000000"/>
              <w:left w:val="single" w:sz="13" w:space="0" w:color="D2D2D2"/>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09" w:type="dxa"/>
            <w:tcBorders>
              <w:top w:val="single" w:sz="4" w:space="0" w:color="000000"/>
              <w:left w:val="single" w:sz="13" w:space="0" w:color="D2D2D2"/>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9" w:type="dxa"/>
            <w:vMerge w:val="restart"/>
            <w:tcBorders>
              <w:top w:val="single" w:sz="4" w:space="0" w:color="000000"/>
              <w:left w:val="single" w:sz="10" w:space="0" w:color="D2D2D2"/>
              <w:right w:val="single" w:sz="4" w:space="0" w:color="000000"/>
            </w:tcBorders>
          </w:tcPr>
          <w:p>
            <w:pPr>
              <w:pStyle w:val="TableParagraph"/>
              <w:spacing w:line="240" w:lineRule="auto" w:before="58"/>
              <w:ind w:left="69" w:right="0"/>
              <w:jc w:val="left"/>
              <w:rPr>
                <w:rFonts w:ascii="宋体" w:hAnsi="宋体" w:cs="宋体" w:eastAsia="宋体" w:hint="default"/>
                <w:sz w:val="18"/>
                <w:szCs w:val="18"/>
              </w:rPr>
            </w:pPr>
            <w:r>
              <w:rPr>
                <w:rFonts w:ascii="宋体"/>
                <w:sz w:val="18"/>
              </w:rPr>
              <w:t>101,400,00</w:t>
            </w:r>
          </w:p>
          <w:p>
            <w:pPr>
              <w:pStyle w:val="TableParagraph"/>
              <w:spacing w:line="240" w:lineRule="auto" w:before="76"/>
              <w:ind w:left="610" w:right="0"/>
              <w:jc w:val="left"/>
              <w:rPr>
                <w:rFonts w:ascii="宋体" w:hAnsi="宋体" w:cs="宋体" w:eastAsia="宋体" w:hint="default"/>
                <w:sz w:val="18"/>
                <w:szCs w:val="18"/>
              </w:rPr>
            </w:pPr>
            <w:r>
              <w:rPr>
                <w:rFonts w:ascii="宋体"/>
                <w:sz w:val="18"/>
              </w:rPr>
              <w:t>0.00</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58"/>
              <w:ind w:left="81" w:right="0"/>
              <w:jc w:val="left"/>
              <w:rPr>
                <w:rFonts w:ascii="宋体" w:hAnsi="宋体" w:cs="宋体" w:eastAsia="宋体" w:hint="default"/>
                <w:sz w:val="18"/>
                <w:szCs w:val="18"/>
              </w:rPr>
            </w:pPr>
            <w:r>
              <w:rPr>
                <w:rFonts w:ascii="宋体"/>
                <w:sz w:val="18"/>
              </w:rPr>
              <w:t>359,804,1</w:t>
            </w:r>
          </w:p>
          <w:p>
            <w:pPr>
              <w:pStyle w:val="TableParagraph"/>
              <w:spacing w:line="240" w:lineRule="auto" w:before="76"/>
              <w:ind w:left="441" w:right="0"/>
              <w:jc w:val="left"/>
              <w:rPr>
                <w:rFonts w:ascii="宋体" w:hAnsi="宋体" w:cs="宋体" w:eastAsia="宋体" w:hint="default"/>
                <w:sz w:val="18"/>
                <w:szCs w:val="18"/>
              </w:rPr>
            </w:pPr>
            <w:r>
              <w:rPr>
                <w:rFonts w:ascii="宋体"/>
                <w:sz w:val="18"/>
              </w:rPr>
              <w:t>00.00</w:t>
            </w:r>
          </w:p>
        </w:tc>
        <w:tc>
          <w:tcPr>
            <w:tcW w:w="73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929" w:type="dxa"/>
            <w:vMerge w:val="restart"/>
            <w:tcBorders>
              <w:top w:val="single" w:sz="4" w:space="0" w:color="000000"/>
              <w:left w:val="single" w:sz="4" w:space="0" w:color="000000"/>
              <w:right w:val="single" w:sz="4" w:space="0" w:color="000000"/>
            </w:tcBorders>
          </w:tcPr>
          <w:p>
            <w:pPr>
              <w:pStyle w:val="TableParagraph"/>
              <w:spacing w:line="240" w:lineRule="auto" w:before="58"/>
              <w:ind w:left="86" w:right="0"/>
              <w:jc w:val="left"/>
              <w:rPr>
                <w:rFonts w:ascii="宋体" w:hAnsi="宋体" w:cs="宋体" w:eastAsia="宋体" w:hint="default"/>
                <w:sz w:val="18"/>
                <w:szCs w:val="18"/>
              </w:rPr>
            </w:pPr>
            <w:r>
              <w:rPr>
                <w:rFonts w:ascii="宋体"/>
                <w:sz w:val="18"/>
              </w:rPr>
              <w:t>17,997,97</w:t>
            </w:r>
          </w:p>
          <w:p>
            <w:pPr>
              <w:pStyle w:val="TableParagraph"/>
              <w:spacing w:line="240" w:lineRule="auto" w:before="76"/>
              <w:ind w:left="537" w:right="0"/>
              <w:jc w:val="left"/>
              <w:rPr>
                <w:rFonts w:ascii="宋体" w:hAnsi="宋体" w:cs="宋体" w:eastAsia="宋体" w:hint="default"/>
                <w:sz w:val="18"/>
                <w:szCs w:val="18"/>
              </w:rPr>
            </w:pPr>
            <w:r>
              <w:rPr>
                <w:rFonts w:ascii="宋体"/>
                <w:sz w:val="18"/>
              </w:rPr>
              <w:t>0.09</w:t>
            </w:r>
          </w:p>
        </w:tc>
        <w:tc>
          <w:tcPr>
            <w:tcW w:w="853" w:type="dxa"/>
            <w:vMerge w:val="restart"/>
            <w:tcBorders>
              <w:top w:val="single" w:sz="4" w:space="0" w:color="000000"/>
              <w:left w:val="single" w:sz="4" w:space="0" w:color="000000"/>
              <w:right w:val="single" w:sz="4" w:space="0" w:color="000000"/>
            </w:tcBorders>
          </w:tcPr>
          <w:p>
            <w:pP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before="58"/>
              <w:ind w:left="36" w:right="0"/>
              <w:jc w:val="left"/>
              <w:rPr>
                <w:rFonts w:ascii="宋体" w:hAnsi="宋体" w:cs="宋体" w:eastAsia="宋体" w:hint="default"/>
                <w:sz w:val="18"/>
                <w:szCs w:val="18"/>
              </w:rPr>
            </w:pPr>
            <w:r>
              <w:rPr>
                <w:rFonts w:ascii="宋体"/>
                <w:sz w:val="18"/>
              </w:rPr>
              <w:t>115,504,1</w:t>
            </w:r>
          </w:p>
          <w:p>
            <w:pPr>
              <w:pStyle w:val="TableParagraph"/>
              <w:spacing w:line="240" w:lineRule="auto" w:before="76"/>
              <w:ind w:left="396" w:right="0"/>
              <w:jc w:val="left"/>
              <w:rPr>
                <w:rFonts w:ascii="宋体" w:hAnsi="宋体" w:cs="宋体" w:eastAsia="宋体" w:hint="default"/>
                <w:sz w:val="18"/>
                <w:szCs w:val="18"/>
              </w:rPr>
            </w:pPr>
            <w:r>
              <w:rPr>
                <w:rFonts w:ascii="宋体"/>
                <w:sz w:val="18"/>
              </w:rPr>
              <w:t>41.66</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58"/>
              <w:ind w:left="47" w:right="0"/>
              <w:jc w:val="left"/>
              <w:rPr>
                <w:rFonts w:ascii="宋体" w:hAnsi="宋体" w:cs="宋体" w:eastAsia="宋体" w:hint="default"/>
                <w:sz w:val="18"/>
                <w:szCs w:val="18"/>
              </w:rPr>
            </w:pPr>
            <w:r>
              <w:rPr>
                <w:rFonts w:ascii="宋体"/>
                <w:sz w:val="18"/>
              </w:rPr>
              <w:t>594,706,2</w:t>
            </w:r>
          </w:p>
          <w:p>
            <w:pPr>
              <w:pStyle w:val="TableParagraph"/>
              <w:spacing w:line="240" w:lineRule="auto" w:before="76"/>
              <w:ind w:left="407" w:right="0"/>
              <w:jc w:val="left"/>
              <w:rPr>
                <w:rFonts w:ascii="宋体" w:hAnsi="宋体" w:cs="宋体" w:eastAsia="宋体" w:hint="default"/>
                <w:sz w:val="18"/>
                <w:szCs w:val="18"/>
              </w:rPr>
            </w:pPr>
            <w:r>
              <w:rPr>
                <w:rFonts w:ascii="宋体"/>
                <w:sz w:val="18"/>
              </w:rPr>
              <w:t>11.75</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009" w:type="dxa"/>
            <w:vMerge/>
            <w:tcBorders>
              <w:left w:val="single" w:sz="10" w:space="0" w:color="D2D2D2"/>
              <w:right w:val="single" w:sz="4" w:space="0" w:color="000000"/>
            </w:tcBorders>
          </w:tcPr>
          <w:p>
            <w:pPr/>
          </w:p>
        </w:tc>
        <w:tc>
          <w:tcPr>
            <w:tcW w:w="92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29"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9" w:type="dxa"/>
            <w:vMerge/>
            <w:tcBorders>
              <w:left w:val="single" w:sz="10" w:space="0" w:color="D2D2D2"/>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5"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1"/>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10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left="64" w:right="0"/>
              <w:jc w:val="left"/>
              <w:rPr>
                <w:rFonts w:ascii="宋体" w:hAnsi="宋体" w:cs="宋体" w:eastAsia="宋体" w:hint="default"/>
                <w:sz w:val="18"/>
                <w:szCs w:val="18"/>
              </w:rPr>
            </w:pPr>
            <w:r>
              <w:rPr>
                <w:rFonts w:ascii="宋体"/>
                <w:sz w:val="18"/>
              </w:rPr>
              <w:t>107,400,00</w:t>
            </w:r>
          </w:p>
          <w:p>
            <w:pPr>
              <w:pStyle w:val="TableParagraph"/>
              <w:spacing w:line="240" w:lineRule="auto" w:before="74"/>
              <w:ind w:left="605" w:right="0"/>
              <w:jc w:val="left"/>
              <w:rPr>
                <w:rFonts w:ascii="宋体" w:hAnsi="宋体" w:cs="宋体" w:eastAsia="宋体" w:hint="default"/>
                <w:sz w:val="18"/>
                <w:szCs w:val="18"/>
              </w:rPr>
            </w:pPr>
            <w:r>
              <w:rPr>
                <w:rFonts w:ascii="宋体"/>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1" w:right="0"/>
              <w:jc w:val="left"/>
              <w:rPr>
                <w:rFonts w:ascii="宋体" w:hAnsi="宋体" w:cs="宋体" w:eastAsia="宋体" w:hint="default"/>
                <w:sz w:val="18"/>
                <w:szCs w:val="18"/>
              </w:rPr>
            </w:pPr>
            <w:r>
              <w:rPr>
                <w:rFonts w:ascii="宋体"/>
                <w:sz w:val="18"/>
              </w:rPr>
              <w:t>-76,624,6</w:t>
            </w:r>
          </w:p>
          <w:p>
            <w:pPr>
              <w:pStyle w:val="TableParagraph"/>
              <w:spacing w:line="240" w:lineRule="auto" w:before="74"/>
              <w:ind w:left="441" w:right="0"/>
              <w:jc w:val="left"/>
              <w:rPr>
                <w:rFonts w:ascii="宋体" w:hAnsi="宋体" w:cs="宋体" w:eastAsia="宋体" w:hint="default"/>
                <w:sz w:val="18"/>
                <w:szCs w:val="18"/>
              </w:rPr>
            </w:pPr>
            <w:r>
              <w:rPr>
                <w:rFonts w:ascii="宋体"/>
                <w:sz w:val="18"/>
              </w:rPr>
              <w:t>90.97</w:t>
            </w: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4,226,963</w:t>
            </w:r>
          </w:p>
          <w:p>
            <w:pPr>
              <w:pStyle w:val="TableParagraph"/>
              <w:spacing w:line="240" w:lineRule="auto" w:before="74"/>
              <w:ind w:right="17"/>
              <w:jc w:val="right"/>
              <w:rPr>
                <w:rFonts w:ascii="宋体" w:hAnsi="宋体" w:cs="宋体" w:eastAsia="宋体" w:hint="default"/>
                <w:sz w:val="18"/>
                <w:szCs w:val="18"/>
              </w:rPr>
            </w:pPr>
            <w:r>
              <w:rPr>
                <w:rFonts w:ascii="宋体"/>
                <w:sz w:val="18"/>
              </w:rPr>
              <w:t>.63</w:t>
            </w: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 w:right="0"/>
              <w:jc w:val="left"/>
              <w:rPr>
                <w:rFonts w:ascii="宋体" w:hAnsi="宋体" w:cs="宋体" w:eastAsia="宋体" w:hint="default"/>
                <w:sz w:val="18"/>
                <w:szCs w:val="18"/>
              </w:rPr>
            </w:pPr>
            <w:r>
              <w:rPr>
                <w:rFonts w:ascii="宋体"/>
                <w:sz w:val="18"/>
              </w:rPr>
              <w:t>17,762,67</w:t>
            </w:r>
          </w:p>
          <w:p>
            <w:pPr>
              <w:pStyle w:val="TableParagraph"/>
              <w:spacing w:line="240" w:lineRule="auto" w:before="74"/>
              <w:ind w:left="487" w:right="0"/>
              <w:jc w:val="left"/>
              <w:rPr>
                <w:rFonts w:ascii="宋体" w:hAnsi="宋体" w:cs="宋体" w:eastAsia="宋体" w:hint="default"/>
                <w:sz w:val="18"/>
                <w:szCs w:val="18"/>
              </w:rPr>
            </w:pPr>
            <w:r>
              <w:rPr>
                <w:rFonts w:ascii="宋体"/>
                <w:sz w:val="18"/>
              </w:rPr>
              <w:t>2.69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7" w:right="0"/>
              <w:jc w:val="left"/>
              <w:rPr>
                <w:rFonts w:ascii="宋体" w:hAnsi="宋体" w:cs="宋体" w:eastAsia="宋体" w:hint="default"/>
                <w:sz w:val="18"/>
                <w:szCs w:val="18"/>
              </w:rPr>
            </w:pPr>
            <w:r>
              <w:rPr>
                <w:rFonts w:ascii="宋体"/>
                <w:sz w:val="18"/>
              </w:rPr>
              <w:t>52,764,94</w:t>
            </w:r>
          </w:p>
          <w:p>
            <w:pPr>
              <w:pStyle w:val="TableParagraph"/>
              <w:spacing w:line="240" w:lineRule="auto" w:before="74"/>
              <w:ind w:left="499" w:right="0"/>
              <w:jc w:val="left"/>
              <w:rPr>
                <w:rFonts w:ascii="宋体" w:hAnsi="宋体" w:cs="宋体" w:eastAsia="宋体" w:hint="default"/>
                <w:sz w:val="18"/>
                <w:szCs w:val="18"/>
              </w:rPr>
            </w:pPr>
            <w:r>
              <w:rPr>
                <w:rFonts w:ascii="宋体"/>
                <w:sz w:val="18"/>
              </w:rPr>
              <w:t>5.35</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9" w:type="dxa"/>
            <w:vMerge w:val="restart"/>
            <w:tcBorders>
              <w:top w:val="single" w:sz="4" w:space="0" w:color="000000"/>
              <w:left w:val="single" w:sz="10" w:space="0" w:color="D2D2D2"/>
              <w:right w:val="single" w:sz="4" w:space="0" w:color="000000"/>
            </w:tcBorders>
          </w:tcPr>
          <w:p>
            <w:pPr/>
          </w:p>
        </w:tc>
        <w:tc>
          <w:tcPr>
            <w:tcW w:w="92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929"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before="58"/>
              <w:ind w:left="36" w:right="0"/>
              <w:jc w:val="left"/>
              <w:rPr>
                <w:rFonts w:ascii="宋体" w:hAnsi="宋体" w:cs="宋体" w:eastAsia="宋体" w:hint="default"/>
                <w:sz w:val="18"/>
                <w:szCs w:val="18"/>
              </w:rPr>
            </w:pPr>
            <w:r>
              <w:rPr>
                <w:rFonts w:ascii="宋体"/>
                <w:sz w:val="18"/>
              </w:rPr>
              <w:t>42,269,63</w:t>
            </w:r>
          </w:p>
          <w:p>
            <w:pPr>
              <w:pStyle w:val="TableParagraph"/>
              <w:spacing w:line="240" w:lineRule="auto" w:before="76"/>
              <w:ind w:left="487" w:right="0"/>
              <w:jc w:val="left"/>
              <w:rPr>
                <w:rFonts w:ascii="宋体" w:hAnsi="宋体" w:cs="宋体" w:eastAsia="宋体" w:hint="default"/>
                <w:sz w:val="18"/>
                <w:szCs w:val="18"/>
              </w:rPr>
            </w:pPr>
            <w:r>
              <w:rPr>
                <w:rFonts w:ascii="宋体"/>
                <w:sz w:val="18"/>
              </w:rPr>
              <w:t>6.32</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58"/>
              <w:ind w:left="47" w:right="0"/>
              <w:jc w:val="left"/>
              <w:rPr>
                <w:rFonts w:ascii="宋体" w:hAnsi="宋体" w:cs="宋体" w:eastAsia="宋体" w:hint="default"/>
                <w:sz w:val="18"/>
                <w:szCs w:val="18"/>
              </w:rPr>
            </w:pPr>
            <w:r>
              <w:rPr>
                <w:rFonts w:ascii="宋体"/>
                <w:sz w:val="18"/>
              </w:rPr>
              <w:t>42,269,63</w:t>
            </w:r>
          </w:p>
          <w:p>
            <w:pPr>
              <w:pStyle w:val="TableParagraph"/>
              <w:spacing w:line="240" w:lineRule="auto" w:before="76"/>
              <w:ind w:left="499" w:right="0"/>
              <w:jc w:val="left"/>
              <w:rPr>
                <w:rFonts w:ascii="宋体" w:hAnsi="宋体" w:cs="宋体" w:eastAsia="宋体" w:hint="default"/>
                <w:sz w:val="18"/>
                <w:szCs w:val="18"/>
              </w:rPr>
            </w:pPr>
            <w:r>
              <w:rPr>
                <w:rFonts w:ascii="宋体"/>
                <w:sz w:val="18"/>
              </w:rPr>
              <w:t>6.32</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009" w:type="dxa"/>
            <w:vMerge/>
            <w:tcBorders>
              <w:left w:val="single" w:sz="10" w:space="0" w:color="D2D2D2"/>
              <w:right w:val="single" w:sz="4" w:space="0" w:color="000000"/>
            </w:tcBorders>
          </w:tcPr>
          <w:p>
            <w:pPr/>
          </w:p>
        </w:tc>
        <w:tc>
          <w:tcPr>
            <w:tcW w:w="92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29"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9" w:type="dxa"/>
            <w:vMerge/>
            <w:tcBorders>
              <w:left w:val="single" w:sz="10" w:space="0" w:color="D2D2D2"/>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009" w:type="dxa"/>
            <w:tcBorders>
              <w:top w:val="single" w:sz="4" w:space="0" w:color="000000"/>
              <w:left w:val="single" w:sz="13" w:space="0" w:color="D2D2D2"/>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9" w:type="dxa"/>
            <w:vMerge w:val="restart"/>
            <w:tcBorders>
              <w:top w:val="single" w:sz="4" w:space="0" w:color="000000"/>
              <w:left w:val="single" w:sz="10" w:space="0" w:color="D2D2D2"/>
              <w:right w:val="single" w:sz="4" w:space="0" w:color="000000"/>
            </w:tcBorders>
          </w:tcPr>
          <w:p>
            <w:pPr/>
          </w:p>
        </w:tc>
        <w:tc>
          <w:tcPr>
            <w:tcW w:w="92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929"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before="58"/>
              <w:ind w:left="36" w:right="0"/>
              <w:jc w:val="left"/>
              <w:rPr>
                <w:rFonts w:ascii="宋体" w:hAnsi="宋体" w:cs="宋体" w:eastAsia="宋体" w:hint="default"/>
                <w:sz w:val="18"/>
                <w:szCs w:val="18"/>
              </w:rPr>
            </w:pPr>
            <w:r>
              <w:rPr>
                <w:rFonts w:ascii="宋体"/>
                <w:sz w:val="18"/>
              </w:rPr>
              <w:t>42,269,63</w:t>
            </w:r>
          </w:p>
          <w:p>
            <w:pPr>
              <w:pStyle w:val="TableParagraph"/>
              <w:spacing w:line="240" w:lineRule="auto" w:before="77"/>
              <w:ind w:left="487" w:right="0"/>
              <w:jc w:val="left"/>
              <w:rPr>
                <w:rFonts w:ascii="宋体" w:hAnsi="宋体" w:cs="宋体" w:eastAsia="宋体" w:hint="default"/>
                <w:sz w:val="18"/>
                <w:szCs w:val="18"/>
              </w:rPr>
            </w:pPr>
            <w:r>
              <w:rPr>
                <w:rFonts w:ascii="宋体"/>
                <w:sz w:val="18"/>
              </w:rPr>
              <w:t>6.32</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58"/>
              <w:ind w:left="47" w:right="0"/>
              <w:jc w:val="left"/>
              <w:rPr>
                <w:rFonts w:ascii="宋体" w:hAnsi="宋体" w:cs="宋体" w:eastAsia="宋体" w:hint="default"/>
                <w:sz w:val="18"/>
                <w:szCs w:val="18"/>
              </w:rPr>
            </w:pPr>
            <w:r>
              <w:rPr>
                <w:rFonts w:ascii="宋体"/>
                <w:sz w:val="18"/>
              </w:rPr>
              <w:t>42,269,63</w:t>
            </w:r>
          </w:p>
          <w:p>
            <w:pPr>
              <w:pStyle w:val="TableParagraph"/>
              <w:spacing w:line="240" w:lineRule="auto" w:before="77"/>
              <w:ind w:left="499" w:right="0"/>
              <w:jc w:val="left"/>
              <w:rPr>
                <w:rFonts w:ascii="宋体" w:hAnsi="宋体" w:cs="宋体" w:eastAsia="宋体" w:hint="default"/>
                <w:sz w:val="18"/>
                <w:szCs w:val="18"/>
              </w:rPr>
            </w:pPr>
            <w:r>
              <w:rPr>
                <w:rFonts w:ascii="宋体"/>
                <w:sz w:val="18"/>
              </w:rPr>
              <w:t>6.32</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009" w:type="dxa"/>
            <w:vMerge/>
            <w:tcBorders>
              <w:left w:val="single" w:sz="10" w:space="0" w:color="D2D2D2"/>
              <w:right w:val="single" w:sz="4" w:space="0" w:color="000000"/>
            </w:tcBorders>
          </w:tcPr>
          <w:p>
            <w:pPr/>
          </w:p>
        </w:tc>
        <w:tc>
          <w:tcPr>
            <w:tcW w:w="92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29"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9" w:type="dxa"/>
            <w:vMerge/>
            <w:tcBorders>
              <w:left w:val="single" w:sz="10" w:space="0" w:color="D2D2D2"/>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3"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9" w:type="dxa"/>
            <w:vMerge w:val="restart"/>
            <w:tcBorders>
              <w:top w:val="single" w:sz="4" w:space="0" w:color="000000"/>
              <w:left w:val="single" w:sz="10" w:space="0" w:color="D2D2D2"/>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3,000,000.</w:t>
            </w:r>
          </w:p>
          <w:p>
            <w:pPr>
              <w:pStyle w:val="TableParagraph"/>
              <w:spacing w:line="240" w:lineRule="auto" w:before="74"/>
              <w:ind w:right="17"/>
              <w:jc w:val="right"/>
              <w:rPr>
                <w:rFonts w:ascii="宋体" w:hAnsi="宋体" w:cs="宋体" w:eastAsia="宋体" w:hint="default"/>
                <w:sz w:val="18"/>
                <w:szCs w:val="18"/>
              </w:rPr>
            </w:pPr>
            <w:r>
              <w:rPr>
                <w:rFonts w:ascii="宋体"/>
                <w:sz w:val="18"/>
              </w:rPr>
              <w:t>00</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61"/>
              <w:ind w:left="81" w:right="0"/>
              <w:jc w:val="left"/>
              <w:rPr>
                <w:rFonts w:ascii="宋体" w:hAnsi="宋体" w:cs="宋体" w:eastAsia="宋体" w:hint="default"/>
                <w:sz w:val="18"/>
                <w:szCs w:val="18"/>
              </w:rPr>
            </w:pPr>
            <w:r>
              <w:rPr>
                <w:rFonts w:ascii="宋体"/>
                <w:sz w:val="18"/>
              </w:rPr>
              <w:t>27,775,30</w:t>
            </w:r>
          </w:p>
          <w:p>
            <w:pPr>
              <w:pStyle w:val="TableParagraph"/>
              <w:spacing w:line="240" w:lineRule="auto" w:before="74"/>
              <w:ind w:left="532" w:right="0"/>
              <w:jc w:val="left"/>
              <w:rPr>
                <w:rFonts w:ascii="宋体" w:hAnsi="宋体" w:cs="宋体" w:eastAsia="宋体" w:hint="default"/>
                <w:sz w:val="18"/>
                <w:szCs w:val="18"/>
              </w:rPr>
            </w:pPr>
            <w:r>
              <w:rPr>
                <w:rFonts w:ascii="宋体"/>
                <w:sz w:val="18"/>
              </w:rPr>
              <w:t>9.03</w:t>
            </w:r>
          </w:p>
        </w:tc>
        <w:tc>
          <w:tcPr>
            <w:tcW w:w="73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929"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87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61"/>
              <w:ind w:left="47" w:right="0"/>
              <w:jc w:val="left"/>
              <w:rPr>
                <w:rFonts w:ascii="宋体" w:hAnsi="宋体" w:cs="宋体" w:eastAsia="宋体" w:hint="default"/>
                <w:sz w:val="18"/>
                <w:szCs w:val="18"/>
              </w:rPr>
            </w:pPr>
            <w:r>
              <w:rPr>
                <w:rFonts w:ascii="宋体"/>
                <w:sz w:val="18"/>
              </w:rPr>
              <w:t>30,775,30</w:t>
            </w:r>
          </w:p>
          <w:p>
            <w:pPr>
              <w:pStyle w:val="TableParagraph"/>
              <w:spacing w:line="240" w:lineRule="auto" w:before="74"/>
              <w:ind w:left="499" w:right="0"/>
              <w:jc w:val="left"/>
              <w:rPr>
                <w:rFonts w:ascii="宋体" w:hAnsi="宋体" w:cs="宋体" w:eastAsia="宋体" w:hint="default"/>
                <w:sz w:val="18"/>
                <w:szCs w:val="18"/>
              </w:rPr>
            </w:pPr>
            <w:r>
              <w:rPr>
                <w:rFonts w:ascii="宋体"/>
                <w:sz w:val="18"/>
              </w:rPr>
              <w:t>9.03</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009" w:type="dxa"/>
            <w:vMerge/>
            <w:tcBorders>
              <w:left w:val="single" w:sz="10" w:space="0" w:color="D2D2D2"/>
              <w:right w:val="single" w:sz="4" w:space="0" w:color="000000"/>
            </w:tcBorders>
          </w:tcPr>
          <w:p>
            <w:pPr/>
          </w:p>
        </w:tc>
        <w:tc>
          <w:tcPr>
            <w:tcW w:w="92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29"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9" w:type="dxa"/>
            <w:vMerge/>
            <w:tcBorders>
              <w:left w:val="single" w:sz="10" w:space="0" w:color="D2D2D2"/>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9" w:type="dxa"/>
            <w:vMerge w:val="restart"/>
            <w:tcBorders>
              <w:top w:val="single" w:sz="4" w:space="0" w:color="000000"/>
              <w:left w:val="single" w:sz="10" w:space="0" w:color="D2D2D2"/>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3,000,000.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58"/>
              <w:ind w:left="81" w:right="0"/>
              <w:jc w:val="left"/>
              <w:rPr>
                <w:rFonts w:ascii="宋体" w:hAnsi="宋体" w:cs="宋体" w:eastAsia="宋体" w:hint="default"/>
                <w:sz w:val="18"/>
                <w:szCs w:val="18"/>
              </w:rPr>
            </w:pPr>
            <w:r>
              <w:rPr>
                <w:rFonts w:ascii="宋体"/>
                <w:sz w:val="18"/>
              </w:rPr>
              <w:t>22,530,00</w:t>
            </w:r>
          </w:p>
          <w:p>
            <w:pPr>
              <w:pStyle w:val="TableParagraph"/>
              <w:spacing w:line="240" w:lineRule="auto" w:before="76"/>
              <w:ind w:left="532" w:right="0"/>
              <w:jc w:val="left"/>
              <w:rPr>
                <w:rFonts w:ascii="宋体" w:hAnsi="宋体" w:cs="宋体" w:eastAsia="宋体" w:hint="default"/>
                <w:sz w:val="18"/>
                <w:szCs w:val="18"/>
              </w:rPr>
            </w:pPr>
            <w:r>
              <w:rPr>
                <w:rFonts w:ascii="宋体"/>
                <w:sz w:val="18"/>
              </w:rPr>
              <w:t>0.00</w:t>
            </w:r>
          </w:p>
        </w:tc>
        <w:tc>
          <w:tcPr>
            <w:tcW w:w="73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929"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87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58"/>
              <w:ind w:left="47" w:right="0"/>
              <w:jc w:val="left"/>
              <w:rPr>
                <w:rFonts w:ascii="宋体" w:hAnsi="宋体" w:cs="宋体" w:eastAsia="宋体" w:hint="default"/>
                <w:sz w:val="18"/>
                <w:szCs w:val="18"/>
              </w:rPr>
            </w:pPr>
            <w:r>
              <w:rPr>
                <w:rFonts w:ascii="宋体"/>
                <w:sz w:val="18"/>
              </w:rPr>
              <w:t>25,530,00</w:t>
            </w:r>
          </w:p>
          <w:p>
            <w:pPr>
              <w:pStyle w:val="TableParagraph"/>
              <w:spacing w:line="240" w:lineRule="auto" w:before="76"/>
              <w:ind w:left="499" w:right="0"/>
              <w:jc w:val="left"/>
              <w:rPr>
                <w:rFonts w:ascii="宋体" w:hAnsi="宋体" w:cs="宋体" w:eastAsia="宋体" w:hint="default"/>
                <w:sz w:val="18"/>
                <w:szCs w:val="18"/>
              </w:rPr>
            </w:pPr>
            <w:r>
              <w:rPr>
                <w:rFonts w:ascii="宋体"/>
                <w:sz w:val="18"/>
              </w:rPr>
              <w:t>0.00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009" w:type="dxa"/>
            <w:vMerge/>
            <w:tcBorders>
              <w:left w:val="single" w:sz="10" w:space="0" w:color="D2D2D2"/>
              <w:right w:val="single" w:sz="4" w:space="0" w:color="000000"/>
            </w:tcBorders>
          </w:tcPr>
          <w:p>
            <w:pPr/>
          </w:p>
        </w:tc>
        <w:tc>
          <w:tcPr>
            <w:tcW w:w="92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29"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9" w:type="dxa"/>
            <w:vMerge/>
            <w:tcBorders>
              <w:left w:val="single" w:sz="10" w:space="0" w:color="D2D2D2"/>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5"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1"/>
              <w:ind w:left="12" w:right="7"/>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1009" w:type="dxa"/>
            <w:tcBorders>
              <w:top w:val="single" w:sz="4" w:space="0" w:color="000000"/>
              <w:left w:val="single" w:sz="13" w:space="0" w:color="D2D2D2"/>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5,245,309</w:t>
            </w:r>
          </w:p>
          <w:p>
            <w:pPr>
              <w:pStyle w:val="TableParagraph"/>
              <w:spacing w:line="240" w:lineRule="auto" w:before="74"/>
              <w:ind w:right="17"/>
              <w:jc w:val="right"/>
              <w:rPr>
                <w:rFonts w:ascii="宋体" w:hAnsi="宋体" w:cs="宋体" w:eastAsia="宋体" w:hint="default"/>
                <w:sz w:val="18"/>
                <w:szCs w:val="18"/>
              </w:rPr>
            </w:pPr>
            <w:r>
              <w:rPr>
                <w:rFonts w:ascii="宋体"/>
                <w:sz w:val="18"/>
              </w:rPr>
              <w:t>.03</w:t>
            </w: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5,245,309</w:t>
            </w:r>
          </w:p>
          <w:p>
            <w:pPr>
              <w:pStyle w:val="TableParagraph"/>
              <w:spacing w:line="240" w:lineRule="auto" w:before="74"/>
              <w:ind w:right="17"/>
              <w:jc w:val="right"/>
              <w:rPr>
                <w:rFonts w:ascii="宋体" w:hAnsi="宋体" w:cs="宋体" w:eastAsia="宋体" w:hint="default"/>
                <w:sz w:val="18"/>
                <w:szCs w:val="18"/>
              </w:rPr>
            </w:pPr>
            <w:r>
              <w:rPr>
                <w:rFonts w:ascii="宋体"/>
                <w:sz w:val="18"/>
              </w:rPr>
              <w:t>.03</w:t>
            </w: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09" w:type="dxa"/>
            <w:tcBorders>
              <w:top w:val="single" w:sz="4" w:space="0" w:color="000000"/>
              <w:left w:val="single" w:sz="13" w:space="0" w:color="D2D2D2"/>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0" w:left="980" w:right="0"/>
        </w:sectPr>
      </w:pPr>
    </w:p>
    <w:p>
      <w:pPr>
        <w:spacing w:line="240" w:lineRule="auto" w:before="8"/>
        <w:rPr>
          <w:rFonts w:ascii="宋体" w:hAnsi="宋体" w:cs="宋体" w:eastAsia="宋体" w:hint="default"/>
          <w:sz w:val="24"/>
          <w:szCs w:val="24"/>
        </w:rPr>
      </w:pPr>
      <w:r>
        <w:rPr/>
        <w:pict>
          <v:group style="position:absolute;margin-left:174.600006pt;margin-top:254.905975pt;width:54.3pt;height:56.55pt;mso-position-horizontal-relative:page;mso-position-vertical-relative:page;z-index:-771976" coordorigin="3492,5098" coordsize="1086,1131">
            <v:group style="position:absolute;left:3627;top:5110;width:2;height:704" coordorigin="3627,5110" coordsize="2,704">
              <v:shape style="position:absolute;left:3627;top:5110;width:2;height:704" coordorigin="3627,5110" coordsize="0,704" path="m3627,5110l3627,5814e" filled="false" stroked="true" strokeweight="1.2pt" strokecolor="#ffffff">
                <v:path arrowok="t"/>
              </v:shape>
            </v:group>
            <v:group style="position:absolute;left:3639;top:5110;width:939;height:354" coordorigin="3639,5110" coordsize="939,354">
              <v:shape style="position:absolute;left:3639;top:5110;width:939;height:354" coordorigin="3639,5110" coordsize="939,354" path="m3639,5463l4578,5463,4578,5110,3639,5110,3639,5463xe" filled="true" fillcolor="#ffffff" stroked="false">
                <v:path arrowok="t"/>
                <v:fill type="solid"/>
              </v:shape>
            </v:group>
            <v:group style="position:absolute;left:3639;top:5463;width:939;height:351" coordorigin="3639,5463" coordsize="939,351">
              <v:shape style="position:absolute;left:3639;top:5463;width:939;height:351" coordorigin="3639,5463" coordsize="939,351" path="m3639,5814l4578,5814,4578,5463,3639,5463,3639,5814xe" filled="true" fillcolor="#ffffff" stroked="false">
                <v:path arrowok="t"/>
                <v:fill type="solid"/>
              </v:shape>
            </v:group>
            <v:group style="position:absolute;left:3627;top:5826;width:2;height:392" coordorigin="3627,5826" coordsize="2,392">
              <v:shape style="position:absolute;left:3627;top:5826;width:2;height:392" coordorigin="3627,5826" coordsize="0,392" path="m3627,5826l3627,6217e" filled="false" stroked="true" strokeweight="1.2pt" strokecolor="#ffffff">
                <v:path arrowok="t"/>
              </v:shape>
            </v:group>
            <v:group style="position:absolute;left:3639;top:5826;width:939;height:392" coordorigin="3639,5826" coordsize="939,392">
              <v:shape style="position:absolute;left:3639;top:5826;width:939;height:392" coordorigin="3639,5826" coordsize="939,392" path="m3639,6217l4578,6217,4578,5826,3639,5826,3639,6217xe" filled="true" fillcolor="#ffffff" stroked="false">
                <v:path arrowok="t"/>
                <v:fill type="solid"/>
              </v:shape>
              <v:shape style="position:absolute;left:3492;top:537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shape style="position:absolute;margin-left:460.320007pt;margin-top:764.919983pt;width:135.0pt;height:77pt;mso-position-horizontal-relative:page;mso-position-vertical-relative:page;z-index:-771952" type="#_x0000_t75" stroked="false">
            <v:imagedata r:id="rId6" o:title=""/>
          </v:shape>
        </w:pict>
      </w:r>
    </w:p>
    <w:tbl>
      <w:tblPr>
        <w:tblW w:w="0" w:type="auto"/>
        <w:jc w:val="left"/>
        <w:tblInd w:w="149" w:type="dxa"/>
        <w:tblLayout w:type="fixed"/>
        <w:tblCellMar>
          <w:top w:w="0" w:type="dxa"/>
          <w:left w:w="0" w:type="dxa"/>
          <w:bottom w:w="0" w:type="dxa"/>
          <w:right w:w="0" w:type="dxa"/>
        </w:tblCellMar>
        <w:tblLook w:val="01E0"/>
      </w:tblPr>
      <w:tblGrid>
        <w:gridCol w:w="2476"/>
        <w:gridCol w:w="66"/>
        <w:gridCol w:w="931"/>
        <w:gridCol w:w="924"/>
        <w:gridCol w:w="734"/>
        <w:gridCol w:w="886"/>
        <w:gridCol w:w="929"/>
        <w:gridCol w:w="853"/>
        <w:gridCol w:w="878"/>
        <w:gridCol w:w="890"/>
      </w:tblGrid>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997"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4,226,963</w:t>
            </w:r>
          </w:p>
          <w:p>
            <w:pPr>
              <w:pStyle w:val="TableParagraph"/>
              <w:spacing w:line="240" w:lineRule="auto" w:before="77"/>
              <w:ind w:right="17"/>
              <w:jc w:val="right"/>
              <w:rPr>
                <w:rFonts w:ascii="宋体" w:hAnsi="宋体" w:cs="宋体" w:eastAsia="宋体" w:hint="default"/>
                <w:sz w:val="18"/>
                <w:szCs w:val="18"/>
              </w:rPr>
            </w:pPr>
            <w:r>
              <w:rPr>
                <w:rFonts w:ascii="宋体"/>
                <w:sz w:val="18"/>
              </w:rPr>
              <w:t>.63</w:t>
            </w: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sz w:val="18"/>
              </w:rPr>
              <w:t>-24,506,9</w:t>
            </w:r>
          </w:p>
          <w:p>
            <w:pPr>
              <w:pStyle w:val="TableParagraph"/>
              <w:spacing w:line="240" w:lineRule="auto" w:before="77"/>
              <w:ind w:left="396" w:right="0"/>
              <w:jc w:val="left"/>
              <w:rPr>
                <w:rFonts w:ascii="宋体" w:hAnsi="宋体" w:cs="宋体" w:eastAsia="宋体" w:hint="default"/>
                <w:sz w:val="18"/>
                <w:szCs w:val="18"/>
              </w:rPr>
            </w:pPr>
            <w:r>
              <w:rPr>
                <w:rFonts w:ascii="宋体"/>
                <w:sz w:val="18"/>
              </w:rPr>
              <w:t>63.63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left"/>
              <w:rPr>
                <w:rFonts w:ascii="宋体" w:hAnsi="宋体" w:cs="宋体" w:eastAsia="宋体" w:hint="default"/>
                <w:sz w:val="18"/>
                <w:szCs w:val="18"/>
              </w:rPr>
            </w:pPr>
            <w:r>
              <w:rPr>
                <w:rFonts w:ascii="宋体"/>
                <w:sz w:val="18"/>
              </w:rPr>
              <w:t>-20,280,0</w:t>
            </w:r>
          </w:p>
          <w:p>
            <w:pPr>
              <w:pStyle w:val="TableParagraph"/>
              <w:spacing w:line="240" w:lineRule="auto" w:before="77"/>
              <w:ind w:left="407" w:right="0"/>
              <w:jc w:val="left"/>
              <w:rPr>
                <w:rFonts w:ascii="宋体" w:hAnsi="宋体" w:cs="宋体" w:eastAsia="宋体" w:hint="default"/>
                <w:sz w:val="18"/>
                <w:szCs w:val="18"/>
              </w:rPr>
            </w:pPr>
            <w:r>
              <w:rPr>
                <w:rFonts w:ascii="宋体"/>
                <w:sz w:val="18"/>
              </w:rPr>
              <w:t>00.00</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997"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4,226,963</w:t>
            </w:r>
          </w:p>
          <w:p>
            <w:pPr>
              <w:pStyle w:val="TableParagraph"/>
              <w:spacing w:line="240" w:lineRule="auto" w:before="74"/>
              <w:ind w:right="17"/>
              <w:jc w:val="right"/>
              <w:rPr>
                <w:rFonts w:ascii="宋体" w:hAnsi="宋体" w:cs="宋体" w:eastAsia="宋体" w:hint="default"/>
                <w:sz w:val="18"/>
                <w:szCs w:val="18"/>
              </w:rPr>
            </w:pPr>
            <w:r>
              <w:rPr>
                <w:rFonts w:ascii="宋体"/>
                <w:sz w:val="18"/>
              </w:rPr>
              <w:t>.63</w:t>
            </w: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 w:right="0"/>
              <w:jc w:val="left"/>
              <w:rPr>
                <w:rFonts w:ascii="宋体" w:hAnsi="宋体" w:cs="宋体" w:eastAsia="宋体" w:hint="default"/>
                <w:sz w:val="18"/>
                <w:szCs w:val="18"/>
              </w:rPr>
            </w:pPr>
            <w:r>
              <w:rPr>
                <w:rFonts w:ascii="宋体"/>
                <w:sz w:val="18"/>
              </w:rPr>
              <w:t>-4,226,96</w:t>
            </w:r>
          </w:p>
          <w:p>
            <w:pPr>
              <w:pStyle w:val="TableParagraph"/>
              <w:spacing w:line="240" w:lineRule="auto" w:before="74"/>
              <w:ind w:left="487" w:right="0"/>
              <w:jc w:val="left"/>
              <w:rPr>
                <w:rFonts w:ascii="宋体" w:hAnsi="宋体" w:cs="宋体" w:eastAsia="宋体" w:hint="default"/>
                <w:sz w:val="18"/>
                <w:szCs w:val="18"/>
              </w:rPr>
            </w:pPr>
            <w:r>
              <w:rPr>
                <w:rFonts w:ascii="宋体"/>
                <w:sz w:val="18"/>
              </w:rPr>
              <w:t>3.63</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997"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997"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 w:right="0"/>
              <w:jc w:val="left"/>
              <w:rPr>
                <w:rFonts w:ascii="宋体" w:hAnsi="宋体" w:cs="宋体" w:eastAsia="宋体" w:hint="default"/>
                <w:sz w:val="18"/>
                <w:szCs w:val="18"/>
              </w:rPr>
            </w:pPr>
            <w:r>
              <w:rPr>
                <w:rFonts w:ascii="宋体"/>
                <w:sz w:val="18"/>
              </w:rPr>
              <w:t>-20,280,0</w:t>
            </w:r>
          </w:p>
          <w:p>
            <w:pPr>
              <w:pStyle w:val="TableParagraph"/>
              <w:spacing w:line="240" w:lineRule="auto" w:before="74"/>
              <w:ind w:left="396" w:right="0"/>
              <w:jc w:val="left"/>
              <w:rPr>
                <w:rFonts w:ascii="宋体" w:hAnsi="宋体" w:cs="宋体" w:eastAsia="宋体" w:hint="default"/>
                <w:sz w:val="18"/>
                <w:szCs w:val="18"/>
              </w:rPr>
            </w:pPr>
            <w:r>
              <w:rPr>
                <w:rFonts w:ascii="宋体"/>
                <w:sz w:val="18"/>
              </w:rPr>
              <w:t>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left"/>
              <w:rPr>
                <w:rFonts w:ascii="宋体" w:hAnsi="宋体" w:cs="宋体" w:eastAsia="宋体" w:hint="default"/>
                <w:sz w:val="18"/>
                <w:szCs w:val="18"/>
              </w:rPr>
            </w:pPr>
            <w:r>
              <w:rPr>
                <w:rFonts w:ascii="宋体"/>
                <w:sz w:val="18"/>
              </w:rPr>
              <w:t>-20,280,0</w:t>
            </w:r>
          </w:p>
          <w:p>
            <w:pPr>
              <w:pStyle w:val="TableParagraph"/>
              <w:spacing w:line="240" w:lineRule="auto" w:before="74"/>
              <w:ind w:left="407" w:right="0"/>
              <w:jc w:val="left"/>
              <w:rPr>
                <w:rFonts w:ascii="宋体" w:hAnsi="宋体" w:cs="宋体" w:eastAsia="宋体" w:hint="default"/>
                <w:sz w:val="18"/>
                <w:szCs w:val="18"/>
              </w:rPr>
            </w:pPr>
            <w:r>
              <w:rPr>
                <w:rFonts w:ascii="宋体"/>
                <w:sz w:val="18"/>
              </w:rPr>
              <w:t>00.00</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997"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9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left"/>
              <w:rPr>
                <w:rFonts w:ascii="宋体" w:hAnsi="宋体" w:cs="宋体" w:eastAsia="宋体" w:hint="default"/>
                <w:sz w:val="18"/>
                <w:szCs w:val="18"/>
              </w:rPr>
            </w:pPr>
            <w:r>
              <w:rPr>
                <w:rFonts w:ascii="宋体"/>
                <w:sz w:val="18"/>
              </w:rPr>
              <w:t>104,400,00</w:t>
            </w:r>
          </w:p>
          <w:p>
            <w:pPr>
              <w:pStyle w:val="TableParagraph"/>
              <w:spacing w:line="240" w:lineRule="auto" w:before="74"/>
              <w:ind w:left="605" w:right="0"/>
              <w:jc w:val="left"/>
              <w:rPr>
                <w:rFonts w:ascii="宋体" w:hAnsi="宋体" w:cs="宋体" w:eastAsia="宋体" w:hint="default"/>
                <w:sz w:val="18"/>
                <w:szCs w:val="18"/>
              </w:rPr>
            </w:pPr>
            <w:r>
              <w:rPr>
                <w:rFonts w:ascii="宋体"/>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1" w:right="0"/>
              <w:jc w:val="left"/>
              <w:rPr>
                <w:rFonts w:ascii="宋体" w:hAnsi="宋体" w:cs="宋体" w:eastAsia="宋体" w:hint="default"/>
                <w:sz w:val="18"/>
                <w:szCs w:val="18"/>
              </w:rPr>
            </w:pPr>
            <w:r>
              <w:rPr>
                <w:rFonts w:ascii="宋体"/>
                <w:sz w:val="18"/>
              </w:rPr>
              <w:t>-104,400,</w:t>
            </w:r>
          </w:p>
          <w:p>
            <w:pPr>
              <w:pStyle w:val="TableParagraph"/>
              <w:spacing w:line="240" w:lineRule="auto" w:before="74"/>
              <w:ind w:left="352" w:right="0"/>
              <w:jc w:val="left"/>
              <w:rPr>
                <w:rFonts w:ascii="宋体" w:hAnsi="宋体" w:cs="宋体" w:eastAsia="宋体" w:hint="default"/>
                <w:sz w:val="18"/>
                <w:szCs w:val="18"/>
              </w:rPr>
            </w:pPr>
            <w:r>
              <w:rPr>
                <w:rFonts w:ascii="宋体"/>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1</w:t>
            </w:r>
            <w:r>
              <w:rPr>
                <w:rFonts w:ascii="宋体" w:hAnsi="宋体" w:cs="宋体" w:eastAsia="宋体" w:hint="default"/>
                <w:spacing w:val="-8"/>
                <w:sz w:val="18"/>
                <w:szCs w:val="18"/>
              </w:rPr>
              <w:t>．资本公积转增资本（或股本</w:t>
            </w:r>
          </w:p>
        </w:tc>
        <w:tc>
          <w:tcPr>
            <w:tcW w:w="66" w:type="dxa"/>
            <w:tcBorders>
              <w:top w:val="single" w:sz="4" w:space="0" w:color="000000"/>
              <w:left w:val="single" w:sz="4" w:space="0" w:color="000000"/>
              <w:bottom w:val="single" w:sz="4" w:space="0" w:color="000000"/>
              <w:right w:val="nil" w:sz="6" w:space="0" w:color="auto"/>
            </w:tcBorders>
          </w:tcPr>
          <w:p>
            <w:pPr/>
          </w:p>
        </w:tc>
        <w:tc>
          <w:tcPr>
            <w:tcW w:w="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3" w:right="0"/>
              <w:jc w:val="left"/>
              <w:rPr>
                <w:rFonts w:ascii="宋体" w:hAnsi="宋体" w:cs="宋体" w:eastAsia="宋体" w:hint="default"/>
                <w:sz w:val="18"/>
                <w:szCs w:val="18"/>
              </w:rPr>
            </w:pPr>
            <w:r>
              <w:rPr>
                <w:rFonts w:ascii="宋体"/>
                <w:sz w:val="18"/>
              </w:rPr>
              <w:t>104,400,00</w:t>
            </w:r>
          </w:p>
          <w:p>
            <w:pPr>
              <w:pStyle w:val="TableParagraph"/>
              <w:spacing w:line="240" w:lineRule="auto" w:before="76"/>
              <w:ind w:left="544" w:right="0"/>
              <w:jc w:val="left"/>
              <w:rPr>
                <w:rFonts w:ascii="宋体" w:hAnsi="宋体" w:cs="宋体" w:eastAsia="宋体" w:hint="default"/>
                <w:sz w:val="18"/>
                <w:szCs w:val="18"/>
              </w:rPr>
            </w:pPr>
            <w:r>
              <w:rPr>
                <w:rFonts w:ascii="宋体"/>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 w:right="0"/>
              <w:jc w:val="left"/>
              <w:rPr>
                <w:rFonts w:ascii="宋体" w:hAnsi="宋体" w:cs="宋体" w:eastAsia="宋体" w:hint="default"/>
                <w:sz w:val="18"/>
                <w:szCs w:val="18"/>
              </w:rPr>
            </w:pPr>
            <w:r>
              <w:rPr>
                <w:rFonts w:ascii="宋体"/>
                <w:sz w:val="18"/>
              </w:rPr>
              <w:t>-104,400,</w:t>
            </w:r>
          </w:p>
          <w:p>
            <w:pPr>
              <w:pStyle w:val="TableParagraph"/>
              <w:spacing w:line="240" w:lineRule="auto" w:before="76"/>
              <w:ind w:left="352" w:right="0"/>
              <w:jc w:val="left"/>
              <w:rPr>
                <w:rFonts w:ascii="宋体" w:hAnsi="宋体" w:cs="宋体" w:eastAsia="宋体" w:hint="default"/>
                <w:sz w:val="18"/>
                <w:szCs w:val="18"/>
              </w:rPr>
            </w:pPr>
            <w:r>
              <w:rPr>
                <w:rFonts w:ascii="宋体"/>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宋体" w:hAnsi="宋体" w:cs="宋体" w:eastAsia="宋体" w:hint="default"/>
                <w:spacing w:val="-8"/>
                <w:sz w:val="18"/>
                <w:szCs w:val="18"/>
              </w:rPr>
              <w:t>．盈余公积转增资本（或股本</w:t>
            </w:r>
          </w:p>
        </w:tc>
        <w:tc>
          <w:tcPr>
            <w:tcW w:w="9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997"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997"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997"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997"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997"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997"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9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sz w:val="18"/>
              </w:rPr>
              <w:t>208,800,00</w:t>
            </w:r>
          </w:p>
          <w:p>
            <w:pPr>
              <w:pStyle w:val="TableParagraph"/>
              <w:spacing w:line="240" w:lineRule="auto" w:before="77"/>
              <w:ind w:left="605" w:right="0"/>
              <w:jc w:val="left"/>
              <w:rPr>
                <w:rFonts w:ascii="宋体" w:hAnsi="宋体" w:cs="宋体" w:eastAsia="宋体" w:hint="default"/>
                <w:sz w:val="18"/>
                <w:szCs w:val="18"/>
              </w:rPr>
            </w:pPr>
            <w:r>
              <w:rPr>
                <w:rFonts w:ascii="宋体"/>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 w:right="0"/>
              <w:jc w:val="left"/>
              <w:rPr>
                <w:rFonts w:ascii="宋体" w:hAnsi="宋体" w:cs="宋体" w:eastAsia="宋体" w:hint="default"/>
                <w:sz w:val="18"/>
                <w:szCs w:val="18"/>
              </w:rPr>
            </w:pPr>
            <w:r>
              <w:rPr>
                <w:rFonts w:ascii="宋体"/>
                <w:sz w:val="18"/>
              </w:rPr>
              <w:t>283,179,4</w:t>
            </w:r>
          </w:p>
          <w:p>
            <w:pPr>
              <w:pStyle w:val="TableParagraph"/>
              <w:spacing w:line="240" w:lineRule="auto" w:before="77"/>
              <w:ind w:left="441" w:right="0"/>
              <w:jc w:val="left"/>
              <w:rPr>
                <w:rFonts w:ascii="宋体" w:hAnsi="宋体" w:cs="宋体" w:eastAsia="宋体" w:hint="default"/>
                <w:sz w:val="18"/>
                <w:szCs w:val="18"/>
              </w:rPr>
            </w:pPr>
            <w:r>
              <w:rPr>
                <w:rFonts w:ascii="宋体"/>
                <w:sz w:val="18"/>
              </w:rPr>
              <w:t>09.03</w:t>
            </w:r>
          </w:p>
        </w:tc>
        <w:tc>
          <w:tcPr>
            <w:tcW w:w="7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sz w:val="18"/>
              </w:rPr>
              <w:t>22,224,93</w:t>
            </w:r>
          </w:p>
          <w:p>
            <w:pPr>
              <w:pStyle w:val="TableParagraph"/>
              <w:spacing w:line="240" w:lineRule="auto" w:before="77"/>
              <w:ind w:left="537" w:right="0"/>
              <w:jc w:val="left"/>
              <w:rPr>
                <w:rFonts w:ascii="宋体" w:hAnsi="宋体" w:cs="宋体" w:eastAsia="宋体" w:hint="default"/>
                <w:sz w:val="18"/>
                <w:szCs w:val="18"/>
              </w:rPr>
            </w:pPr>
            <w:r>
              <w:rPr>
                <w:rFonts w:ascii="宋体"/>
                <w:sz w:val="18"/>
              </w:rPr>
              <w:t>3.72</w:t>
            </w:r>
          </w:p>
        </w:tc>
        <w:tc>
          <w:tcPr>
            <w:tcW w:w="85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sz w:val="18"/>
              </w:rPr>
              <w:t>133,266,8</w:t>
            </w:r>
          </w:p>
          <w:p>
            <w:pPr>
              <w:pStyle w:val="TableParagraph"/>
              <w:spacing w:line="240" w:lineRule="auto" w:before="77"/>
              <w:ind w:left="396" w:right="0"/>
              <w:jc w:val="left"/>
              <w:rPr>
                <w:rFonts w:ascii="宋体" w:hAnsi="宋体" w:cs="宋体" w:eastAsia="宋体" w:hint="default"/>
                <w:sz w:val="18"/>
                <w:szCs w:val="18"/>
              </w:rPr>
            </w:pPr>
            <w:r>
              <w:rPr>
                <w:rFonts w:ascii="宋体"/>
                <w:sz w:val="18"/>
              </w:rPr>
              <w:t>14.35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left"/>
              <w:rPr>
                <w:rFonts w:ascii="宋体" w:hAnsi="宋体" w:cs="宋体" w:eastAsia="宋体" w:hint="default"/>
                <w:sz w:val="18"/>
                <w:szCs w:val="18"/>
              </w:rPr>
            </w:pPr>
            <w:r>
              <w:rPr>
                <w:rFonts w:ascii="宋体"/>
                <w:sz w:val="18"/>
              </w:rPr>
              <w:t>647,471,1</w:t>
            </w:r>
          </w:p>
          <w:p>
            <w:pPr>
              <w:pStyle w:val="TableParagraph"/>
              <w:spacing w:line="240" w:lineRule="auto" w:before="77"/>
              <w:ind w:left="407" w:right="0"/>
              <w:jc w:val="left"/>
              <w:rPr>
                <w:rFonts w:ascii="宋体" w:hAnsi="宋体" w:cs="宋体" w:eastAsia="宋体" w:hint="default"/>
                <w:sz w:val="18"/>
                <w:szCs w:val="18"/>
              </w:rPr>
            </w:pPr>
            <w:r>
              <w:rPr>
                <w:rFonts w:ascii="宋体"/>
                <w:sz w:val="18"/>
              </w:rPr>
              <w:t>57.10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4"/>
        <w:gridCol w:w="977"/>
        <w:gridCol w:w="924"/>
        <w:gridCol w:w="754"/>
        <w:gridCol w:w="884"/>
        <w:gridCol w:w="910"/>
        <w:gridCol w:w="860"/>
        <w:gridCol w:w="883"/>
        <w:gridCol w:w="883"/>
      </w:tblGrid>
      <w:tr>
        <w:trPr>
          <w:trHeight w:val="40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82" w:hRule="exact"/>
        </w:trPr>
        <w:tc>
          <w:tcPr>
            <w:tcW w:w="24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0"/>
              <w:ind w:left="124"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4"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49"/>
              <w:ind w:left="103" w:right="98" w:firstLine="88"/>
              <w:jc w:val="left"/>
              <w:rPr>
                <w:rFonts w:ascii="宋体" w:hAnsi="宋体" w:cs="宋体" w:eastAsia="宋体" w:hint="default"/>
                <w:sz w:val="18"/>
                <w:szCs w:val="18"/>
              </w:rPr>
            </w:pPr>
            <w:r>
              <w:rPr>
                <w:rFonts w:ascii="宋体" w:hAnsi="宋体" w:cs="宋体" w:eastAsia="宋体" w:hint="default"/>
                <w:sz w:val="18"/>
                <w:szCs w:val="18"/>
              </w:rPr>
              <w:t>减： 库存股</w:t>
            </w: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244" w:right="6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84" w:type="dxa"/>
            <w:vMerge/>
            <w:tcBorders>
              <w:left w:val="single" w:sz="4" w:space="0" w:color="000000"/>
              <w:bottom w:val="nil" w:sz="6" w:space="0" w:color="auto"/>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54" w:type="dxa"/>
            <w:vMerge/>
            <w:tcBorders>
              <w:left w:val="single" w:sz="4" w:space="0" w:color="000000"/>
              <w:right w:val="single" w:sz="4" w:space="0" w:color="000000"/>
            </w:tcBorders>
            <w:shd w:val="clear" w:color="auto" w:fill="D2D2D2"/>
          </w:tcPr>
          <w:p>
            <w:pP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60"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84" w:type="dxa"/>
            <w:vMerge w:val="restart"/>
            <w:tcBorders>
              <w:top w:val="nil" w:sz="6" w:space="0" w:color="auto"/>
              <w:left w:val="single" w:sz="4" w:space="0" w:color="000000"/>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754" w:type="dxa"/>
            <w:vMerge/>
            <w:tcBorders>
              <w:left w:val="single" w:sz="4" w:space="0" w:color="000000"/>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910" w:type="dxa"/>
            <w:vMerge/>
            <w:tcBorders>
              <w:left w:val="single" w:sz="4" w:space="0" w:color="000000"/>
              <w:bottom w:val="nil" w:sz="6" w:space="0" w:color="auto"/>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80" w:hRule="exact"/>
        </w:trPr>
        <w:tc>
          <w:tcPr>
            <w:tcW w:w="2484" w:type="dxa"/>
            <w:vMerge/>
            <w:tcBorders>
              <w:left w:val="single" w:sz="4" w:space="0" w:color="000000"/>
              <w:bottom w:val="single" w:sz="4" w:space="0" w:color="000000"/>
              <w:right w:val="single" w:sz="4" w:space="0" w:color="000000"/>
            </w:tcBorders>
            <w:shd w:val="clear" w:color="auto" w:fill="D2D2D2"/>
          </w:tcPr>
          <w:p>
            <w:pPr/>
          </w:p>
        </w:tc>
        <w:tc>
          <w:tcPr>
            <w:tcW w:w="977" w:type="dxa"/>
            <w:vMerge/>
            <w:tcBorders>
              <w:left w:val="single" w:sz="4" w:space="0" w:color="000000"/>
              <w:bottom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4" w:type="dxa"/>
            <w:vMerge/>
            <w:tcBorders>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0"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7" w:type="dxa"/>
            <w:vMerge w:val="restart"/>
            <w:tcBorders>
              <w:top w:val="single" w:sz="8" w:space="0" w:color="D2D2D2"/>
              <w:left w:val="single" w:sz="10" w:space="0" w:color="D2D2D2"/>
              <w:right w:val="single" w:sz="4" w:space="0" w:color="000000"/>
            </w:tcBorders>
          </w:tcPr>
          <w:p>
            <w:pPr>
              <w:pStyle w:val="TableParagraph"/>
              <w:spacing w:line="240" w:lineRule="auto" w:before="44"/>
              <w:ind w:right="19"/>
              <w:jc w:val="right"/>
              <w:rPr>
                <w:rFonts w:ascii="宋体" w:hAnsi="宋体" w:cs="宋体" w:eastAsia="宋体" w:hint="default"/>
                <w:sz w:val="18"/>
                <w:szCs w:val="18"/>
              </w:rPr>
            </w:pPr>
            <w:r>
              <w:rPr>
                <w:rFonts w:ascii="宋体"/>
                <w:spacing w:val="-1"/>
                <w:sz w:val="18"/>
              </w:rPr>
              <w:t>78,000,000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49"/>
              <w:ind w:left="81" w:right="0"/>
              <w:jc w:val="left"/>
              <w:rPr>
                <w:rFonts w:ascii="宋体" w:hAnsi="宋体" w:cs="宋体" w:eastAsia="宋体" w:hint="default"/>
                <w:sz w:val="18"/>
                <w:szCs w:val="18"/>
              </w:rPr>
            </w:pPr>
            <w:r>
              <w:rPr>
                <w:rFonts w:ascii="宋体"/>
                <w:sz w:val="18"/>
              </w:rPr>
              <w:t>383,204,1</w:t>
            </w:r>
          </w:p>
          <w:p>
            <w:pPr>
              <w:pStyle w:val="TableParagraph"/>
              <w:spacing w:line="240" w:lineRule="auto" w:before="76"/>
              <w:ind w:left="441" w:right="0"/>
              <w:jc w:val="left"/>
              <w:rPr>
                <w:rFonts w:ascii="宋体" w:hAnsi="宋体" w:cs="宋体" w:eastAsia="宋体" w:hint="default"/>
                <w:sz w:val="18"/>
                <w:szCs w:val="18"/>
              </w:rPr>
            </w:pPr>
            <w:r>
              <w:rPr>
                <w:rFonts w:ascii="宋体"/>
                <w:sz w:val="18"/>
              </w:rPr>
              <w:t>00.00</w:t>
            </w:r>
          </w:p>
        </w:tc>
        <w:tc>
          <w:tcPr>
            <w:tcW w:w="75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sz w:val="18"/>
              </w:rPr>
              <w:t>14,691,14</w:t>
            </w:r>
          </w:p>
          <w:p>
            <w:pPr>
              <w:pStyle w:val="TableParagraph"/>
              <w:spacing w:line="240" w:lineRule="auto" w:before="76"/>
              <w:ind w:left="516" w:right="0"/>
              <w:jc w:val="left"/>
              <w:rPr>
                <w:rFonts w:ascii="宋体" w:hAnsi="宋体" w:cs="宋体" w:eastAsia="宋体" w:hint="default"/>
                <w:sz w:val="18"/>
                <w:szCs w:val="18"/>
              </w:rPr>
            </w:pPr>
            <w:r>
              <w:rPr>
                <w:rFonts w:ascii="宋体"/>
                <w:sz w:val="18"/>
              </w:rPr>
              <w:t>5.74</w:t>
            </w:r>
          </w:p>
        </w:tc>
        <w:tc>
          <w:tcPr>
            <w:tcW w:w="860" w:type="dxa"/>
            <w:vMerge w:val="restart"/>
            <w:tcBorders>
              <w:top w:val="single" w:sz="8" w:space="0" w:color="D2D2D2"/>
              <w:left w:val="single" w:sz="4" w:space="0" w:color="000000"/>
              <w:right w:val="single" w:sz="4" w:space="0" w:color="000000"/>
            </w:tcBorders>
          </w:tcPr>
          <w:p>
            <w:pPr/>
          </w:p>
        </w:tc>
        <w:tc>
          <w:tcPr>
            <w:tcW w:w="883" w:type="dxa"/>
            <w:vMerge w:val="restart"/>
            <w:tcBorders>
              <w:top w:val="single" w:sz="8" w:space="0" w:color="D2D2D2"/>
              <w:left w:val="single" w:sz="4" w:space="0" w:color="000000"/>
              <w:right w:val="single" w:sz="4" w:space="0" w:color="000000"/>
            </w:tcBorders>
          </w:tcPr>
          <w:p>
            <w:pPr>
              <w:pStyle w:val="TableParagraph"/>
              <w:spacing w:line="240" w:lineRule="auto" w:before="44"/>
              <w:ind w:left="40" w:right="0"/>
              <w:jc w:val="left"/>
              <w:rPr>
                <w:rFonts w:ascii="宋体" w:hAnsi="宋体" w:cs="宋体" w:eastAsia="宋体" w:hint="default"/>
                <w:sz w:val="18"/>
                <w:szCs w:val="18"/>
              </w:rPr>
            </w:pPr>
            <w:r>
              <w:rPr>
                <w:rFonts w:ascii="宋体"/>
                <w:sz w:val="18"/>
              </w:rPr>
              <w:t>85,742,72</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2.47</w:t>
            </w:r>
          </w:p>
        </w:tc>
        <w:tc>
          <w:tcPr>
            <w:tcW w:w="883" w:type="dxa"/>
            <w:vMerge w:val="restart"/>
            <w:tcBorders>
              <w:top w:val="single" w:sz="8" w:space="0" w:color="D2D2D2"/>
              <w:left w:val="single" w:sz="4" w:space="0" w:color="000000"/>
              <w:right w:val="single" w:sz="4" w:space="0" w:color="000000"/>
            </w:tcBorders>
          </w:tcPr>
          <w:p>
            <w:pPr>
              <w:pStyle w:val="TableParagraph"/>
              <w:spacing w:line="240" w:lineRule="auto" w:before="44"/>
              <w:ind w:left="38" w:right="0"/>
              <w:jc w:val="left"/>
              <w:rPr>
                <w:rFonts w:ascii="宋体" w:hAnsi="宋体" w:cs="宋体" w:eastAsia="宋体" w:hint="default"/>
                <w:sz w:val="18"/>
                <w:szCs w:val="18"/>
              </w:rPr>
            </w:pPr>
            <w:r>
              <w:rPr>
                <w:rFonts w:ascii="宋体"/>
                <w:sz w:val="18"/>
              </w:rPr>
              <w:t>561,637,9</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68.21</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977" w:type="dxa"/>
            <w:vMerge/>
            <w:tcBorders>
              <w:left w:val="single" w:sz="10" w:space="0" w:color="D2D2D2"/>
              <w:right w:val="single" w:sz="4" w:space="0" w:color="000000"/>
            </w:tcBorders>
          </w:tcPr>
          <w:p>
            <w:pPr/>
          </w:p>
        </w:tc>
        <w:tc>
          <w:tcPr>
            <w:tcW w:w="924" w:type="dxa"/>
            <w:vMerge/>
            <w:tcBorders>
              <w:left w:val="single" w:sz="4" w:space="0" w:color="000000"/>
              <w:right w:val="single" w:sz="4" w:space="0" w:color="000000"/>
            </w:tcBorders>
          </w:tcPr>
          <w:p>
            <w:pPr/>
          </w:p>
        </w:tc>
        <w:tc>
          <w:tcPr>
            <w:tcW w:w="75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860"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7" w:type="dxa"/>
            <w:vMerge/>
            <w:tcBorders>
              <w:left w:val="single" w:sz="10" w:space="0" w:color="D2D2D2"/>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75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860"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6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977" w:type="dxa"/>
            <w:tcBorders>
              <w:top w:val="single" w:sz="4" w:space="0" w:color="000000"/>
              <w:left w:val="single" w:sz="10" w:space="0" w:color="D2D2D2"/>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6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977" w:type="dxa"/>
            <w:tcBorders>
              <w:top w:val="single" w:sz="4" w:space="0" w:color="000000"/>
              <w:left w:val="single" w:sz="10" w:space="0" w:color="D2D2D2"/>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7" w:type="dxa"/>
            <w:tcBorders>
              <w:top w:val="single" w:sz="4" w:space="0" w:color="000000"/>
              <w:left w:val="single" w:sz="10" w:space="0" w:color="D2D2D2"/>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7" w:type="dxa"/>
            <w:vMerge w:val="restart"/>
            <w:tcBorders>
              <w:top w:val="single" w:sz="4" w:space="0" w:color="000000"/>
              <w:left w:val="single" w:sz="10"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78,000,000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49"/>
              <w:ind w:left="81" w:right="0"/>
              <w:jc w:val="left"/>
              <w:rPr>
                <w:rFonts w:ascii="宋体" w:hAnsi="宋体" w:cs="宋体" w:eastAsia="宋体" w:hint="default"/>
                <w:sz w:val="18"/>
                <w:szCs w:val="18"/>
              </w:rPr>
            </w:pPr>
            <w:r>
              <w:rPr>
                <w:rFonts w:ascii="宋体"/>
                <w:sz w:val="18"/>
              </w:rPr>
              <w:t>383,204,1</w:t>
            </w:r>
          </w:p>
          <w:p>
            <w:pPr>
              <w:pStyle w:val="TableParagraph"/>
              <w:spacing w:line="240" w:lineRule="auto" w:before="76"/>
              <w:ind w:left="441" w:right="0"/>
              <w:jc w:val="left"/>
              <w:rPr>
                <w:rFonts w:ascii="宋体" w:hAnsi="宋体" w:cs="宋体" w:eastAsia="宋体" w:hint="default"/>
                <w:sz w:val="18"/>
                <w:szCs w:val="18"/>
              </w:rPr>
            </w:pPr>
            <w:r>
              <w:rPr>
                <w:rFonts w:ascii="宋体"/>
                <w:sz w:val="18"/>
              </w:rPr>
              <w:t>00.00</w:t>
            </w:r>
          </w:p>
        </w:tc>
        <w:tc>
          <w:tcPr>
            <w:tcW w:w="75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sz w:val="18"/>
              </w:rPr>
              <w:t>14,691,14</w:t>
            </w:r>
          </w:p>
          <w:p>
            <w:pPr>
              <w:pStyle w:val="TableParagraph"/>
              <w:spacing w:line="240" w:lineRule="auto" w:before="76"/>
              <w:ind w:left="516" w:right="0"/>
              <w:jc w:val="left"/>
              <w:rPr>
                <w:rFonts w:ascii="宋体" w:hAnsi="宋体" w:cs="宋体" w:eastAsia="宋体" w:hint="default"/>
                <w:sz w:val="18"/>
                <w:szCs w:val="18"/>
              </w:rPr>
            </w:pPr>
            <w:r>
              <w:rPr>
                <w:rFonts w:ascii="宋体"/>
                <w:sz w:val="18"/>
              </w:rPr>
              <w:t>5.74</w:t>
            </w:r>
          </w:p>
        </w:tc>
        <w:tc>
          <w:tcPr>
            <w:tcW w:w="860"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85,742,72</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2.47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561,637,9</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68.21</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977" w:type="dxa"/>
            <w:vMerge/>
            <w:tcBorders>
              <w:left w:val="single" w:sz="10" w:space="0" w:color="D2D2D2"/>
              <w:right w:val="single" w:sz="4" w:space="0" w:color="000000"/>
            </w:tcBorders>
          </w:tcPr>
          <w:p>
            <w:pPr/>
          </w:p>
        </w:tc>
        <w:tc>
          <w:tcPr>
            <w:tcW w:w="924" w:type="dxa"/>
            <w:vMerge/>
            <w:tcBorders>
              <w:left w:val="single" w:sz="4" w:space="0" w:color="000000"/>
              <w:right w:val="single" w:sz="4" w:space="0" w:color="000000"/>
            </w:tcBorders>
          </w:tcPr>
          <w:p>
            <w:pPr/>
          </w:p>
        </w:tc>
        <w:tc>
          <w:tcPr>
            <w:tcW w:w="75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860"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7" w:type="dxa"/>
            <w:vMerge/>
            <w:tcBorders>
              <w:left w:val="single" w:sz="10" w:space="0" w:color="D2D2D2"/>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75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860"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9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23,400,000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 w:right="0"/>
              <w:jc w:val="left"/>
              <w:rPr>
                <w:rFonts w:ascii="宋体" w:hAnsi="宋体" w:cs="宋体" w:eastAsia="宋体" w:hint="default"/>
                <w:sz w:val="18"/>
                <w:szCs w:val="18"/>
              </w:rPr>
            </w:pPr>
            <w:r>
              <w:rPr>
                <w:rFonts w:ascii="宋体"/>
                <w:sz w:val="18"/>
              </w:rPr>
              <w:t>-23,400,0</w:t>
            </w:r>
          </w:p>
          <w:p>
            <w:pPr>
              <w:pStyle w:val="TableParagraph"/>
              <w:spacing w:line="240" w:lineRule="auto" w:before="76"/>
              <w:ind w:left="441" w:right="0"/>
              <w:jc w:val="left"/>
              <w:rPr>
                <w:rFonts w:ascii="宋体" w:hAnsi="宋体" w:cs="宋体" w:eastAsia="宋体" w:hint="default"/>
                <w:sz w:val="18"/>
                <w:szCs w:val="18"/>
              </w:rPr>
            </w:pPr>
            <w:r>
              <w:rPr>
                <w:rFonts w:ascii="宋体"/>
                <w:sz w:val="18"/>
              </w:rPr>
              <w:t>00.00</w:t>
            </w: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3,306,824</w:t>
            </w:r>
          </w:p>
          <w:p>
            <w:pPr>
              <w:pStyle w:val="TableParagraph"/>
              <w:spacing w:line="240" w:lineRule="auto" w:before="76"/>
              <w:ind w:right="19"/>
              <w:jc w:val="right"/>
              <w:rPr>
                <w:rFonts w:ascii="宋体" w:hAnsi="宋体" w:cs="宋体" w:eastAsia="宋体" w:hint="default"/>
                <w:sz w:val="18"/>
                <w:szCs w:val="18"/>
              </w:rPr>
            </w:pPr>
            <w:r>
              <w:rPr>
                <w:rFonts w:ascii="宋体"/>
                <w:sz w:val="18"/>
              </w:rPr>
              <w:t>.35</w:t>
            </w: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29,761,41</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9.19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33,068,24</w:t>
            </w:r>
          </w:p>
          <w:p>
            <w:pPr>
              <w:pStyle w:val="TableParagraph"/>
              <w:spacing w:line="240" w:lineRule="auto" w:before="76"/>
              <w:ind w:left="489" w:right="0"/>
              <w:jc w:val="left"/>
              <w:rPr>
                <w:rFonts w:ascii="宋体" w:hAnsi="宋体" w:cs="宋体" w:eastAsia="宋体" w:hint="default"/>
                <w:sz w:val="18"/>
                <w:szCs w:val="18"/>
              </w:rPr>
            </w:pPr>
            <w:r>
              <w:rPr>
                <w:rFonts w:ascii="宋体"/>
                <w:sz w:val="18"/>
              </w:rPr>
              <w:t>3.54</w:t>
            </w: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7" w:type="dxa"/>
            <w:vMerge w:val="restart"/>
            <w:tcBorders>
              <w:top w:val="single" w:sz="4" w:space="0" w:color="000000"/>
              <w:left w:val="single" w:sz="10" w:space="0" w:color="D2D2D2"/>
              <w:right w:val="single" w:sz="4" w:space="0" w:color="000000"/>
            </w:tcBorders>
          </w:tcPr>
          <w:p>
            <w:pPr/>
          </w:p>
        </w:tc>
        <w:tc>
          <w:tcPr>
            <w:tcW w:w="924" w:type="dxa"/>
            <w:vMerge w:val="restart"/>
            <w:tcBorders>
              <w:top w:val="single" w:sz="4" w:space="0" w:color="000000"/>
              <w:left w:val="single" w:sz="4" w:space="0" w:color="000000"/>
              <w:right w:val="single" w:sz="4" w:space="0" w:color="000000"/>
            </w:tcBorders>
          </w:tcPr>
          <w:p>
            <w:pPr/>
          </w:p>
        </w:tc>
        <w:tc>
          <w:tcPr>
            <w:tcW w:w="75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860"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33,068,24</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3.54</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33,068,24</w:t>
            </w:r>
          </w:p>
          <w:p>
            <w:pPr>
              <w:pStyle w:val="TableParagraph"/>
              <w:spacing w:line="240" w:lineRule="auto" w:before="76"/>
              <w:ind w:left="489" w:right="0"/>
              <w:jc w:val="left"/>
              <w:rPr>
                <w:rFonts w:ascii="宋体" w:hAnsi="宋体" w:cs="宋体" w:eastAsia="宋体" w:hint="default"/>
                <w:sz w:val="18"/>
                <w:szCs w:val="18"/>
              </w:rPr>
            </w:pPr>
            <w:r>
              <w:rPr>
                <w:rFonts w:ascii="宋体"/>
                <w:sz w:val="18"/>
              </w:rPr>
              <w:t>3.54</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977" w:type="dxa"/>
            <w:vMerge/>
            <w:tcBorders>
              <w:left w:val="single" w:sz="10" w:space="0" w:color="D2D2D2"/>
              <w:right w:val="single" w:sz="4" w:space="0" w:color="000000"/>
            </w:tcBorders>
          </w:tcPr>
          <w:p>
            <w:pPr/>
          </w:p>
        </w:tc>
        <w:tc>
          <w:tcPr>
            <w:tcW w:w="924" w:type="dxa"/>
            <w:vMerge/>
            <w:tcBorders>
              <w:left w:val="single" w:sz="4" w:space="0" w:color="000000"/>
              <w:right w:val="single" w:sz="4" w:space="0" w:color="000000"/>
            </w:tcBorders>
          </w:tcPr>
          <w:p>
            <w:pPr/>
          </w:p>
        </w:tc>
        <w:tc>
          <w:tcPr>
            <w:tcW w:w="75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860"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7" w:type="dxa"/>
            <w:vMerge/>
            <w:tcBorders>
              <w:left w:val="single" w:sz="10" w:space="0" w:color="D2D2D2"/>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75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860"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1227" w:header="877" w:top="1100" w:bottom="1420" w:left="980" w:right="0"/>
          <w:pgNumType w:start="72"/>
        </w:sectPr>
      </w:pPr>
    </w:p>
    <w:p>
      <w:pPr>
        <w:spacing w:line="240" w:lineRule="auto" w:before="8"/>
        <w:rPr>
          <w:rFonts w:ascii="宋体" w:hAnsi="宋体" w:cs="宋体" w:eastAsia="宋体" w:hint="default"/>
          <w:sz w:val="24"/>
          <w:szCs w:val="24"/>
        </w:rPr>
      </w:pPr>
      <w:r>
        <w:rPr/>
        <w:pict>
          <v:group style="position:absolute;margin-left:182.899994pt;margin-top:391.72998pt;width:46pt;height:55.35pt;mso-position-horizontal-relative:page;mso-position-vertical-relative:page;z-index:-771928" coordorigin="3658,7835" coordsize="920,1107">
            <v:group style="position:absolute;left:3658;top:7835;width:920;height:353" coordorigin="3658,7835" coordsize="920,353">
              <v:shape style="position:absolute;left:3658;top:7835;width:920;height:353" coordorigin="3658,7835" coordsize="920,353" path="m3658,8187l4578,8187,4578,7835,3658,7835,3658,8187xe" filled="true" fillcolor="#ffffff" stroked="false">
                <v:path arrowok="t"/>
                <v:fill type="solid"/>
              </v:shape>
            </v:group>
            <v:group style="position:absolute;left:3658;top:8187;width:920;height:351" coordorigin="3658,8187" coordsize="920,351">
              <v:shape style="position:absolute;left:3658;top:8187;width:920;height:351" coordorigin="3658,8187" coordsize="920,351" path="m3658,8538l4578,8538,4578,8187,3658,8187,3658,8538xe" filled="true" fillcolor="#ffffff" stroked="false">
                <v:path arrowok="t"/>
                <v:fill type="solid"/>
              </v:shape>
            </v:group>
            <v:group style="position:absolute;left:3658;top:8550;width:920;height:392" coordorigin="3658,8550" coordsize="920,392">
              <v:shape style="position:absolute;left:3658;top:8550;width:920;height:392" coordorigin="3658,8550" coordsize="920,392" path="m3658,8941l4578,8941,4578,8550,3658,8550,3658,8941xe" filled="true" fillcolor="#ffffff" stroked="false">
                <v:path arrowok="t"/>
                <v:fill type="solid"/>
              </v:shape>
            </v:group>
            <w10:wrap type="none"/>
          </v:group>
        </w:pict>
      </w:r>
      <w:r>
        <w:rPr/>
        <w:pict>
          <v:shape style="position:absolute;margin-left:460.320007pt;margin-top:764.919983pt;width:135.0pt;height:77pt;mso-position-horizontal-relative:page;mso-position-vertical-relative:page;z-index:1720" type="#_x0000_t75" stroked="false">
            <v:imagedata r:id="rId6" o:title=""/>
          </v:shape>
        </w:pict>
      </w:r>
    </w:p>
    <w:tbl>
      <w:tblPr>
        <w:tblW w:w="0" w:type="auto"/>
        <w:jc w:val="left"/>
        <w:tblInd w:w="149" w:type="dxa"/>
        <w:tblLayout w:type="fixed"/>
        <w:tblCellMar>
          <w:top w:w="0" w:type="dxa"/>
          <w:left w:w="0" w:type="dxa"/>
          <w:bottom w:w="0" w:type="dxa"/>
          <w:right w:w="0" w:type="dxa"/>
        </w:tblCellMar>
        <w:tblLook w:val="01E0"/>
      </w:tblPr>
      <w:tblGrid>
        <w:gridCol w:w="2495"/>
        <w:gridCol w:w="977"/>
        <w:gridCol w:w="924"/>
        <w:gridCol w:w="754"/>
        <w:gridCol w:w="884"/>
        <w:gridCol w:w="910"/>
        <w:gridCol w:w="860"/>
        <w:gridCol w:w="883"/>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97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97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sz w:val="18"/>
              </w:rPr>
              <w:t>33,068,24</w:t>
            </w:r>
          </w:p>
          <w:p>
            <w:pPr>
              <w:pStyle w:val="TableParagraph"/>
              <w:spacing w:line="240" w:lineRule="auto" w:before="74"/>
              <w:ind w:left="491" w:right="0"/>
              <w:jc w:val="left"/>
              <w:rPr>
                <w:rFonts w:ascii="宋体" w:hAnsi="宋体" w:cs="宋体" w:eastAsia="宋体" w:hint="default"/>
                <w:sz w:val="18"/>
                <w:szCs w:val="18"/>
              </w:rPr>
            </w:pPr>
            <w:r>
              <w:rPr>
                <w:rFonts w:ascii="宋体"/>
                <w:sz w:val="18"/>
              </w:rPr>
              <w:t>3.54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left"/>
              <w:rPr>
                <w:rFonts w:ascii="宋体" w:hAnsi="宋体" w:cs="宋体" w:eastAsia="宋体" w:hint="default"/>
                <w:sz w:val="18"/>
                <w:szCs w:val="18"/>
              </w:rPr>
            </w:pPr>
            <w:r>
              <w:rPr>
                <w:rFonts w:ascii="宋体"/>
                <w:sz w:val="18"/>
              </w:rPr>
              <w:t>33,068,24</w:t>
            </w:r>
          </w:p>
          <w:p>
            <w:pPr>
              <w:pStyle w:val="TableParagraph"/>
              <w:spacing w:line="240" w:lineRule="auto" w:before="74"/>
              <w:ind w:left="489" w:right="0"/>
              <w:jc w:val="left"/>
              <w:rPr>
                <w:rFonts w:ascii="宋体" w:hAnsi="宋体" w:cs="宋体" w:eastAsia="宋体" w:hint="default"/>
                <w:sz w:val="18"/>
                <w:szCs w:val="18"/>
              </w:rPr>
            </w:pPr>
            <w:r>
              <w:rPr>
                <w:rFonts w:ascii="宋体"/>
                <w:sz w:val="18"/>
              </w:rPr>
              <w:t>3.54</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97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97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 金额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97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97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3,306,824</w:t>
            </w:r>
          </w:p>
          <w:p>
            <w:pPr>
              <w:pStyle w:val="TableParagraph"/>
              <w:spacing w:line="240" w:lineRule="auto" w:before="76"/>
              <w:ind w:right="19"/>
              <w:jc w:val="right"/>
              <w:rPr>
                <w:rFonts w:ascii="宋体" w:hAnsi="宋体" w:cs="宋体" w:eastAsia="宋体" w:hint="default"/>
                <w:sz w:val="18"/>
                <w:szCs w:val="18"/>
              </w:rPr>
            </w:pPr>
            <w:r>
              <w:rPr>
                <w:rFonts w:ascii="宋体"/>
                <w:sz w:val="18"/>
              </w:rPr>
              <w:t>.35</w:t>
            </w: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-3,306,82</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4.35</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97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3,306,824</w:t>
            </w:r>
          </w:p>
          <w:p>
            <w:pPr>
              <w:pStyle w:val="TableParagraph"/>
              <w:spacing w:line="240" w:lineRule="auto" w:before="74"/>
              <w:ind w:right="19"/>
              <w:jc w:val="right"/>
              <w:rPr>
                <w:rFonts w:ascii="宋体" w:hAnsi="宋体" w:cs="宋体" w:eastAsia="宋体" w:hint="default"/>
                <w:sz w:val="18"/>
                <w:szCs w:val="18"/>
              </w:rPr>
            </w:pPr>
            <w:r>
              <w:rPr>
                <w:rFonts w:ascii="宋体"/>
                <w:sz w:val="18"/>
              </w:rPr>
              <w:t>.35</w:t>
            </w: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0" w:right="0"/>
              <w:jc w:val="left"/>
              <w:rPr>
                <w:rFonts w:ascii="宋体" w:hAnsi="宋体" w:cs="宋体" w:eastAsia="宋体" w:hint="default"/>
                <w:sz w:val="18"/>
                <w:szCs w:val="18"/>
              </w:rPr>
            </w:pPr>
            <w:r>
              <w:rPr>
                <w:rFonts w:ascii="宋体"/>
                <w:sz w:val="18"/>
              </w:rPr>
              <w:t>-3,306,82</w:t>
            </w:r>
          </w:p>
          <w:p>
            <w:pPr>
              <w:pStyle w:val="TableParagraph"/>
              <w:spacing w:line="240" w:lineRule="auto" w:before="74"/>
              <w:ind w:left="491" w:right="0"/>
              <w:jc w:val="left"/>
              <w:rPr>
                <w:rFonts w:ascii="宋体" w:hAnsi="宋体" w:cs="宋体" w:eastAsia="宋体" w:hint="default"/>
                <w:sz w:val="18"/>
                <w:szCs w:val="18"/>
              </w:rPr>
            </w:pPr>
            <w:r>
              <w:rPr>
                <w:rFonts w:ascii="宋体"/>
                <w:sz w:val="18"/>
              </w:rPr>
              <w:t>4.35</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97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97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97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23,400,000</w:t>
            </w:r>
          </w:p>
          <w:p>
            <w:pPr>
              <w:pStyle w:val="TableParagraph"/>
              <w:spacing w:line="240" w:lineRule="auto" w:before="74"/>
              <w:ind w:right="17"/>
              <w:jc w:val="right"/>
              <w:rPr>
                <w:rFonts w:ascii="宋体" w:hAnsi="宋体" w:cs="宋体" w:eastAsia="宋体" w:hint="default"/>
                <w:sz w:val="18"/>
                <w:szCs w:val="18"/>
              </w:rPr>
            </w:pPr>
            <w:r>
              <w:rPr>
                <w:rFonts w:ascii="宋体"/>
                <w:sz w:val="18"/>
              </w:rPr>
              <w:t>.00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1" w:right="0"/>
              <w:jc w:val="left"/>
              <w:rPr>
                <w:rFonts w:ascii="宋体" w:hAnsi="宋体" w:cs="宋体" w:eastAsia="宋体" w:hint="default"/>
                <w:sz w:val="18"/>
                <w:szCs w:val="18"/>
              </w:rPr>
            </w:pPr>
            <w:r>
              <w:rPr>
                <w:rFonts w:ascii="宋体"/>
                <w:sz w:val="18"/>
              </w:rPr>
              <w:t>-23,400,0</w:t>
            </w:r>
          </w:p>
          <w:p>
            <w:pPr>
              <w:pStyle w:val="TableParagraph"/>
              <w:spacing w:line="240" w:lineRule="auto" w:before="74"/>
              <w:ind w:left="441" w:right="0"/>
              <w:jc w:val="left"/>
              <w:rPr>
                <w:rFonts w:ascii="宋体" w:hAnsi="宋体" w:cs="宋体" w:eastAsia="宋体" w:hint="default"/>
                <w:sz w:val="18"/>
                <w:szCs w:val="18"/>
              </w:rPr>
            </w:pPr>
            <w:r>
              <w:rPr>
                <w:rFonts w:ascii="宋体"/>
                <w:sz w:val="18"/>
              </w:rPr>
              <w:t>00.00</w:t>
            </w: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．资本公积转增资本（或股本</w:t>
            </w:r>
          </w:p>
        </w:tc>
        <w:tc>
          <w:tcPr>
            <w:tcW w:w="977" w:type="dxa"/>
            <w:tcBorders>
              <w:top w:val="single" w:sz="4" w:space="0" w:color="000000"/>
              <w:left w:val="single" w:sz="13" w:space="0" w:color="FFFFFF"/>
              <w:bottom w:val="single" w:sz="4" w:space="0" w:color="000000"/>
              <w:right w:val="single" w:sz="4" w:space="0" w:color="000000"/>
            </w:tcBorders>
          </w:tcPr>
          <w:p>
            <w:pPr>
              <w:pStyle w:val="TableParagraph"/>
              <w:spacing w:line="196" w:lineRule="exact" w:before="49"/>
              <w:ind w:right="19"/>
              <w:jc w:val="right"/>
              <w:rPr>
                <w:rFonts w:ascii="宋体" w:hAnsi="宋体" w:cs="宋体" w:eastAsia="宋体" w:hint="default"/>
                <w:sz w:val="18"/>
                <w:szCs w:val="18"/>
              </w:rPr>
            </w:pPr>
            <w:r>
              <w:rPr>
                <w:rFonts w:ascii="宋体"/>
                <w:spacing w:val="-1"/>
                <w:sz w:val="18"/>
              </w:rPr>
              <w:t>23,400,000</w:t>
            </w:r>
          </w:p>
          <w:p>
            <w:pPr>
              <w:pStyle w:val="TableParagraph"/>
              <w:spacing w:line="15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17"/>
              <w:jc w:val="right"/>
              <w:rPr>
                <w:rFonts w:ascii="宋体" w:hAnsi="宋体" w:cs="宋体" w:eastAsia="宋体" w:hint="default"/>
                <w:sz w:val="18"/>
                <w:szCs w:val="18"/>
              </w:rPr>
            </w:pPr>
            <w:r>
              <w:rPr>
                <w:rFonts w:ascii="宋体"/>
                <w:sz w:val="18"/>
              </w:rPr>
              <w:t>.00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 w:right="0"/>
              <w:jc w:val="left"/>
              <w:rPr>
                <w:rFonts w:ascii="宋体" w:hAnsi="宋体" w:cs="宋体" w:eastAsia="宋体" w:hint="default"/>
                <w:sz w:val="18"/>
                <w:szCs w:val="18"/>
              </w:rPr>
            </w:pPr>
            <w:r>
              <w:rPr>
                <w:rFonts w:ascii="宋体"/>
                <w:sz w:val="18"/>
              </w:rPr>
              <w:t>-23,400,0</w:t>
            </w:r>
          </w:p>
          <w:p>
            <w:pPr>
              <w:pStyle w:val="TableParagraph"/>
              <w:spacing w:line="240" w:lineRule="auto" w:before="76"/>
              <w:ind w:left="441" w:right="0"/>
              <w:jc w:val="left"/>
              <w:rPr>
                <w:rFonts w:ascii="宋体" w:hAnsi="宋体" w:cs="宋体" w:eastAsia="宋体" w:hint="default"/>
                <w:sz w:val="18"/>
                <w:szCs w:val="18"/>
              </w:rPr>
            </w:pPr>
            <w:r>
              <w:rPr>
                <w:rFonts w:ascii="宋体"/>
                <w:sz w:val="18"/>
              </w:rPr>
              <w:t>00.00</w:t>
            </w: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．盈余公积转增资本（或股本</w:t>
            </w:r>
          </w:p>
        </w:tc>
        <w:tc>
          <w:tcPr>
            <w:tcW w:w="9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97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97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97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97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97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97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101,400,00</w:t>
            </w:r>
          </w:p>
          <w:p>
            <w:pPr>
              <w:pStyle w:val="TableParagraph"/>
              <w:spacing w:line="240" w:lineRule="auto" w:before="76"/>
              <w:ind w:left="586" w:right="0"/>
              <w:jc w:val="left"/>
              <w:rPr>
                <w:rFonts w:ascii="宋体" w:hAnsi="宋体" w:cs="宋体" w:eastAsia="宋体" w:hint="default"/>
                <w:sz w:val="18"/>
                <w:szCs w:val="18"/>
              </w:rPr>
            </w:pPr>
            <w:r>
              <w:rPr>
                <w:rFonts w:ascii="宋体"/>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 w:right="0"/>
              <w:jc w:val="left"/>
              <w:rPr>
                <w:rFonts w:ascii="宋体" w:hAnsi="宋体" w:cs="宋体" w:eastAsia="宋体" w:hint="default"/>
                <w:sz w:val="18"/>
                <w:szCs w:val="18"/>
              </w:rPr>
            </w:pPr>
            <w:r>
              <w:rPr>
                <w:rFonts w:ascii="宋体"/>
                <w:sz w:val="18"/>
              </w:rPr>
              <w:t>359,804,1</w:t>
            </w:r>
          </w:p>
          <w:p>
            <w:pPr>
              <w:pStyle w:val="TableParagraph"/>
              <w:spacing w:line="240" w:lineRule="auto" w:before="76"/>
              <w:ind w:left="441" w:right="0"/>
              <w:jc w:val="left"/>
              <w:rPr>
                <w:rFonts w:ascii="宋体" w:hAnsi="宋体" w:cs="宋体" w:eastAsia="宋体" w:hint="default"/>
                <w:sz w:val="18"/>
                <w:szCs w:val="18"/>
              </w:rPr>
            </w:pPr>
            <w:r>
              <w:rPr>
                <w:rFonts w:ascii="宋体"/>
                <w:sz w:val="18"/>
              </w:rPr>
              <w:t>00.00</w:t>
            </w:r>
          </w:p>
        </w:tc>
        <w:tc>
          <w:tcPr>
            <w:tcW w:w="75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sz w:val="18"/>
              </w:rPr>
              <w:t>17,997,97</w:t>
            </w:r>
          </w:p>
          <w:p>
            <w:pPr>
              <w:pStyle w:val="TableParagraph"/>
              <w:spacing w:line="240" w:lineRule="auto" w:before="76"/>
              <w:ind w:left="516" w:right="0"/>
              <w:jc w:val="left"/>
              <w:rPr>
                <w:rFonts w:ascii="宋体" w:hAnsi="宋体" w:cs="宋体" w:eastAsia="宋体" w:hint="default"/>
                <w:sz w:val="18"/>
                <w:szCs w:val="18"/>
              </w:rPr>
            </w:pPr>
            <w:r>
              <w:rPr>
                <w:rFonts w:ascii="宋体"/>
                <w:sz w:val="18"/>
              </w:rPr>
              <w:t>0.09</w:t>
            </w:r>
          </w:p>
        </w:tc>
        <w:tc>
          <w:tcPr>
            <w:tcW w:w="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115,504,1</w:t>
            </w:r>
          </w:p>
          <w:p>
            <w:pPr>
              <w:pStyle w:val="TableParagraph"/>
              <w:spacing w:line="240" w:lineRule="auto" w:before="76"/>
              <w:ind w:left="400" w:right="0"/>
              <w:jc w:val="left"/>
              <w:rPr>
                <w:rFonts w:ascii="宋体" w:hAnsi="宋体" w:cs="宋体" w:eastAsia="宋体" w:hint="default"/>
                <w:sz w:val="18"/>
                <w:szCs w:val="18"/>
              </w:rPr>
            </w:pPr>
            <w:r>
              <w:rPr>
                <w:rFonts w:ascii="宋体"/>
                <w:sz w:val="18"/>
              </w:rPr>
              <w:t>41.66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sz w:val="18"/>
              </w:rPr>
              <w:t>594,706,2</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11.75</w:t>
            </w:r>
          </w:p>
        </w:tc>
      </w:tr>
    </w:tbl>
    <w:p>
      <w:pPr>
        <w:spacing w:line="240" w:lineRule="auto" w:before="3"/>
        <w:rPr>
          <w:rFonts w:ascii="宋体" w:hAnsi="宋体" w:cs="宋体" w:eastAsia="宋体" w:hint="default"/>
          <w:sz w:val="20"/>
          <w:szCs w:val="20"/>
        </w:rPr>
      </w:pPr>
    </w:p>
    <w:p>
      <w:pPr>
        <w:tabs>
          <w:tab w:pos="3487" w:val="left" w:leader="none"/>
          <w:tab w:pos="7718"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法定代表人：刘磅</w:t>
        <w:tab/>
      </w:r>
      <w:r>
        <w:rPr>
          <w:rFonts w:ascii="宋体" w:hAnsi="宋体" w:cs="宋体" w:eastAsia="宋体" w:hint="default"/>
          <w:spacing w:val="-1"/>
          <w:sz w:val="18"/>
          <w:szCs w:val="18"/>
        </w:rPr>
        <w:t>主管会计工作负责人：黄天朗</w:t>
        <w:tab/>
      </w:r>
      <w:r>
        <w:rPr>
          <w:rFonts w:ascii="宋体" w:hAnsi="宋体" w:cs="宋体" w:eastAsia="宋体" w:hint="default"/>
          <w:sz w:val="18"/>
          <w:szCs w:val="18"/>
        </w:rPr>
        <w:t>会计机构负责人：蒋国清</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三、公司基本情况</w:t>
      </w:r>
      <w:r>
        <w:rPr>
          <w:b w:val="0"/>
          <w:bCs w:val="0"/>
        </w:rPr>
      </w:r>
    </w:p>
    <w:p>
      <w:pPr>
        <w:spacing w:line="240" w:lineRule="auto" w:before="3"/>
        <w:rPr>
          <w:rFonts w:ascii="宋体" w:hAnsi="宋体" w:cs="宋体" w:eastAsia="宋体" w:hint="default"/>
          <w:b/>
          <w:bCs/>
          <w:sz w:val="23"/>
          <w:szCs w:val="23"/>
        </w:rPr>
      </w:pPr>
    </w:p>
    <w:p>
      <w:pPr>
        <w:pStyle w:val="BodyText"/>
        <w:spacing w:line="355" w:lineRule="auto" w:before="0"/>
        <w:ind w:left="573" w:right="1123" w:hanging="421"/>
        <w:jc w:val="left"/>
      </w:pPr>
      <w:r>
        <w:rPr>
          <w:rFonts w:ascii="宋体" w:hAnsi="宋体" w:cs="宋体" w:eastAsia="宋体" w:hint="default"/>
          <w:b/>
          <w:bCs/>
        </w:rPr>
        <w:t>1</w:t>
      </w:r>
      <w:r>
        <w:rPr>
          <w:rFonts w:ascii="宋体" w:hAnsi="宋体" w:cs="宋体" w:eastAsia="宋体" w:hint="default"/>
          <w:b/>
          <w:bCs/>
        </w:rPr>
        <w:t>、公司历史沿革</w:t>
      </w:r>
      <w:r>
        <w:rPr>
          <w:rFonts w:ascii="宋体" w:hAnsi="宋体" w:cs="宋体" w:eastAsia="宋体" w:hint="default"/>
          <w:b/>
          <w:bCs/>
          <w:spacing w:val="-104"/>
        </w:rPr>
        <w:t> </w:t>
      </w:r>
      <w:r>
        <w:rPr>
          <w:spacing w:val="-2"/>
        </w:rPr>
        <w:t>深圳达实智能股份有限公司（以下简称“公司”或“达实智能”），持深圳市工商行政管理局核发的</w:t>
      </w:r>
    </w:p>
    <w:p>
      <w:pPr>
        <w:pStyle w:val="BodyText"/>
        <w:spacing w:line="355" w:lineRule="auto" w:before="34"/>
        <w:ind w:left="573" w:right="4184" w:hanging="421"/>
        <w:jc w:val="left"/>
        <w:rPr>
          <w:rFonts w:ascii="宋体" w:hAnsi="宋体" w:cs="宋体" w:eastAsia="宋体" w:hint="default"/>
        </w:rPr>
      </w:pPr>
      <w:r>
        <w:rPr>
          <w:spacing w:val="-2"/>
        </w:rPr>
        <w:t>注册号为</w:t>
      </w:r>
      <w:r>
        <w:rPr>
          <w:rFonts w:ascii="宋体" w:hAnsi="宋体" w:cs="宋体" w:eastAsia="宋体" w:hint="default"/>
          <w:spacing w:val="-2"/>
        </w:rPr>
        <w:t>440301102717424</w:t>
      </w:r>
      <w:r>
        <w:rPr>
          <w:spacing w:val="-2"/>
        </w:rPr>
        <w:t>号企业法人营业执照。</w:t>
      </w:r>
      <w:r>
        <w:rPr>
          <w:spacing w:val="-52"/>
        </w:rPr>
        <w:t> </w:t>
      </w:r>
      <w:r>
        <w:rPr>
          <w:spacing w:val="-52"/>
        </w:rPr>
      </w:r>
      <w:r>
        <w:rPr/>
        <w:t>组织机构代码：</w:t>
      </w:r>
      <w:r>
        <w:rPr>
          <w:rFonts w:ascii="宋体" w:hAnsi="宋体" w:cs="宋体" w:eastAsia="宋体" w:hint="default"/>
        </w:rPr>
        <w:t>618886181</w:t>
      </w:r>
    </w:p>
    <w:p>
      <w:pPr>
        <w:spacing w:after="0" w:line="355" w:lineRule="auto"/>
        <w:jc w:val="left"/>
        <w:rPr>
          <w:rFonts w:ascii="宋体" w:hAnsi="宋体" w:cs="宋体" w:eastAsia="宋体" w:hint="default"/>
        </w:rPr>
        <w:sectPr>
          <w:pgSz w:w="11910" w:h="16840"/>
          <w:pgMar w:header="877" w:footer="1227" w:top="1100" w:bottom="1420" w:left="980" w:right="0"/>
        </w:sectPr>
      </w:pPr>
    </w:p>
    <w:p>
      <w:pPr>
        <w:spacing w:line="240" w:lineRule="auto" w:before="3"/>
        <w:rPr>
          <w:rFonts w:ascii="宋体" w:hAnsi="宋体" w:cs="宋体" w:eastAsia="宋体" w:hint="default"/>
          <w:sz w:val="19"/>
          <w:szCs w:val="19"/>
        </w:rPr>
      </w:pPr>
    </w:p>
    <w:p>
      <w:pPr>
        <w:pStyle w:val="BodyText"/>
        <w:spacing w:line="357" w:lineRule="auto" w:before="36"/>
        <w:ind w:left="573" w:right="4184"/>
        <w:jc w:val="left"/>
      </w:pPr>
      <w:r>
        <w:rPr/>
        <w:t>公司注册地址：深圳市南山区高新技术工业村</w:t>
      </w:r>
      <w:r>
        <w:rPr>
          <w:rFonts w:ascii="宋体" w:hAnsi="宋体" w:cs="宋体" w:eastAsia="宋体" w:hint="default"/>
        </w:rPr>
        <w:t>W1</w:t>
      </w:r>
      <w:r>
        <w:rPr/>
        <w:t>栋</w:t>
      </w:r>
      <w:r>
        <w:rPr>
          <w:rFonts w:ascii="宋体" w:hAnsi="宋体" w:cs="宋体" w:eastAsia="宋体" w:hint="default"/>
        </w:rPr>
        <w:t>A</w:t>
      </w:r>
      <w:r>
        <w:rPr/>
        <w:t>座五楼</w:t>
      </w:r>
      <w:r>
        <w:rPr>
          <w:w w:val="100"/>
        </w:rPr>
        <w:t> </w:t>
      </w:r>
      <w:r>
        <w:rPr>
          <w:spacing w:val="-2"/>
        </w:rPr>
        <w:t>公司总部地址：深圳市南山区高新技术产业园达实智能大厦</w:t>
      </w:r>
      <w:r>
        <w:rPr>
          <w:spacing w:val="-55"/>
        </w:rPr>
        <w:t> </w:t>
      </w:r>
      <w:r>
        <w:rPr>
          <w:spacing w:val="-55"/>
        </w:rPr>
      </w:r>
      <w:r>
        <w:rPr/>
        <w:t>法定代表人：刘磅</w:t>
      </w:r>
    </w:p>
    <w:p>
      <w:pPr>
        <w:pStyle w:val="BodyText"/>
        <w:spacing w:line="355" w:lineRule="auto" w:before="32"/>
        <w:ind w:left="573" w:right="1123"/>
        <w:jc w:val="left"/>
      </w:pPr>
      <w:r>
        <w:rPr/>
        <w:t>注册资本：</w:t>
      </w:r>
      <w:r>
        <w:rPr>
          <w:rFonts w:ascii="宋体" w:hAnsi="宋体" w:cs="宋体" w:eastAsia="宋体" w:hint="default"/>
        </w:rPr>
        <w:t>20,880</w:t>
      </w:r>
      <w:r>
        <w:rPr/>
        <w:t>万元</w:t>
      </w:r>
      <w:r>
        <w:rPr>
          <w:spacing w:val="-3"/>
          <w:w w:val="100"/>
        </w:rPr>
        <w:t> </w:t>
      </w:r>
      <w:r>
        <w:rPr>
          <w:spacing w:val="-2"/>
        </w:rPr>
        <w:t>公司前身为深圳达实自动化工程有限公司，系经深圳市政府外经贸深合资证字</w:t>
      </w:r>
      <w:r>
        <w:rPr>
          <w:rFonts w:ascii="宋体" w:hAnsi="宋体" w:cs="宋体" w:eastAsia="宋体" w:hint="default"/>
          <w:spacing w:val="-2"/>
        </w:rPr>
        <w:t>[1995]0077</w:t>
      </w:r>
      <w:r>
        <w:rPr>
          <w:spacing w:val="-2"/>
        </w:rPr>
        <w:t>号批准证书</w:t>
      </w:r>
    </w:p>
    <w:p>
      <w:pPr>
        <w:pStyle w:val="BodyText"/>
        <w:spacing w:line="357" w:lineRule="auto" w:before="32"/>
        <w:ind w:right="1130"/>
        <w:jc w:val="both"/>
      </w:pPr>
      <w:r>
        <w:rPr/>
        <w:t>核准，于</w:t>
      </w:r>
      <w:r>
        <w:rPr>
          <w:rFonts w:ascii="宋体" w:hAnsi="宋体" w:cs="宋体" w:eastAsia="宋体" w:hint="default"/>
        </w:rPr>
        <w:t>1995</w:t>
      </w:r>
      <w:r>
        <w:rPr/>
        <w:t>年</w:t>
      </w:r>
      <w:r>
        <w:rPr>
          <w:rFonts w:ascii="宋体" w:hAnsi="宋体" w:cs="宋体" w:eastAsia="宋体" w:hint="default"/>
        </w:rPr>
        <w:t>3</w:t>
      </w:r>
      <w:r>
        <w:rPr/>
        <w:t>月</w:t>
      </w:r>
      <w:r>
        <w:rPr>
          <w:rFonts w:ascii="宋体" w:hAnsi="宋体" w:cs="宋体" w:eastAsia="宋体" w:hint="default"/>
        </w:rPr>
        <w:t>17</w:t>
      </w:r>
      <w:r>
        <w:rPr/>
        <w:t>日在国家工商行政管理局注册登记的外商投资企业。</w:t>
      </w:r>
      <w:r>
        <w:rPr>
          <w:rFonts w:ascii="宋体" w:hAnsi="宋体" w:cs="宋体" w:eastAsia="宋体" w:hint="default"/>
        </w:rPr>
        <w:t>2000</w:t>
      </w:r>
      <w:r>
        <w:rPr/>
        <w:t>年</w:t>
      </w:r>
      <w:r>
        <w:rPr>
          <w:rFonts w:ascii="宋体" w:hAnsi="宋体" w:cs="宋体" w:eastAsia="宋体" w:hint="default"/>
        </w:rPr>
        <w:t>10</w:t>
      </w:r>
      <w:r>
        <w:rPr/>
        <w:t>月，经深圳市政府深</w:t>
      </w:r>
      <w:r>
        <w:rPr>
          <w:spacing w:val="-28"/>
        </w:rPr>
        <w:t> </w:t>
      </w:r>
      <w:r>
        <w:rPr>
          <w:spacing w:val="-28"/>
        </w:rPr>
      </w:r>
      <w:r>
        <w:rPr>
          <w:spacing w:val="-2"/>
        </w:rPr>
        <w:t>府函</w:t>
      </w:r>
      <w:r>
        <w:rPr>
          <w:rFonts w:ascii="宋体" w:hAnsi="宋体" w:cs="宋体" w:eastAsia="宋体" w:hint="default"/>
          <w:spacing w:val="-2"/>
        </w:rPr>
        <w:t>[2000]67</w:t>
      </w:r>
      <w:r>
        <w:rPr>
          <w:spacing w:val="-2"/>
        </w:rPr>
        <w:t>号和深圳市外商投资局深外资复</w:t>
      </w:r>
      <w:r>
        <w:rPr>
          <w:rFonts w:ascii="宋体" w:hAnsi="宋体" w:cs="宋体" w:eastAsia="宋体" w:hint="default"/>
          <w:spacing w:val="-2"/>
        </w:rPr>
        <w:t>[2000]B1576</w:t>
      </w:r>
      <w:r>
        <w:rPr>
          <w:spacing w:val="-2"/>
        </w:rPr>
        <w:t>号文批准，达实自动化以截至</w:t>
      </w:r>
      <w:r>
        <w:rPr>
          <w:rFonts w:ascii="宋体" w:hAnsi="宋体" w:cs="宋体" w:eastAsia="宋体" w:hint="default"/>
          <w:spacing w:val="-2"/>
        </w:rPr>
        <w:t>2000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30</w:t>
      </w:r>
      <w:r>
        <w:rPr>
          <w:spacing w:val="-2"/>
        </w:rPr>
        <w:t>日经</w:t>
      </w:r>
      <w:r>
        <w:rPr>
          <w:spacing w:val="-27"/>
        </w:rPr>
        <w:t> </w:t>
      </w:r>
      <w:r>
        <w:rPr/>
        <w:t>天勤会计师事务所审计的净资产</w:t>
      </w:r>
      <w:r>
        <w:rPr>
          <w:rFonts w:ascii="宋体" w:hAnsi="宋体" w:cs="宋体" w:eastAsia="宋体" w:hint="default"/>
        </w:rPr>
        <w:t>3,700</w:t>
      </w:r>
      <w:r>
        <w:rPr/>
        <w:t>万元按</w:t>
      </w:r>
      <w:r>
        <w:rPr>
          <w:rFonts w:ascii="宋体" w:hAnsi="宋体" w:cs="宋体" w:eastAsia="宋体" w:hint="default"/>
        </w:rPr>
        <w:t>1:1</w:t>
      </w:r>
      <w:r>
        <w:rPr/>
        <w:t>的折股比例折为</w:t>
      </w:r>
      <w:r>
        <w:rPr>
          <w:rFonts w:ascii="宋体" w:hAnsi="宋体" w:cs="宋体" w:eastAsia="宋体" w:hint="default"/>
        </w:rPr>
        <w:t>3,700</w:t>
      </w:r>
      <w:r>
        <w:rPr/>
        <w:t>万股，整体变更为股份有限公司。</w:t>
      </w:r>
      <w:r>
        <w:rPr>
          <w:spacing w:val="-24"/>
        </w:rPr>
        <w:t> </w:t>
      </w:r>
      <w:r>
        <w:rPr>
          <w:spacing w:val="-24"/>
        </w:rPr>
      </w:r>
      <w:r>
        <w:rPr/>
        <w:t>改制后的公司名称为深圳达实智能股份有限公司。</w:t>
      </w:r>
    </w:p>
    <w:p>
      <w:pPr>
        <w:pStyle w:val="BodyText"/>
        <w:spacing w:line="357" w:lineRule="auto"/>
        <w:ind w:right="1126" w:firstLine="420"/>
        <w:jc w:val="both"/>
      </w:pPr>
      <w:r>
        <w:rPr>
          <w:spacing w:val="-4"/>
        </w:rPr>
        <w:t>其后，经过多次股权转让及增资，至</w:t>
      </w:r>
      <w:r>
        <w:rPr>
          <w:rFonts w:ascii="宋体" w:hAnsi="宋体" w:cs="宋体" w:eastAsia="宋体" w:hint="default"/>
          <w:spacing w:val="-4"/>
        </w:rPr>
        <w:t>2007</w:t>
      </w:r>
      <w:r>
        <w:rPr>
          <w:spacing w:val="-4"/>
        </w:rPr>
        <w:t>年</w:t>
      </w:r>
      <w:r>
        <w:rPr>
          <w:rFonts w:ascii="宋体" w:hAnsi="宋体" w:cs="宋体" w:eastAsia="宋体" w:hint="default"/>
          <w:spacing w:val="-4"/>
        </w:rPr>
        <w:t>1</w:t>
      </w:r>
      <w:r>
        <w:rPr>
          <w:spacing w:val="-4"/>
        </w:rPr>
        <w:t>月注册资本达到</w:t>
      </w:r>
      <w:r>
        <w:rPr>
          <w:rFonts w:ascii="宋体" w:hAnsi="宋体" w:cs="宋体" w:eastAsia="宋体" w:hint="default"/>
          <w:spacing w:val="-4"/>
        </w:rPr>
        <w:t>4,378</w:t>
      </w:r>
      <w:r>
        <w:rPr>
          <w:spacing w:val="-4"/>
        </w:rPr>
        <w:t>万元。根据</w:t>
      </w:r>
      <w:r>
        <w:rPr>
          <w:rFonts w:ascii="宋体" w:hAnsi="宋体" w:cs="宋体" w:eastAsia="宋体" w:hint="default"/>
          <w:spacing w:val="-4"/>
        </w:rPr>
        <w:t>2007</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30</w:t>
      </w:r>
      <w:r>
        <w:rPr>
          <w:spacing w:val="-4"/>
        </w:rPr>
        <w:t>日公司</w:t>
      </w:r>
      <w:r>
        <w:rPr>
          <w:rFonts w:ascii="宋体" w:hAnsi="宋体" w:cs="宋体" w:eastAsia="宋体" w:hint="default"/>
          <w:spacing w:val="-4"/>
        </w:rPr>
        <w:t>2006</w:t>
      </w:r>
      <w:r>
        <w:rPr>
          <w:rFonts w:ascii="宋体" w:hAnsi="宋体" w:cs="宋体" w:eastAsia="宋体" w:hint="default"/>
          <w:w w:val="100"/>
        </w:rPr>
        <w:t> </w:t>
      </w:r>
      <w:r>
        <w:rPr/>
        <w:t>年度股东大会决议，并经深圳市贸易工业局深贸工资复</w:t>
      </w:r>
      <w:r>
        <w:rPr>
          <w:rFonts w:ascii="宋体" w:hAnsi="宋体" w:cs="宋体" w:eastAsia="宋体" w:hint="default"/>
        </w:rPr>
        <w:t>[2007]1554</w:t>
      </w:r>
      <w:r>
        <w:rPr/>
        <w:t>号文批准，</w:t>
      </w:r>
      <w:r>
        <w:rPr>
          <w:rFonts w:ascii="宋体" w:hAnsi="宋体" w:cs="宋体" w:eastAsia="宋体" w:hint="default"/>
        </w:rPr>
        <w:t>2007</w:t>
      </w:r>
      <w:r>
        <w:rPr/>
        <w:t>年</w:t>
      </w:r>
      <w:r>
        <w:rPr>
          <w:rFonts w:ascii="宋体" w:hAnsi="宋体" w:cs="宋体" w:eastAsia="宋体" w:hint="default"/>
        </w:rPr>
        <w:t>3</w:t>
      </w:r>
      <w:r>
        <w:rPr/>
        <w:t>月</w:t>
      </w:r>
      <w:r>
        <w:rPr>
          <w:rFonts w:ascii="宋体" w:hAnsi="宋体" w:cs="宋体" w:eastAsia="宋体" w:hint="default"/>
        </w:rPr>
        <w:t>30</w:t>
      </w:r>
      <w:r>
        <w:rPr/>
        <w:t>日，安进企业</w:t>
      </w:r>
      <w:r>
        <w:rPr>
          <w:spacing w:val="-25"/>
        </w:rPr>
        <w:t> </w:t>
      </w:r>
      <w:r>
        <w:rPr>
          <w:spacing w:val="-25"/>
        </w:rPr>
      </w:r>
      <w:r>
        <w:rPr>
          <w:spacing w:val="-7"/>
        </w:rPr>
        <w:t>有限公司和盛安机电设备（深圳）有限公司（现已更名为盛安机电设备（昌都）有限公司）（以下简称“盛</w:t>
      </w:r>
      <w:r>
        <w:rPr>
          <w:spacing w:val="-18"/>
        </w:rPr>
        <w:t> </w:t>
      </w:r>
      <w:r>
        <w:rPr>
          <w:spacing w:val="-18"/>
        </w:rPr>
      </w:r>
      <w:r>
        <w:rPr/>
        <w:t>安机电”）签订《股权转让协议》，安进企业将其持有的本公司</w:t>
      </w:r>
      <w:r>
        <w:rPr>
          <w:rFonts w:ascii="宋体" w:hAnsi="宋体" w:cs="宋体" w:eastAsia="宋体" w:hint="default"/>
        </w:rPr>
        <w:t>25.126%</w:t>
      </w:r>
      <w:r>
        <w:rPr/>
        <w:t>股份计</w:t>
      </w:r>
      <w:r>
        <w:rPr>
          <w:rFonts w:ascii="宋体" w:hAnsi="宋体" w:cs="宋体" w:eastAsia="宋体" w:hint="default"/>
        </w:rPr>
        <w:t>1,100</w:t>
      </w:r>
      <w:r>
        <w:rPr/>
        <w:t>万股以港币</w:t>
      </w:r>
      <w:r>
        <w:rPr>
          <w:rFonts w:ascii="宋体" w:hAnsi="宋体" w:cs="宋体" w:eastAsia="宋体" w:hint="default"/>
        </w:rPr>
        <w:t>1,056</w:t>
      </w:r>
      <w:r>
        <w:rPr/>
        <w:t>万</w:t>
      </w:r>
      <w:r>
        <w:rPr>
          <w:spacing w:val="-26"/>
        </w:rPr>
        <w:t> </w:t>
      </w:r>
      <w:r>
        <w:rPr>
          <w:spacing w:val="-2"/>
        </w:rPr>
        <w:t>元转让给境内企业——盛安机电。本次股权转让后，公司由中外合资股份有限公司变更为内资股份有限公</w:t>
      </w:r>
      <w:r>
        <w:rPr>
          <w:spacing w:val="-44"/>
        </w:rPr>
        <w:t> </w:t>
      </w:r>
      <w:r>
        <w:rPr>
          <w:spacing w:val="-44"/>
        </w:rPr>
      </w:r>
      <w:r>
        <w:rPr>
          <w:spacing w:val="-2"/>
        </w:rPr>
        <w:t>司。根据公司</w:t>
      </w:r>
      <w:r>
        <w:rPr>
          <w:rFonts w:ascii="宋体" w:hAnsi="宋体" w:cs="宋体" w:eastAsia="宋体" w:hint="default"/>
          <w:spacing w:val="-2"/>
        </w:rPr>
        <w:t>2006</w:t>
      </w:r>
      <w:r>
        <w:rPr>
          <w:spacing w:val="-2"/>
        </w:rPr>
        <w:t>年度股东大会决议批准，公司以业经深圳鹏城审计的截止</w:t>
      </w:r>
      <w:r>
        <w:rPr>
          <w:rFonts w:ascii="宋体" w:hAnsi="宋体" w:cs="宋体" w:eastAsia="宋体" w:hint="default"/>
          <w:spacing w:val="-2"/>
        </w:rPr>
        <w:t>2006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日可供股东分配</w:t>
      </w:r>
      <w:r>
        <w:rPr>
          <w:spacing w:val="-38"/>
        </w:rPr>
        <w:t> </w:t>
      </w:r>
      <w:r>
        <w:rPr>
          <w:spacing w:val="-38"/>
        </w:rPr>
      </w:r>
      <w:r>
        <w:rPr/>
        <w:t>利润中的</w:t>
      </w:r>
      <w:r>
        <w:rPr>
          <w:rFonts w:ascii="宋体" w:hAnsi="宋体" w:cs="宋体" w:eastAsia="宋体" w:hint="default"/>
        </w:rPr>
        <w:t>1,422</w:t>
      </w:r>
      <w:r>
        <w:rPr/>
        <w:t>万元转增资本，注册资本增至</w:t>
      </w:r>
      <w:r>
        <w:rPr>
          <w:rFonts w:ascii="宋体" w:hAnsi="宋体" w:cs="宋体" w:eastAsia="宋体" w:hint="default"/>
        </w:rPr>
        <w:t>5,800</w:t>
      </w:r>
      <w:r>
        <w:rPr/>
        <w:t>万元。</w:t>
      </w:r>
    </w:p>
    <w:p>
      <w:pPr>
        <w:pStyle w:val="BodyText"/>
        <w:spacing w:line="357" w:lineRule="auto"/>
        <w:ind w:right="1126" w:firstLine="420"/>
        <w:jc w:val="both"/>
      </w:pPr>
      <w:r>
        <w:rPr>
          <w:rFonts w:ascii="宋体" w:hAnsi="宋体" w:cs="宋体" w:eastAsia="宋体" w:hint="default"/>
          <w:spacing w:val="-2"/>
        </w:rPr>
        <w:t>2007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26</w:t>
      </w:r>
      <w:r>
        <w:rPr>
          <w:spacing w:val="-2"/>
        </w:rPr>
        <w:t>日、</w:t>
      </w:r>
      <w:r>
        <w:rPr>
          <w:rFonts w:ascii="宋体" w:hAnsi="宋体" w:cs="宋体" w:eastAsia="宋体" w:hint="default"/>
          <w:spacing w:val="-2"/>
        </w:rPr>
        <w:t>30</w:t>
      </w:r>
      <w:r>
        <w:rPr>
          <w:spacing w:val="-2"/>
        </w:rPr>
        <w:t>日，达实智能股东深圳市达实投资发展有限公司和盛安机电设备（深圳）有限公</w:t>
      </w:r>
      <w:r>
        <w:rPr>
          <w:w w:val="100"/>
        </w:rPr>
        <w:t> </w:t>
      </w:r>
      <w:r>
        <w:rPr>
          <w:spacing w:val="-2"/>
        </w:rPr>
        <w:t>司（现已更名为盛安机电设备（昌都）有限公司）分别与公司</w:t>
      </w:r>
      <w:r>
        <w:rPr>
          <w:rFonts w:ascii="宋体" w:hAnsi="宋体" w:cs="宋体" w:eastAsia="宋体" w:hint="default"/>
          <w:spacing w:val="-2"/>
        </w:rPr>
        <w:t>96</w:t>
      </w:r>
      <w:r>
        <w:rPr>
          <w:spacing w:val="-2"/>
        </w:rPr>
        <w:t>名员工及邓欣签署《股份转让协议》，</w:t>
      </w:r>
      <w:r>
        <w:rPr>
          <w:rFonts w:ascii="宋体" w:hAnsi="宋体" w:cs="宋体" w:eastAsia="宋体" w:hint="default"/>
          <w:spacing w:val="-2"/>
        </w:rPr>
        <w:t>97</w:t>
      </w:r>
      <w:r>
        <w:rPr>
          <w:rFonts w:ascii="宋体" w:hAnsi="宋体" w:cs="宋体" w:eastAsia="宋体" w:hint="default"/>
          <w:spacing w:val="-39"/>
        </w:rPr>
        <w:t> </w:t>
      </w:r>
      <w:r>
        <w:rPr/>
        <w:t>名自然人合计受让达实智能股份</w:t>
      </w:r>
      <w:r>
        <w:rPr>
          <w:rFonts w:ascii="宋体" w:hAnsi="宋体" w:cs="宋体" w:eastAsia="宋体" w:hint="default"/>
        </w:rPr>
        <w:t>8,075,240</w:t>
      </w:r>
      <w:r>
        <w:rPr/>
        <w:t>股。上述股权转让事宜业经深圳市高新技术产权交易所予以见</w:t>
      </w:r>
      <w:r>
        <w:rPr>
          <w:spacing w:val="-26"/>
        </w:rPr>
        <w:t> </w:t>
      </w:r>
      <w:r>
        <w:rPr>
          <w:spacing w:val="-26"/>
        </w:rPr>
      </w:r>
      <w:r>
        <w:rPr/>
        <w:t>证，并于</w:t>
      </w:r>
      <w:r>
        <w:rPr>
          <w:rFonts w:ascii="宋体" w:hAnsi="宋体" w:cs="宋体" w:eastAsia="宋体" w:hint="default"/>
        </w:rPr>
        <w:t>2007</w:t>
      </w:r>
      <w:r>
        <w:rPr/>
        <w:t>年</w:t>
      </w:r>
      <w:r>
        <w:rPr>
          <w:rFonts w:ascii="宋体" w:hAnsi="宋体" w:cs="宋体" w:eastAsia="宋体" w:hint="default"/>
        </w:rPr>
        <w:t>12</w:t>
      </w:r>
      <w:r>
        <w:rPr/>
        <w:t>月</w:t>
      </w:r>
      <w:r>
        <w:rPr>
          <w:rFonts w:ascii="宋体" w:hAnsi="宋体" w:cs="宋体" w:eastAsia="宋体" w:hint="default"/>
        </w:rPr>
        <w:t>14</w:t>
      </w:r>
      <w:r>
        <w:rPr/>
        <w:t>日在深圳市工商行政管理局办理了工商变更登记手续。</w:t>
      </w:r>
    </w:p>
    <w:p>
      <w:pPr>
        <w:pStyle w:val="BodyText"/>
        <w:spacing w:line="357" w:lineRule="auto"/>
        <w:ind w:right="0" w:firstLine="420"/>
        <w:jc w:val="left"/>
      </w:pPr>
      <w:r>
        <w:rPr>
          <w:rFonts w:ascii="宋体" w:hAnsi="宋体" w:cs="宋体" w:eastAsia="宋体" w:hint="default"/>
        </w:rPr>
        <w:t>2010</w:t>
      </w:r>
      <w:r>
        <w:rPr/>
        <w:t>年</w:t>
      </w:r>
      <w:r>
        <w:rPr>
          <w:rFonts w:ascii="宋体" w:hAnsi="宋体" w:cs="宋体" w:eastAsia="宋体" w:hint="default"/>
        </w:rPr>
        <w:t>5</w:t>
      </w:r>
      <w:r>
        <w:rPr/>
        <w:t>月，经中国证券监督管理委员会《关于核准深圳达实智能股份有限公司首次公开发行股票的</w:t>
      </w:r>
      <w:r>
        <w:rPr>
          <w:w w:val="100"/>
        </w:rPr>
        <w:t> </w:t>
      </w:r>
      <w:r>
        <w:rPr>
          <w:spacing w:val="-8"/>
          <w:w w:val="100"/>
        </w:rPr>
        <w:t>批复》（证监许可</w:t>
      </w:r>
      <w:r>
        <w:rPr>
          <w:rFonts w:ascii="宋体" w:hAnsi="宋体" w:cs="宋体" w:eastAsia="宋体" w:hint="default"/>
          <w:spacing w:val="-8"/>
          <w:w w:val="100"/>
        </w:rPr>
        <w:t>[2010]</w:t>
      </w:r>
      <w:r>
        <w:rPr>
          <w:rFonts w:ascii="宋体" w:hAnsi="宋体" w:cs="宋体" w:eastAsia="宋体" w:hint="default"/>
          <w:spacing w:val="-48"/>
          <w:w w:val="100"/>
        </w:rPr>
        <w:t> </w:t>
      </w:r>
      <w:r>
        <w:rPr>
          <w:rFonts w:ascii="宋体" w:hAnsi="宋体" w:cs="宋体" w:eastAsia="宋体" w:hint="default"/>
          <w:spacing w:val="-6"/>
          <w:w w:val="100"/>
        </w:rPr>
        <w:t>596</w:t>
      </w:r>
      <w:r>
        <w:rPr>
          <w:spacing w:val="-6"/>
          <w:w w:val="100"/>
        </w:rPr>
        <w:t>号）核准，达实智能向社会公开发行人民币普通股</w:t>
      </w:r>
      <w:r>
        <w:rPr>
          <w:rFonts w:ascii="宋体" w:hAnsi="宋体" w:cs="宋体" w:eastAsia="宋体" w:hint="default"/>
          <w:spacing w:val="-6"/>
          <w:w w:val="100"/>
        </w:rPr>
        <w:t>2,000</w:t>
      </w:r>
      <w:r>
        <w:rPr>
          <w:spacing w:val="-6"/>
          <w:w w:val="100"/>
        </w:rPr>
        <w:t>万股（每股面值</w:t>
      </w:r>
      <w:r>
        <w:rPr>
          <w:rFonts w:ascii="宋体" w:hAnsi="宋体" w:cs="宋体" w:eastAsia="宋体" w:hint="default"/>
          <w:spacing w:val="-6"/>
          <w:w w:val="100"/>
        </w:rPr>
        <w:t>1</w:t>
      </w:r>
      <w:r>
        <w:rPr>
          <w:spacing w:val="-6"/>
          <w:w w:val="100"/>
        </w:rPr>
        <w:t>元），</w:t>
      </w:r>
      <w:r>
        <w:rPr>
          <w:spacing w:val="-103"/>
          <w:w w:val="100"/>
        </w:rPr>
        <w:t> </w:t>
      </w:r>
      <w:r>
        <w:rPr>
          <w:spacing w:val="-103"/>
          <w:w w:val="100"/>
        </w:rPr>
      </w:r>
      <w:r>
        <w:rPr/>
        <w:t>此次公开发行增加公司股本</w:t>
      </w:r>
      <w:r>
        <w:rPr>
          <w:rFonts w:ascii="宋体" w:hAnsi="宋体" w:cs="宋体" w:eastAsia="宋体" w:hint="default"/>
        </w:rPr>
        <w:t>2,000</w:t>
      </w:r>
      <w:r>
        <w:rPr/>
        <w:t>万元，变更后的注册资本为</w:t>
      </w:r>
      <w:r>
        <w:rPr>
          <w:rFonts w:ascii="宋体" w:hAnsi="宋体" w:cs="宋体" w:eastAsia="宋体" w:hint="default"/>
        </w:rPr>
        <w:t>7,800</w:t>
      </w:r>
      <w:r>
        <w:rPr/>
        <w:t>万元。</w:t>
      </w:r>
    </w:p>
    <w:p>
      <w:pPr>
        <w:pStyle w:val="BodyText"/>
        <w:spacing w:line="355" w:lineRule="auto"/>
        <w:ind w:right="1128" w:firstLine="420"/>
        <w:jc w:val="both"/>
      </w:pP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11</w:t>
      </w:r>
      <w:r>
        <w:rPr/>
        <w:t>日，根据公司</w:t>
      </w:r>
      <w:r>
        <w:rPr>
          <w:rFonts w:ascii="宋体" w:hAnsi="宋体" w:cs="宋体" w:eastAsia="宋体" w:hint="default"/>
        </w:rPr>
        <w:t>2011</w:t>
      </w:r>
      <w:r>
        <w:rPr/>
        <w:t>年</w:t>
      </w:r>
      <w:r>
        <w:rPr>
          <w:rFonts w:ascii="宋体" w:hAnsi="宋体" w:cs="宋体" w:eastAsia="宋体" w:hint="default"/>
        </w:rPr>
        <w:t>04</w:t>
      </w:r>
      <w:r>
        <w:rPr/>
        <w:t>月</w:t>
      </w:r>
      <w:r>
        <w:rPr>
          <w:rFonts w:ascii="宋体" w:hAnsi="宋体" w:cs="宋体" w:eastAsia="宋体" w:hint="default"/>
        </w:rPr>
        <w:t>18</w:t>
      </w:r>
      <w:r>
        <w:rPr/>
        <w:t>日召开的</w:t>
      </w:r>
      <w:r>
        <w:rPr>
          <w:rFonts w:ascii="宋体" w:hAnsi="宋体" w:cs="宋体" w:eastAsia="宋体" w:hint="default"/>
        </w:rPr>
        <w:t>2010</w:t>
      </w:r>
      <w:r>
        <w:rPr/>
        <w:t>年度股东大会决议和经该次股东大会授权修改</w:t>
      </w:r>
      <w:r>
        <w:rPr>
          <w:w w:val="100"/>
        </w:rPr>
        <w:t> </w:t>
      </w:r>
      <w:r>
        <w:rPr/>
        <w:t>后的章程规定，公司以截止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7,800</w:t>
      </w:r>
      <w:r>
        <w:rPr/>
        <w:t>万股为基数，以资本公积金向全体股东每</w:t>
      </w:r>
      <w:r>
        <w:rPr>
          <w:rFonts w:ascii="宋体" w:hAnsi="宋体" w:cs="宋体" w:eastAsia="宋体" w:hint="default"/>
        </w:rPr>
        <w:t>10</w:t>
      </w:r>
      <w:r>
        <w:rPr/>
        <w:t>股转</w:t>
      </w:r>
      <w:r>
        <w:rPr>
          <w:spacing w:val="-26"/>
        </w:rPr>
        <w:t> </w:t>
      </w:r>
      <w:r>
        <w:rPr/>
        <w:t>增</w:t>
      </w:r>
      <w:r>
        <w:rPr>
          <w:rFonts w:ascii="宋体" w:hAnsi="宋体" w:cs="宋体" w:eastAsia="宋体" w:hint="default"/>
        </w:rPr>
        <w:t>3</w:t>
      </w:r>
      <w:r>
        <w:rPr/>
        <w:t>股，增加股本</w:t>
      </w:r>
      <w:r>
        <w:rPr>
          <w:rFonts w:ascii="宋体" w:hAnsi="宋体" w:cs="宋体" w:eastAsia="宋体" w:hint="default"/>
        </w:rPr>
        <w:t>2,340</w:t>
      </w:r>
      <w:r>
        <w:rPr/>
        <w:t>万元，变更后的总股本为</w:t>
      </w:r>
      <w:r>
        <w:rPr>
          <w:rFonts w:ascii="宋体" w:hAnsi="宋体" w:cs="宋体" w:eastAsia="宋体" w:hint="default"/>
        </w:rPr>
        <w:t>10,140</w:t>
      </w:r>
      <w:r>
        <w:rPr/>
        <w:t>万元，变更后注册资本为</w:t>
      </w:r>
      <w:r>
        <w:rPr>
          <w:rFonts w:ascii="宋体" w:hAnsi="宋体" w:cs="宋体" w:eastAsia="宋体" w:hint="default"/>
        </w:rPr>
        <w:t>10,140</w:t>
      </w:r>
      <w:r>
        <w:rPr/>
        <w:t>万元。</w:t>
      </w:r>
    </w:p>
    <w:p>
      <w:pPr>
        <w:pStyle w:val="BodyText"/>
        <w:spacing w:line="357" w:lineRule="auto" w:before="34"/>
        <w:ind w:right="1109" w:firstLine="420"/>
        <w:jc w:val="both"/>
      </w:pPr>
      <w:r>
        <w:rPr/>
        <w:t>根据</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25</w:t>
      </w:r>
      <w:r>
        <w:rPr/>
        <w:t>日召开的</w:t>
      </w:r>
      <w:r>
        <w:rPr>
          <w:rFonts w:ascii="宋体" w:hAnsi="宋体" w:cs="宋体" w:eastAsia="宋体" w:hint="default"/>
        </w:rPr>
        <w:t>2012</w:t>
      </w:r>
      <w:r>
        <w:rPr/>
        <w:t>年第一次临时股东大会审议通过的《深圳达实智能股份有限公司限制</w:t>
      </w:r>
      <w:r>
        <w:rPr>
          <w:w w:val="100"/>
        </w:rPr>
        <w:t> </w:t>
      </w:r>
      <w:r>
        <w:rPr>
          <w:spacing w:val="-3"/>
        </w:rPr>
        <w:t>性股票激励计划（草案）》，以及</w:t>
      </w:r>
      <w:r>
        <w:rPr>
          <w:spacing w:val="11"/>
        </w:rPr>
        <w:t> </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14</w:t>
      </w:r>
      <w:r>
        <w:rPr/>
        <w:t>第四届董事会第十七次会议审议通过的《关于对限制性股</w:t>
      </w:r>
      <w:r>
        <w:rPr>
          <w:spacing w:val="-102"/>
        </w:rPr>
        <w:t> </w:t>
      </w:r>
      <w:r>
        <w:rPr>
          <w:spacing w:val="-102"/>
        </w:rPr>
      </w:r>
      <w:r>
        <w:rPr/>
        <w:t>票计划进行调整的议案》和《关于向激励对象授予限制性股票的议案》的规定，</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14</w:t>
      </w:r>
      <w:r>
        <w:rPr/>
        <w:t>日，公司以</w:t>
      </w:r>
      <w:r>
        <w:rPr>
          <w:spacing w:val="-24"/>
        </w:rPr>
        <w:t> </w:t>
      </w:r>
      <w:r>
        <w:rPr>
          <w:spacing w:val="-24"/>
        </w:rPr>
      </w:r>
      <w:r>
        <w:rPr>
          <w:rFonts w:ascii="宋体" w:hAnsi="宋体" w:cs="宋体" w:eastAsia="宋体" w:hint="default"/>
        </w:rPr>
        <w:t>8.51</w:t>
      </w:r>
      <w:r>
        <w:rPr/>
        <w:t>元</w:t>
      </w:r>
      <w:r>
        <w:rPr>
          <w:rFonts w:ascii="宋体" w:hAnsi="宋体" w:cs="宋体" w:eastAsia="宋体" w:hint="default"/>
        </w:rPr>
        <w:t>/</w:t>
      </w:r>
      <w:r>
        <w:rPr/>
        <w:t>股的价格授予</w:t>
      </w:r>
      <w:r>
        <w:rPr>
          <w:rFonts w:ascii="宋体" w:hAnsi="宋体" w:cs="宋体" w:eastAsia="宋体" w:hint="default"/>
        </w:rPr>
        <w:t>76</w:t>
      </w:r>
      <w:r>
        <w:rPr/>
        <w:t>位激励对象</w:t>
      </w:r>
      <w:r>
        <w:rPr>
          <w:rFonts w:ascii="宋体" w:hAnsi="宋体" w:cs="宋体" w:eastAsia="宋体" w:hint="default"/>
        </w:rPr>
        <w:t>300</w:t>
      </w:r>
      <w:r>
        <w:rPr/>
        <w:t>万股限制性股票</w:t>
      </w:r>
      <w:r>
        <w:rPr>
          <w:rFonts w:ascii="宋体" w:hAnsi="宋体" w:cs="宋体" w:eastAsia="宋体" w:hint="default"/>
        </w:rPr>
        <w:t>,</w:t>
      </w:r>
      <w:r>
        <w:rPr>
          <w:rFonts w:ascii="宋体" w:hAnsi="宋体" w:cs="宋体" w:eastAsia="宋体" w:hint="default"/>
          <w:spacing w:val="-13"/>
        </w:rPr>
        <w:t> </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19</w:t>
      </w:r>
      <w:r>
        <w:rPr/>
        <w:t>日收到增资款，增加股本</w:t>
      </w:r>
      <w:r>
        <w:rPr>
          <w:rFonts w:ascii="宋体" w:hAnsi="宋体" w:cs="宋体" w:eastAsia="宋体" w:hint="default"/>
        </w:rPr>
        <w:t>300</w:t>
      </w:r>
      <w:r>
        <w:rPr/>
        <w:t>万元，</w:t>
      </w:r>
      <w:r>
        <w:rPr>
          <w:w w:val="100"/>
        </w:rPr>
        <w:t> </w:t>
      </w:r>
      <w:r>
        <w:rPr>
          <w:spacing w:val="-2"/>
        </w:rPr>
        <w:t>变更后总股本为</w:t>
      </w:r>
      <w:r>
        <w:rPr>
          <w:rFonts w:ascii="宋体" w:hAnsi="宋体" w:cs="宋体" w:eastAsia="宋体" w:hint="default"/>
          <w:spacing w:val="-2"/>
        </w:rPr>
        <w:t>10440</w:t>
      </w:r>
      <w:r>
        <w:rPr>
          <w:spacing w:val="-2"/>
        </w:rPr>
        <w:t>万股，变更后注册资本为</w:t>
      </w:r>
      <w:r>
        <w:rPr>
          <w:rFonts w:ascii="宋体" w:hAnsi="宋体" w:cs="宋体" w:eastAsia="宋体" w:hint="default"/>
          <w:spacing w:val="-2"/>
        </w:rPr>
        <w:t>10440</w:t>
      </w:r>
      <w:r>
        <w:rPr>
          <w:spacing w:val="-2"/>
        </w:rPr>
        <w:t>万元。上述增资情况业经深圳市鹏城会计师事务所有</w:t>
      </w:r>
      <w:r>
        <w:rPr>
          <w:spacing w:val="-36"/>
        </w:rPr>
        <w:t> </w:t>
      </w:r>
      <w:r>
        <w:rPr>
          <w:spacing w:val="-36"/>
        </w:rPr>
      </w:r>
      <w:r>
        <w:rPr/>
        <w:t>限公司于 </w:t>
      </w:r>
      <w:r>
        <w:rPr>
          <w:rFonts w:ascii="宋体" w:hAnsi="宋体" w:cs="宋体" w:eastAsia="宋体" w:hint="default"/>
        </w:rPr>
        <w:t>2012 </w:t>
      </w:r>
      <w:r>
        <w:rPr/>
        <w:t>年 </w:t>
      </w:r>
      <w:r>
        <w:rPr>
          <w:rFonts w:ascii="宋体" w:hAnsi="宋体" w:cs="宋体" w:eastAsia="宋体" w:hint="default"/>
        </w:rPr>
        <w:t>6 </w:t>
      </w:r>
      <w:r>
        <w:rPr/>
        <w:t>月 </w:t>
      </w:r>
      <w:r>
        <w:rPr>
          <w:rFonts w:ascii="宋体" w:hAnsi="宋体" w:cs="宋体" w:eastAsia="宋体" w:hint="default"/>
        </w:rPr>
        <w:t>19</w:t>
      </w:r>
      <w:r>
        <w:rPr/>
        <w:t>日出具的深鹏所验字</w:t>
      </w:r>
      <w:r>
        <w:rPr>
          <w:rFonts w:ascii="宋体" w:hAnsi="宋体" w:cs="宋体" w:eastAsia="宋体" w:hint="default"/>
        </w:rPr>
        <w:t>[2012]0140</w:t>
      </w:r>
      <w:r>
        <w:rPr>
          <w:rFonts w:ascii="宋体" w:hAnsi="宋体" w:cs="宋体" w:eastAsia="宋体" w:hint="default"/>
          <w:spacing w:val="-9"/>
        </w:rPr>
        <w:t> </w:t>
      </w:r>
      <w:r>
        <w:rPr/>
        <w:t>号验资报告验证。</w:t>
      </w:r>
    </w:p>
    <w:p>
      <w:pPr>
        <w:pStyle w:val="BodyText"/>
        <w:spacing w:line="355" w:lineRule="auto"/>
        <w:ind w:right="1128" w:firstLine="420"/>
        <w:jc w:val="both"/>
      </w:pPr>
      <w:r>
        <w:rPr/>
        <w:t>根据公司</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12</w:t>
      </w:r>
      <w:r>
        <w:rPr/>
        <w:t>日召开的</w:t>
      </w:r>
      <w:r>
        <w:rPr>
          <w:rFonts w:ascii="宋体" w:hAnsi="宋体" w:cs="宋体" w:eastAsia="宋体" w:hint="default"/>
        </w:rPr>
        <w:t>2012</w:t>
      </w:r>
      <w:r>
        <w:rPr/>
        <w:t>年第三次临时股东大会审议通过的</w:t>
      </w:r>
      <w:r>
        <w:rPr>
          <w:rFonts w:ascii="宋体" w:hAnsi="宋体" w:cs="宋体" w:eastAsia="宋体" w:hint="default"/>
        </w:rPr>
        <w:t>2012</w:t>
      </w:r>
      <w:r>
        <w:rPr/>
        <w:t>年半年度公司权益分配方</w:t>
      </w:r>
      <w:r>
        <w:rPr>
          <w:w w:val="100"/>
        </w:rPr>
        <w:t> </w:t>
      </w:r>
      <w:r>
        <w:rPr>
          <w:spacing w:val="-2"/>
        </w:rPr>
        <w:t>案，公司以</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日总股本</w:t>
      </w:r>
      <w:r>
        <w:rPr>
          <w:rFonts w:ascii="宋体" w:hAnsi="宋体" w:cs="宋体" w:eastAsia="宋体" w:hint="default"/>
          <w:spacing w:val="-2"/>
        </w:rPr>
        <w:t>10440</w:t>
      </w:r>
      <w:r>
        <w:rPr>
          <w:spacing w:val="-2"/>
        </w:rPr>
        <w:t>万股为基数，以资本公积金向全体股东每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股，增加股本</w:t>
      </w:r>
    </w:p>
    <w:p>
      <w:pPr>
        <w:spacing w:after="0" w:line="355" w:lineRule="auto"/>
        <w:jc w:val="both"/>
        <w:sectPr>
          <w:footerReference w:type="default" r:id="rId20"/>
          <w:pgSz w:w="11910" w:h="16840"/>
          <w:pgMar w:footer="1340" w:header="877" w:top="1100" w:bottom="1540" w:left="980" w:right="0"/>
          <w:pgNumType w:start="74"/>
        </w:sectPr>
      </w:pPr>
    </w:p>
    <w:p>
      <w:pPr>
        <w:spacing w:line="240" w:lineRule="auto" w:before="3"/>
        <w:rPr>
          <w:rFonts w:ascii="宋体" w:hAnsi="宋体" w:cs="宋体" w:eastAsia="宋体" w:hint="default"/>
          <w:sz w:val="19"/>
          <w:szCs w:val="19"/>
        </w:rPr>
      </w:pPr>
    </w:p>
    <w:p>
      <w:pPr>
        <w:pStyle w:val="BodyText"/>
        <w:spacing w:line="357" w:lineRule="auto" w:before="36"/>
        <w:ind w:right="1123"/>
        <w:jc w:val="left"/>
      </w:pPr>
      <w:r>
        <w:rPr>
          <w:rFonts w:ascii="宋体" w:hAnsi="宋体" w:cs="宋体" w:eastAsia="宋体" w:hint="default"/>
        </w:rPr>
        <w:t>10440</w:t>
      </w:r>
      <w:r>
        <w:rPr/>
        <w:t>万股，变更后的总股本为</w:t>
      </w:r>
      <w:r>
        <w:rPr>
          <w:rFonts w:ascii="宋体" w:hAnsi="宋体" w:cs="宋体" w:eastAsia="宋体" w:hint="default"/>
        </w:rPr>
        <w:t>20880</w:t>
      </w:r>
      <w:r>
        <w:rPr/>
        <w:t>万股，变更后注册资本为</w:t>
      </w:r>
      <w:r>
        <w:rPr>
          <w:rFonts w:ascii="宋体" w:hAnsi="宋体" w:cs="宋体" w:eastAsia="宋体" w:hint="default"/>
        </w:rPr>
        <w:t>20880</w:t>
      </w:r>
      <w:r>
        <w:rPr/>
        <w:t>万元。上述资本公积转增股本情况业</w:t>
      </w:r>
      <w:r>
        <w:rPr>
          <w:spacing w:val="-25"/>
        </w:rPr>
        <w:t> </w:t>
      </w:r>
      <w:r>
        <w:rPr>
          <w:spacing w:val="-25"/>
        </w:rPr>
      </w:r>
      <w:r>
        <w:rPr/>
        <w:t>经中勤万信会计师事务所验字</w:t>
      </w:r>
      <w:r>
        <w:rPr>
          <w:rFonts w:ascii="宋体" w:hAnsi="宋体" w:cs="宋体" w:eastAsia="宋体" w:hint="default"/>
        </w:rPr>
        <w:t>[2012]3057</w:t>
      </w:r>
      <w:r>
        <w:rPr/>
        <w:t>号验资报告验证。</w:t>
      </w:r>
    </w:p>
    <w:p>
      <w:pPr>
        <w:spacing w:line="240" w:lineRule="auto" w:before="2"/>
        <w:rPr>
          <w:rFonts w:ascii="宋体" w:hAnsi="宋体" w:cs="宋体" w:eastAsia="宋体" w:hint="default"/>
          <w:sz w:val="26"/>
          <w:szCs w:val="26"/>
        </w:rPr>
      </w:pPr>
    </w:p>
    <w:p>
      <w:pPr>
        <w:pStyle w:val="BodyText"/>
        <w:spacing w:line="357" w:lineRule="auto" w:before="0"/>
        <w:ind w:left="573" w:right="1123" w:hanging="421"/>
        <w:jc w:val="left"/>
      </w:pPr>
      <w:r>
        <w:rPr>
          <w:rFonts w:ascii="宋体" w:hAnsi="宋体" w:cs="宋体" w:eastAsia="宋体" w:hint="default"/>
          <w:b/>
          <w:bCs/>
        </w:rPr>
        <w:t>2</w:t>
      </w:r>
      <w:r>
        <w:rPr>
          <w:rFonts w:ascii="宋体" w:hAnsi="宋体" w:cs="宋体" w:eastAsia="宋体" w:hint="default"/>
          <w:b/>
          <w:bCs/>
        </w:rPr>
        <w:t>、公司经营范围</w:t>
      </w:r>
      <w:r>
        <w:rPr>
          <w:rFonts w:ascii="宋体" w:hAnsi="宋体" w:cs="宋体" w:eastAsia="宋体" w:hint="default"/>
          <w:b/>
          <w:bCs/>
          <w:spacing w:val="-104"/>
        </w:rPr>
        <w:t> </w:t>
      </w:r>
      <w:r>
        <w:rPr>
          <w:spacing w:val="-2"/>
        </w:rPr>
        <w:t>本公司基于智能化技术开展业务，属于“计算机服务业”大类下的“其它计算机服务业”小类，具体</w:t>
      </w:r>
    </w:p>
    <w:p>
      <w:pPr>
        <w:pStyle w:val="BodyText"/>
        <w:spacing w:line="355" w:lineRule="auto"/>
        <w:ind w:right="1123"/>
        <w:jc w:val="left"/>
      </w:pPr>
      <w:r>
        <w:rPr>
          <w:spacing w:val="-2"/>
        </w:rPr>
        <w:t>细分为“建筑智能化及建筑节能服务行业”。本公司主要从事建筑智能化及建筑节能服务，同时提供工业</w:t>
      </w:r>
      <w:r>
        <w:rPr>
          <w:spacing w:val="-41"/>
        </w:rPr>
        <w:t> </w:t>
      </w:r>
      <w:r>
        <w:rPr>
          <w:spacing w:val="-41"/>
        </w:rPr>
      </w:r>
      <w:r>
        <w:rPr/>
        <w:t>自动化系统集成和</w:t>
      </w:r>
      <w:r>
        <w:rPr>
          <w:rFonts w:ascii="宋体" w:hAnsi="宋体" w:cs="宋体" w:eastAsia="宋体" w:hint="default"/>
        </w:rPr>
        <w:t>IC</w:t>
      </w:r>
      <w:r>
        <w:rPr/>
        <w:t>卡读写设备的生产、销售业务。</w:t>
      </w:r>
    </w:p>
    <w:p>
      <w:pPr>
        <w:pStyle w:val="BodyText"/>
        <w:spacing w:line="357" w:lineRule="auto" w:before="32"/>
        <w:ind w:right="1126" w:firstLine="420"/>
        <w:jc w:val="both"/>
      </w:pPr>
      <w:r>
        <w:rPr>
          <w:spacing w:val="-2"/>
        </w:rPr>
        <w:t>公司经营范围：组装生产、研发能源管理产品；</w:t>
      </w:r>
      <w:r>
        <w:rPr>
          <w:rFonts w:ascii="宋体" w:hAnsi="宋体" w:cs="宋体" w:eastAsia="宋体" w:hint="default"/>
          <w:spacing w:val="-2"/>
        </w:rPr>
        <w:t>IC</w:t>
      </w:r>
      <w:r>
        <w:rPr>
          <w:spacing w:val="-2"/>
        </w:rPr>
        <w:t>卡读写机具产品、安防监控设备和信息终端、智能</w:t>
      </w:r>
      <w:r>
        <w:rPr>
          <w:w w:val="100"/>
        </w:rPr>
        <w:t> </w:t>
      </w:r>
      <w:r>
        <w:rPr>
          <w:spacing w:val="-2"/>
        </w:rPr>
        <w:t>大厦监控系统、现场网络控制设备、机电设备和仪器仪表的技术开发及相关系统软件的销售；承接建筑智</w:t>
      </w:r>
      <w:r>
        <w:rPr>
          <w:spacing w:val="-45"/>
        </w:rPr>
        <w:t> </w:t>
      </w:r>
      <w:r>
        <w:rPr>
          <w:spacing w:val="-45"/>
        </w:rPr>
      </w:r>
      <w:r>
        <w:rPr>
          <w:spacing w:val="-2"/>
        </w:rPr>
        <w:t>能化系统和工业自动化系统的设计、集成、安装、技术咨询；提供能源监测、节能咨询服务；电气系统网</w:t>
      </w:r>
      <w:r>
        <w:rPr>
          <w:spacing w:val="-42"/>
        </w:rPr>
        <w:t> </w:t>
      </w:r>
      <w:r>
        <w:rPr>
          <w:spacing w:val="-42"/>
        </w:rPr>
      </w:r>
      <w:r>
        <w:rPr/>
        <w:t>络开发、电气产品及设备开发、销售、安装。</w:t>
      </w:r>
    </w:p>
    <w:p>
      <w:pPr>
        <w:pStyle w:val="BodyText"/>
        <w:spacing w:line="355" w:lineRule="auto"/>
        <w:ind w:left="573" w:right="1123" w:hanging="421"/>
        <w:jc w:val="left"/>
      </w:pPr>
      <w:r>
        <w:rPr>
          <w:rFonts w:ascii="宋体" w:hAnsi="宋体" w:cs="宋体" w:eastAsia="宋体" w:hint="default"/>
          <w:b/>
          <w:bCs/>
        </w:rPr>
        <w:t>3</w:t>
      </w:r>
      <w:r>
        <w:rPr>
          <w:rFonts w:ascii="宋体" w:hAnsi="宋体" w:cs="宋体" w:eastAsia="宋体" w:hint="default"/>
          <w:b/>
          <w:bCs/>
        </w:rPr>
        <w:t>、公司实际控制人</w:t>
      </w:r>
      <w:r>
        <w:rPr>
          <w:rFonts w:ascii="宋体" w:hAnsi="宋体" w:cs="宋体" w:eastAsia="宋体" w:hint="default"/>
          <w:b/>
          <w:bCs/>
          <w:spacing w:val="-103"/>
        </w:rPr>
        <w:t> </w:t>
      </w:r>
      <w:r>
        <w:rPr>
          <w:spacing w:val="-2"/>
        </w:rPr>
        <w:t>本公司实际控制人为刘磅，系深圳市达实投资发展有限公司的第一大股东，本公司董事长、总经理。</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Heading2"/>
        <w:spacing w:line="240" w:lineRule="auto"/>
        <w:ind w:right="1123"/>
        <w:jc w:val="left"/>
        <w:rPr>
          <w:b w:val="0"/>
          <w:bCs w:val="0"/>
        </w:rPr>
      </w:pPr>
      <w:r>
        <w:rPr/>
        <w:t>四、公司主要会计政策、会计估计和前期差错</w:t>
      </w:r>
      <w:r>
        <w:rPr>
          <w:b w:val="0"/>
          <w:bCs w:val="0"/>
        </w:rPr>
      </w:r>
    </w:p>
    <w:p>
      <w:pPr>
        <w:spacing w:line="570" w:lineRule="atLeast" w:before="44"/>
        <w:ind w:left="573" w:right="112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本公司以持续经营为基础，根据实际发生的交易和事项，按照《企业会计准则――基本准则》和其他</w:t>
      </w:r>
    </w:p>
    <w:p>
      <w:pPr>
        <w:pStyle w:val="BodyText"/>
        <w:spacing w:line="240" w:lineRule="auto" w:before="133"/>
        <w:ind w:right="1123"/>
        <w:jc w:val="left"/>
      </w:pPr>
      <w:r>
        <w:rPr/>
        <w:t>各项会计准则的规定进行确认和计量，在此基础上编制财务报表。</w:t>
      </w:r>
    </w:p>
    <w:p>
      <w:pPr>
        <w:spacing w:line="570" w:lineRule="atLeast" w:before="175"/>
        <w:ind w:left="573" w:right="112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本公司基于上述编制基础编制的合并财务报表符合企业会计准则的要求，真实、完整地反映了本公司</w:t>
      </w:r>
    </w:p>
    <w:p>
      <w:pPr>
        <w:pStyle w:val="BodyText"/>
        <w:spacing w:line="240" w:lineRule="auto" w:before="133"/>
        <w:ind w:right="1123"/>
        <w:jc w:val="left"/>
      </w:pP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日的合并财务状况，以及</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日的合并经营成果和合并现金流量等有关信息。</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657" w:right="1123"/>
        <w:jc w:val="left"/>
      </w:pPr>
      <w:r>
        <w:rPr/>
        <w:t>采用公历年度，即从每年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日为一个会计年度。</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right="112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0"/>
        <w:ind w:left="657" w:right="1123"/>
        <w:jc w:val="left"/>
      </w:pPr>
      <w:r>
        <w:rPr/>
        <w:t>以人民币为记账本位币。</w:t>
      </w:r>
    </w:p>
    <w:p>
      <w:pPr>
        <w:spacing w:after="0" w:line="240" w:lineRule="auto"/>
        <w:jc w:val="left"/>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570" w:lineRule="atLeast" w:before="45"/>
        <w:ind w:left="657" w:right="1123" w:hanging="50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z w:val="21"/>
          <w:szCs w:val="21"/>
        </w:rPr>
        <w:t>合并方在企业合并中取得的资产和负债，应当按照合并日在被合并方的账面价值计量。合并方取得</w:t>
      </w:r>
    </w:p>
    <w:p>
      <w:pPr>
        <w:pStyle w:val="BodyText"/>
        <w:spacing w:line="357" w:lineRule="auto" w:before="133"/>
        <w:ind w:right="0"/>
        <w:jc w:val="left"/>
      </w:pPr>
      <w:r>
        <w:rPr>
          <w:spacing w:val="-2"/>
        </w:rPr>
        <w:t>的净资产账面价值与支付的合并对价账面价值（或发行股份面值总额）的差额，应当调整资本公积；资本</w:t>
      </w:r>
      <w:r>
        <w:rPr>
          <w:spacing w:val="-47"/>
        </w:rPr>
        <w:t> </w:t>
      </w:r>
      <w:r>
        <w:rPr>
          <w:spacing w:val="-47"/>
        </w:rPr>
      </w:r>
      <w:r>
        <w:rPr>
          <w:spacing w:val="-2"/>
        </w:rPr>
        <w:t>公积不足冲减的，调整留存收益。合并方为进行企业合并发生的各项直接相关费用，包括为进行企业合并</w:t>
      </w:r>
      <w:r>
        <w:rPr>
          <w:spacing w:val="-43"/>
        </w:rPr>
        <w:t> </w:t>
      </w:r>
      <w:r>
        <w:rPr>
          <w:spacing w:val="-43"/>
        </w:rPr>
      </w:r>
      <w:r>
        <w:rPr>
          <w:spacing w:val="-2"/>
        </w:rPr>
        <w:t>而支付的审计费用、评估费用、法律服务费用等，应当于发生时计入当期损益。企业合并形成母子公司关</w:t>
      </w:r>
      <w:r>
        <w:rPr>
          <w:spacing w:val="-47"/>
        </w:rPr>
        <w:t> </w:t>
      </w:r>
      <w:r>
        <w:rPr>
          <w:spacing w:val="-47"/>
        </w:rPr>
      </w:r>
      <w:r>
        <w:rPr>
          <w:spacing w:val="-2"/>
        </w:rPr>
        <w:t>系的，母公司应当编制合并日的合并资产负债表、合并利润表和合并现金流量表。合并资产负债表中被合</w:t>
      </w:r>
      <w:r>
        <w:rPr>
          <w:spacing w:val="-44"/>
        </w:rPr>
        <w:t> </w:t>
      </w:r>
      <w:r>
        <w:rPr>
          <w:spacing w:val="-44"/>
        </w:rPr>
      </w:r>
      <w:r>
        <w:rPr>
          <w:spacing w:val="-2"/>
        </w:rPr>
        <w:t>并方的各项资产、负债，应当按其账面价值计量。因被合并方采用的会计政策与合并方不一致，按照本准</w:t>
      </w:r>
      <w:r>
        <w:rPr>
          <w:spacing w:val="-46"/>
        </w:rPr>
        <w:t> </w:t>
      </w:r>
      <w:r>
        <w:rPr>
          <w:spacing w:val="-46"/>
        </w:rPr>
      </w:r>
      <w:r>
        <w:rPr>
          <w:spacing w:val="-2"/>
        </w:rPr>
        <w:t>则规定进行调整的，应当以调整后的账面价值计量。合并利润表应当包括参与合并各方自合并当期期初至</w:t>
      </w:r>
      <w:r>
        <w:rPr>
          <w:spacing w:val="-43"/>
        </w:rPr>
        <w:t> </w:t>
      </w:r>
      <w:r>
        <w:rPr>
          <w:spacing w:val="-43"/>
        </w:rPr>
      </w:r>
      <w:r>
        <w:rPr>
          <w:spacing w:val="-5"/>
        </w:rPr>
        <w:t>合并日所发生的收入、费用和利润。被合并方在合并前实现的净利润，应当在合并利润表中单列项目反映。</w:t>
      </w:r>
      <w:r>
        <w:rPr>
          <w:spacing w:val="-4"/>
        </w:rPr>
        <w:t> </w:t>
      </w:r>
      <w:r>
        <w:rPr>
          <w:spacing w:val="-4"/>
        </w:rPr>
      </w:r>
      <w:r>
        <w:rPr/>
        <w:t>合并现金流量表应当包括参与合并各方自合并当期期初至合并日的现金流量。</w:t>
      </w:r>
    </w:p>
    <w:p>
      <w:pPr>
        <w:spacing w:line="240" w:lineRule="auto" w:before="5"/>
        <w:rPr>
          <w:rFonts w:ascii="宋体" w:hAnsi="宋体" w:cs="宋体" w:eastAsia="宋体" w:hint="default"/>
          <w:sz w:val="29"/>
          <w:szCs w:val="29"/>
        </w:rPr>
      </w:pPr>
    </w:p>
    <w:p>
      <w:pPr>
        <w:spacing w:line="570" w:lineRule="atLeast" w:before="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购买方在购买日为取得对被购买方的控制权而付出的资产、发生或承担的负债以及发行的权益性证券</w:t>
      </w:r>
    </w:p>
    <w:p>
      <w:pPr>
        <w:pStyle w:val="BodyText"/>
        <w:spacing w:line="357" w:lineRule="auto" w:before="133"/>
        <w:ind w:right="0"/>
        <w:jc w:val="left"/>
      </w:pPr>
      <w:r>
        <w:rPr>
          <w:spacing w:val="-2"/>
        </w:rPr>
        <w:t>的公允价值作为合并成本，为企业合并发生的审计、法律服务、评估咨询等中介费用以及其他直接相关费</w:t>
      </w:r>
      <w:r>
        <w:rPr>
          <w:spacing w:val="-44"/>
        </w:rPr>
        <w:t> </w:t>
      </w:r>
      <w:r>
        <w:rPr>
          <w:spacing w:val="-44"/>
        </w:rPr>
      </w:r>
      <w:r>
        <w:rPr/>
        <w:t>用于发生时计入当期损益。购买方在购买日对作为企业合并对价付出的资产、发生或承担的负债应当按照</w:t>
      </w:r>
      <w:r>
        <w:rPr>
          <w:w w:val="100"/>
        </w:rPr>
        <w:t> </w:t>
      </w:r>
      <w:r>
        <w:rPr>
          <w:spacing w:val="-2"/>
        </w:rPr>
        <w:t>公允价值计量，公允价值与其账面价值的差额，计入当期损益。购买方对合并成本大于合并中取得的被购</w:t>
      </w:r>
      <w:r>
        <w:rPr>
          <w:spacing w:val="-44"/>
        </w:rPr>
        <w:t> </w:t>
      </w:r>
      <w:r>
        <w:rPr>
          <w:spacing w:val="-44"/>
        </w:rPr>
      </w:r>
      <w:r>
        <w:rPr/>
        <w:t>买方可辨认净资产公允价值份额的差额，应当确认为商誉。购买方对合并成本小于合并中取得的被购买方</w:t>
      </w:r>
      <w:r>
        <w:rPr>
          <w:w w:val="100"/>
        </w:rPr>
        <w:t> </w:t>
      </w:r>
      <w:r>
        <w:rPr/>
        <w:t>可辨认净资产公允价值份额的差额，应对取得的被购买方各项可辨认资产、负债及或有负债的公允价值以</w:t>
      </w:r>
      <w:r>
        <w:rPr>
          <w:w w:val="100"/>
        </w:rPr>
        <w:t> </w:t>
      </w:r>
      <w:r>
        <w:rPr/>
        <w:t>及合并成本的计量进行复核；经复核后合并成本仍小于合并中取得的被购买方可辨认净资产公允价值份额</w:t>
      </w:r>
      <w:r>
        <w:rPr>
          <w:w w:val="100"/>
        </w:rPr>
        <w:t> </w:t>
      </w:r>
      <w:r>
        <w:rPr>
          <w:spacing w:val="-5"/>
        </w:rPr>
        <w:t>的，其差额应当计入当期损益。企业合并形成母子公司关系的，母公司应当编制购买日的合并资产负债表，</w:t>
      </w:r>
      <w:r>
        <w:rPr>
          <w:spacing w:val="-4"/>
        </w:rPr>
        <w:t> </w:t>
      </w:r>
      <w:r>
        <w:rPr>
          <w:spacing w:val="-4"/>
        </w:rPr>
      </w:r>
      <w:r>
        <w:rPr/>
        <w:t>因企业合并取得的被购买方各项可辨认资产、负债及或有负债应当以公允价值列示。</w:t>
      </w:r>
    </w:p>
    <w:p>
      <w:pPr>
        <w:spacing w:line="240" w:lineRule="auto" w:before="1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573" w:right="1123"/>
        <w:jc w:val="left"/>
      </w:pPr>
      <w:r>
        <w:rPr/>
        <w:t>①合并财务报表的合并范围以控制为基础予以确定。</w:t>
      </w:r>
    </w:p>
    <w:p>
      <w:pPr>
        <w:pStyle w:val="BodyText"/>
        <w:spacing w:line="355" w:lineRule="auto" w:before="133"/>
        <w:ind w:right="0" w:firstLine="420"/>
        <w:jc w:val="left"/>
      </w:pPr>
      <w:r>
        <w:rPr>
          <w:spacing w:val="2"/>
        </w:rPr>
        <w:t>②合并财务报表以本公司和纳入合并财务报表范围的各子公司的财务报表及其他有关资料为合并依</w:t>
      </w:r>
      <w:r>
        <w:rPr>
          <w:w w:val="100"/>
        </w:rPr>
        <w:t> </w:t>
      </w:r>
      <w:r>
        <w:rPr>
          <w:spacing w:val="-5"/>
        </w:rPr>
        <w:t>据，按照权益法调整对子公司的长期股权投资，将本公司和纳入合并财务报表范围的各子公司之间的投资、</w:t>
      </w:r>
      <w:r>
        <w:rPr>
          <w:spacing w:val="-4"/>
        </w:rPr>
        <w:t> </w:t>
      </w:r>
      <w:r>
        <w:rPr>
          <w:spacing w:val="-4"/>
        </w:rPr>
      </w:r>
      <w:r>
        <w:rPr/>
        <w:t>交易及往来等全部抵销，并计算少数股东损益及少数股东权益后合并编制而成。</w:t>
      </w:r>
    </w:p>
    <w:p>
      <w:pPr>
        <w:pStyle w:val="BodyText"/>
        <w:spacing w:line="357" w:lineRule="auto" w:before="32"/>
        <w:ind w:right="1123" w:firstLine="420"/>
        <w:jc w:val="left"/>
      </w:pPr>
      <w:r>
        <w:rPr>
          <w:spacing w:val="-2"/>
        </w:rPr>
        <w:t>③合并时，如纳入合并范围的子公司与本公司会计政策不一致，按本公司执行的会计政策对其进行调</w:t>
      </w:r>
      <w:r>
        <w:rPr>
          <w:w w:val="100"/>
        </w:rPr>
        <w:t> </w:t>
      </w:r>
      <w:r>
        <w:rPr/>
        <w:t>整后合并。</w:t>
      </w:r>
    </w:p>
    <w:p>
      <w:pPr>
        <w:spacing w:after="0" w:line="357" w:lineRule="auto"/>
        <w:jc w:val="left"/>
        <w:sectPr>
          <w:pgSz w:w="11910" w:h="16840"/>
          <w:pgMar w:header="877" w:footer="1340" w:top="1100" w:bottom="1540" w:left="980" w:right="0"/>
        </w:sectPr>
      </w:pPr>
    </w:p>
    <w:p>
      <w:pPr>
        <w:spacing w:line="240" w:lineRule="auto" w:before="3"/>
        <w:rPr>
          <w:rFonts w:ascii="宋体" w:hAnsi="宋体" w:cs="宋体" w:eastAsia="宋体" w:hint="default"/>
          <w:sz w:val="19"/>
          <w:szCs w:val="19"/>
        </w:rPr>
      </w:pPr>
    </w:p>
    <w:p>
      <w:pPr>
        <w:pStyle w:val="BodyText"/>
        <w:spacing w:line="357" w:lineRule="auto" w:before="36"/>
        <w:ind w:right="1126" w:firstLine="420"/>
        <w:jc w:val="both"/>
      </w:pPr>
      <w:r>
        <w:rPr>
          <w:spacing w:val="-2"/>
        </w:rPr>
        <w:t>④对于同一控制下企业合并取得的子公司，视同该企业合并于合并当期的期初已经发生，从合并当期</w:t>
      </w:r>
      <w:r>
        <w:rPr>
          <w:w w:val="100"/>
        </w:rPr>
        <w:t> </w:t>
      </w:r>
      <w:r>
        <w:rPr/>
        <w:t>的期初起将其资产、负债、经营成果和现金流量纳入合并财务报表。</w:t>
      </w:r>
    </w:p>
    <w:p>
      <w:pPr>
        <w:pStyle w:val="BodyText"/>
        <w:spacing w:line="357" w:lineRule="auto"/>
        <w:ind w:right="1126" w:firstLine="420"/>
        <w:jc w:val="both"/>
      </w:pPr>
      <w:r>
        <w:rPr>
          <w:spacing w:val="-2"/>
        </w:rPr>
        <w:t>⑤同一控制下的企业合并事项的，被重组方合并前的净损益应计入非经常性损益，并在申报财务报表</w:t>
      </w:r>
      <w:r>
        <w:rPr>
          <w:w w:val="100"/>
        </w:rPr>
        <w:t> </w:t>
      </w:r>
      <w:r>
        <w:rPr/>
        <w:t>中单独列示。</w:t>
      </w:r>
    </w:p>
    <w:p>
      <w:pPr>
        <w:pStyle w:val="BodyText"/>
        <w:spacing w:line="355" w:lineRule="auto"/>
        <w:ind w:right="1126" w:firstLine="420"/>
        <w:jc w:val="both"/>
      </w:pPr>
      <w:r>
        <w:rPr>
          <w:spacing w:val="-2"/>
        </w:rPr>
        <w:t>⑥重组属于同一公司控制权人下的非企业合并事项，但被重组方重组前一个会计年度末的资产总额或</w:t>
      </w:r>
      <w:r>
        <w:rPr>
          <w:w w:val="100"/>
        </w:rPr>
        <w:t> </w:t>
      </w:r>
      <w:r>
        <w:rPr/>
        <w:t>前一个会计年度的营业收入或利润总额达到或超过重组前发行人相应项目</w:t>
      </w:r>
      <w:r>
        <w:rPr>
          <w:rFonts w:ascii="宋体" w:hAnsi="宋体" w:cs="宋体" w:eastAsia="宋体" w:hint="default"/>
        </w:rPr>
        <w:t>20%</w:t>
      </w:r>
      <w:r>
        <w:rPr/>
        <w:t>的，从合并当期的期初起编</w:t>
      </w:r>
      <w:r>
        <w:rPr>
          <w:spacing w:val="-24"/>
        </w:rPr>
        <w:t> </w:t>
      </w:r>
      <w:r>
        <w:rPr>
          <w:spacing w:val="-24"/>
        </w:rPr>
      </w:r>
      <w:r>
        <w:rPr/>
        <w:t>制备考利润表。</w:t>
      </w:r>
    </w:p>
    <w:p>
      <w:pPr>
        <w:pStyle w:val="BodyText"/>
        <w:spacing w:line="355" w:lineRule="auto" w:before="34"/>
        <w:ind w:right="1126" w:firstLine="420"/>
        <w:jc w:val="both"/>
      </w:pPr>
      <w:r>
        <w:rPr>
          <w:spacing w:val="-2"/>
        </w:rPr>
        <w:t>⑦对于因非同一控制下企业合并取得的子公司，在编制合并报表时，以购买日可辨认净资产公允价值</w:t>
      </w:r>
      <w:r>
        <w:rPr>
          <w:w w:val="100"/>
        </w:rPr>
        <w:t> </w:t>
      </w:r>
      <w:r>
        <w:rPr/>
        <w:t>为基础对个别财务报表进行调整。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487" w:lineRule="auto" w:before="143"/>
        <w:ind w:left="645" w:right="1123" w:hanging="49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）对同一子公司的股权在连续两个会计年度买入再卖出，或卖出再买入的应披露相关的会计处理方法</w:t>
      </w:r>
      <w:r>
        <w:rPr>
          <w:spacing w:val="-68"/>
        </w:rPr>
        <w:t> </w:t>
      </w:r>
      <w:r>
        <w:rPr>
          <w:spacing w:val="-68"/>
        </w:rPr>
      </w:r>
      <w:r>
        <w:rPr>
          <w:rFonts w:ascii="宋体" w:hAnsi="宋体" w:cs="宋体" w:eastAsia="宋体" w:hint="default"/>
          <w:b w:val="0"/>
          <w:bCs w:val="0"/>
        </w:rPr>
        <w:t>不适用</w:t>
      </w:r>
    </w:p>
    <w:p>
      <w:pPr>
        <w:spacing w:line="590" w:lineRule="exact" w:before="14"/>
        <w:ind w:left="573" w:right="418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现金是指本公司的库存现金以及随时用于支付的存款。</w:t>
      </w:r>
    </w:p>
    <w:p>
      <w:pPr>
        <w:pStyle w:val="BodyText"/>
        <w:spacing w:line="357" w:lineRule="auto" w:before="44"/>
        <w:ind w:right="1128" w:firstLine="420"/>
        <w:jc w:val="both"/>
      </w:pPr>
      <w:r>
        <w:rPr>
          <w:spacing w:val="-2"/>
        </w:rPr>
        <w:t>现金等价物为本公司持有的期限短（一般是指从购买日起三个月内到期）、流动性强、易于转换为已</w:t>
      </w:r>
      <w:r>
        <w:rPr>
          <w:w w:val="100"/>
        </w:rPr>
        <w:t> </w:t>
      </w:r>
      <w:r>
        <w:rPr/>
        <w:t>知金额现金且价值变动风险很小的投资。</w:t>
      </w:r>
    </w:p>
    <w:p>
      <w:pPr>
        <w:spacing w:line="240" w:lineRule="auto" w:before="1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right="1126" w:firstLine="420"/>
        <w:jc w:val="both"/>
      </w:pPr>
      <w:r>
        <w:rPr>
          <w:spacing w:val="-2"/>
        </w:rPr>
        <w:t>本公司外币交易均按交易发生日的即期近似汇率折算为记账本位币。该即期近似汇率指交易发生日当</w:t>
      </w:r>
      <w:r>
        <w:rPr>
          <w:w w:val="100"/>
        </w:rPr>
        <w:t> </w:t>
      </w:r>
      <w:r>
        <w:rPr/>
        <w:t>月月初的汇率。</w:t>
      </w:r>
    </w:p>
    <w:p>
      <w:pPr>
        <w:pStyle w:val="BodyText"/>
        <w:spacing w:line="357" w:lineRule="auto" w:before="32"/>
        <w:ind w:left="573" w:right="1123"/>
        <w:jc w:val="left"/>
      </w:pPr>
      <w:r>
        <w:rPr/>
        <w:t>在资产负债表日，应当按照下列规定对外币货币性项目和外币非货币性项目进行处理：</w:t>
      </w:r>
      <w:r>
        <w:rPr>
          <w:w w:val="100"/>
        </w:rPr>
        <w:t> </w:t>
      </w:r>
      <w:r>
        <w:rPr>
          <w:rFonts w:ascii="宋体" w:hAnsi="宋体" w:cs="宋体" w:eastAsia="宋体" w:hint="default"/>
        </w:rPr>
        <w:t>a</w:t>
      </w:r>
      <w:r>
        <w:rPr/>
        <w:t>、外币货币性项目，采用资产负债表日即期汇率折算。因资产负债表日即期汇率与初始确认时或前</w:t>
      </w:r>
    </w:p>
    <w:p>
      <w:pPr>
        <w:pStyle w:val="BodyText"/>
        <w:spacing w:line="357" w:lineRule="auto"/>
        <w:ind w:left="573" w:right="1123" w:hanging="421"/>
        <w:jc w:val="left"/>
      </w:pPr>
      <w:r>
        <w:rPr/>
        <w:t>一资产负债表日即期汇率不同而产生的汇兑差额，计入当期损益。</w:t>
      </w:r>
      <w:r>
        <w:rPr>
          <w:w w:val="100"/>
        </w:rPr>
        <w:t> </w:t>
      </w:r>
      <w:r>
        <w:rPr>
          <w:rFonts w:ascii="宋体" w:hAnsi="宋体" w:cs="宋体" w:eastAsia="宋体" w:hint="default"/>
        </w:rPr>
        <w:t>b</w:t>
      </w:r>
      <w:r>
        <w:rPr/>
        <w:t>、以历史成本计量的外币非货币性项目，仍采用交易发生日的即期汇率折算，不改变其记账本位币</w:t>
      </w:r>
    </w:p>
    <w:p>
      <w:pPr>
        <w:pStyle w:val="BodyText"/>
        <w:spacing w:line="240" w:lineRule="auto"/>
        <w:ind w:right="1123"/>
        <w:jc w:val="left"/>
      </w:pPr>
      <w:r>
        <w:rPr/>
        <w:t>金额。</w:t>
      </w:r>
    </w:p>
    <w:p>
      <w:pPr>
        <w:pStyle w:val="BodyText"/>
        <w:spacing w:line="357" w:lineRule="auto" w:before="133"/>
        <w:ind w:right="1136" w:firstLine="420"/>
        <w:jc w:val="both"/>
      </w:pPr>
      <w:r>
        <w:rPr>
          <w:rFonts w:ascii="宋体" w:hAnsi="宋体" w:cs="宋体" w:eastAsia="宋体" w:hint="default"/>
        </w:rPr>
        <w:t>c</w:t>
      </w:r>
      <w:r>
        <w:rPr/>
        <w:t>、以公允价值计量的外币非货币性项目，采用公允价值确定日的即期汇率折算，折算后的记账本位</w:t>
      </w:r>
      <w:r>
        <w:rPr>
          <w:w w:val="100"/>
        </w:rPr>
        <w:t> </w:t>
      </w:r>
      <w:r>
        <w:rPr/>
        <w:t>币金额与原记账本位币金额的差额，作为公允价值变动处理，计入当期损益。</w:t>
      </w:r>
    </w:p>
    <w:p>
      <w:pPr>
        <w:spacing w:line="570" w:lineRule="atLeast" w:before="72"/>
        <w:ind w:left="573" w:right="418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2"/>
          <w:sz w:val="21"/>
          <w:szCs w:val="21"/>
        </w:rPr>
        <w:t>公司对境外经营的财务报表进行折算时，遵循下列规定：</w:t>
      </w:r>
    </w:p>
    <w:p>
      <w:pPr>
        <w:spacing w:after="0" w:line="570" w:lineRule="atLeast"/>
        <w:jc w:val="left"/>
        <w:rPr>
          <w:rFonts w:ascii="宋体" w:hAnsi="宋体" w:cs="宋体" w:eastAsia="宋体" w:hint="default"/>
          <w:sz w:val="21"/>
          <w:szCs w:val="21"/>
        </w:rPr>
        <w:sectPr>
          <w:pgSz w:w="11910" w:h="16840"/>
          <w:pgMar w:header="877" w:footer="1340" w:top="1100" w:bottom="1540" w:left="980" w:right="0"/>
        </w:sectPr>
      </w:pPr>
    </w:p>
    <w:p>
      <w:pPr>
        <w:spacing w:line="240" w:lineRule="auto" w:before="3"/>
        <w:rPr>
          <w:rFonts w:ascii="宋体" w:hAnsi="宋体" w:cs="宋体" w:eastAsia="宋体" w:hint="default"/>
          <w:sz w:val="19"/>
          <w:szCs w:val="19"/>
        </w:rPr>
      </w:pPr>
    </w:p>
    <w:p>
      <w:pPr>
        <w:pStyle w:val="BodyText"/>
        <w:spacing w:line="357" w:lineRule="auto" w:before="36"/>
        <w:ind w:right="1123" w:firstLine="420"/>
        <w:jc w:val="left"/>
      </w:pPr>
      <w:r>
        <w:rPr>
          <w:rFonts w:ascii="宋体" w:hAnsi="宋体" w:cs="宋体" w:eastAsia="宋体" w:hint="default"/>
        </w:rPr>
        <w:t>a</w:t>
      </w:r>
      <w:r>
        <w:rPr/>
        <w:t>、资产负债表中的资产和负债项目，采用资产负债表日的即期汇率折算，所有者权益项目除“未分</w:t>
      </w:r>
      <w:r>
        <w:rPr>
          <w:w w:val="100"/>
        </w:rPr>
        <w:t> </w:t>
      </w:r>
      <w:r>
        <w:rPr/>
        <w:t>配利润”项目外，其他项目采用发生时的即期近似汇率折算。</w:t>
      </w:r>
    </w:p>
    <w:p>
      <w:pPr>
        <w:pStyle w:val="BodyText"/>
        <w:spacing w:line="357" w:lineRule="auto"/>
        <w:ind w:left="573" w:right="1123"/>
        <w:jc w:val="left"/>
      </w:pPr>
      <w:r>
        <w:rPr>
          <w:rFonts w:ascii="宋体" w:hAnsi="宋体" w:cs="宋体" w:eastAsia="宋体" w:hint="default"/>
        </w:rPr>
        <w:t>b</w:t>
      </w:r>
      <w:r>
        <w:rPr/>
        <w:t>、利润表中的收入和费用项目，采用交易发生日的即期近似汇率折算。</w:t>
      </w:r>
      <w:r>
        <w:rPr>
          <w:w w:val="100"/>
        </w:rPr>
        <w:t> </w:t>
      </w:r>
      <w:r>
        <w:rPr>
          <w:spacing w:val="-2"/>
        </w:rPr>
        <w:t>按照上述方法折算产生的外币财务报表折算差额，在资产负债表中所有者权益项目下单独列示。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40"/>
        <w:ind w:right="0"/>
        <w:jc w:val="both"/>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0"/>
        <w:ind w:left="573" w:right="1123"/>
        <w:jc w:val="left"/>
      </w:pPr>
      <w:r>
        <w:rPr/>
        <w:t>金融工具包括金融资产、金融负债和权益工具。</w:t>
      </w:r>
    </w:p>
    <w:p>
      <w:pPr>
        <w:pStyle w:val="BodyText"/>
        <w:spacing w:line="570" w:lineRule="atLeast" w:before="178"/>
        <w:ind w:left="573" w:right="1123"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100"/>
        </w:rPr>
        <w:t> </w:t>
      </w:r>
      <w:r>
        <w:rPr>
          <w:spacing w:val="-2"/>
        </w:rPr>
        <w:t>金融资产分为以公允价值计量且其变动计入当期损益的金融资产（包括交易性金融资产和指定为以公</w:t>
      </w:r>
    </w:p>
    <w:p>
      <w:pPr>
        <w:pStyle w:val="BodyText"/>
        <w:spacing w:line="357" w:lineRule="auto" w:before="133"/>
        <w:ind w:right="1129"/>
        <w:jc w:val="both"/>
      </w:pPr>
      <w:r>
        <w:rPr>
          <w:spacing w:val="-2"/>
        </w:rPr>
        <w:t>允价值计量且其变动计入当期损益的金融资产）、持有至到期投资、贷款和应收款项、可供出售金融资产</w:t>
      </w:r>
      <w:r>
        <w:rPr>
          <w:spacing w:val="-47"/>
        </w:rPr>
        <w:t> </w:t>
      </w:r>
      <w:r>
        <w:rPr>
          <w:spacing w:val="-47"/>
        </w:rPr>
      </w:r>
      <w:r>
        <w:rPr/>
        <w:t>等四类。</w:t>
      </w:r>
    </w:p>
    <w:p>
      <w:pPr>
        <w:pStyle w:val="BodyText"/>
        <w:spacing w:line="355" w:lineRule="auto"/>
        <w:ind w:right="1123" w:firstLine="420"/>
        <w:jc w:val="left"/>
      </w:pPr>
      <w:r>
        <w:rPr>
          <w:spacing w:val="-2"/>
        </w:rPr>
        <w:t>金融负债在初始确认时划分为以下两类：以公允价值计量且其变动计入当期损益的金融负债（包括交</w:t>
      </w:r>
      <w:r>
        <w:rPr>
          <w:w w:val="100"/>
        </w:rPr>
        <w:t> </w:t>
      </w:r>
      <w:r>
        <w:rPr/>
        <w:t>易性金融负债和指定为以公允价值计量且其变动计入当期损益的金融负债）、其他金融负债。</w:t>
      </w:r>
    </w:p>
    <w:p>
      <w:pPr>
        <w:spacing w:line="240" w:lineRule="auto" w:before="1"/>
        <w:rPr>
          <w:rFonts w:ascii="宋体" w:hAnsi="宋体" w:cs="宋体" w:eastAsia="宋体" w:hint="default"/>
          <w:sz w:val="27"/>
          <w:szCs w:val="27"/>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573" w:right="1123"/>
        <w:jc w:val="left"/>
      </w:pPr>
      <w:r>
        <w:rPr/>
        <w:t>①以公允价值计量且其变动计入当期损益的金融资产（金融负债）</w:t>
      </w:r>
      <w:r>
        <w:rPr>
          <w:w w:val="100"/>
        </w:rPr>
        <w:t> </w:t>
      </w:r>
      <w:r>
        <w:rPr>
          <w:spacing w:val="-2"/>
        </w:rPr>
        <w:t>取得时以公允价值（扣除已宣告但尚未发放的现金股利或已到付息期但尚未领取的债券利息）作为初</w:t>
      </w:r>
    </w:p>
    <w:p>
      <w:pPr>
        <w:pStyle w:val="BodyText"/>
        <w:spacing w:line="357" w:lineRule="auto"/>
        <w:ind w:right="1126"/>
        <w:jc w:val="both"/>
      </w:pPr>
      <w:r>
        <w:rPr>
          <w:spacing w:val="-2"/>
        </w:rPr>
        <w:t>始确认金额，相关的交易费用计入当期损益。持有期间将取得的利息或现金股利确认为投资收益，期末将</w:t>
      </w:r>
      <w:r>
        <w:rPr>
          <w:spacing w:val="-42"/>
        </w:rPr>
        <w:t> </w:t>
      </w:r>
      <w:r>
        <w:rPr>
          <w:spacing w:val="-42"/>
        </w:rPr>
      </w:r>
      <w:r>
        <w:rPr>
          <w:spacing w:val="-2"/>
        </w:rPr>
        <w:t>公允价值变动计入当期损益。处置时，其公允价值与初始入账金额之间的差额确认为投资收益，同时调整</w:t>
      </w:r>
      <w:r>
        <w:rPr>
          <w:spacing w:val="-42"/>
        </w:rPr>
        <w:t> </w:t>
      </w:r>
      <w:r>
        <w:rPr>
          <w:spacing w:val="-42"/>
        </w:rPr>
      </w:r>
      <w:r>
        <w:rPr/>
        <w:t>公允价值变动损益。</w:t>
      </w:r>
    </w:p>
    <w:p>
      <w:pPr>
        <w:pStyle w:val="BodyText"/>
        <w:spacing w:line="355" w:lineRule="auto"/>
        <w:ind w:left="573" w:right="0"/>
        <w:jc w:val="left"/>
      </w:pPr>
      <w:r>
        <w:rPr/>
        <w:t>②持有至到期投资</w:t>
      </w:r>
      <w:r>
        <w:rPr>
          <w:w w:val="100"/>
        </w:rPr>
        <w:t> </w:t>
      </w:r>
      <w:r>
        <w:rPr>
          <w:spacing w:val="-5"/>
        </w:rPr>
        <w:t>取得时按公允价值（扣除已到付息期但尚未领取的债券利息）和相关交易费用之和作为初始确认金额。</w:t>
      </w:r>
    </w:p>
    <w:p>
      <w:pPr>
        <w:pStyle w:val="BodyText"/>
        <w:spacing w:line="357" w:lineRule="auto" w:before="32"/>
        <w:ind w:right="1126"/>
        <w:jc w:val="both"/>
      </w:pPr>
      <w:r>
        <w:rPr>
          <w:spacing w:val="-2"/>
        </w:rPr>
        <w:t>持有期间按照摊余成本和实际利率计算确认利息收入，计入投资收益。实际利率在取得时确定，在该预期</w:t>
      </w:r>
      <w:r>
        <w:rPr>
          <w:spacing w:val="-43"/>
        </w:rPr>
        <w:t> </w:t>
      </w:r>
      <w:r>
        <w:rPr>
          <w:spacing w:val="-43"/>
        </w:rPr>
      </w:r>
      <w:r>
        <w:rPr>
          <w:spacing w:val="-2"/>
        </w:rPr>
        <w:t>存续期间或适用的更短期间内保持不变。处置时，将所取得价款与该投资账面价值之间的差额计入投资收</w:t>
      </w:r>
      <w:r>
        <w:rPr>
          <w:spacing w:val="-42"/>
        </w:rPr>
        <w:t> </w:t>
      </w:r>
      <w:r>
        <w:rPr>
          <w:spacing w:val="-42"/>
        </w:rPr>
      </w:r>
      <w:r>
        <w:rPr/>
        <w:t>益。</w:t>
      </w:r>
    </w:p>
    <w:p>
      <w:pPr>
        <w:pStyle w:val="BodyText"/>
        <w:spacing w:line="355" w:lineRule="auto" w:before="31"/>
        <w:ind w:left="573" w:right="1123"/>
        <w:jc w:val="left"/>
      </w:pPr>
      <w:r>
        <w:rPr/>
        <w:t>③应收款项</w:t>
      </w:r>
      <w:r>
        <w:rPr>
          <w:spacing w:val="-102"/>
        </w:rPr>
        <w:t> </w:t>
      </w:r>
      <w:r>
        <w:rPr>
          <w:spacing w:val="-102"/>
        </w:rPr>
      </w:r>
      <w:r>
        <w:rPr>
          <w:spacing w:val="-2"/>
        </w:rPr>
        <w:t>公司对外销售商品或提供劳务形成的应收债权，以及公司持有的其他企业的不包括在活跃市场上有报</w:t>
      </w:r>
    </w:p>
    <w:p>
      <w:pPr>
        <w:pStyle w:val="BodyText"/>
        <w:spacing w:line="357" w:lineRule="auto" w:before="32"/>
        <w:ind w:right="1126"/>
        <w:jc w:val="both"/>
      </w:pPr>
      <w:r>
        <w:rPr>
          <w:spacing w:val="-2"/>
        </w:rPr>
        <w:t>价的债务工具的债权，包括应收账款、其他应收款等，以向购货方应收的合同或协议价款作为初始确认金</w:t>
      </w:r>
      <w:r>
        <w:rPr>
          <w:spacing w:val="-43"/>
        </w:rPr>
        <w:t> </w:t>
      </w:r>
      <w:r>
        <w:rPr>
          <w:spacing w:val="-43"/>
        </w:rPr>
      </w:r>
      <w:r>
        <w:rPr>
          <w:spacing w:val="-2"/>
        </w:rPr>
        <w:t>额；具有融资性质的，按其现值进行初始确认。收回或处置时，将取得的价款与该应收款项账面价值之间</w:t>
      </w:r>
      <w:r>
        <w:rPr>
          <w:spacing w:val="-47"/>
        </w:rPr>
        <w:t> </w:t>
      </w:r>
      <w:r>
        <w:rPr>
          <w:spacing w:val="-47"/>
        </w:rPr>
      </w:r>
      <w:r>
        <w:rPr/>
        <w:t>的差额计入当期损益。</w:t>
      </w:r>
    </w:p>
    <w:p>
      <w:pPr>
        <w:pStyle w:val="BodyText"/>
        <w:spacing w:line="240" w:lineRule="auto"/>
        <w:ind w:left="573" w:right="1123"/>
        <w:jc w:val="left"/>
      </w:pPr>
      <w:r>
        <w:rPr/>
        <w:t>④可供出售金融资产</w:t>
      </w:r>
    </w:p>
    <w:p>
      <w:pPr>
        <w:spacing w:after="0" w:line="240" w:lineRule="auto"/>
        <w:jc w:val="left"/>
        <w:sectPr>
          <w:pgSz w:w="11910" w:h="16840"/>
          <w:pgMar w:header="877" w:footer="1340" w:top="1100" w:bottom="1540" w:left="980" w:right="0"/>
        </w:sectPr>
      </w:pPr>
    </w:p>
    <w:p>
      <w:pPr>
        <w:spacing w:line="240" w:lineRule="auto" w:before="3"/>
        <w:rPr>
          <w:rFonts w:ascii="宋体" w:hAnsi="宋体" w:cs="宋体" w:eastAsia="宋体" w:hint="default"/>
          <w:sz w:val="19"/>
          <w:szCs w:val="19"/>
        </w:rPr>
      </w:pPr>
    </w:p>
    <w:p>
      <w:pPr>
        <w:pStyle w:val="BodyText"/>
        <w:spacing w:line="357" w:lineRule="auto" w:before="36"/>
        <w:ind w:right="0" w:firstLine="420"/>
        <w:jc w:val="left"/>
      </w:pPr>
      <w:r>
        <w:rPr/>
        <w:t>取得时按公允价值（扣除已宣告但尚未发放的现金股利或已到付息期但尚未领取的债券利息）和相关</w:t>
      </w:r>
      <w:r>
        <w:rPr>
          <w:w w:val="100"/>
        </w:rPr>
        <w:t> </w:t>
      </w:r>
      <w:r>
        <w:rPr>
          <w:spacing w:val="-2"/>
        </w:rPr>
        <w:t>交易费用之和作为初始确认金额。持有期间将取得的利息或现金股利确认为投资收益。期末以公允价值计</w:t>
      </w:r>
      <w:r>
        <w:rPr>
          <w:spacing w:val="-43"/>
        </w:rPr>
        <w:t> </w:t>
      </w:r>
      <w:r>
        <w:rPr>
          <w:spacing w:val="-43"/>
        </w:rPr>
      </w:r>
      <w:r>
        <w:rPr>
          <w:spacing w:val="-2"/>
        </w:rPr>
        <w:t>量且将公允价值变动计入资本公积（其他资本公积）。处置时，将取得的价款与该金融资产账面价值之间</w:t>
      </w:r>
      <w:r>
        <w:rPr>
          <w:spacing w:val="-44"/>
        </w:rPr>
        <w:t> </w:t>
      </w:r>
      <w:r>
        <w:rPr>
          <w:spacing w:val="-44"/>
        </w:rPr>
      </w:r>
      <w:r>
        <w:rPr>
          <w:spacing w:val="-5"/>
        </w:rPr>
        <w:t>的差额，计入投资损益；同时，将原直接计入所有者权益的公允价值变动累计额对应处置部分的金额转出，</w:t>
      </w:r>
      <w:r>
        <w:rPr>
          <w:spacing w:val="-6"/>
        </w:rPr>
        <w:t> </w:t>
      </w:r>
      <w:r>
        <w:rPr>
          <w:spacing w:val="-6"/>
        </w:rPr>
      </w:r>
      <w:r>
        <w:rPr/>
        <w:t>计入投资损益。</w:t>
      </w:r>
    </w:p>
    <w:p>
      <w:pPr>
        <w:pStyle w:val="BodyText"/>
        <w:spacing w:line="355" w:lineRule="auto"/>
        <w:ind w:left="573" w:right="1414"/>
        <w:jc w:val="left"/>
      </w:pPr>
      <w:r>
        <w:rPr/>
        <w:t>⑤其他金融负债</w:t>
      </w:r>
      <w:r>
        <w:rPr>
          <w:spacing w:val="-103"/>
        </w:rPr>
        <w:t> </w:t>
      </w:r>
      <w:r>
        <w:rPr>
          <w:spacing w:val="-103"/>
        </w:rPr>
      </w:r>
      <w:r>
        <w:rPr>
          <w:spacing w:val="-2"/>
        </w:rPr>
        <w:t>按其公允价值和相关交易费用之和作为初始确认金额。采用摊余成本进行后续计量。</w:t>
      </w:r>
    </w:p>
    <w:p>
      <w:pPr>
        <w:spacing w:line="570" w:lineRule="atLeast" w:before="77"/>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发生金融资产转移时，如已将金融资产所有权上几乎所有的风险和报酬转移给转入方，则终止确认该</w:t>
      </w:r>
    </w:p>
    <w:p>
      <w:pPr>
        <w:pStyle w:val="BodyText"/>
        <w:spacing w:line="355" w:lineRule="auto" w:before="133"/>
        <w:ind w:left="573" w:right="1123" w:hanging="421"/>
        <w:jc w:val="left"/>
      </w:pPr>
      <w:r>
        <w:rPr/>
        <w:t>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w:t>
      </w:r>
    </w:p>
    <w:p>
      <w:pPr>
        <w:pStyle w:val="BodyText"/>
        <w:spacing w:line="355" w:lineRule="auto" w:before="34"/>
        <w:ind w:right="1123"/>
        <w:jc w:val="left"/>
      </w:pP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BodyText"/>
        <w:spacing w:line="240" w:lineRule="auto" w:before="32"/>
        <w:ind w:left="573" w:right="1123"/>
        <w:jc w:val="left"/>
      </w:pPr>
      <w:r>
        <w:rPr/>
        <w:t>①所转移金融资产的账面价值；</w:t>
      </w:r>
    </w:p>
    <w:p>
      <w:pPr>
        <w:pStyle w:val="BodyText"/>
        <w:spacing w:line="357" w:lineRule="auto" w:before="133"/>
        <w:ind w:right="1123" w:firstLine="420"/>
        <w:jc w:val="left"/>
      </w:pPr>
      <w:r>
        <w:rPr>
          <w:spacing w:val="-2"/>
        </w:rPr>
        <w:t>②因转移而收到的对价，与原直接计入所有者权益的公允价值变动累计额（涉及转移的金融资产为可</w:t>
      </w:r>
      <w:r>
        <w:rPr>
          <w:w w:val="100"/>
        </w:rPr>
        <w:t> </w:t>
      </w:r>
      <w:r>
        <w:rPr/>
        <w:t>供出售金融资产的情形）之和。</w:t>
      </w:r>
    </w:p>
    <w:p>
      <w:pPr>
        <w:pStyle w:val="BodyText"/>
        <w:spacing w:line="357" w:lineRule="auto"/>
        <w:ind w:right="1123" w:firstLine="420"/>
        <w:jc w:val="left"/>
      </w:pPr>
      <w:r>
        <w:rPr>
          <w:spacing w:val="-2"/>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BodyText"/>
        <w:spacing w:line="240" w:lineRule="auto"/>
        <w:ind w:left="573" w:right="1123"/>
        <w:jc w:val="left"/>
      </w:pPr>
      <w:r>
        <w:rPr/>
        <w:t>①终止确认部分的账面价值；</w:t>
      </w:r>
    </w:p>
    <w:p>
      <w:pPr>
        <w:pStyle w:val="BodyText"/>
        <w:spacing w:line="240" w:lineRule="auto" w:before="133"/>
        <w:ind w:left="573" w:right="0"/>
        <w:jc w:val="left"/>
      </w:pPr>
      <w:r>
        <w:rPr/>
        <w:t>②终止确认部分的对价，与原直接计入所有者权益的公允价值变动累计额中对应终止确认部分的金额</w:t>
      </w:r>
    </w:p>
    <w:p>
      <w:pPr>
        <w:pStyle w:val="BodyText"/>
        <w:spacing w:line="355" w:lineRule="auto" w:before="135"/>
        <w:ind w:left="573" w:right="1123" w:hanging="421"/>
        <w:jc w:val="left"/>
      </w:pPr>
      <w:r>
        <w:rPr/>
        <w:t>（涉及转移的金融资产为可供出售金融资产的情形）之和。</w:t>
      </w:r>
      <w:r>
        <w:rPr>
          <w:w w:val="100"/>
        </w:rPr>
        <w:t> </w:t>
      </w:r>
      <w:r>
        <w:rPr>
          <w:spacing w:val="-2"/>
        </w:rPr>
        <w:t>金融资产转移不满足终止确认条件的，继续确认该金融资产，所收到的对价确认为一项金融负债。</w:t>
      </w:r>
    </w:p>
    <w:p>
      <w:pPr>
        <w:spacing w:line="570" w:lineRule="atLeast" w:before="74"/>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金融负债的的现时义务全部或部分已经解除的，则终止确认该金融负债或其一部分；本公司若与债权</w:t>
      </w:r>
    </w:p>
    <w:p>
      <w:pPr>
        <w:pStyle w:val="BodyText"/>
        <w:spacing w:line="357" w:lineRule="auto" w:before="133"/>
        <w:ind w:right="1123"/>
        <w:jc w:val="left"/>
      </w:pPr>
      <w:r>
        <w:rPr>
          <w:spacing w:val="-2"/>
        </w:rPr>
        <w:t>人签定协议，以承担新金融负债方式替换现存金融负债，且新金融负债与现存金融负债的合同条款实质上</w:t>
      </w:r>
      <w:r>
        <w:rPr>
          <w:spacing w:val="-43"/>
        </w:rPr>
        <w:t> </w:t>
      </w:r>
      <w:r>
        <w:rPr>
          <w:spacing w:val="-43"/>
        </w:rPr>
      </w:r>
      <w:r>
        <w:rPr/>
        <w:t>不同的，则终止确认现存金融负债，并同时确认新金融负债。</w:t>
      </w:r>
    </w:p>
    <w:p>
      <w:pPr>
        <w:pStyle w:val="BodyText"/>
        <w:spacing w:line="355" w:lineRule="auto"/>
        <w:ind w:right="1123" w:firstLine="420"/>
        <w:jc w:val="left"/>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355" w:lineRule="auto" w:before="34"/>
        <w:ind w:right="1123" w:firstLine="420"/>
        <w:jc w:val="left"/>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240" w:lineRule="auto" w:before="32"/>
        <w:ind w:left="573" w:right="0"/>
        <w:jc w:val="left"/>
      </w:pPr>
      <w:r>
        <w:rPr/>
        <w:t>若回购部分金融负债的，在回购日按照继续确认部分与终止确认部分的相对公允价值，将该金融负债</w:t>
      </w:r>
    </w:p>
    <w:p>
      <w:pPr>
        <w:spacing w:after="0" w:line="240" w:lineRule="auto"/>
        <w:jc w:val="left"/>
        <w:sectPr>
          <w:pgSz w:w="11910" w:h="16840"/>
          <w:pgMar w:header="877" w:footer="1340" w:top="1100" w:bottom="1540" w:left="980" w:right="0"/>
        </w:sectPr>
      </w:pPr>
    </w:p>
    <w:p>
      <w:pPr>
        <w:spacing w:line="240" w:lineRule="auto" w:before="3"/>
        <w:rPr>
          <w:rFonts w:ascii="宋体" w:hAnsi="宋体" w:cs="宋体" w:eastAsia="宋体" w:hint="default"/>
          <w:sz w:val="19"/>
          <w:szCs w:val="19"/>
        </w:rPr>
      </w:pPr>
    </w:p>
    <w:p>
      <w:pPr>
        <w:pStyle w:val="BodyText"/>
        <w:spacing w:line="357" w:lineRule="auto" w:before="36"/>
        <w:ind w:right="1126"/>
        <w:jc w:val="both"/>
      </w:pPr>
      <w:r>
        <w:rPr>
          <w:spacing w:val="-2"/>
        </w:rPr>
        <w:t>整体的账面价值进行分配。分配给终止确认部分的账面价值与支付的对价（包括转出的非现金资产或承担</w:t>
      </w:r>
      <w:r>
        <w:rPr>
          <w:spacing w:val="-44"/>
        </w:rPr>
        <w:t> </w:t>
      </w:r>
      <w:r>
        <w:rPr>
          <w:spacing w:val="-44"/>
        </w:rPr>
      </w:r>
      <w:r>
        <w:rPr/>
        <w:t>的新金融负债）之间的差额，计入当期损益。</w:t>
      </w:r>
    </w:p>
    <w:p>
      <w:pPr>
        <w:spacing w:line="570" w:lineRule="atLeast" w:before="72"/>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采用公允价值计量的金融资产和金融负债存在活跃市场的金融资产或金融负债，以活跃市场的报价确</w:t>
      </w:r>
    </w:p>
    <w:p>
      <w:pPr>
        <w:pStyle w:val="BodyText"/>
        <w:spacing w:line="357" w:lineRule="auto" w:before="133"/>
        <w:ind w:right="1126"/>
        <w:jc w:val="both"/>
      </w:pPr>
      <w:r>
        <w:rPr>
          <w:spacing w:val="-2"/>
        </w:rPr>
        <w:t>定其公允价值；不存在活跃市场的金融资产或金融负债，采用估值技术（包括参考熟悉情况并自愿交易的</w:t>
      </w:r>
      <w:r>
        <w:rPr>
          <w:spacing w:val="-44"/>
        </w:rPr>
        <w:t> </w:t>
      </w:r>
      <w:r>
        <w:rPr>
          <w:spacing w:val="-44"/>
        </w:rPr>
      </w:r>
      <w:r>
        <w:rPr>
          <w:spacing w:val="-2"/>
        </w:rPr>
        <w:t>各方最近进行的市场交易中使用的价格、参照实质上相同的其他金融工具的当前公允价值、现金流量折现</w:t>
      </w:r>
      <w:r>
        <w:rPr>
          <w:spacing w:val="-42"/>
        </w:rPr>
        <w:t> </w:t>
      </w:r>
      <w:r>
        <w:rPr>
          <w:spacing w:val="-42"/>
        </w:rPr>
      </w:r>
      <w:r>
        <w:rPr>
          <w:spacing w:val="-2"/>
        </w:rPr>
        <w:t>法和期权定价模型等）确定其公允价值；初始取得或源生的金融资产或承担的金融负债，以市场交易价格</w:t>
      </w:r>
      <w:r>
        <w:rPr>
          <w:spacing w:val="-44"/>
        </w:rPr>
        <w:t> </w:t>
      </w:r>
      <w:r>
        <w:rPr>
          <w:spacing w:val="-44"/>
        </w:rPr>
      </w:r>
      <w:r>
        <w:rPr/>
        <w:t>作为确定其公允价值的基础。</w:t>
      </w:r>
    </w:p>
    <w:p>
      <w:pPr>
        <w:spacing w:line="240" w:lineRule="auto" w:before="12"/>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573" w:right="1123"/>
        <w:jc w:val="left"/>
      </w:pPr>
      <w:r>
        <w:rPr/>
        <w:t>①可供出售金融资产的减值准备：</w:t>
      </w:r>
      <w:r>
        <w:rPr>
          <w:w w:val="100"/>
        </w:rPr>
        <w:t> </w:t>
      </w:r>
      <w:r>
        <w:rPr>
          <w:spacing w:val="-2"/>
        </w:rPr>
        <w:t>期末如果可供出售金融资产的公允价值发生较大幅度下降，或在综合考虑各种相关因素后，预期这种</w:t>
      </w:r>
    </w:p>
    <w:p>
      <w:pPr>
        <w:pStyle w:val="BodyText"/>
        <w:spacing w:line="355" w:lineRule="auto" w:before="32"/>
        <w:ind w:right="1126"/>
        <w:jc w:val="both"/>
      </w:pPr>
      <w:r>
        <w:rPr>
          <w:spacing w:val="-2"/>
        </w:rPr>
        <w:t>下降趋势属于非暂时性的，就认定其已发生减值，将原直接计入所有者权益的公允价值下降形成的累计损</w:t>
      </w:r>
      <w:r>
        <w:rPr>
          <w:spacing w:val="-43"/>
        </w:rPr>
        <w:t> </w:t>
      </w:r>
      <w:r>
        <w:rPr>
          <w:spacing w:val="-43"/>
        </w:rPr>
      </w:r>
      <w:r>
        <w:rPr/>
        <w:t>失一并转出，确认减值损失。</w:t>
      </w:r>
    </w:p>
    <w:p>
      <w:pPr>
        <w:pStyle w:val="BodyText"/>
        <w:spacing w:line="357" w:lineRule="auto" w:before="32"/>
        <w:ind w:left="573" w:right="1123"/>
        <w:jc w:val="left"/>
      </w:pPr>
      <w:r>
        <w:rPr/>
        <w:t>②持有至到期投资的减值准备：</w:t>
      </w:r>
      <w:r>
        <w:rPr>
          <w:w w:val="100"/>
        </w:rPr>
        <w:t> </w:t>
      </w:r>
      <w:r>
        <w:rPr>
          <w:spacing w:val="-2"/>
        </w:rPr>
        <w:t>持有至到期投资减值损失的计量比照应收款项减值损失计量方法处理。</w:t>
      </w:r>
    </w:p>
    <w:p>
      <w:pPr>
        <w:spacing w:line="240" w:lineRule="auto" w:before="12"/>
        <w:rPr>
          <w:rFonts w:ascii="宋体" w:hAnsi="宋体" w:cs="宋体" w:eastAsia="宋体" w:hint="default"/>
          <w:sz w:val="26"/>
          <w:szCs w:val="26"/>
        </w:rPr>
      </w:pPr>
    </w:p>
    <w:p>
      <w:pPr>
        <w:pStyle w:val="Heading3"/>
        <w:spacing w:line="487" w:lineRule="auto"/>
        <w:ind w:left="573" w:right="1123" w:hanging="421"/>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7</w:t>
      </w:r>
      <w:r>
        <w:rPr>
          <w:spacing w:val="-1"/>
        </w:rPr>
        <w:t>）将尚未到期的持有至到期投资重分类为可供出售金融资产的，说明持有意图或能力发生改变的依据</w:t>
      </w:r>
      <w:r>
        <w:rPr>
          <w:spacing w:val="-68"/>
        </w:rPr>
        <w:t> </w:t>
      </w:r>
      <w:r>
        <w:rPr>
          <w:spacing w:val="-68"/>
        </w:rPr>
      </w:r>
      <w:r>
        <w:rPr>
          <w:rFonts w:ascii="宋体" w:hAnsi="宋体" w:cs="宋体" w:eastAsia="宋体" w:hint="default"/>
          <w:b w:val="0"/>
          <w:bCs w:val="0"/>
        </w:rPr>
        <w:t>无</w:t>
      </w:r>
    </w:p>
    <w:p>
      <w:pPr>
        <w:spacing w:line="240" w:lineRule="auto" w:before="5"/>
        <w:rPr>
          <w:rFonts w:ascii="宋体" w:hAnsi="宋体" w:cs="宋体" w:eastAsia="宋体" w:hint="default"/>
          <w:sz w:val="18"/>
          <w:szCs w:val="18"/>
        </w:rPr>
      </w:pPr>
    </w:p>
    <w:p>
      <w:pPr>
        <w:pStyle w:val="Heading3"/>
        <w:spacing w:line="240" w:lineRule="auto"/>
        <w:ind w:right="1123"/>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9"/>
        <w:gridCol w:w="5741"/>
      </w:tblGrid>
      <w:tr>
        <w:trPr>
          <w:trHeight w:val="71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单项金额重大的应收账款标准为</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pacing w:val="-77"/>
                <w:sz w:val="18"/>
                <w:szCs w:val="18"/>
              </w:rPr>
              <w:t>。</w:t>
            </w:r>
            <w:r>
              <w:rPr>
                <w:rFonts w:ascii="宋体" w:hAnsi="宋体" w:cs="宋体" w:eastAsia="宋体" w:hint="default"/>
                <w:sz w:val="18"/>
                <w:szCs w:val="18"/>
              </w:rPr>
              <w:t>单项金额重大的</w:t>
            </w:r>
            <w:r>
              <w:rPr>
                <w:rFonts w:ascii="宋体" w:hAnsi="宋体" w:cs="宋体" w:eastAsia="宋体" w:hint="default"/>
                <w:spacing w:val="-3"/>
                <w:sz w:val="18"/>
                <w:szCs w:val="18"/>
              </w:rPr>
              <w:t>其</w:t>
            </w:r>
            <w:r>
              <w:rPr>
                <w:rFonts w:ascii="宋体" w:hAnsi="宋体" w:cs="宋体" w:eastAsia="宋体" w:hint="default"/>
                <w:sz w:val="18"/>
                <w:szCs w:val="18"/>
              </w:rPr>
              <w:t>他应收款标</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w w:val="95"/>
                <w:sz w:val="18"/>
                <w:szCs w:val="18"/>
              </w:rPr>
              <w:t>准为</w:t>
            </w:r>
            <w:r>
              <w:rPr>
                <w:rFonts w:ascii="宋体" w:hAnsi="宋体" w:cs="宋体" w:eastAsia="宋体" w:hint="default"/>
                <w:spacing w:val="-55"/>
                <w:w w:val="95"/>
                <w:sz w:val="18"/>
                <w:szCs w:val="18"/>
              </w:rPr>
              <w:t> </w:t>
            </w:r>
            <w:r>
              <w:rPr>
                <w:rFonts w:ascii="宋体" w:hAnsi="宋体" w:cs="宋体" w:eastAsia="宋体" w:hint="default"/>
                <w:w w:val="95"/>
                <w:sz w:val="18"/>
                <w:szCs w:val="18"/>
              </w:rPr>
              <w:t>50</w:t>
            </w:r>
            <w:r>
              <w:rPr>
                <w:rFonts w:ascii="宋体" w:hAnsi="宋体" w:cs="宋体" w:eastAsia="宋体" w:hint="default"/>
                <w:spacing w:val="-55"/>
                <w:w w:val="95"/>
                <w:sz w:val="18"/>
                <w:szCs w:val="18"/>
              </w:rPr>
              <w:t> </w:t>
            </w:r>
            <w:r>
              <w:rPr>
                <w:rFonts w:ascii="宋体" w:hAnsi="宋体" w:cs="宋体" w:eastAsia="宋体" w:hint="default"/>
                <w:w w:val="95"/>
                <w:sz w:val="18"/>
                <w:szCs w:val="18"/>
              </w:rPr>
              <w:t>万元。</w:t>
            </w:r>
            <w:r>
              <w:rPr>
                <w:rFonts w:ascii="宋体" w:hAnsi="宋体" w:cs="宋体" w:eastAsia="宋体" w:hint="default"/>
                <w:w w:val="95"/>
                <w:sz w:val="18"/>
                <w:szCs w:val="18"/>
              </w:rPr>
              <w:t>’</w:t>
            </w:r>
            <w:r>
              <w:rPr>
                <w:rFonts w:ascii="宋体" w:hAnsi="宋体" w:cs="宋体" w:eastAsia="宋体" w:hint="default"/>
                <w:sz w:val="18"/>
                <w:szCs w:val="18"/>
              </w:rPr>
            </w:r>
          </w:p>
        </w:tc>
      </w:tr>
      <w:tr>
        <w:trPr>
          <w:trHeight w:val="716"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22"/>
              <w:jc w:val="left"/>
              <w:rPr>
                <w:rFonts w:ascii="宋体" w:hAnsi="宋体" w:cs="宋体" w:eastAsia="宋体" w:hint="default"/>
                <w:sz w:val="18"/>
                <w:szCs w:val="18"/>
              </w:rPr>
            </w:pPr>
            <w:r>
              <w:rPr>
                <w:rFonts w:ascii="宋体" w:hAnsi="宋体" w:cs="宋体" w:eastAsia="宋体" w:hint="default"/>
                <w:spacing w:val="-3"/>
                <w:sz w:val="18"/>
                <w:szCs w:val="18"/>
              </w:rPr>
              <w:t>单独进行减值测试，如有客观证据表明其发生了减值的，根据其未来现金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流量现值低于其账面价值的差额，确认减值损失，计提坏账准备。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34"/>
        <w:gridCol w:w="2695"/>
        <w:gridCol w:w="5741"/>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1"/>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c>
          <w:tcPr>
            <w:tcW w:w="5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1027"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1"/>
              <w:jc w:val="right"/>
              <w:rPr>
                <w:rFonts w:ascii="宋体" w:hAnsi="宋体" w:cs="宋体" w:eastAsia="宋体" w:hint="default"/>
                <w:sz w:val="18"/>
                <w:szCs w:val="18"/>
              </w:rPr>
            </w:pPr>
            <w:r>
              <w:rPr>
                <w:rFonts w:ascii="宋体" w:hAnsi="宋体" w:cs="宋体" w:eastAsia="宋体" w:hint="default"/>
                <w:sz w:val="18"/>
                <w:szCs w:val="18"/>
              </w:rPr>
              <w:t>账龄组合</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c>
          <w:tcPr>
            <w:tcW w:w="57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23"/>
              <w:jc w:val="both"/>
              <w:rPr>
                <w:rFonts w:ascii="宋体" w:hAnsi="宋体" w:cs="宋体" w:eastAsia="宋体" w:hint="default"/>
                <w:sz w:val="18"/>
                <w:szCs w:val="18"/>
              </w:rPr>
            </w:pPr>
            <w:r>
              <w:rPr>
                <w:rFonts w:ascii="宋体" w:hAnsi="宋体" w:cs="宋体" w:eastAsia="宋体" w:hint="default"/>
                <w:spacing w:val="-3"/>
                <w:sz w:val="18"/>
                <w:szCs w:val="18"/>
              </w:rPr>
              <w:t>单项金额不重大的应收款项，与经单独测试后未减值的单项金额重大的应</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收款项，以账龄为信用风险特征进行组合并结合现实的实际损失率确定不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同账龄应计提坏账准备的比例。</w:t>
            </w:r>
          </w:p>
        </w:tc>
      </w:tr>
    </w:tbl>
    <w:p>
      <w:pPr>
        <w:spacing w:after="0" w:line="316" w:lineRule="auto"/>
        <w:jc w:val="both"/>
        <w:rPr>
          <w:rFonts w:ascii="宋体" w:hAnsi="宋体" w:cs="宋体" w:eastAsia="宋体" w:hint="default"/>
          <w:sz w:val="18"/>
          <w:szCs w:val="18"/>
        </w:rPr>
        <w:sectPr>
          <w:pgSz w:w="11910" w:h="16840"/>
          <w:pgMar w:header="877" w:footer="1340" w:top="1100" w:bottom="1540" w:left="980" w:right="0"/>
        </w:sectPr>
      </w:pPr>
    </w:p>
    <w:p>
      <w:pPr>
        <w:spacing w:line="240" w:lineRule="auto" w:before="11"/>
        <w:rPr>
          <w:rFonts w:ascii="宋体" w:hAnsi="宋体" w:cs="宋体" w:eastAsia="宋体" w:hint="default"/>
          <w:b/>
          <w:bCs/>
          <w:sz w:val="21"/>
          <w:szCs w:val="21"/>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5"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5"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50%</w:t>
            </w:r>
          </w:p>
        </w:tc>
      </w:tr>
    </w:tbl>
    <w:p>
      <w:pPr>
        <w:spacing w:line="203" w:lineRule="exact"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57" w:lineRule="auto" w:before="115"/>
        <w:ind w:left="152" w:right="76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w:t>
      </w:r>
    </w:p>
    <w:p>
      <w:pPr>
        <w:spacing w:before="26"/>
        <w:ind w:left="152" w:right="112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401"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有客观原因表明未来现金流量现值有可能低于其账面价值</w:t>
            </w:r>
          </w:p>
        </w:tc>
      </w:tr>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单独进行减值测试，根据其未来现金流量现值低于其账面价值的差额，确认减 值损失，计提坏账准备。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11</w:t>
      </w:r>
      <w:r>
        <w:rPr/>
        <w:t>、存货</w:t>
      </w:r>
      <w:r>
        <w:rPr>
          <w:b w:val="0"/>
          <w:bCs w:val="0"/>
        </w:rPr>
      </w:r>
    </w:p>
    <w:p>
      <w:pPr>
        <w:pStyle w:val="BodyText"/>
        <w:spacing w:line="570" w:lineRule="atLeast" w:before="42"/>
        <w:ind w:left="573" w:right="0"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spacing w:val="-104"/>
        </w:rPr>
        <w:t> </w:t>
      </w:r>
      <w:r>
        <w:rPr>
          <w:spacing w:val="-5"/>
        </w:rPr>
        <w:t>存货分为原材料、生产成本、工程施工、库存商品、发出商品、低值易耗品、委托加工材料等七大类。</w:t>
      </w:r>
    </w:p>
    <w:p>
      <w:pPr>
        <w:pStyle w:val="BodyText"/>
        <w:spacing w:line="355" w:lineRule="auto" w:before="133"/>
        <w:ind w:right="1123"/>
        <w:jc w:val="left"/>
      </w:pPr>
      <w:r>
        <w:rPr>
          <w:spacing w:val="-2"/>
        </w:rPr>
        <w:t>其中生产成本用于核算公司产品生产加工等业务的在产品，工程施工用于归集建造工程施工项目的成本费</w:t>
      </w:r>
      <w:r>
        <w:rPr>
          <w:spacing w:val="-43"/>
        </w:rPr>
        <w:t> </w:t>
      </w:r>
      <w:r>
        <w:rPr>
          <w:spacing w:val="-43"/>
        </w:rPr>
      </w:r>
      <w:r>
        <w:rPr/>
        <w:t>用支出。</w:t>
      </w:r>
    </w:p>
    <w:p>
      <w:pPr>
        <w:spacing w:line="240" w:lineRule="auto" w:before="3"/>
        <w:rPr>
          <w:rFonts w:ascii="宋体" w:hAnsi="宋体" w:cs="宋体" w:eastAsia="宋体" w:hint="default"/>
          <w:sz w:val="27"/>
          <w:szCs w:val="27"/>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计价方法：加权平均法</w:t>
      </w:r>
    </w:p>
    <w:p>
      <w:pPr>
        <w:pStyle w:val="BodyText"/>
        <w:spacing w:line="355" w:lineRule="auto" w:before="75"/>
        <w:ind w:left="573" w:right="0"/>
        <w:jc w:val="left"/>
      </w:pPr>
      <w:r>
        <w:rPr/>
        <w:t>各类存货的购入与入库按实际成本计价，发出采用移动加权平均法计价。</w:t>
      </w:r>
      <w:r>
        <w:rPr>
          <w:w w:val="100"/>
        </w:rPr>
        <w:t> </w:t>
      </w:r>
      <w:r>
        <w:rPr>
          <w:spacing w:val="-5"/>
        </w:rPr>
        <w:t>工程施工成本的具体核算方法为：按照单个项目为核算对象，分别核算工程施工成本；项目未完工前，</w:t>
      </w:r>
    </w:p>
    <w:p>
      <w:pPr>
        <w:pStyle w:val="BodyText"/>
        <w:spacing w:line="357" w:lineRule="auto" w:before="32"/>
        <w:ind w:right="0"/>
        <w:jc w:val="left"/>
      </w:pPr>
      <w:r>
        <w:rPr>
          <w:spacing w:val="-2"/>
        </w:rPr>
        <w:t>按单个项目归集所发生的实际成本。期末按完工百分比法确认合同收入，按配比原则结转营业成本。项目</w:t>
      </w:r>
      <w:r>
        <w:rPr>
          <w:spacing w:val="-44"/>
        </w:rPr>
        <w:t> </w:t>
      </w:r>
      <w:r>
        <w:rPr>
          <w:spacing w:val="-44"/>
        </w:rPr>
      </w:r>
      <w:r>
        <w:rPr>
          <w:spacing w:val="-5"/>
        </w:rPr>
        <w:t>完工时，按照累计实际发生的合同成本扣除以前会计期间累计已确认成本后的金额，确认为当期合同成本，</w:t>
      </w:r>
      <w:r>
        <w:rPr>
          <w:spacing w:val="-4"/>
        </w:rPr>
        <w:t> </w:t>
      </w:r>
      <w:r>
        <w:rPr>
          <w:spacing w:val="-4"/>
        </w:rPr>
      </w:r>
      <w:r>
        <w:rPr/>
        <w:t>并结转工程施工成本。</w:t>
      </w:r>
    </w:p>
    <w:p>
      <w:pPr>
        <w:pStyle w:val="BodyText"/>
        <w:spacing w:line="240" w:lineRule="auto"/>
        <w:ind w:left="573" w:right="1123"/>
        <w:jc w:val="left"/>
      </w:pPr>
      <w:r>
        <w:rPr>
          <w:spacing w:val="2"/>
        </w:rPr>
        <w:t>本公司累计已发生的工程施工成本和累计已确认的工程施工毛利之和大于累计已办理结算的合同价</w:t>
      </w:r>
    </w:p>
    <w:p>
      <w:pPr>
        <w:spacing w:after="0" w:line="240" w:lineRule="auto"/>
        <w:jc w:val="left"/>
        <w:sectPr>
          <w:pgSz w:w="11910" w:h="16840"/>
          <w:pgMar w:header="877" w:footer="1340" w:top="1100" w:bottom="1540" w:left="980" w:right="0"/>
        </w:sectPr>
      </w:pPr>
    </w:p>
    <w:p>
      <w:pPr>
        <w:spacing w:line="240" w:lineRule="auto" w:before="3"/>
        <w:rPr>
          <w:rFonts w:ascii="宋体" w:hAnsi="宋体" w:cs="宋体" w:eastAsia="宋体" w:hint="default"/>
          <w:sz w:val="19"/>
          <w:szCs w:val="19"/>
        </w:rPr>
      </w:pPr>
    </w:p>
    <w:p>
      <w:pPr>
        <w:pStyle w:val="BodyText"/>
        <w:spacing w:line="357" w:lineRule="auto" w:before="36"/>
        <w:ind w:right="1123"/>
        <w:jc w:val="left"/>
      </w:pPr>
      <w:r>
        <w:rPr>
          <w:spacing w:val="-2"/>
        </w:rPr>
        <w:t>款的差额为已完工未结算款，在存货中列示；累计已发生的施工成本和累计已确认的毛利之和小于累计已</w:t>
      </w:r>
      <w:r>
        <w:rPr>
          <w:spacing w:val="-44"/>
        </w:rPr>
        <w:t> </w:t>
      </w:r>
      <w:r>
        <w:rPr>
          <w:spacing w:val="-44"/>
        </w:rPr>
      </w:r>
      <w:r>
        <w:rPr/>
        <w:t>办理结算的合同价款的差额为已结算未完工款，在预收款项中反映。</w:t>
      </w:r>
    </w:p>
    <w:p>
      <w:pPr>
        <w:spacing w:line="570" w:lineRule="atLeast" w:before="72"/>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存货可变现净值系根据本公司在正常经营过程中，以估计售价减去至完工时估计将要发生的成本及销</w:t>
      </w:r>
    </w:p>
    <w:p>
      <w:pPr>
        <w:pStyle w:val="BodyText"/>
        <w:spacing w:line="355" w:lineRule="auto" w:before="133"/>
        <w:ind w:left="573" w:right="1123" w:hanging="421"/>
        <w:jc w:val="left"/>
      </w:pPr>
      <w:r>
        <w:rPr/>
        <w:t>售所必须的估计费用后的价值。</w:t>
      </w:r>
      <w:r>
        <w:rPr>
          <w:w w:val="100"/>
        </w:rPr>
        <w:t> </w:t>
      </w:r>
      <w:r>
        <w:rPr>
          <w:spacing w:val="-2"/>
        </w:rPr>
        <w:t>存货跌价准备的计提方法：本公司于每年中期期末及年度终了在对存货进行全面盘点的基础上，对遭</w:t>
      </w:r>
    </w:p>
    <w:p>
      <w:pPr>
        <w:pStyle w:val="BodyText"/>
        <w:spacing w:line="357" w:lineRule="auto" w:before="34"/>
        <w:ind w:right="0"/>
        <w:jc w:val="left"/>
      </w:pPr>
      <w:r>
        <w:rPr/>
        <w:t>受损失，全部或部分陈旧过时或销售价格低于成本的存货，根据存货成本与可变现净值孰低计量，按单个</w:t>
      </w:r>
      <w:r>
        <w:rPr>
          <w:w w:val="100"/>
        </w:rPr>
        <w:t> </w:t>
      </w:r>
      <w:r>
        <w:rPr/>
        <w:t>存货项目对同类存货项目的可变现净值低于存货成本的差额计提存货跌价准备，并计入当期损益。对于工</w:t>
      </w:r>
      <w:r>
        <w:rPr>
          <w:w w:val="100"/>
        </w:rPr>
        <w:t> </w:t>
      </w:r>
      <w:r>
        <w:rPr>
          <w:spacing w:val="-5"/>
        </w:rPr>
        <w:t>程施工成本，对预计工程总成本超过预计总收入的工程项目，按照预计工程总成本超过预计总收入的部分，</w:t>
      </w:r>
      <w:r>
        <w:rPr>
          <w:spacing w:val="-4"/>
        </w:rPr>
        <w:t> </w:t>
      </w:r>
      <w:r>
        <w:rPr>
          <w:spacing w:val="-4"/>
        </w:rPr>
      </w:r>
      <w:r>
        <w:rPr/>
        <w:t>计提存货跌价准备。确定可变现净值时，除考虑持有目的和资产负债表日该存货的价格与成本波动外，还</w:t>
      </w:r>
      <w:r>
        <w:rPr>
          <w:w w:val="100"/>
        </w:rPr>
        <w:t> </w:t>
      </w:r>
      <w:r>
        <w:rPr/>
        <w:t>需要考虑未来事项的影响。</w:t>
      </w:r>
    </w:p>
    <w:p>
      <w:pPr>
        <w:spacing w:line="240" w:lineRule="auto" w:before="1"/>
        <w:rPr>
          <w:rFonts w:ascii="宋体" w:hAnsi="宋体" w:cs="宋体" w:eastAsia="宋体" w:hint="default"/>
          <w:sz w:val="27"/>
          <w:szCs w:val="27"/>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0"/>
        <w:rPr>
          <w:rFonts w:ascii="宋体" w:hAnsi="宋体" w:cs="宋体" w:eastAsia="宋体" w:hint="default"/>
          <w:b/>
          <w:bCs/>
          <w:sz w:val="23"/>
          <w:szCs w:val="23"/>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pStyle w:val="BodyText"/>
        <w:spacing w:line="240" w:lineRule="auto" w:before="113"/>
        <w:ind w:left="573" w:right="1123"/>
        <w:jc w:val="left"/>
      </w:pPr>
      <w:r>
        <w:rPr/>
        <w:t>存货的盘存制度采用永续盘存制。</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3"/>
        <w:rPr>
          <w:rFonts w:ascii="宋体" w:hAnsi="宋体" w:cs="宋体" w:eastAsia="宋体" w:hint="default"/>
          <w:b/>
          <w:bCs/>
          <w:sz w:val="23"/>
          <w:szCs w:val="23"/>
        </w:rPr>
      </w:pPr>
    </w:p>
    <w:p>
      <w:pPr>
        <w:spacing w:line="357"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w:t>
      </w:r>
    </w:p>
    <w:p>
      <w:pPr>
        <w:pStyle w:val="BodyText"/>
        <w:spacing w:line="240" w:lineRule="auto" w:before="25"/>
        <w:ind w:left="573" w:right="1123"/>
        <w:jc w:val="left"/>
      </w:pPr>
      <w:r>
        <w:rPr/>
        <w:t>低值易耗品于其领用时采用一次性摊销法摊销。</w:t>
      </w:r>
    </w:p>
    <w:p>
      <w:pPr>
        <w:spacing w:line="357" w:lineRule="auto" w:before="134"/>
        <w:ind w:left="152" w:right="8954" w:firstLine="336"/>
        <w:jc w:val="left"/>
        <w:rPr>
          <w:rFonts w:ascii="宋体" w:hAnsi="宋体" w:cs="宋体" w:eastAsia="宋体" w:hint="default"/>
          <w:sz w:val="18"/>
          <w:szCs w:val="18"/>
        </w:rPr>
      </w:pPr>
      <w:r>
        <w:rPr>
          <w:rFonts w:ascii="宋体" w:hAnsi="宋体" w:cs="宋体" w:eastAsia="宋体" w:hint="default"/>
          <w:sz w:val="18"/>
          <w:szCs w:val="18"/>
        </w:rPr>
        <w:t>包装物 摊销方法：一次摊销法</w:t>
      </w:r>
    </w:p>
    <w:p>
      <w:pPr>
        <w:pStyle w:val="BodyText"/>
        <w:spacing w:line="240" w:lineRule="auto" w:before="25"/>
        <w:ind w:left="573" w:right="1123"/>
        <w:jc w:val="left"/>
      </w:pPr>
      <w:r>
        <w:rPr/>
        <w:t>包装物于其领用时采用一次性摊销法摊销。</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right="1123"/>
        <w:jc w:val="left"/>
        <w:rPr>
          <w:b w:val="0"/>
          <w:bCs w:val="0"/>
        </w:rPr>
      </w:pPr>
      <w:r>
        <w:rPr>
          <w:rFonts w:ascii="Times New Roman" w:hAnsi="Times New Roman" w:cs="Times New Roman" w:eastAsia="Times New Roman" w:hint="default"/>
        </w:rPr>
        <w:t>12</w:t>
      </w:r>
      <w:r>
        <w:rPr/>
        <w:t>、长期股权投资</w:t>
      </w:r>
      <w:r>
        <w:rPr>
          <w:b w:val="0"/>
          <w:bCs w:val="0"/>
        </w:rPr>
      </w:r>
    </w:p>
    <w:p>
      <w:pPr>
        <w:spacing w:line="570" w:lineRule="atLeast" w:before="42"/>
        <w:ind w:left="573" w:right="267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b/>
          <w:bCs/>
          <w:w w:val="100"/>
          <w:sz w:val="21"/>
          <w:szCs w:val="21"/>
        </w:rPr>
        <w:t> </w:t>
      </w:r>
      <w:r>
        <w:rPr>
          <w:rFonts w:ascii="宋体" w:hAnsi="宋体" w:cs="宋体" w:eastAsia="宋体" w:hint="default"/>
          <w:spacing w:val="-2"/>
          <w:sz w:val="21"/>
          <w:szCs w:val="21"/>
        </w:rPr>
        <w:t>A</w:t>
      </w:r>
      <w:r>
        <w:rPr>
          <w:rFonts w:ascii="宋体" w:hAnsi="宋体" w:cs="宋体" w:eastAsia="宋体" w:hint="default"/>
          <w:spacing w:val="-2"/>
          <w:sz w:val="21"/>
          <w:szCs w:val="21"/>
        </w:rPr>
        <w:t>、企业合并形成的长期股权投资，按照下列规定确定其投资成本：</w:t>
      </w:r>
    </w:p>
    <w:p>
      <w:pPr>
        <w:pStyle w:val="BodyText"/>
        <w:spacing w:line="357" w:lineRule="auto" w:before="133"/>
        <w:ind w:right="1123" w:firstLine="420"/>
        <w:jc w:val="left"/>
      </w:pPr>
      <w:r>
        <w:rPr>
          <w:rFonts w:ascii="宋体" w:hAnsi="宋体" w:cs="宋体" w:eastAsia="宋体" w:hint="default"/>
        </w:rPr>
        <w:t>a</w:t>
      </w:r>
      <w:r>
        <w:rPr/>
        <w:t>、同一控制下的企业合并，合并方以支付现金、转让非现金资产或承担债务方式作为合并对价的，</w:t>
      </w:r>
      <w:r>
        <w:rPr>
          <w:w w:val="100"/>
        </w:rPr>
        <w:t> </w:t>
      </w:r>
      <w:r>
        <w:rPr>
          <w:spacing w:val="-2"/>
        </w:rPr>
        <w:t>在合并日按照取得被合并方所有者权益账面价值的份额作为长期股权投资的投资成本。长期股权投资投资</w:t>
      </w:r>
      <w:r>
        <w:rPr>
          <w:spacing w:val="-43"/>
        </w:rPr>
        <w:t> </w:t>
      </w:r>
      <w:r>
        <w:rPr>
          <w:spacing w:val="-43"/>
        </w:rPr>
      </w:r>
      <w:r>
        <w:rPr>
          <w:spacing w:val="-2"/>
        </w:rPr>
        <w:t>成本与支付的现金、转让的非现金资产以及所承担债务账面价值之间的差额，调整资本公积；资本公积不</w:t>
      </w:r>
      <w:r>
        <w:rPr>
          <w:spacing w:val="-43"/>
        </w:rPr>
        <w:t> </w:t>
      </w:r>
      <w:r>
        <w:rPr>
          <w:spacing w:val="-43"/>
        </w:rPr>
      </w:r>
      <w:r>
        <w:rPr>
          <w:spacing w:val="-2"/>
          <w:w w:val="99"/>
        </w:rPr>
        <w:t>足冲减的，调整留存收益。</w:t>
      </w:r>
      <w:r>
        <w:rPr>
          <w:rFonts w:ascii="宋体" w:hAnsi="宋体" w:cs="宋体" w:eastAsia="宋体" w:hint="default"/>
          <w:spacing w:val="-2"/>
          <w:w w:val="99"/>
        </w:rPr>
        <w:t>’</w:t>
      </w:r>
      <w:r>
        <w:rPr>
          <w:spacing w:val="-2"/>
          <w:w w:val="99"/>
        </w:rPr>
        <w:t>合并方以发行权益性证券作为合并对价的，在合并日按照取得被合并方所有</w:t>
      </w:r>
      <w:r>
        <w:rPr>
          <w:spacing w:val="-76"/>
          <w:w w:val="99"/>
        </w:rPr>
        <w:t> </w:t>
      </w:r>
      <w:r>
        <w:rPr>
          <w:spacing w:val="-76"/>
          <w:w w:val="99"/>
        </w:rPr>
      </w:r>
      <w:r>
        <w:rPr>
          <w:spacing w:val="-2"/>
        </w:rPr>
        <w:t>者权益账面价值的份额作为长期股权投资的投资成本。按照发行股份的面值总额作为股本，长期股权投资</w:t>
      </w:r>
    </w:p>
    <w:p>
      <w:pPr>
        <w:spacing w:after="0" w:line="357" w:lineRule="auto"/>
        <w:jc w:val="left"/>
        <w:sectPr>
          <w:pgSz w:w="11910" w:h="16840"/>
          <w:pgMar w:header="877" w:footer="1340" w:top="1100" w:bottom="1540" w:left="980" w:right="0"/>
        </w:sectPr>
      </w:pPr>
    </w:p>
    <w:p>
      <w:pPr>
        <w:spacing w:line="240" w:lineRule="auto" w:before="3"/>
        <w:rPr>
          <w:rFonts w:ascii="宋体" w:hAnsi="宋体" w:cs="宋体" w:eastAsia="宋体" w:hint="default"/>
          <w:sz w:val="19"/>
          <w:szCs w:val="19"/>
        </w:rPr>
      </w:pPr>
    </w:p>
    <w:p>
      <w:pPr>
        <w:pStyle w:val="BodyText"/>
        <w:spacing w:line="357" w:lineRule="auto" w:before="36"/>
        <w:ind w:left="573" w:right="1123" w:hanging="421"/>
        <w:jc w:val="left"/>
      </w:pPr>
      <w:r>
        <w:rPr>
          <w:spacing w:val="-2"/>
        </w:rPr>
        <w:t>投资成本与所发行股份面值总额之间的差额，调整资本公积；资本公积不足冲减的，调整留存收益。</w:t>
      </w:r>
      <w:r>
        <w:rPr>
          <w:spacing w:val="-21"/>
        </w:rPr>
        <w:t> </w:t>
      </w:r>
      <w:r>
        <w:rPr>
          <w:spacing w:val="-21"/>
        </w:rPr>
      </w:r>
      <w:r>
        <w:rPr>
          <w:rFonts w:ascii="宋体" w:hAnsi="宋体" w:cs="宋体" w:eastAsia="宋体" w:hint="default"/>
        </w:rPr>
        <w:t>b</w:t>
      </w:r>
      <w:r>
        <w:rPr/>
        <w:t>、非同一控制下的企业合并，按照下列规定确定的合并成本作为长期股权投资的投资成本：</w:t>
      </w:r>
    </w:p>
    <w:p>
      <w:pPr>
        <w:pStyle w:val="BodyText"/>
        <w:spacing w:line="357" w:lineRule="auto"/>
        <w:ind w:right="1123" w:firstLine="420"/>
        <w:jc w:val="left"/>
      </w:pPr>
      <w:r>
        <w:rPr>
          <w:spacing w:val="-2"/>
        </w:rPr>
        <w:t>①一次交换交易实现的企业合并，合并成本为购买方在购买日为取得对被购买方的控制权而付出的资</w:t>
      </w:r>
      <w:r>
        <w:rPr>
          <w:w w:val="100"/>
        </w:rPr>
        <w:t> </w:t>
      </w:r>
      <w:r>
        <w:rPr/>
        <w:t>产、发生或承担的负债以及发行的权益性证券的公允价值。</w:t>
      </w:r>
    </w:p>
    <w:p>
      <w:pPr>
        <w:pStyle w:val="BodyText"/>
        <w:spacing w:line="355" w:lineRule="auto"/>
        <w:ind w:left="573" w:right="1206"/>
        <w:jc w:val="left"/>
      </w:pPr>
      <w:r>
        <w:rPr>
          <w:rFonts w:ascii="宋体" w:hAnsi="宋体" w:cs="宋体" w:eastAsia="宋体" w:hint="default"/>
          <w:w w:val="50"/>
        </w:rPr>
        <w:t>’</w:t>
      </w:r>
      <w:r>
        <w:rPr>
          <w:w w:val="100"/>
        </w:rPr>
        <w:t>②</w:t>
      </w:r>
      <w:r>
        <w:rPr>
          <w:spacing w:val="-3"/>
          <w:w w:val="100"/>
        </w:rPr>
        <w:t>通</w:t>
      </w:r>
      <w:r>
        <w:rPr>
          <w:w w:val="100"/>
        </w:rPr>
        <w:t>过</w:t>
      </w:r>
      <w:r>
        <w:rPr>
          <w:spacing w:val="-3"/>
          <w:w w:val="100"/>
        </w:rPr>
        <w:t>多</w:t>
      </w:r>
      <w:r>
        <w:rPr>
          <w:w w:val="100"/>
        </w:rPr>
        <w:t>次</w:t>
      </w:r>
      <w:r>
        <w:rPr>
          <w:spacing w:val="-3"/>
          <w:w w:val="100"/>
        </w:rPr>
        <w:t>交</w:t>
      </w:r>
      <w:r>
        <w:rPr>
          <w:w w:val="100"/>
        </w:rPr>
        <w:t>换</w:t>
      </w:r>
      <w:r>
        <w:rPr>
          <w:spacing w:val="-3"/>
          <w:w w:val="100"/>
        </w:rPr>
        <w:t>交</w:t>
      </w:r>
      <w:r>
        <w:rPr>
          <w:w w:val="100"/>
        </w:rPr>
        <w:t>易</w:t>
      </w:r>
      <w:r>
        <w:rPr>
          <w:spacing w:val="-3"/>
          <w:w w:val="100"/>
        </w:rPr>
        <w:t>分步</w:t>
      </w:r>
      <w:r>
        <w:rPr>
          <w:w w:val="100"/>
        </w:rPr>
        <w:t>实现</w:t>
      </w:r>
      <w:r>
        <w:rPr>
          <w:spacing w:val="-3"/>
          <w:w w:val="100"/>
        </w:rPr>
        <w:t>的</w:t>
      </w:r>
      <w:r>
        <w:rPr>
          <w:w w:val="100"/>
        </w:rPr>
        <w:t>企</w:t>
      </w:r>
      <w:r>
        <w:rPr>
          <w:spacing w:val="-3"/>
          <w:w w:val="100"/>
        </w:rPr>
        <w:t>业</w:t>
      </w:r>
      <w:r>
        <w:rPr>
          <w:w w:val="100"/>
        </w:rPr>
        <w:t>合</w:t>
      </w:r>
      <w:r>
        <w:rPr>
          <w:spacing w:val="-3"/>
          <w:w w:val="100"/>
        </w:rPr>
        <w:t>并</w:t>
      </w:r>
      <w:r>
        <w:rPr>
          <w:w w:val="100"/>
        </w:rPr>
        <w:t>，</w:t>
      </w:r>
      <w:r>
        <w:rPr>
          <w:spacing w:val="-3"/>
          <w:w w:val="100"/>
        </w:rPr>
        <w:t>合</w:t>
      </w:r>
      <w:r>
        <w:rPr>
          <w:w w:val="100"/>
        </w:rPr>
        <w:t>并</w:t>
      </w:r>
      <w:r>
        <w:rPr>
          <w:spacing w:val="-3"/>
          <w:w w:val="100"/>
        </w:rPr>
        <w:t>成</w:t>
      </w:r>
      <w:r>
        <w:rPr>
          <w:w w:val="100"/>
        </w:rPr>
        <w:t>本为</w:t>
      </w:r>
      <w:r>
        <w:rPr>
          <w:spacing w:val="-3"/>
          <w:w w:val="100"/>
        </w:rPr>
        <w:t>每</w:t>
      </w:r>
      <w:r>
        <w:rPr>
          <w:w w:val="100"/>
        </w:rPr>
        <w:t>一</w:t>
      </w:r>
      <w:r>
        <w:rPr>
          <w:spacing w:val="-3"/>
          <w:w w:val="100"/>
        </w:rPr>
        <w:t>单</w:t>
      </w:r>
      <w:r>
        <w:rPr>
          <w:w w:val="100"/>
        </w:rPr>
        <w:t>项</w:t>
      </w:r>
      <w:r>
        <w:rPr>
          <w:spacing w:val="-3"/>
          <w:w w:val="100"/>
        </w:rPr>
        <w:t>交</w:t>
      </w:r>
      <w:r>
        <w:rPr>
          <w:w w:val="100"/>
        </w:rPr>
        <w:t>易</w:t>
      </w:r>
      <w:r>
        <w:rPr>
          <w:spacing w:val="-3"/>
          <w:w w:val="100"/>
        </w:rPr>
        <w:t>成</w:t>
      </w:r>
      <w:r>
        <w:rPr>
          <w:w w:val="100"/>
        </w:rPr>
        <w:t>本</w:t>
      </w:r>
      <w:r>
        <w:rPr>
          <w:spacing w:val="-3"/>
          <w:w w:val="100"/>
        </w:rPr>
        <w:t>之</w:t>
      </w:r>
      <w:r>
        <w:rPr>
          <w:w w:val="100"/>
        </w:rPr>
        <w:t>和。</w:t>
      </w:r>
      <w:r>
        <w:rPr>
          <w:w w:val="100"/>
        </w:rPr>
        <w:t> </w:t>
      </w:r>
      <w:r>
        <w:rPr>
          <w:rFonts w:ascii="宋体" w:hAnsi="宋体" w:cs="宋体" w:eastAsia="宋体" w:hint="default"/>
          <w:w w:val="50"/>
        </w:rPr>
        <w:t>’</w:t>
      </w:r>
      <w:r>
        <w:rPr>
          <w:w w:val="100"/>
        </w:rPr>
        <w:t>③</w:t>
      </w:r>
      <w:r>
        <w:rPr>
          <w:spacing w:val="-3"/>
          <w:w w:val="100"/>
        </w:rPr>
        <w:t>购</w:t>
      </w:r>
      <w:r>
        <w:rPr>
          <w:w w:val="100"/>
        </w:rPr>
        <w:t>买</w:t>
      </w:r>
      <w:r>
        <w:rPr>
          <w:spacing w:val="-3"/>
          <w:w w:val="100"/>
        </w:rPr>
        <w:t>方</w:t>
      </w:r>
      <w:r>
        <w:rPr>
          <w:w w:val="100"/>
        </w:rPr>
        <w:t>为</w:t>
      </w:r>
      <w:r>
        <w:rPr>
          <w:spacing w:val="-3"/>
          <w:w w:val="100"/>
        </w:rPr>
        <w:t>进</w:t>
      </w:r>
      <w:r>
        <w:rPr>
          <w:w w:val="100"/>
        </w:rPr>
        <w:t>行</w:t>
      </w:r>
      <w:r>
        <w:rPr>
          <w:spacing w:val="-3"/>
          <w:w w:val="100"/>
        </w:rPr>
        <w:t>企</w:t>
      </w:r>
      <w:r>
        <w:rPr>
          <w:w w:val="100"/>
        </w:rPr>
        <w:t>业</w:t>
      </w:r>
      <w:r>
        <w:rPr>
          <w:spacing w:val="-3"/>
          <w:w w:val="100"/>
        </w:rPr>
        <w:t>合并</w:t>
      </w:r>
      <w:r>
        <w:rPr>
          <w:w w:val="100"/>
        </w:rPr>
        <w:t>发生</w:t>
      </w:r>
      <w:r>
        <w:rPr>
          <w:spacing w:val="-3"/>
          <w:w w:val="100"/>
        </w:rPr>
        <w:t>的</w:t>
      </w:r>
      <w:r>
        <w:rPr>
          <w:w w:val="100"/>
        </w:rPr>
        <w:t>各</w:t>
      </w:r>
      <w:r>
        <w:rPr>
          <w:spacing w:val="-3"/>
          <w:w w:val="100"/>
        </w:rPr>
        <w:t>项</w:t>
      </w:r>
      <w:r>
        <w:rPr>
          <w:w w:val="100"/>
        </w:rPr>
        <w:t>直</w:t>
      </w:r>
      <w:r>
        <w:rPr>
          <w:spacing w:val="-3"/>
          <w:w w:val="100"/>
        </w:rPr>
        <w:t>接</w:t>
      </w:r>
      <w:r>
        <w:rPr>
          <w:w w:val="100"/>
        </w:rPr>
        <w:t>相</w:t>
      </w:r>
      <w:r>
        <w:rPr>
          <w:spacing w:val="-3"/>
          <w:w w:val="100"/>
        </w:rPr>
        <w:t>关</w:t>
      </w:r>
      <w:r>
        <w:rPr>
          <w:w w:val="100"/>
        </w:rPr>
        <w:t>费</w:t>
      </w:r>
      <w:r>
        <w:rPr>
          <w:spacing w:val="-3"/>
          <w:w w:val="100"/>
        </w:rPr>
        <w:t>用</w:t>
      </w:r>
      <w:r>
        <w:rPr>
          <w:w w:val="100"/>
        </w:rPr>
        <w:t>直接</w:t>
      </w:r>
      <w:r>
        <w:rPr>
          <w:spacing w:val="-3"/>
          <w:w w:val="100"/>
        </w:rPr>
        <w:t>计</w:t>
      </w:r>
      <w:r>
        <w:rPr>
          <w:w w:val="100"/>
        </w:rPr>
        <w:t>入</w:t>
      </w:r>
      <w:r>
        <w:rPr>
          <w:spacing w:val="-3"/>
          <w:w w:val="100"/>
        </w:rPr>
        <w:t>当</w:t>
      </w:r>
      <w:r>
        <w:rPr>
          <w:w w:val="100"/>
        </w:rPr>
        <w:t>期</w:t>
      </w:r>
      <w:r>
        <w:rPr>
          <w:spacing w:val="-3"/>
          <w:w w:val="100"/>
        </w:rPr>
        <w:t>损</w:t>
      </w:r>
      <w:r>
        <w:rPr>
          <w:w w:val="100"/>
        </w:rPr>
        <w:t>益。</w:t>
      </w:r>
      <w:r>
        <w:rPr>
          <w:w w:val="100"/>
        </w:rPr>
        <w:t> </w:t>
      </w:r>
      <w:r>
        <w:rPr>
          <w:rFonts w:ascii="宋体" w:hAnsi="宋体" w:cs="宋体" w:eastAsia="宋体" w:hint="default"/>
          <w:w w:val="50"/>
        </w:rPr>
        <w:t>’</w:t>
      </w:r>
      <w:r>
        <w:rPr>
          <w:w w:val="100"/>
        </w:rPr>
        <w:t>④</w:t>
      </w:r>
      <w:r>
        <w:rPr>
          <w:spacing w:val="-3"/>
          <w:w w:val="100"/>
        </w:rPr>
        <w:t>在</w:t>
      </w:r>
      <w:r>
        <w:rPr>
          <w:w w:val="100"/>
        </w:rPr>
        <w:t>合</w:t>
      </w:r>
      <w:r>
        <w:rPr>
          <w:spacing w:val="-3"/>
          <w:w w:val="100"/>
        </w:rPr>
        <w:t>并</w:t>
      </w:r>
      <w:r>
        <w:rPr>
          <w:w w:val="100"/>
        </w:rPr>
        <w:t>合</w:t>
      </w:r>
      <w:r>
        <w:rPr>
          <w:spacing w:val="-3"/>
          <w:w w:val="100"/>
        </w:rPr>
        <w:t>同</w:t>
      </w:r>
      <w:r>
        <w:rPr>
          <w:w w:val="100"/>
        </w:rPr>
        <w:t>或</w:t>
      </w:r>
      <w:r>
        <w:rPr>
          <w:spacing w:val="-3"/>
          <w:w w:val="100"/>
        </w:rPr>
        <w:t>协</w:t>
      </w:r>
      <w:r>
        <w:rPr>
          <w:w w:val="100"/>
        </w:rPr>
        <w:t>议</w:t>
      </w:r>
      <w:r>
        <w:rPr>
          <w:spacing w:val="-3"/>
          <w:w w:val="100"/>
        </w:rPr>
        <w:t>中对</w:t>
      </w:r>
      <w:r>
        <w:rPr>
          <w:w w:val="100"/>
        </w:rPr>
        <w:t>可能</w:t>
      </w:r>
      <w:r>
        <w:rPr>
          <w:spacing w:val="-3"/>
          <w:w w:val="100"/>
        </w:rPr>
        <w:t>影</w:t>
      </w:r>
      <w:r>
        <w:rPr>
          <w:w w:val="100"/>
        </w:rPr>
        <w:t>响</w:t>
      </w:r>
      <w:r>
        <w:rPr>
          <w:spacing w:val="-3"/>
          <w:w w:val="100"/>
        </w:rPr>
        <w:t>合</w:t>
      </w:r>
      <w:r>
        <w:rPr>
          <w:w w:val="100"/>
        </w:rPr>
        <w:t>并</w:t>
      </w:r>
      <w:r>
        <w:rPr>
          <w:spacing w:val="-3"/>
          <w:w w:val="100"/>
        </w:rPr>
        <w:t>成</w:t>
      </w:r>
      <w:r>
        <w:rPr>
          <w:w w:val="100"/>
        </w:rPr>
        <w:t>本</w:t>
      </w:r>
      <w:r>
        <w:rPr>
          <w:spacing w:val="-3"/>
          <w:w w:val="100"/>
        </w:rPr>
        <w:t>的</w:t>
      </w:r>
      <w:r>
        <w:rPr>
          <w:w w:val="100"/>
        </w:rPr>
        <w:t>未</w:t>
      </w:r>
      <w:r>
        <w:rPr>
          <w:spacing w:val="-3"/>
          <w:w w:val="100"/>
        </w:rPr>
        <w:t>来</w:t>
      </w:r>
      <w:r>
        <w:rPr>
          <w:w w:val="100"/>
        </w:rPr>
        <w:t>事项</w:t>
      </w:r>
      <w:r>
        <w:rPr>
          <w:spacing w:val="-3"/>
          <w:w w:val="100"/>
        </w:rPr>
        <w:t>作</w:t>
      </w:r>
      <w:r>
        <w:rPr>
          <w:w w:val="100"/>
        </w:rPr>
        <w:t>出</w:t>
      </w:r>
      <w:r>
        <w:rPr>
          <w:spacing w:val="-3"/>
          <w:w w:val="100"/>
        </w:rPr>
        <w:t>约</w:t>
      </w:r>
      <w:r>
        <w:rPr>
          <w:w w:val="100"/>
        </w:rPr>
        <w:t>定</w:t>
      </w:r>
      <w:r>
        <w:rPr>
          <w:spacing w:val="-3"/>
          <w:w w:val="100"/>
        </w:rPr>
        <w:t>的</w:t>
      </w:r>
      <w:r>
        <w:rPr>
          <w:w w:val="100"/>
        </w:rPr>
        <w:t>，</w:t>
      </w:r>
      <w:r>
        <w:rPr>
          <w:spacing w:val="-3"/>
          <w:w w:val="100"/>
        </w:rPr>
        <w:t>购</w:t>
      </w:r>
      <w:r>
        <w:rPr>
          <w:w w:val="100"/>
        </w:rPr>
        <w:t>买</w:t>
      </w:r>
      <w:r>
        <w:rPr>
          <w:spacing w:val="-3"/>
          <w:w w:val="100"/>
        </w:rPr>
        <w:t>日</w:t>
      </w:r>
      <w:r>
        <w:rPr>
          <w:w w:val="100"/>
        </w:rPr>
        <w:t>如果</w:t>
      </w:r>
      <w:r>
        <w:rPr>
          <w:spacing w:val="-3"/>
          <w:w w:val="100"/>
        </w:rPr>
        <w:t>估</w:t>
      </w:r>
      <w:r>
        <w:rPr>
          <w:w w:val="100"/>
        </w:rPr>
        <w:t>计</w:t>
      </w:r>
      <w:r>
        <w:rPr>
          <w:spacing w:val="-3"/>
          <w:w w:val="100"/>
        </w:rPr>
        <w:t>未</w:t>
      </w:r>
      <w:r>
        <w:rPr>
          <w:w w:val="100"/>
        </w:rPr>
        <w:t>来</w:t>
      </w:r>
      <w:r>
        <w:rPr>
          <w:spacing w:val="-3"/>
          <w:w w:val="100"/>
        </w:rPr>
        <w:t>事</w:t>
      </w:r>
      <w:r>
        <w:rPr>
          <w:w w:val="100"/>
        </w:rPr>
        <w:t>项</w:t>
      </w:r>
      <w:r>
        <w:rPr>
          <w:spacing w:val="-3"/>
          <w:w w:val="100"/>
        </w:rPr>
        <w:t>很</w:t>
      </w:r>
      <w:r>
        <w:rPr>
          <w:w w:val="100"/>
        </w:rPr>
        <w:t>可</w:t>
      </w:r>
    </w:p>
    <w:p>
      <w:pPr>
        <w:pStyle w:val="BodyText"/>
        <w:spacing w:line="355" w:lineRule="auto" w:before="34"/>
        <w:ind w:left="573" w:right="1123" w:hanging="421"/>
        <w:jc w:val="left"/>
      </w:pPr>
      <w:r>
        <w:rPr/>
        <w:t>能发生并且对合并成本的影响金额能够可靠计量的，购买方将其计入合并成本。</w:t>
      </w:r>
      <w:r>
        <w:rPr>
          <w:w w:val="100"/>
        </w:rPr>
        <w:t> </w:t>
      </w:r>
      <w:r>
        <w:rPr>
          <w:rFonts w:ascii="宋体" w:hAnsi="宋体" w:cs="宋体" w:eastAsia="宋体" w:hint="default"/>
          <w:spacing w:val="-2"/>
          <w:w w:val="95"/>
        </w:rPr>
        <w:t>’B</w:t>
      </w:r>
      <w:r>
        <w:rPr>
          <w:spacing w:val="-2"/>
          <w:w w:val="95"/>
        </w:rPr>
        <w:t>、除企业合并形成的长期股权投资以外，其它方式取得的长期股权投资，按照下列规定确定其投资</w:t>
      </w:r>
    </w:p>
    <w:p>
      <w:pPr>
        <w:pStyle w:val="BodyText"/>
        <w:spacing w:line="240" w:lineRule="auto" w:before="32"/>
        <w:ind w:right="1123"/>
        <w:jc w:val="left"/>
      </w:pPr>
      <w:r>
        <w:rPr/>
        <w:t>成本：</w:t>
      </w:r>
    </w:p>
    <w:p>
      <w:pPr>
        <w:pStyle w:val="BodyText"/>
        <w:spacing w:line="355" w:lineRule="auto" w:before="133"/>
        <w:ind w:right="1123" w:firstLine="420"/>
        <w:jc w:val="left"/>
      </w:pPr>
      <w:r>
        <w:rPr>
          <w:rFonts w:ascii="宋体" w:hAnsi="宋体" w:cs="宋体" w:eastAsia="宋体" w:hint="default"/>
          <w:spacing w:val="-2"/>
          <w:w w:val="99"/>
        </w:rPr>
        <w:t>’a</w:t>
      </w:r>
      <w:r>
        <w:rPr>
          <w:spacing w:val="-2"/>
          <w:w w:val="99"/>
        </w:rPr>
        <w:t>、以支付现金取得的长期股权投资，按照实际支付的购买价款作为投资成本。投资成本包括与取得</w:t>
      </w:r>
      <w:r>
        <w:rPr>
          <w:w w:val="100"/>
        </w:rPr>
        <w:t> </w:t>
      </w:r>
      <w:r>
        <w:rPr/>
        <w:t>长期股权投资直接相关的费用、税金及其它必要支出。</w:t>
      </w:r>
    </w:p>
    <w:p>
      <w:pPr>
        <w:pStyle w:val="BodyText"/>
        <w:spacing w:line="355" w:lineRule="auto" w:before="34"/>
        <w:ind w:left="573" w:right="1123"/>
        <w:jc w:val="left"/>
      </w:pPr>
      <w:r>
        <w:rPr>
          <w:rFonts w:ascii="宋体" w:hAnsi="宋体" w:cs="宋体" w:eastAsia="宋体" w:hint="default"/>
        </w:rPr>
        <w:t>b</w:t>
      </w:r>
      <w:r>
        <w:rPr/>
        <w:t>、以发行权益性证券取得的长期股权投资，按照发行权益性证券的公允价值作为投资成本。</w:t>
      </w:r>
      <w:r>
        <w:rPr>
          <w:w w:val="100"/>
        </w:rPr>
        <w:t> </w:t>
      </w:r>
      <w:r>
        <w:rPr>
          <w:rFonts w:ascii="宋体" w:hAnsi="宋体" w:cs="宋体" w:eastAsia="宋体" w:hint="default"/>
          <w:spacing w:val="-2"/>
        </w:rPr>
        <w:t>c</w:t>
      </w:r>
      <w:r>
        <w:rPr>
          <w:spacing w:val="-2"/>
        </w:rPr>
        <w:t>、投资者投入的长期股权投资，按照投资合同或协议约定的价值作为投资成本，但合同或协议约定</w:t>
      </w:r>
    </w:p>
    <w:p>
      <w:pPr>
        <w:pStyle w:val="BodyText"/>
        <w:spacing w:line="355" w:lineRule="auto" w:before="32"/>
        <w:ind w:left="573" w:right="1123" w:hanging="421"/>
        <w:jc w:val="left"/>
      </w:pPr>
      <w:r>
        <w:rPr/>
        <w:t>价值不公允的除外。</w:t>
      </w:r>
      <w:r>
        <w:rPr>
          <w:w w:val="100"/>
        </w:rPr>
        <w:t> </w:t>
      </w:r>
      <w:r>
        <w:rPr>
          <w:rFonts w:ascii="宋体" w:hAnsi="宋体" w:cs="宋体" w:eastAsia="宋体" w:hint="default"/>
          <w:spacing w:val="-2"/>
        </w:rPr>
        <w:t>d</w:t>
      </w:r>
      <w:r>
        <w:rPr>
          <w:spacing w:val="-2"/>
        </w:rPr>
        <w:t>、通过非货币性资产交换取得的长期股权投资，如非货币性资产交换具有商业实质，换入的长期股</w:t>
      </w:r>
    </w:p>
    <w:p>
      <w:pPr>
        <w:pStyle w:val="BodyText"/>
        <w:spacing w:line="357" w:lineRule="auto" w:before="32"/>
        <w:ind w:right="1123"/>
        <w:jc w:val="left"/>
      </w:pPr>
      <w:r>
        <w:rPr>
          <w:spacing w:val="-2"/>
        </w:rPr>
        <w:t>权投资按照公允价值和应支付的相关税费作为投资成本；如非货币资产交易不具有商业实质，换入的长期</w:t>
      </w:r>
      <w:r>
        <w:rPr>
          <w:spacing w:val="-43"/>
        </w:rPr>
        <w:t> </w:t>
      </w:r>
      <w:r>
        <w:rPr>
          <w:spacing w:val="-43"/>
        </w:rPr>
      </w:r>
      <w:r>
        <w:rPr/>
        <w:t>股权投资以换出资产的账面价值和应支付的相关税费作为投资成本。</w:t>
      </w:r>
    </w:p>
    <w:p>
      <w:pPr>
        <w:pStyle w:val="BodyText"/>
        <w:spacing w:line="240" w:lineRule="auto"/>
        <w:ind w:left="573" w:right="1123"/>
        <w:jc w:val="left"/>
        <w:rPr>
          <w:rFonts w:ascii="宋体" w:hAnsi="宋体" w:cs="宋体" w:eastAsia="宋体" w:hint="default"/>
        </w:rPr>
      </w:pPr>
      <w:r>
        <w:rPr>
          <w:rFonts w:ascii="宋体" w:hAnsi="宋体" w:cs="宋体" w:eastAsia="宋体" w:hint="default"/>
          <w:w w:val="100"/>
        </w:rPr>
        <w:t>e</w:t>
      </w:r>
      <w:r>
        <w:rPr>
          <w:w w:val="100"/>
        </w:rPr>
        <w:t>、</w:t>
      </w:r>
      <w:r>
        <w:rPr>
          <w:spacing w:val="-3"/>
          <w:w w:val="100"/>
        </w:rPr>
        <w:t>通</w:t>
      </w:r>
      <w:r>
        <w:rPr>
          <w:w w:val="100"/>
        </w:rPr>
        <w:t>过</w:t>
      </w:r>
      <w:r>
        <w:rPr>
          <w:spacing w:val="-3"/>
          <w:w w:val="100"/>
        </w:rPr>
        <w:t>债</w:t>
      </w:r>
      <w:r>
        <w:rPr>
          <w:w w:val="100"/>
        </w:rPr>
        <w:t>务</w:t>
      </w:r>
      <w:r>
        <w:rPr>
          <w:spacing w:val="-3"/>
          <w:w w:val="100"/>
        </w:rPr>
        <w:t>重</w:t>
      </w:r>
      <w:r>
        <w:rPr>
          <w:w w:val="100"/>
        </w:rPr>
        <w:t>组</w:t>
      </w:r>
      <w:r>
        <w:rPr>
          <w:spacing w:val="-3"/>
          <w:w w:val="100"/>
        </w:rPr>
        <w:t>取</w:t>
      </w:r>
      <w:r>
        <w:rPr>
          <w:w w:val="100"/>
        </w:rPr>
        <w:t>得</w:t>
      </w:r>
      <w:r>
        <w:rPr>
          <w:spacing w:val="-3"/>
          <w:w w:val="100"/>
        </w:rPr>
        <w:t>的长</w:t>
      </w:r>
      <w:r>
        <w:rPr>
          <w:w w:val="100"/>
        </w:rPr>
        <w:t>期股</w:t>
      </w:r>
      <w:r>
        <w:rPr>
          <w:spacing w:val="-3"/>
          <w:w w:val="100"/>
        </w:rPr>
        <w:t>权</w:t>
      </w:r>
      <w:r>
        <w:rPr>
          <w:w w:val="100"/>
        </w:rPr>
        <w:t>投</w:t>
      </w:r>
      <w:r>
        <w:rPr>
          <w:spacing w:val="-3"/>
          <w:w w:val="100"/>
        </w:rPr>
        <w:t>资</w:t>
      </w:r>
      <w:r>
        <w:rPr>
          <w:w w:val="100"/>
        </w:rPr>
        <w:t>，</w:t>
      </w:r>
      <w:r>
        <w:rPr>
          <w:spacing w:val="-3"/>
          <w:w w:val="100"/>
        </w:rPr>
        <w:t>其</w:t>
      </w:r>
      <w:r>
        <w:rPr>
          <w:w w:val="100"/>
        </w:rPr>
        <w:t>投</w:t>
      </w:r>
      <w:r>
        <w:rPr>
          <w:spacing w:val="-3"/>
          <w:w w:val="100"/>
        </w:rPr>
        <w:t>资</w:t>
      </w:r>
      <w:r>
        <w:rPr>
          <w:w w:val="100"/>
        </w:rPr>
        <w:t>成</w:t>
      </w:r>
      <w:r>
        <w:rPr>
          <w:spacing w:val="-3"/>
          <w:w w:val="100"/>
        </w:rPr>
        <w:t>本</w:t>
      </w:r>
      <w:r>
        <w:rPr>
          <w:w w:val="100"/>
        </w:rPr>
        <w:t>按照</w:t>
      </w:r>
      <w:r>
        <w:rPr>
          <w:spacing w:val="-3"/>
          <w:w w:val="100"/>
        </w:rPr>
        <w:t>公</w:t>
      </w:r>
      <w:r>
        <w:rPr>
          <w:w w:val="100"/>
        </w:rPr>
        <w:t>允</w:t>
      </w:r>
      <w:r>
        <w:rPr>
          <w:spacing w:val="-3"/>
          <w:w w:val="100"/>
        </w:rPr>
        <w:t>价</w:t>
      </w:r>
      <w:r>
        <w:rPr>
          <w:w w:val="100"/>
        </w:rPr>
        <w:t>值</w:t>
      </w:r>
      <w:r>
        <w:rPr>
          <w:spacing w:val="-3"/>
          <w:w w:val="100"/>
        </w:rPr>
        <w:t>和</w:t>
      </w:r>
      <w:r>
        <w:rPr>
          <w:w w:val="100"/>
        </w:rPr>
        <w:t>应</w:t>
      </w:r>
      <w:r>
        <w:rPr>
          <w:spacing w:val="-3"/>
          <w:w w:val="100"/>
        </w:rPr>
        <w:t>付</w:t>
      </w:r>
      <w:r>
        <w:rPr>
          <w:w w:val="100"/>
        </w:rPr>
        <w:t>的</w:t>
      </w:r>
      <w:r>
        <w:rPr>
          <w:spacing w:val="-3"/>
          <w:w w:val="100"/>
        </w:rPr>
        <w:t>相</w:t>
      </w:r>
      <w:r>
        <w:rPr>
          <w:w w:val="100"/>
        </w:rPr>
        <w:t>关税</w:t>
      </w:r>
      <w:r>
        <w:rPr>
          <w:spacing w:val="-3"/>
          <w:w w:val="100"/>
        </w:rPr>
        <w:t>费</w:t>
      </w:r>
      <w:r>
        <w:rPr>
          <w:w w:val="100"/>
        </w:rPr>
        <w:t>确</w:t>
      </w:r>
      <w:r>
        <w:rPr>
          <w:spacing w:val="-3"/>
          <w:w w:val="100"/>
        </w:rPr>
        <w:t>定</w:t>
      </w:r>
      <w:r>
        <w:rPr>
          <w:w w:val="100"/>
        </w:rPr>
        <w:t>。</w:t>
      </w:r>
      <w:r>
        <w:rPr>
          <w:rFonts w:ascii="宋体" w:hAnsi="宋体" w:cs="宋体" w:eastAsia="宋体" w:hint="default"/>
          <w:w w:val="50"/>
        </w:rPr>
        <w:t>’</w:t>
      </w:r>
      <w:r>
        <w:rPr>
          <w:rFonts w:ascii="宋体" w:hAnsi="宋体" w:cs="宋体" w:eastAsia="宋体" w:hint="default"/>
        </w:rPr>
      </w:r>
    </w:p>
    <w:p>
      <w:pPr>
        <w:spacing w:line="570" w:lineRule="atLeast" w:before="175"/>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b/>
          <w:bCs/>
          <w:w w:val="100"/>
          <w:sz w:val="21"/>
          <w:szCs w:val="21"/>
        </w:rPr>
        <w:t> </w:t>
      </w:r>
      <w:r>
        <w:rPr>
          <w:rFonts w:ascii="宋体" w:hAnsi="宋体" w:cs="宋体" w:eastAsia="宋体" w:hint="default"/>
          <w:spacing w:val="-2"/>
          <w:sz w:val="21"/>
          <w:szCs w:val="21"/>
        </w:rPr>
        <w:t>A</w:t>
      </w:r>
      <w:r>
        <w:rPr>
          <w:rFonts w:ascii="宋体" w:hAnsi="宋体" w:cs="宋体" w:eastAsia="宋体" w:hint="default"/>
          <w:spacing w:val="-2"/>
          <w:sz w:val="21"/>
          <w:szCs w:val="21"/>
        </w:rPr>
        <w:t>、本公司能够对被投资单位实施控制的长期股权投资或本公司对被投资单位不具有共同控制或重大</w:t>
      </w:r>
    </w:p>
    <w:p>
      <w:pPr>
        <w:pStyle w:val="BodyText"/>
        <w:spacing w:line="355" w:lineRule="auto" w:before="133"/>
        <w:ind w:right="1123"/>
        <w:jc w:val="left"/>
      </w:pPr>
      <w:r>
        <w:rPr>
          <w:spacing w:val="-2"/>
          <w:w w:val="99"/>
        </w:rPr>
        <w:t>影响，并且在活跃市场中没有报价、公允价值不能可靠计量的长期股权投资采用成本法核算。</w:t>
      </w:r>
      <w:r>
        <w:rPr>
          <w:rFonts w:ascii="宋体" w:hAnsi="宋体" w:cs="宋体" w:eastAsia="宋体" w:hint="default"/>
          <w:spacing w:val="-2"/>
          <w:w w:val="99"/>
        </w:rPr>
        <w:t>’</w:t>
      </w:r>
      <w:r>
        <w:rPr>
          <w:spacing w:val="-2"/>
          <w:w w:val="99"/>
        </w:rPr>
        <w:t>采用成本</w:t>
      </w:r>
      <w:r>
        <w:rPr>
          <w:spacing w:val="-75"/>
          <w:w w:val="99"/>
        </w:rPr>
        <w:t> </w:t>
      </w:r>
      <w:r>
        <w:rPr>
          <w:spacing w:val="-75"/>
          <w:w w:val="99"/>
        </w:rPr>
      </w:r>
      <w:r>
        <w:rPr>
          <w:spacing w:val="-2"/>
        </w:rPr>
        <w:t>法核算的长期股权投资按照投资成本计价。追加或收回投资时调整长期股权投资的成本。被投资单位宣告</w:t>
      </w:r>
      <w:r>
        <w:rPr>
          <w:spacing w:val="-44"/>
        </w:rPr>
        <w:t> </w:t>
      </w:r>
      <w:r>
        <w:rPr>
          <w:spacing w:val="-44"/>
        </w:rPr>
      </w:r>
      <w:r>
        <w:rPr>
          <w:spacing w:val="-2"/>
        </w:rPr>
        <w:t>分派的现金股利或利润，除取得投资时实际支付的价款或对价中包含的已宣告但尚未发放的现金股利或利</w:t>
      </w:r>
      <w:r>
        <w:rPr>
          <w:spacing w:val="-43"/>
        </w:rPr>
        <w:t> </w:t>
      </w:r>
      <w:r>
        <w:rPr>
          <w:spacing w:val="-43"/>
        </w:rPr>
      </w:r>
      <w:r>
        <w:rPr/>
        <w:t>润外，本公司按照享有被投资单位宣告发放的现金股利或利润确认当期投资收益。</w:t>
      </w:r>
    </w:p>
    <w:p>
      <w:pPr>
        <w:pStyle w:val="BodyText"/>
        <w:spacing w:line="357" w:lineRule="auto" w:before="34"/>
        <w:ind w:right="0" w:firstLine="420"/>
        <w:jc w:val="left"/>
      </w:pPr>
      <w:r>
        <w:rPr>
          <w:rFonts w:ascii="宋体" w:hAnsi="宋体" w:cs="宋体" w:eastAsia="宋体" w:hint="default"/>
          <w:spacing w:val="-2"/>
          <w:w w:val="99"/>
        </w:rPr>
        <w:t>B</w:t>
      </w:r>
      <w:r>
        <w:rPr>
          <w:spacing w:val="-2"/>
          <w:w w:val="99"/>
        </w:rPr>
        <w:t>、本公司对被投资单位具有共同控制或重大影响的长期股权投资，采用权益法核算。</w:t>
      </w:r>
      <w:r>
        <w:rPr>
          <w:rFonts w:ascii="宋体" w:hAnsi="宋体" w:cs="宋体" w:eastAsia="宋体" w:hint="default"/>
          <w:spacing w:val="-2"/>
          <w:w w:val="99"/>
        </w:rPr>
        <w:t>’</w:t>
      </w:r>
      <w:r>
        <w:rPr>
          <w:spacing w:val="-2"/>
          <w:w w:val="99"/>
        </w:rPr>
        <w:t>长期股权投资</w:t>
      </w:r>
      <w:r>
        <w:rPr>
          <w:w w:val="100"/>
        </w:rPr>
        <w:t> </w:t>
      </w:r>
      <w:r>
        <w:rPr/>
        <w:t>的投资成本大于投资时应享有被投资单位可辨认净资产公允价值份额的，不调整长期股权投资的投资成</w:t>
      </w:r>
      <w:r>
        <w:rPr>
          <w:w w:val="100"/>
        </w:rPr>
        <w:t> </w:t>
      </w:r>
      <w:r>
        <w:rPr>
          <w:spacing w:val="-2"/>
        </w:rPr>
        <w:t>本；长期股权投资的投资成本小于投资时应享有被投资单位可辨认净资产公允价值份额的，其差额应当计</w:t>
      </w:r>
      <w:r>
        <w:rPr>
          <w:spacing w:val="-43"/>
        </w:rPr>
        <w:t> </w:t>
      </w:r>
      <w:r>
        <w:rPr>
          <w:spacing w:val="-43"/>
        </w:rPr>
      </w:r>
      <w:r>
        <w:rPr>
          <w:spacing w:val="-2"/>
          <w:w w:val="99"/>
        </w:rPr>
        <w:t>入当期损益，同时调整长期股权投资的成本。</w:t>
      </w:r>
      <w:r>
        <w:rPr>
          <w:rFonts w:ascii="宋体" w:hAnsi="宋体" w:cs="宋体" w:eastAsia="宋体" w:hint="default"/>
          <w:spacing w:val="-2"/>
          <w:w w:val="99"/>
        </w:rPr>
        <w:t>’</w:t>
      </w:r>
      <w:r>
        <w:rPr>
          <w:spacing w:val="-2"/>
          <w:w w:val="99"/>
        </w:rPr>
        <w:t>公司取得长期股权投资后，按照应享有或应分担的被投资</w:t>
      </w:r>
      <w:r>
        <w:rPr>
          <w:spacing w:val="-75"/>
          <w:w w:val="99"/>
        </w:rPr>
        <w:t> </w:t>
      </w:r>
      <w:r>
        <w:rPr>
          <w:spacing w:val="-75"/>
          <w:w w:val="99"/>
        </w:rPr>
      </w:r>
      <w:r>
        <w:rPr>
          <w:spacing w:val="-2"/>
        </w:rPr>
        <w:t>单位实现的净损益的份额，确认投资损益并调整长期股权投资的账面价值；按照被投资单位宣告分派的利</w:t>
      </w:r>
      <w:r>
        <w:rPr>
          <w:spacing w:val="-43"/>
        </w:rPr>
        <w:t> </w:t>
      </w:r>
      <w:r>
        <w:rPr>
          <w:spacing w:val="-43"/>
        </w:rPr>
      </w:r>
      <w:r>
        <w:rPr>
          <w:spacing w:val="-5"/>
        </w:rPr>
        <w:t>润或现金股利计算应分得的部分，相应减少长期股权投资的账面价值。公司确认被投资单位发生的净亏损， </w:t>
      </w:r>
      <w:r>
        <w:rPr>
          <w:spacing w:val="-5"/>
        </w:rPr>
      </w:r>
      <w:r>
        <w:rPr>
          <w:spacing w:val="-2"/>
        </w:rPr>
        <w:t>以长期股权投资的账面价值以及其他实质上构成对被投资单位净投资的长期权益减记至零为限，公司负有</w:t>
      </w:r>
    </w:p>
    <w:p>
      <w:pPr>
        <w:pStyle w:val="BodyText"/>
        <w:spacing w:line="240" w:lineRule="auto"/>
        <w:ind w:right="0"/>
        <w:jc w:val="left"/>
      </w:pPr>
      <w:r>
        <w:rPr/>
        <w:t>承担额外损失义务的除外。被投资单位以后实现净利润的，投资企业在其收益分享额弥补未确认的亏损分</w:t>
      </w:r>
    </w:p>
    <w:p>
      <w:pPr>
        <w:spacing w:after="0" w:line="240" w:lineRule="auto"/>
        <w:jc w:val="left"/>
        <w:sectPr>
          <w:pgSz w:w="11910" w:h="16840"/>
          <w:pgMar w:header="877" w:footer="1340" w:top="1100" w:bottom="1540" w:left="980" w:right="0"/>
        </w:sectPr>
      </w:pPr>
    </w:p>
    <w:p>
      <w:pPr>
        <w:spacing w:line="240" w:lineRule="auto" w:before="3"/>
        <w:rPr>
          <w:rFonts w:ascii="宋体" w:hAnsi="宋体" w:cs="宋体" w:eastAsia="宋体" w:hint="default"/>
          <w:sz w:val="19"/>
          <w:szCs w:val="19"/>
        </w:rPr>
      </w:pPr>
    </w:p>
    <w:p>
      <w:pPr>
        <w:pStyle w:val="BodyText"/>
        <w:spacing w:line="357" w:lineRule="auto" w:before="36"/>
        <w:ind w:right="1123"/>
        <w:jc w:val="left"/>
      </w:pPr>
      <w:r>
        <w:rPr>
          <w:spacing w:val="-2"/>
          <w:w w:val="99"/>
        </w:rPr>
        <w:t>担额后，恢复确认收益分享额。</w:t>
      </w:r>
      <w:r>
        <w:rPr>
          <w:rFonts w:ascii="宋体" w:hAnsi="宋体" w:cs="宋体" w:eastAsia="宋体" w:hint="default"/>
          <w:spacing w:val="-2"/>
          <w:w w:val="99"/>
        </w:rPr>
        <w:t>’</w:t>
      </w:r>
      <w:r>
        <w:rPr>
          <w:spacing w:val="-2"/>
          <w:w w:val="99"/>
        </w:rPr>
        <w:t>在确认应享有被投资单位净损益的份额时，以取得投资时被投资单位各</w:t>
      </w:r>
      <w:r>
        <w:rPr>
          <w:spacing w:val="-76"/>
          <w:w w:val="99"/>
        </w:rPr>
        <w:t> </w:t>
      </w:r>
      <w:r>
        <w:rPr>
          <w:spacing w:val="-76"/>
          <w:w w:val="99"/>
        </w:rPr>
      </w:r>
      <w:r>
        <w:rPr>
          <w:spacing w:val="-2"/>
        </w:rPr>
        <w:t>项可辨认资产等的公允价值为基础，对被投资单位的净利润进行调整后确认。被投资单位采用的会计政策</w:t>
      </w:r>
      <w:r>
        <w:rPr>
          <w:spacing w:val="-43"/>
        </w:rPr>
        <w:t> </w:t>
      </w:r>
      <w:r>
        <w:rPr>
          <w:spacing w:val="-43"/>
        </w:rPr>
      </w:r>
      <w:r>
        <w:rPr>
          <w:spacing w:val="-2"/>
        </w:rPr>
        <w:t>及会计期间与投资企业不一致的，应当按照投资企业的会计政策及会计期间对被投资单位的财务报表进行</w:t>
      </w:r>
      <w:r>
        <w:rPr>
          <w:spacing w:val="-43"/>
        </w:rPr>
        <w:t> </w:t>
      </w:r>
      <w:r>
        <w:rPr>
          <w:spacing w:val="-43"/>
        </w:rPr>
      </w:r>
      <w:r>
        <w:rPr/>
        <w:t>调整，并据以确认投资损益。</w:t>
      </w:r>
    </w:p>
    <w:p>
      <w:pPr>
        <w:pStyle w:val="BodyText"/>
        <w:spacing w:line="240" w:lineRule="auto"/>
        <w:ind w:left="573" w:right="1123"/>
        <w:jc w:val="left"/>
        <w:rPr>
          <w:rFonts w:ascii="宋体" w:hAnsi="宋体" w:cs="宋体" w:eastAsia="宋体" w:hint="default"/>
        </w:rPr>
      </w:pPr>
      <w:r>
        <w:rPr>
          <w:rFonts w:ascii="宋体" w:hAnsi="宋体" w:cs="宋体" w:eastAsia="宋体" w:hint="default"/>
          <w:w w:val="100"/>
        </w:rPr>
        <w:t>C</w:t>
      </w:r>
      <w:r>
        <w:rPr>
          <w:w w:val="100"/>
        </w:rPr>
        <w:t>、</w:t>
      </w:r>
      <w:r>
        <w:rPr>
          <w:spacing w:val="-3"/>
          <w:w w:val="100"/>
        </w:rPr>
        <w:t>处</w:t>
      </w:r>
      <w:r>
        <w:rPr>
          <w:w w:val="100"/>
        </w:rPr>
        <w:t>置</w:t>
      </w:r>
      <w:r>
        <w:rPr>
          <w:spacing w:val="-3"/>
          <w:w w:val="100"/>
        </w:rPr>
        <w:t>长</w:t>
      </w:r>
      <w:r>
        <w:rPr>
          <w:w w:val="100"/>
        </w:rPr>
        <w:t>期</w:t>
      </w:r>
      <w:r>
        <w:rPr>
          <w:spacing w:val="-3"/>
          <w:w w:val="100"/>
        </w:rPr>
        <w:t>股</w:t>
      </w:r>
      <w:r>
        <w:rPr>
          <w:w w:val="100"/>
        </w:rPr>
        <w:t>权</w:t>
      </w:r>
      <w:r>
        <w:rPr>
          <w:spacing w:val="-3"/>
          <w:w w:val="100"/>
        </w:rPr>
        <w:t>投</w:t>
      </w:r>
      <w:r>
        <w:rPr>
          <w:w w:val="100"/>
        </w:rPr>
        <w:t>资</w:t>
      </w:r>
      <w:r>
        <w:rPr>
          <w:spacing w:val="-3"/>
          <w:w w:val="100"/>
        </w:rPr>
        <w:t>，其</w:t>
      </w:r>
      <w:r>
        <w:rPr>
          <w:w w:val="100"/>
        </w:rPr>
        <w:t>账面</w:t>
      </w:r>
      <w:r>
        <w:rPr>
          <w:spacing w:val="-3"/>
          <w:w w:val="100"/>
        </w:rPr>
        <w:t>价</w:t>
      </w:r>
      <w:r>
        <w:rPr>
          <w:w w:val="100"/>
        </w:rPr>
        <w:t>值</w:t>
      </w:r>
      <w:r>
        <w:rPr>
          <w:spacing w:val="-3"/>
          <w:w w:val="100"/>
        </w:rPr>
        <w:t>与</w:t>
      </w:r>
      <w:r>
        <w:rPr>
          <w:w w:val="100"/>
        </w:rPr>
        <w:t>实</w:t>
      </w:r>
      <w:r>
        <w:rPr>
          <w:spacing w:val="-3"/>
          <w:w w:val="100"/>
        </w:rPr>
        <w:t>际</w:t>
      </w:r>
      <w:r>
        <w:rPr>
          <w:w w:val="100"/>
        </w:rPr>
        <w:t>取</w:t>
      </w:r>
      <w:r>
        <w:rPr>
          <w:spacing w:val="-3"/>
          <w:w w:val="100"/>
        </w:rPr>
        <w:t>得</w:t>
      </w:r>
      <w:r>
        <w:rPr>
          <w:w w:val="100"/>
        </w:rPr>
        <w:t>价</w:t>
      </w:r>
      <w:r>
        <w:rPr>
          <w:spacing w:val="-3"/>
          <w:w w:val="100"/>
        </w:rPr>
        <w:t>款</w:t>
      </w:r>
      <w:r>
        <w:rPr>
          <w:w w:val="100"/>
        </w:rPr>
        <w:t>的差</w:t>
      </w:r>
      <w:r>
        <w:rPr>
          <w:spacing w:val="-3"/>
          <w:w w:val="100"/>
        </w:rPr>
        <w:t>额</w:t>
      </w:r>
      <w:r>
        <w:rPr>
          <w:w w:val="100"/>
        </w:rPr>
        <w:t>，</w:t>
      </w:r>
      <w:r>
        <w:rPr>
          <w:spacing w:val="-3"/>
          <w:w w:val="100"/>
        </w:rPr>
        <w:t>应</w:t>
      </w:r>
      <w:r>
        <w:rPr>
          <w:w w:val="100"/>
        </w:rPr>
        <w:t>当</w:t>
      </w:r>
      <w:r>
        <w:rPr>
          <w:spacing w:val="-3"/>
          <w:w w:val="100"/>
        </w:rPr>
        <w:t>计</w:t>
      </w:r>
      <w:r>
        <w:rPr>
          <w:w w:val="100"/>
        </w:rPr>
        <w:t>入</w:t>
      </w:r>
      <w:r>
        <w:rPr>
          <w:spacing w:val="-3"/>
          <w:w w:val="100"/>
        </w:rPr>
        <w:t>当</w:t>
      </w:r>
      <w:r>
        <w:rPr>
          <w:w w:val="100"/>
        </w:rPr>
        <w:t>期</w:t>
      </w:r>
      <w:r>
        <w:rPr>
          <w:spacing w:val="-3"/>
          <w:w w:val="100"/>
        </w:rPr>
        <w:t>损</w:t>
      </w:r>
      <w:r>
        <w:rPr>
          <w:w w:val="100"/>
        </w:rPr>
        <w:t>益。</w:t>
      </w:r>
      <w:r>
        <w:rPr>
          <w:rFonts w:ascii="宋体" w:hAnsi="宋体" w:cs="宋体" w:eastAsia="宋体" w:hint="default"/>
          <w:w w:val="50"/>
        </w:rPr>
        <w:t>’</w:t>
      </w:r>
      <w:r>
        <w:rPr>
          <w:rFonts w:ascii="宋体" w:hAnsi="宋体" w:cs="宋体" w:eastAsia="宋体" w:hint="default"/>
        </w:rPr>
      </w:r>
    </w:p>
    <w:p>
      <w:pPr>
        <w:spacing w:line="570" w:lineRule="atLeast" w:before="175"/>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共同控制，是指按照合同约定对某项经济活动所共有的控制，仅在与该项经济活动相关的重要财务和</w:t>
      </w:r>
    </w:p>
    <w:p>
      <w:pPr>
        <w:pStyle w:val="BodyText"/>
        <w:spacing w:line="357" w:lineRule="auto" w:before="133"/>
        <w:ind w:left="573" w:right="1123" w:hanging="421"/>
        <w:jc w:val="left"/>
      </w:pPr>
      <w:r>
        <w:rPr/>
        <w:t>经营决策需要分享控制权的投资方一致同意时存在。</w:t>
      </w:r>
      <w:r>
        <w:rPr>
          <w:w w:val="100"/>
        </w:rPr>
        <w:t> </w:t>
      </w:r>
      <w:r>
        <w:rPr>
          <w:spacing w:val="-2"/>
        </w:rPr>
        <w:t>重大影响，是指对一个企业的财务和经营政策有参与决策的权力，但并不能够控制或者与其他方一起</w:t>
      </w:r>
    </w:p>
    <w:p>
      <w:pPr>
        <w:pStyle w:val="BodyText"/>
        <w:spacing w:line="240" w:lineRule="auto"/>
        <w:ind w:right="1123"/>
        <w:jc w:val="left"/>
      </w:pPr>
      <w:r>
        <w:rPr/>
        <w:t>共同控制这些政策的制定。</w:t>
      </w:r>
    </w:p>
    <w:p>
      <w:pPr>
        <w:spacing w:line="570" w:lineRule="atLeast" w:before="175"/>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资产负债表日对长期股权投资逐项进行检查，判断长期股权投资是否存在可能发生减值的迹象。如果</w:t>
      </w:r>
    </w:p>
    <w:p>
      <w:pPr>
        <w:pStyle w:val="BodyText"/>
        <w:spacing w:line="357" w:lineRule="auto" w:before="133"/>
        <w:ind w:right="1126"/>
        <w:jc w:val="both"/>
      </w:pPr>
      <w:r>
        <w:rPr>
          <w:spacing w:val="-2"/>
        </w:rPr>
        <w:t>存在被投资单位经营状况恶化等减值迹象的，则估计其可收回金额。可收回金额的计量结果表明，长期股</w:t>
      </w:r>
      <w:r>
        <w:rPr>
          <w:spacing w:val="-44"/>
        </w:rPr>
        <w:t> </w:t>
      </w:r>
      <w:r>
        <w:rPr>
          <w:spacing w:val="-44"/>
        </w:rPr>
      </w:r>
      <w:r>
        <w:rPr>
          <w:spacing w:val="-2"/>
        </w:rPr>
        <w:t>权投资的可收回金额低于其账面价值的，将长期股权投资的账面价值减记至可收回金额，减记的金额确认</w:t>
      </w:r>
      <w:r>
        <w:rPr>
          <w:spacing w:val="-43"/>
        </w:rPr>
        <w:t> </w:t>
      </w:r>
      <w:r>
        <w:rPr>
          <w:spacing w:val="-43"/>
        </w:rPr>
      </w:r>
      <w:r>
        <w:rPr>
          <w:spacing w:val="-2"/>
        </w:rPr>
        <w:t>为资产减值损失，计入当期损益，同时计提相应的长期投资减值准备。长期投资减值损失一经确认，在以</w:t>
      </w:r>
      <w:r>
        <w:rPr>
          <w:spacing w:val="-50"/>
        </w:rPr>
        <w:t> </w:t>
      </w:r>
      <w:r>
        <w:rPr>
          <w:spacing w:val="-50"/>
        </w:rPr>
      </w:r>
      <w:r>
        <w:rPr/>
        <w:t>后会计期间不再转回。</w:t>
      </w:r>
    </w:p>
    <w:p>
      <w:pPr>
        <w:spacing w:line="570" w:lineRule="atLeast" w:before="73"/>
        <w:ind w:left="573" w:right="267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投资性房地产，是指为赚取租金或资本增值，或两者兼有而持有的房地产。</w:t>
      </w:r>
    </w:p>
    <w:p>
      <w:pPr>
        <w:pStyle w:val="BodyText"/>
        <w:spacing w:line="355" w:lineRule="auto" w:before="133"/>
        <w:ind w:left="573" w:right="1123"/>
        <w:jc w:val="left"/>
      </w:pPr>
      <w:r>
        <w:rPr/>
        <w:t>（</w:t>
      </w:r>
      <w:r>
        <w:rPr>
          <w:rFonts w:ascii="宋体" w:hAnsi="宋体" w:cs="宋体" w:eastAsia="宋体" w:hint="default"/>
        </w:rPr>
        <w:t>1</w:t>
      </w:r>
      <w:r>
        <w:rPr/>
        <w:t>）投资性房地产按照成本进行初始计量：</w:t>
      </w:r>
      <w:r>
        <w:rPr>
          <w:w w:val="100"/>
        </w:rPr>
        <w:t> </w:t>
      </w:r>
      <w:r>
        <w:rPr>
          <w:rFonts w:ascii="宋体" w:hAnsi="宋体" w:cs="宋体" w:eastAsia="宋体" w:hint="default"/>
        </w:rPr>
        <w:t>a</w:t>
      </w:r>
      <w:r>
        <w:rPr/>
        <w:t>、外购投资性房地产的成本，包括购买价款、相关税费和可直接归属于该资产的其他支出。</w:t>
      </w:r>
      <w:r>
        <w:rPr>
          <w:w w:val="100"/>
        </w:rPr>
        <w:t> </w:t>
      </w:r>
      <w:r>
        <w:rPr>
          <w:rFonts w:ascii="宋体" w:hAnsi="宋体" w:cs="宋体" w:eastAsia="宋体" w:hint="default"/>
          <w:spacing w:val="-2"/>
        </w:rPr>
        <w:t>b</w:t>
      </w:r>
      <w:r>
        <w:rPr>
          <w:spacing w:val="-2"/>
        </w:rPr>
        <w:t>、自行建造投资性房地产的成本，由建造该项资产达到预定可使用状态前所发生的必要支出构成。</w:t>
      </w:r>
      <w:r>
        <w:rPr>
          <w:spacing w:val="-25"/>
        </w:rPr>
        <w:t> </w:t>
      </w:r>
      <w:r>
        <w:rPr>
          <w:spacing w:val="-25"/>
        </w:rPr>
      </w:r>
      <w:r>
        <w:rPr>
          <w:rFonts w:ascii="宋体" w:hAnsi="宋体" w:cs="宋体" w:eastAsia="宋体" w:hint="default"/>
        </w:rPr>
        <w:t>c</w:t>
      </w:r>
      <w:r>
        <w:rPr/>
        <w:t>、以其他方式取得的投资性房地产的成本，按照相关会计准则的规定确定。</w:t>
      </w:r>
    </w:p>
    <w:p>
      <w:pPr>
        <w:pStyle w:val="BodyText"/>
        <w:spacing w:line="357" w:lineRule="auto" w:before="34"/>
        <w:ind w:left="573" w:right="1123"/>
        <w:jc w:val="left"/>
      </w:pPr>
      <w:r>
        <w:rPr/>
        <w:t>（</w:t>
      </w:r>
      <w:r>
        <w:rPr>
          <w:rFonts w:ascii="宋体" w:hAnsi="宋体" w:cs="宋体" w:eastAsia="宋体" w:hint="default"/>
        </w:rPr>
        <w:t>2</w:t>
      </w:r>
      <w:r>
        <w:rPr/>
        <w:t>）后续计量</w:t>
      </w:r>
      <w:r>
        <w:rPr>
          <w:w w:val="100"/>
        </w:rPr>
        <w:t> </w:t>
      </w:r>
      <w:r>
        <w:rPr>
          <w:spacing w:val="-2"/>
        </w:rPr>
        <w:t>与投资性房地产有关的后续支出，如与该投资性房地产有关的经济利益很可能流入企业且该投资性房</w:t>
      </w:r>
    </w:p>
    <w:p>
      <w:pPr>
        <w:pStyle w:val="BodyText"/>
        <w:spacing w:line="355" w:lineRule="auto"/>
        <w:ind w:left="573" w:right="1123" w:hanging="421"/>
        <w:jc w:val="left"/>
      </w:pPr>
      <w:r>
        <w:rPr/>
        <w:t>地产的成本能够可靠地计量，则计入投资性房地产成本；否则在发生时计入当期损益。</w:t>
      </w:r>
      <w:r>
        <w:rPr>
          <w:w w:val="100"/>
        </w:rPr>
        <w:t> </w:t>
      </w:r>
      <w:r>
        <w:rPr>
          <w:spacing w:val="-2"/>
        </w:rPr>
        <w:t>公司在资产负债表日采用成本模式对投资性房地产进行后续计量，投资性房地产的折旧方法采用平均</w:t>
      </w:r>
    </w:p>
    <w:p>
      <w:pPr>
        <w:pStyle w:val="BodyText"/>
        <w:spacing w:line="240" w:lineRule="auto" w:before="34"/>
        <w:ind w:right="1123"/>
        <w:jc w:val="left"/>
      </w:pPr>
      <w:r>
        <w:rPr/>
        <w:t>年限法。</w:t>
      </w:r>
    </w:p>
    <w:p>
      <w:pPr>
        <w:pStyle w:val="BodyText"/>
        <w:spacing w:line="355" w:lineRule="auto" w:before="133"/>
        <w:ind w:left="573" w:right="1123"/>
        <w:jc w:val="left"/>
      </w:pPr>
      <w:r>
        <w:rPr/>
        <w:t>（</w:t>
      </w:r>
      <w:r>
        <w:rPr>
          <w:rFonts w:ascii="宋体" w:hAnsi="宋体" w:cs="宋体" w:eastAsia="宋体" w:hint="default"/>
        </w:rPr>
        <w:t>3</w:t>
      </w:r>
      <w:r>
        <w:rPr/>
        <w:t>）投资性房地产减值准备的确认标准及计提方法</w:t>
      </w:r>
      <w:r>
        <w:rPr>
          <w:w w:val="100"/>
        </w:rPr>
        <w:t> </w:t>
      </w:r>
      <w:r>
        <w:rPr>
          <w:spacing w:val="-2"/>
        </w:rPr>
        <w:t>资产负债表日，投资性房地产由于市价持续下跌等原因导致其可收回金额低于账面价值的，按资产的</w:t>
      </w:r>
    </w:p>
    <w:p>
      <w:pPr>
        <w:pStyle w:val="BodyText"/>
        <w:spacing w:line="240" w:lineRule="auto" w:before="32"/>
        <w:ind w:right="1123"/>
        <w:jc w:val="left"/>
      </w:pPr>
      <w:r>
        <w:rPr/>
        <w:t>实际价值低于账面价值的差额计提减值准备。资产减值准备一经计提，在以后会计期间不再转回。</w:t>
      </w:r>
    </w:p>
    <w:p>
      <w:pPr>
        <w:spacing w:after="0" w:line="240" w:lineRule="auto"/>
        <w:jc w:val="left"/>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2"/>
        <w:rPr>
          <w:rFonts w:ascii="宋体" w:hAnsi="宋体" w:cs="宋体" w:eastAsia="宋体" w:hint="default"/>
          <w:b/>
          <w:bCs/>
          <w:sz w:val="26"/>
          <w:szCs w:val="26"/>
        </w:rPr>
      </w:pPr>
    </w:p>
    <w:p>
      <w:pPr>
        <w:spacing w:before="0"/>
        <w:ind w:left="515" w:right="1123" w:firstLine="0"/>
        <w:jc w:val="left"/>
        <w:rPr>
          <w:rFonts w:ascii="宋体" w:hAnsi="宋体" w:cs="宋体" w:eastAsia="宋体" w:hint="default"/>
          <w:sz w:val="18"/>
          <w:szCs w:val="18"/>
        </w:rPr>
      </w:pPr>
      <w:r>
        <w:rPr>
          <w:rFonts w:ascii="宋体" w:hAnsi="宋体" w:cs="宋体" w:eastAsia="宋体" w:hint="default"/>
          <w:sz w:val="18"/>
          <w:szCs w:val="18"/>
        </w:rPr>
        <w:t>为生产商品、提供劳务、出租或经营管理而持有的、使用寿命超过一个会计年度的有形资产。</w:t>
      </w:r>
    </w:p>
    <w:p>
      <w:pPr>
        <w:spacing w:line="570" w:lineRule="atLeast" w:before="76"/>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）融资租入固定资产的认定依据、计价方法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如果与某项租入固定资产有关的全部风险和报酬实质上已经转移，本公司认定为融资租赁。融资租入</w:t>
      </w:r>
    </w:p>
    <w:p>
      <w:pPr>
        <w:pStyle w:val="BodyText"/>
        <w:spacing w:line="357" w:lineRule="auto" w:before="133"/>
        <w:ind w:right="1126"/>
        <w:jc w:val="both"/>
      </w:pPr>
      <w:r>
        <w:rPr>
          <w:spacing w:val="-2"/>
        </w:rPr>
        <w:t>固定资产需按租赁开始日租赁资产的公允价值与最低租赁付款额现值两者中的较低者，加上可直接归属于</w:t>
      </w:r>
      <w:r>
        <w:rPr>
          <w:spacing w:val="-43"/>
        </w:rPr>
        <w:t> </w:t>
      </w:r>
      <w:r>
        <w:rPr>
          <w:spacing w:val="-43"/>
        </w:rPr>
      </w:r>
      <w:r>
        <w:rPr>
          <w:spacing w:val="-2"/>
        </w:rPr>
        <w:t>租赁项目的初始直接费用，作为租入资产的入账价值，将最低租赁付款额作为长期应付款的入账价值，其</w:t>
      </w:r>
      <w:r>
        <w:rPr>
          <w:spacing w:val="-43"/>
        </w:rPr>
        <w:t> </w:t>
      </w:r>
      <w:r>
        <w:rPr>
          <w:spacing w:val="-43"/>
        </w:rPr>
      </w:r>
      <w:r>
        <w:rPr>
          <w:spacing w:val="-2"/>
        </w:rPr>
        <w:t>差额作为未确认融资费用。未确认融资费用采用实际利率法在租赁期内分摊。租入固定资产按租赁期和估</w:t>
      </w:r>
      <w:r>
        <w:rPr>
          <w:spacing w:val="-44"/>
        </w:rPr>
        <w:t> </w:t>
      </w:r>
      <w:r>
        <w:rPr>
          <w:spacing w:val="-44"/>
        </w:rPr>
      </w:r>
      <w:r>
        <w:rPr/>
        <w:t>计净残值确定折旧率，计提折旧。</w:t>
      </w:r>
    </w:p>
    <w:p>
      <w:pPr>
        <w:spacing w:line="570" w:lineRule="atLeast" w:before="75"/>
        <w:ind w:left="729" w:right="1123" w:hanging="577"/>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固定资产折旧采用年限平均法分类计提，根据固定资产类别、预计使用寿命和预计净残值率确定折</w:t>
      </w:r>
    </w:p>
    <w:p>
      <w:pPr>
        <w:pStyle w:val="BodyText"/>
        <w:spacing w:line="240" w:lineRule="auto" w:before="133"/>
        <w:ind w:right="1123"/>
        <w:jc w:val="left"/>
      </w:pPr>
      <w:r>
        <w:rPr/>
        <w:t>旧率。</w:t>
      </w:r>
    </w:p>
    <w:p>
      <w:pPr>
        <w:pStyle w:val="BodyText"/>
        <w:spacing w:line="355" w:lineRule="auto" w:before="135"/>
        <w:ind w:right="1126" w:firstLine="420"/>
        <w:jc w:val="both"/>
      </w:pPr>
      <w:r>
        <w:rPr>
          <w:spacing w:val="-2"/>
        </w:rPr>
        <w:t>融资租赁方式租入的固定资产，能合理确定租赁期届满时将会取得租赁资产所有权的，在租赁资产尚</w:t>
      </w:r>
      <w:r>
        <w:rPr>
          <w:w w:val="100"/>
        </w:rPr>
        <w:t> </w:t>
      </w:r>
      <w:r>
        <w:rPr>
          <w:spacing w:val="-2"/>
        </w:rPr>
        <w:t>可使用年限内计提折旧；无法合理确定租赁期届满时能够取得租赁资产所有权的，在租赁期与租赁资产尚</w:t>
      </w:r>
      <w:r>
        <w:rPr>
          <w:spacing w:val="-42"/>
        </w:rPr>
        <w:t> </w:t>
      </w:r>
      <w:r>
        <w:rPr>
          <w:spacing w:val="-42"/>
        </w:rPr>
      </w:r>
      <w:r>
        <w:rPr/>
        <w:t>可使用年限两者中较短的期间内计提折旧。</w:t>
      </w:r>
    </w:p>
    <w:p>
      <w:pPr>
        <w:spacing w:line="240" w:lineRule="auto" w:before="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507"/>
        <w:gridCol w:w="2093"/>
        <w:gridCol w:w="2231"/>
        <w:gridCol w:w="2727"/>
      </w:tblGrid>
      <w:tr>
        <w:trPr>
          <w:trHeight w:val="404"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宋体" w:hAnsi="宋体" w:cs="宋体" w:eastAsia="宋体"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401" w:hRule="exact"/>
        </w:trPr>
        <w:tc>
          <w:tcPr>
            <w:tcW w:w="2507"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93"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sz w:val="18"/>
              </w:rPr>
              <w:t>20</w:t>
            </w:r>
          </w:p>
        </w:tc>
        <w:tc>
          <w:tcPr>
            <w:tcW w:w="223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4.75</w:t>
            </w:r>
          </w:p>
        </w:tc>
      </w:tr>
      <w:tr>
        <w:trPr>
          <w:trHeight w:val="403" w:hRule="exact"/>
        </w:trPr>
        <w:tc>
          <w:tcPr>
            <w:tcW w:w="2507"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093"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sz w:val="18"/>
              </w:rPr>
              <w:t>5</w:t>
            </w:r>
          </w:p>
        </w:tc>
        <w:tc>
          <w:tcPr>
            <w:tcW w:w="223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sz w:val="18"/>
              </w:rPr>
              <w:t>19</w:t>
            </w:r>
          </w:p>
        </w:tc>
      </w:tr>
      <w:tr>
        <w:trPr>
          <w:trHeight w:val="401" w:hRule="exact"/>
        </w:trPr>
        <w:tc>
          <w:tcPr>
            <w:tcW w:w="2507"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093"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sz w:val="18"/>
              </w:rPr>
              <w:t>5</w:t>
            </w:r>
          </w:p>
        </w:tc>
        <w:tc>
          <w:tcPr>
            <w:tcW w:w="223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sz w:val="18"/>
              </w:rPr>
              <w:t>19</w:t>
            </w:r>
          </w:p>
        </w:tc>
      </w:tr>
      <w:tr>
        <w:trPr>
          <w:trHeight w:val="403" w:hRule="exact"/>
        </w:trPr>
        <w:tc>
          <w:tcPr>
            <w:tcW w:w="2507"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093"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sz w:val="18"/>
              </w:rPr>
              <w:t>5</w:t>
            </w:r>
          </w:p>
        </w:tc>
        <w:tc>
          <w:tcPr>
            <w:tcW w:w="223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sz w:val="18"/>
              </w:rPr>
              <w:t>19</w:t>
            </w:r>
          </w:p>
        </w:tc>
      </w:tr>
      <w:tr>
        <w:trPr>
          <w:trHeight w:val="401" w:hRule="exact"/>
        </w:trPr>
        <w:tc>
          <w:tcPr>
            <w:tcW w:w="25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节能专用设备</w:t>
            </w:r>
          </w:p>
        </w:tc>
        <w:tc>
          <w:tcPr>
            <w:tcW w:w="20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主要受益期</w:t>
            </w:r>
          </w:p>
        </w:tc>
        <w:tc>
          <w:tcPr>
            <w:tcW w:w="2231" w:type="dxa"/>
            <w:tcBorders>
              <w:top w:val="single" w:sz="4" w:space="0" w:color="000000"/>
              <w:left w:val="single" w:sz="12" w:space="0" w:color="C6ECCC"/>
              <w:bottom w:val="single" w:sz="4" w:space="0" w:color="000000"/>
              <w:right w:val="single" w:sz="4" w:space="0" w:color="000000"/>
            </w:tcBorders>
          </w:tcPr>
          <w:p>
            <w:pPr/>
          </w:p>
        </w:tc>
        <w:tc>
          <w:tcPr>
            <w:tcW w:w="27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right="0" w:firstLine="420"/>
        <w:jc w:val="left"/>
      </w:pPr>
      <w:r>
        <w:rPr>
          <w:spacing w:val="-5"/>
        </w:rPr>
        <w:t>资产负债表日判断固定资产是否存在可能发生减值的迹象。如果存在资产市价持续下跌，或技术陈旧、</w:t>
      </w:r>
      <w:r>
        <w:rPr>
          <w:w w:val="100"/>
        </w:rPr>
        <w:t> </w:t>
      </w:r>
      <w:r>
        <w:rPr>
          <w:spacing w:val="-2"/>
        </w:rPr>
        <w:t>损坏、长期闲置等减值迹象的，则估计其可收回金额。可收回金额的计量结果表明，固定资产的可收回金</w:t>
      </w:r>
      <w:r>
        <w:rPr>
          <w:spacing w:val="-50"/>
        </w:rPr>
        <w:t> </w:t>
      </w:r>
      <w:r>
        <w:rPr>
          <w:spacing w:val="-50"/>
        </w:rPr>
      </w:r>
      <w:r>
        <w:rPr>
          <w:spacing w:val="-2"/>
        </w:rPr>
        <w:t>额低于其账面价值的，将固定资产的账面价值减记至可收回金额，减记的金额确认为资产减值损失，计入</w:t>
      </w:r>
      <w:r>
        <w:rPr>
          <w:spacing w:val="-44"/>
        </w:rPr>
        <w:t> </w:t>
      </w:r>
      <w:r>
        <w:rPr>
          <w:spacing w:val="-44"/>
        </w:rPr>
      </w:r>
      <w:r>
        <w:rPr/>
        <w:t>当期损益，同时计提相应的固定资产减值准备。固定资产减值损失一经确认，在以后会计期间不再转回。</w:t>
      </w:r>
    </w:p>
    <w:p>
      <w:pPr>
        <w:spacing w:after="0" w:line="357" w:lineRule="auto"/>
        <w:jc w:val="left"/>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spacing w:line="487" w:lineRule="auto" w:before="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在建工程包括施工前期准备、正在施工中的建筑工程、安装工程、技术改造工程和大修理工程等。</w:t>
      </w:r>
    </w:p>
    <w:p>
      <w:pPr>
        <w:spacing w:line="592" w:lineRule="exact" w:before="10"/>
        <w:ind w:left="604" w:right="1123" w:hanging="45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3"/>
          <w:sz w:val="21"/>
          <w:szCs w:val="21"/>
        </w:rPr>
        <w:t>在建工程按照实际发生的支出分项目核算，并在工程达到预定可使用状态时结转为固定资产。与在建</w:t>
      </w:r>
    </w:p>
    <w:p>
      <w:pPr>
        <w:pStyle w:val="BodyText"/>
        <w:spacing w:line="355" w:lineRule="auto" w:before="44"/>
        <w:ind w:right="1123"/>
        <w:jc w:val="left"/>
      </w:pPr>
      <w:r>
        <w:rPr>
          <w:spacing w:val="-2"/>
        </w:rPr>
        <w:t>工程有关的借款费用（包括借款利息、溢折价摊销、汇兑损益等），在相关工程达到预定可使用状态前的</w:t>
      </w:r>
      <w:r>
        <w:rPr>
          <w:spacing w:val="-43"/>
        </w:rPr>
        <w:t> </w:t>
      </w:r>
      <w:r>
        <w:rPr>
          <w:spacing w:val="-43"/>
        </w:rPr>
      </w:r>
      <w:r>
        <w:rPr/>
        <w:t>计入工程成本，在相关工程达到预定可使用状态后的计入当期财务费用。</w:t>
      </w:r>
    </w:p>
    <w:p>
      <w:pPr>
        <w:spacing w:line="570" w:lineRule="atLeast" w:before="75"/>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资产负债表日对在建工程进行全面检查，判断在建工程是否存在可能发生减值的迹象。如果存在：</w:t>
      </w:r>
      <w:r>
        <w:rPr>
          <w:rFonts w:ascii="宋体" w:hAnsi="宋体" w:cs="宋体" w:eastAsia="宋体" w:hint="default"/>
          <w:spacing w:val="-2"/>
          <w:sz w:val="21"/>
          <w:szCs w:val="21"/>
        </w:rPr>
        <w:t>a</w:t>
      </w:r>
      <w:r>
        <w:rPr>
          <w:rFonts w:ascii="宋体" w:hAnsi="宋体" w:cs="宋体" w:eastAsia="宋体" w:hint="default"/>
          <w:spacing w:val="-2"/>
          <w:sz w:val="21"/>
          <w:szCs w:val="21"/>
        </w:rPr>
        <w:t>、</w:t>
      </w:r>
    </w:p>
    <w:p>
      <w:pPr>
        <w:pStyle w:val="BodyText"/>
        <w:spacing w:line="357" w:lineRule="auto" w:before="133"/>
        <w:ind w:right="1123"/>
        <w:jc w:val="left"/>
      </w:pPr>
      <w:r>
        <w:rPr/>
        <w:t>在建工程长期停建并且预计在未来</w:t>
      </w:r>
      <w:r>
        <w:rPr>
          <w:spacing w:val="-54"/>
        </w:rPr>
        <w:t> </w:t>
      </w:r>
      <w:r>
        <w:rPr>
          <w:rFonts w:ascii="宋体" w:hAnsi="宋体" w:cs="宋体" w:eastAsia="宋体" w:hint="default"/>
        </w:rPr>
        <w:t>3</w:t>
      </w:r>
      <w:r>
        <w:rPr>
          <w:rFonts w:ascii="宋体" w:hAnsi="宋体" w:cs="宋体" w:eastAsia="宋体" w:hint="default"/>
          <w:spacing w:val="-57"/>
        </w:rPr>
        <w:t> </w:t>
      </w:r>
      <w:r>
        <w:rPr/>
        <w:t>年内不会重新开工，</w:t>
      </w:r>
      <w:r>
        <w:rPr>
          <w:rFonts w:ascii="宋体" w:hAnsi="宋体" w:cs="宋体" w:eastAsia="宋体" w:hint="default"/>
        </w:rPr>
        <w:t>b</w:t>
      </w:r>
      <w:r>
        <w:rPr/>
        <w:t>、所建项目在性能上、技术上已经落后并且所</w:t>
      </w:r>
      <w:r>
        <w:rPr>
          <w:w w:val="100"/>
        </w:rPr>
        <w:t> </w:t>
      </w:r>
      <w:r>
        <w:rPr>
          <w:spacing w:val="-2"/>
        </w:rPr>
        <w:t>带来的经济效益具有很大的不确定性等减值迹象的，则估计其可收回金额。可收回金额的计量结果表明，</w:t>
      </w:r>
      <w:r>
        <w:rPr>
          <w:spacing w:val="-21"/>
        </w:rPr>
        <w:t> </w:t>
      </w:r>
      <w:r>
        <w:rPr>
          <w:spacing w:val="-21"/>
        </w:rPr>
      </w:r>
      <w:r>
        <w:rPr>
          <w:spacing w:val="-2"/>
        </w:rPr>
        <w:t>在建工程的可收回金额低于其账面价值的，将在建工程的账面价值减记至可收回金额，减记的金额确认为</w:t>
      </w:r>
      <w:r>
        <w:rPr>
          <w:spacing w:val="-43"/>
        </w:rPr>
        <w:t> </w:t>
      </w:r>
      <w:r>
        <w:rPr>
          <w:spacing w:val="-43"/>
        </w:rPr>
      </w:r>
      <w:r>
        <w:rPr>
          <w:spacing w:val="-2"/>
        </w:rPr>
        <w:t>资产减值损失，计入当期损益，同时计提相应的在建工程减值准备。在建工程减值损失一经确认，在以后</w:t>
      </w:r>
      <w:r>
        <w:rPr>
          <w:spacing w:val="-50"/>
        </w:rPr>
        <w:t> </w:t>
      </w:r>
      <w:r>
        <w:rPr>
          <w:spacing w:val="-50"/>
        </w:rPr>
      </w:r>
      <w:r>
        <w:rPr/>
        <w:t>会计期间不再转回。</w:t>
      </w:r>
    </w:p>
    <w:p>
      <w:pPr>
        <w:spacing w:line="240" w:lineRule="auto" w:before="1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16</w:t>
      </w:r>
      <w:r>
        <w:rPr/>
        <w:t>、借款费用</w:t>
      </w:r>
      <w:r>
        <w:rPr>
          <w:b w:val="0"/>
          <w:bCs w:val="0"/>
        </w:rPr>
      </w:r>
    </w:p>
    <w:p>
      <w:pPr>
        <w:spacing w:line="570" w:lineRule="atLeast" w:before="44"/>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企业发生的借款费用，可直接归属于符合资本化条件的资产的购建或者生产的，予以资本化，计入相</w:t>
      </w:r>
    </w:p>
    <w:p>
      <w:pPr>
        <w:pStyle w:val="BodyText"/>
        <w:spacing w:line="355" w:lineRule="auto" w:before="135"/>
        <w:ind w:right="1123"/>
        <w:jc w:val="left"/>
      </w:pPr>
      <w:r>
        <w:rPr>
          <w:spacing w:val="-2"/>
        </w:rPr>
        <w:t>关资产成本；其他借款费用，在发生时根据其发生额确认为费用，计入当期损益。借款费用同时满足下列</w:t>
      </w:r>
      <w:r>
        <w:rPr>
          <w:spacing w:val="-50"/>
        </w:rPr>
        <w:t> </w:t>
      </w:r>
      <w:r>
        <w:rPr>
          <w:spacing w:val="-50"/>
        </w:rPr>
      </w:r>
      <w:r>
        <w:rPr/>
        <w:t>条件的，开始资本化：</w:t>
      </w:r>
    </w:p>
    <w:p>
      <w:pPr>
        <w:pStyle w:val="BodyText"/>
        <w:spacing w:line="355" w:lineRule="auto" w:before="32"/>
        <w:ind w:right="1123" w:firstLine="420"/>
        <w:jc w:val="left"/>
      </w:pPr>
      <w:r>
        <w:rPr>
          <w:rFonts w:ascii="宋体" w:hAnsi="宋体" w:cs="宋体" w:eastAsia="宋体" w:hint="default"/>
          <w:spacing w:val="-2"/>
        </w:rPr>
        <w:t>a</w:t>
      </w:r>
      <w:r>
        <w:rPr>
          <w:spacing w:val="-2"/>
        </w:rPr>
        <w:t>、资产支出已经发生，资产支出包括为购建或者生产符合资本化条件的资产而以支付现金、转移非</w:t>
      </w:r>
      <w:r>
        <w:rPr>
          <w:w w:val="100"/>
        </w:rPr>
        <w:t> </w:t>
      </w:r>
      <w:r>
        <w:rPr/>
        <w:t>现金资产或者承担带息债务形式发生的支出；</w:t>
      </w:r>
    </w:p>
    <w:p>
      <w:pPr>
        <w:pStyle w:val="BodyText"/>
        <w:spacing w:line="360" w:lineRule="auto" w:before="32"/>
        <w:ind w:left="573" w:right="1123"/>
        <w:jc w:val="left"/>
      </w:pPr>
      <w:r>
        <w:rPr>
          <w:rFonts w:ascii="宋体" w:hAnsi="宋体" w:cs="宋体" w:eastAsia="宋体" w:hint="default"/>
        </w:rPr>
        <w:t>b</w:t>
      </w:r>
      <w:r>
        <w:rPr/>
        <w:t>、借款费用已经发生；</w:t>
      </w:r>
      <w:r>
        <w:rPr>
          <w:w w:val="100"/>
        </w:rPr>
        <w:t> </w:t>
      </w:r>
      <w:r>
        <w:rPr>
          <w:rFonts w:ascii="宋体" w:hAnsi="宋体" w:cs="宋体" w:eastAsia="宋体" w:hint="default"/>
          <w:spacing w:val="-2"/>
        </w:rPr>
        <w:t>c</w:t>
      </w:r>
      <w:r>
        <w:rPr>
          <w:spacing w:val="-2"/>
        </w:rPr>
        <w:t>、为使资产达到预定可使用或者可销售状态所必要的购建或者生产活动已经开始。</w:t>
      </w:r>
    </w:p>
    <w:p>
      <w:pPr>
        <w:spacing w:line="570" w:lineRule="atLeast" w:before="7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资本化期间，指从借款费用开始资本化时点到停止资本化时点的期间，借款费用暂停资本化的期间不</w:t>
      </w:r>
    </w:p>
    <w:p>
      <w:pPr>
        <w:pStyle w:val="BodyText"/>
        <w:spacing w:line="355" w:lineRule="auto" w:before="135"/>
        <w:ind w:right="1123"/>
        <w:jc w:val="left"/>
      </w:pPr>
      <w:r>
        <w:rPr>
          <w:spacing w:val="-2"/>
        </w:rPr>
        <w:t>包括在内。当购建或者生产符合资本化条件的资产达到预定可使用或者可销售状态时，借款费用停止资本</w:t>
      </w:r>
      <w:r>
        <w:rPr>
          <w:spacing w:val="-41"/>
        </w:rPr>
        <w:t> </w:t>
      </w:r>
      <w:r>
        <w:rPr>
          <w:spacing w:val="-41"/>
        </w:rPr>
      </w:r>
      <w:r>
        <w:rPr>
          <w:spacing w:val="-2"/>
        </w:rPr>
        <w:t>化。当购建或者生产符合资本化条件的资产中部分项目分别完工且可单独使用时，该部分资产借款费用停</w:t>
      </w:r>
    </w:p>
    <w:p>
      <w:pPr>
        <w:spacing w:after="0" w:line="355" w:lineRule="auto"/>
        <w:jc w:val="left"/>
        <w:sectPr>
          <w:pgSz w:w="11910" w:h="16840"/>
          <w:pgMar w:header="877" w:footer="1340" w:top="1100" w:bottom="1540" w:left="980" w:right="0"/>
        </w:sectPr>
      </w:pPr>
    </w:p>
    <w:p>
      <w:pPr>
        <w:spacing w:line="240" w:lineRule="auto" w:before="3"/>
        <w:rPr>
          <w:rFonts w:ascii="宋体" w:hAnsi="宋体" w:cs="宋体" w:eastAsia="宋体" w:hint="default"/>
          <w:sz w:val="19"/>
          <w:szCs w:val="19"/>
        </w:rPr>
      </w:pPr>
    </w:p>
    <w:p>
      <w:pPr>
        <w:pStyle w:val="BodyText"/>
        <w:spacing w:line="357" w:lineRule="auto" w:before="36"/>
        <w:ind w:right="1123"/>
        <w:jc w:val="left"/>
      </w:pPr>
      <w:r>
        <w:rPr>
          <w:spacing w:val="-2"/>
        </w:rPr>
        <w:t>止资本化</w:t>
      </w:r>
      <w:r>
        <w:rPr>
          <w:rFonts w:ascii="宋体" w:hAnsi="宋体" w:cs="宋体" w:eastAsia="宋体" w:hint="default"/>
          <w:spacing w:val="-2"/>
        </w:rPr>
        <w:t>.</w:t>
      </w:r>
      <w:r>
        <w:rPr>
          <w:spacing w:val="-2"/>
        </w:rPr>
        <w:t>购建或者生产的资产的各部分分别完工，但必须等到整体完工后才可使用或可对外销售的，在</w:t>
      </w:r>
      <w:r>
        <w:rPr>
          <w:spacing w:val="-22"/>
        </w:rPr>
        <w:t> </w:t>
      </w:r>
      <w:r>
        <w:rPr>
          <w:spacing w:val="-22"/>
        </w:rPr>
      </w:r>
      <w:r>
        <w:rPr/>
        <w:t>该资产整体完工时停止借款费用资本化。</w:t>
      </w:r>
    </w:p>
    <w:p>
      <w:pPr>
        <w:pStyle w:val="BodyText"/>
        <w:spacing w:line="570" w:lineRule="atLeast" w:before="72"/>
        <w:ind w:left="573" w:right="1123" w:hanging="42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100"/>
        </w:rPr>
        <w:t> </w:t>
      </w:r>
      <w:r>
        <w:rPr/>
        <w:t>符合资本化条件的资产在购建或生产过程中发生的非正常中断、且中断时间连续超过</w:t>
      </w:r>
      <w:r>
        <w:rPr>
          <w:spacing w:val="-57"/>
        </w:rPr>
        <w:t> </w:t>
      </w:r>
      <w:r>
        <w:rPr>
          <w:rFonts w:ascii="宋体" w:hAnsi="宋体" w:cs="宋体" w:eastAsia="宋体" w:hint="default"/>
        </w:rPr>
        <w:t>3</w:t>
      </w:r>
      <w:r>
        <w:rPr>
          <w:rFonts w:ascii="宋体" w:hAnsi="宋体" w:cs="宋体" w:eastAsia="宋体" w:hint="default"/>
          <w:spacing w:val="-60"/>
        </w:rPr>
        <w:t> </w:t>
      </w:r>
      <w:r>
        <w:rPr>
          <w:spacing w:val="-3"/>
        </w:rPr>
        <w:t>个月的，则借</w:t>
      </w:r>
    </w:p>
    <w:p>
      <w:pPr>
        <w:pStyle w:val="BodyText"/>
        <w:spacing w:line="357" w:lineRule="auto" w:before="133"/>
        <w:ind w:right="1126"/>
        <w:jc w:val="both"/>
      </w:pP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3"/>
        </w:rPr>
        <w:t> </w:t>
      </w:r>
      <w:r>
        <w:rPr>
          <w:spacing w:val="-43"/>
        </w:rPr>
      </w:r>
      <w:r>
        <w:rPr/>
        <w:t>或者生产活动重新开始后借款费用继续资本化。</w:t>
      </w:r>
    </w:p>
    <w:p>
      <w:pPr>
        <w:spacing w:line="570" w:lineRule="atLeast" w:before="72"/>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专门借款的利息费用（扣除尚未动用的借款资金存入银行取得的利息收入或者进行暂时性投资取得的</w:t>
      </w:r>
    </w:p>
    <w:p>
      <w:pPr>
        <w:pStyle w:val="BodyText"/>
        <w:spacing w:line="355" w:lineRule="auto" w:before="135"/>
        <w:ind w:right="1123"/>
        <w:jc w:val="left"/>
      </w:pPr>
      <w:r>
        <w:rPr>
          <w:spacing w:val="-2"/>
        </w:rPr>
        <w:t>投资收益）及其辅助费用在所购建或者生产的符合资本化条件的资产达到预定可使用或者可销售状态前，</w:t>
      </w:r>
      <w:r>
        <w:rPr>
          <w:spacing w:val="-21"/>
        </w:rPr>
        <w:t> </w:t>
      </w:r>
      <w:r>
        <w:rPr>
          <w:spacing w:val="-21"/>
        </w:rPr>
      </w:r>
      <w:r>
        <w:rPr/>
        <w:t>予以资本化。</w:t>
      </w:r>
    </w:p>
    <w:p>
      <w:pPr>
        <w:pStyle w:val="BodyText"/>
        <w:spacing w:line="355" w:lineRule="auto" w:before="32"/>
        <w:ind w:right="1123" w:firstLine="420"/>
        <w:jc w:val="left"/>
      </w:pPr>
      <w:r>
        <w:rPr>
          <w:spacing w:val="-2"/>
        </w:rPr>
        <w:t>根据累计资产支出超过专门借款部分的资产支出加权平均数乘以所占用一般借款的资本化率，计算确</w:t>
      </w:r>
      <w:r>
        <w:rPr>
          <w:w w:val="100"/>
        </w:rPr>
        <w:t> </w:t>
      </w:r>
      <w:r>
        <w:rPr/>
        <w:t>定一般借款应予资本化的利息金额。资本化率根据一般借款加权平均利率计算确定。</w:t>
      </w:r>
    </w:p>
    <w:p>
      <w:pPr>
        <w:pStyle w:val="BodyText"/>
        <w:spacing w:line="357" w:lineRule="auto" w:before="32"/>
        <w:ind w:right="1123" w:firstLine="420"/>
        <w:jc w:val="left"/>
      </w:pPr>
      <w:r>
        <w:rPr>
          <w:spacing w:val="-2"/>
        </w:rPr>
        <w:t>借款存在折价或者溢价的，按照实际利率法确定每一会计期间应摊销的折价或者溢价金额，调整每期</w:t>
      </w:r>
      <w:r>
        <w:rPr>
          <w:w w:val="100"/>
        </w:rPr>
        <w:t> </w:t>
      </w:r>
      <w:r>
        <w:rPr/>
        <w:t>利息金额。</w:t>
      </w:r>
    </w:p>
    <w:p>
      <w:pPr>
        <w:spacing w:line="240" w:lineRule="auto" w:before="1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17</w:t>
      </w:r>
      <w:r>
        <w:rPr/>
        <w:t>、无形资产</w:t>
      </w:r>
      <w:r>
        <w:rPr>
          <w:b w:val="0"/>
          <w:bCs w:val="0"/>
        </w:rPr>
      </w:r>
    </w:p>
    <w:p>
      <w:pPr>
        <w:spacing w:line="570" w:lineRule="atLeast" w:before="42"/>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无形资产指企业拥有或控制的没有实物形态的可辨认非货币性资产，包括专有技术、土地使用权等。</w:t>
      </w:r>
    </w:p>
    <w:p>
      <w:pPr>
        <w:pStyle w:val="BodyText"/>
        <w:spacing w:line="240" w:lineRule="auto" w:before="133"/>
        <w:ind w:right="1123"/>
        <w:jc w:val="left"/>
      </w:pPr>
      <w:r>
        <w:rPr/>
        <w:t>无形资产在取得时按照实际成本计价。</w:t>
      </w:r>
    </w:p>
    <w:p>
      <w:pPr>
        <w:spacing w:line="600" w:lineRule="atLeast" w:before="145"/>
        <w:ind w:left="489" w:right="1123" w:hanging="337"/>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b/>
          <w:bCs/>
          <w:w w:val="100"/>
          <w:sz w:val="21"/>
          <w:szCs w:val="21"/>
        </w:rPr>
        <w:t> </w:t>
      </w:r>
      <w:r>
        <w:rPr>
          <w:rFonts w:ascii="宋体" w:hAnsi="宋体" w:cs="宋体" w:eastAsia="宋体" w:hint="default"/>
          <w:spacing w:val="-2"/>
          <w:sz w:val="21"/>
          <w:szCs w:val="21"/>
        </w:rPr>
        <w:t>对使用寿命确定的无形资产，自无形资产可供使用时起，在使用寿命内采用直线法摊销，计入当期损</w:t>
      </w:r>
    </w:p>
    <w:p>
      <w:pPr>
        <w:pStyle w:val="BodyText"/>
        <w:spacing w:line="240" w:lineRule="auto" w:before="37"/>
        <w:ind w:right="1123"/>
        <w:jc w:val="left"/>
      </w:pPr>
      <w:r>
        <w:rPr/>
        <w:t>益。</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403"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2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1" w:right="0"/>
              <w:jc w:val="center"/>
              <w:rPr>
                <w:rFonts w:ascii="宋体" w:hAnsi="宋体" w:cs="宋体" w:eastAsia="宋体" w:hint="default"/>
                <w:sz w:val="18"/>
                <w:szCs w:val="18"/>
              </w:rPr>
            </w:pPr>
            <w:r>
              <w:rPr>
                <w:rFonts w:ascii="宋体"/>
                <w:sz w:val="18"/>
              </w:rPr>
              <w:t>5</w:t>
            </w:r>
          </w:p>
        </w:tc>
        <w:tc>
          <w:tcPr>
            <w:tcW w:w="5075"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3"/>
        <w:rPr>
          <w:rFonts w:ascii="宋体" w:hAnsi="宋体" w:cs="宋体" w:eastAsia="宋体" w:hint="default"/>
          <w:sz w:val="19"/>
          <w:szCs w:val="19"/>
        </w:rPr>
      </w:pPr>
    </w:p>
    <w:p>
      <w:pPr>
        <w:pStyle w:val="Heading3"/>
        <w:spacing w:line="506" w:lineRule="auto" w:before="36"/>
        <w:ind w:left="236" w:right="6614" w:hanging="84"/>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）使用寿命不确定的无形资产的判断依据</w:t>
      </w:r>
      <w:r>
        <w:rPr>
          <w:spacing w:val="-85"/>
        </w:rPr>
        <w:t> </w:t>
      </w:r>
      <w:r>
        <w:rPr>
          <w:spacing w:val="-85"/>
        </w:rPr>
      </w:r>
      <w:r>
        <w:rPr>
          <w:rFonts w:ascii="宋体" w:hAnsi="宋体" w:cs="宋体" w:eastAsia="宋体" w:hint="default"/>
          <w:b w:val="0"/>
          <w:bCs w:val="0"/>
        </w:rPr>
        <w:t>无</w:t>
      </w:r>
    </w:p>
    <w:p>
      <w:pPr>
        <w:spacing w:after="0" w:line="506" w:lineRule="auto"/>
        <w:jc w:val="left"/>
        <w:rPr>
          <w:rFonts w:ascii="宋体" w:hAnsi="宋体" w:cs="宋体" w:eastAsia="宋体" w:hint="default"/>
        </w:rPr>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right="1123" w:firstLine="420"/>
        <w:jc w:val="left"/>
      </w:pPr>
      <w:r>
        <w:rPr/>
        <w:t>期末检查各项无形资产预计给本公司带来未来经济利益的能力，当存在以下情形之一时：</w:t>
      </w:r>
      <w:r>
        <w:rPr>
          <w:rFonts w:ascii="宋体" w:hAnsi="宋体" w:cs="宋体" w:eastAsia="宋体" w:hint="default"/>
        </w:rPr>
        <w:t>a</w:t>
      </w:r>
      <w:r>
        <w:rPr/>
        <w:t>、某项无</w:t>
      </w:r>
      <w:r>
        <w:rPr>
          <w:w w:val="100"/>
        </w:rPr>
        <w:t> </w:t>
      </w:r>
      <w:r>
        <w:rPr/>
        <w:t>形资产已被其他新技术等所替代，使其为企业创造经济利益的能力受到重大不利影响；</w:t>
      </w:r>
      <w:r>
        <w:rPr>
          <w:rFonts w:ascii="宋体" w:hAnsi="宋体" w:cs="宋体" w:eastAsia="宋体" w:hint="default"/>
        </w:rPr>
        <w:t>b</w:t>
      </w:r>
      <w:r>
        <w:rPr/>
        <w:t>、某项无形资产</w:t>
      </w:r>
      <w:r>
        <w:rPr>
          <w:w w:val="100"/>
        </w:rPr>
        <w:t> </w:t>
      </w:r>
      <w:r>
        <w:rPr/>
        <w:t>的市价在当期大幅下跌，在剩余摊销年限内预期不会恢复；</w:t>
      </w:r>
      <w:r>
        <w:rPr>
          <w:rFonts w:ascii="宋体" w:hAnsi="宋体" w:cs="宋体" w:eastAsia="宋体" w:hint="default"/>
        </w:rPr>
        <w:t>c</w:t>
      </w:r>
      <w:r>
        <w:rPr/>
        <w:t>、某项无形资产已超过法律保护期限，但仍</w:t>
      </w:r>
      <w:r>
        <w:rPr>
          <w:w w:val="100"/>
        </w:rPr>
        <w:t> </w:t>
      </w:r>
      <w:r>
        <w:rPr>
          <w:spacing w:val="-2"/>
        </w:rPr>
        <w:t>然具有部分使用价值等减值迹象的，则估计其可收回金额。可收回金额的计量结果表明，无形资产的可收</w:t>
      </w:r>
      <w:r>
        <w:rPr>
          <w:spacing w:val="-43"/>
        </w:rPr>
        <w:t> </w:t>
      </w:r>
      <w:r>
        <w:rPr>
          <w:spacing w:val="-43"/>
        </w:rPr>
      </w:r>
      <w:r>
        <w:rPr>
          <w:spacing w:val="-2"/>
        </w:rPr>
        <w:t>回金额低于其账面价值的，将无形资产的账面价值减记至可收回金额，减记的金额确认为资产减值损失，</w:t>
      </w:r>
      <w:r>
        <w:rPr>
          <w:spacing w:val="-21"/>
        </w:rPr>
        <w:t> </w:t>
      </w:r>
      <w:r>
        <w:rPr>
          <w:spacing w:val="-21"/>
        </w:rPr>
      </w:r>
      <w:r>
        <w:rPr/>
        <w:t>计入当期损益，同时计提相应的无形资产减值准备；</w:t>
      </w:r>
      <w:r>
        <w:rPr>
          <w:rFonts w:ascii="宋体" w:hAnsi="宋体" w:cs="宋体" w:eastAsia="宋体" w:hint="default"/>
        </w:rPr>
        <w:t>d</w:t>
      </w:r>
      <w:r>
        <w:rPr/>
        <w:t>、其他足以证明某项无形资产实质上已发生了减值</w:t>
      </w:r>
      <w:r>
        <w:rPr>
          <w:w w:val="100"/>
        </w:rPr>
        <w:t> </w:t>
      </w:r>
      <w:r>
        <w:rPr>
          <w:spacing w:val="-2"/>
        </w:rPr>
        <w:t>准备情形的情况，按预计可收回金额低于账面价值的差额计提无形资产减值准备。无形资产减值损失一经</w:t>
      </w:r>
      <w:r>
        <w:rPr>
          <w:spacing w:val="-43"/>
        </w:rPr>
        <w:t> </w:t>
      </w:r>
      <w:r>
        <w:rPr>
          <w:spacing w:val="-43"/>
        </w:rPr>
      </w:r>
      <w:r>
        <w:rPr/>
        <w:t>确认，在以后会计期间不再转回。</w:t>
      </w:r>
    </w:p>
    <w:p>
      <w:pPr>
        <w:spacing w:line="240" w:lineRule="auto" w:before="12"/>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573" w:right="1123"/>
        <w:jc w:val="left"/>
      </w:pP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240" w:lineRule="auto" w:before="32"/>
        <w:ind w:right="1123"/>
        <w:jc w:val="left"/>
      </w:pPr>
      <w:r>
        <w:rPr/>
        <w:t>的或具有实质性改进的材料、装置、产品等活动的阶段。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left="573" w:right="1123" w:firstLine="84"/>
        <w:jc w:val="left"/>
      </w:pPr>
      <w:r>
        <w:rPr/>
        <w:t>内部研究开发项目研究阶段的支出，在发生时计入当期损益。</w:t>
      </w:r>
      <w:r>
        <w:rPr>
          <w:w w:val="100"/>
        </w:rPr>
        <w:t> </w:t>
      </w:r>
      <w:r>
        <w:rPr>
          <w:spacing w:val="-2"/>
        </w:rPr>
        <w:t>内部研究开发项目开发阶段的支出，同时满足下列条件时确认为无形资产：</w:t>
      </w:r>
    </w:p>
    <w:p>
      <w:pPr>
        <w:pStyle w:val="BodyText"/>
        <w:spacing w:line="240" w:lineRule="auto"/>
        <w:ind w:left="573" w:right="1123"/>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135"/>
        <w:ind w:left="573" w:right="1123"/>
        <w:jc w:val="left"/>
      </w:pPr>
      <w:r>
        <w:rPr/>
        <w:t>（</w:t>
      </w:r>
      <w:r>
        <w:rPr>
          <w:rFonts w:ascii="宋体" w:hAnsi="宋体" w:cs="宋体" w:eastAsia="宋体" w:hint="default"/>
        </w:rPr>
        <w:t>2</w:t>
      </w:r>
      <w:r>
        <w:rPr/>
        <w:t>）具有完成该无形资产并使用或出售的意图；</w:t>
      </w:r>
    </w:p>
    <w:p>
      <w:pPr>
        <w:pStyle w:val="BodyText"/>
        <w:spacing w:line="355" w:lineRule="auto" w:before="133"/>
        <w:ind w:right="1123" w:firstLine="420"/>
        <w:jc w:val="left"/>
      </w:pPr>
      <w:r>
        <w:rPr>
          <w:spacing w:val="-2"/>
        </w:rPr>
        <w:t>（</w:t>
      </w:r>
      <w:r>
        <w:rPr>
          <w:rFonts w:ascii="宋体" w:hAnsi="宋体" w:cs="宋体" w:eastAsia="宋体" w:hint="default"/>
          <w:spacing w:val="-2"/>
        </w:rPr>
        <w:t>3</w:t>
      </w:r>
      <w:r>
        <w:rPr>
          <w:spacing w:val="-2"/>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355" w:lineRule="auto" w:before="32"/>
        <w:ind w:right="1123" w:firstLine="420"/>
        <w:jc w:val="left"/>
      </w:pPr>
      <w:r>
        <w:rPr>
          <w:spacing w:val="-2"/>
        </w:rPr>
        <w:t>（</w:t>
      </w:r>
      <w:r>
        <w:rPr>
          <w:rFonts w:ascii="宋体" w:hAnsi="宋体" w:cs="宋体" w:eastAsia="宋体" w:hint="default"/>
          <w:spacing w:val="-2"/>
        </w:rPr>
        <w:t>4</w:t>
      </w:r>
      <w:r>
        <w:rPr>
          <w:spacing w:val="-2"/>
        </w:rPr>
        <w:t>）有足够的技术、财务资源和其他资源支持，以完成该无形资产的开发，并有能力使用或出售该</w:t>
      </w:r>
      <w:r>
        <w:rPr>
          <w:w w:val="100"/>
        </w:rPr>
        <w:t> </w:t>
      </w:r>
      <w:r>
        <w:rPr/>
        <w:t>无形资产；</w:t>
      </w:r>
    </w:p>
    <w:p>
      <w:pPr>
        <w:pStyle w:val="BodyText"/>
        <w:spacing w:line="240" w:lineRule="auto" w:before="34"/>
        <w:ind w:left="573" w:right="1123"/>
        <w:jc w:val="left"/>
      </w:pPr>
      <w:r>
        <w:rPr/>
        <w:t>（</w:t>
      </w:r>
      <w:r>
        <w:rPr>
          <w:rFonts w:ascii="宋体" w:hAnsi="宋体" w:cs="宋体" w:eastAsia="宋体" w:hint="default"/>
        </w:rPr>
        <w:t>5</w:t>
      </w:r>
      <w:r>
        <w:rPr/>
        <w:t>）归属于该无形资产开发阶段的支出能够可靠地计量。</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right="1123"/>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0"/>
        <w:ind w:left="573" w:right="1123"/>
        <w:jc w:val="left"/>
      </w:pPr>
      <w:r>
        <w:rPr/>
        <w:t>（</w:t>
      </w:r>
      <w:r>
        <w:rPr>
          <w:rFonts w:ascii="宋体" w:hAnsi="宋体" w:cs="宋体" w:eastAsia="宋体" w:hint="default"/>
        </w:rPr>
        <w:t>1</w:t>
      </w:r>
      <w:r>
        <w:rPr/>
        <w:t>）长期待摊费用指应由本期和以后各期负担的分摊期限在一年以上的各项费用。</w:t>
      </w:r>
    </w:p>
    <w:p>
      <w:pPr>
        <w:pStyle w:val="BodyText"/>
        <w:spacing w:line="355" w:lineRule="auto" w:before="135"/>
        <w:ind w:right="1123" w:firstLine="420"/>
        <w:jc w:val="left"/>
      </w:pPr>
      <w:r>
        <w:rPr/>
        <w:t>（</w:t>
      </w:r>
      <w:r>
        <w:rPr>
          <w:rFonts w:ascii="宋体" w:hAnsi="宋体" w:cs="宋体" w:eastAsia="宋体" w:hint="default"/>
        </w:rPr>
        <w:t>2</w:t>
      </w:r>
      <w:r>
        <w:rPr/>
        <w:t>）长期待摊费用在取得时按照实际成本计价，开办费在发生时计入当期损益；经营性租赁固定资</w:t>
      </w:r>
      <w:r>
        <w:rPr>
          <w:w w:val="100"/>
        </w:rPr>
        <w:t> </w:t>
      </w:r>
      <w:r>
        <w:rPr>
          <w:spacing w:val="-2"/>
        </w:rPr>
        <w:t>产的装修费用在租赁期内平均摊销，其他长期待摊费用按项目的受益期平均摊销。对于在以后会计期间已</w:t>
      </w:r>
      <w:r>
        <w:rPr>
          <w:spacing w:val="-42"/>
        </w:rPr>
        <w:t> </w:t>
      </w:r>
      <w:r>
        <w:rPr>
          <w:spacing w:val="-42"/>
        </w:rPr>
      </w:r>
      <w:r>
        <w:rPr/>
        <w:t>无法带来预期经济利益的长期待摊费用，本公司对其尚未摊销的摊余价值全部转入当期损益。</w:t>
      </w:r>
    </w:p>
    <w:p>
      <w:pPr>
        <w:spacing w:after="0" w:line="355" w:lineRule="auto"/>
        <w:jc w:val="left"/>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rFonts w:ascii="Times New Roman" w:hAnsi="Times New Roman" w:cs="Times New Roman" w:eastAsia="Times New Roman" w:hint="default"/>
        </w:rPr>
        <w:t>19</w:t>
      </w:r>
      <w:r>
        <w:rPr/>
        <w:t>、预计负债</w:t>
      </w:r>
      <w:r>
        <w:rPr>
          <w:b w:val="0"/>
          <w:bCs w:val="0"/>
        </w:rPr>
      </w:r>
    </w:p>
    <w:p>
      <w:pPr>
        <w:spacing w:line="240" w:lineRule="auto" w:before="2"/>
        <w:rPr>
          <w:rFonts w:ascii="宋体" w:hAnsi="宋体" w:cs="宋体" w:eastAsia="宋体" w:hint="default"/>
          <w:b/>
          <w:bCs/>
          <w:sz w:val="23"/>
          <w:szCs w:val="23"/>
        </w:rPr>
      </w:pPr>
    </w:p>
    <w:p>
      <w:pPr>
        <w:pStyle w:val="BodyText"/>
        <w:spacing w:line="355" w:lineRule="auto" w:before="0"/>
        <w:ind w:right="1128" w:firstLine="420"/>
        <w:jc w:val="both"/>
      </w:pPr>
      <w:r>
        <w:rPr>
          <w:spacing w:val="-2"/>
        </w:rPr>
        <w:t>本公司涉及诉讼、债务担保、亏损合同、重组事项时，如该等事项很可能需要未来以交付资产或提供</w:t>
      </w:r>
      <w:r>
        <w:rPr>
          <w:w w:val="100"/>
        </w:rPr>
        <w:t> </w:t>
      </w:r>
      <w:r>
        <w:rPr/>
        <w:t>劳务、其金额能够可靠计量的，确认为预计负债。</w:t>
      </w:r>
    </w:p>
    <w:p>
      <w:pPr>
        <w:spacing w:line="570" w:lineRule="atLeast" w:before="74"/>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与或有事项相关的义务同时符合以下条件，本公司将其确认为预计负债：该义务是本公司承担的现时</w:t>
      </w:r>
    </w:p>
    <w:p>
      <w:pPr>
        <w:pStyle w:val="BodyText"/>
        <w:spacing w:line="240" w:lineRule="auto" w:before="133"/>
        <w:ind w:right="1123"/>
        <w:jc w:val="left"/>
      </w:pPr>
      <w:r>
        <w:rPr/>
        <w:t>义务；该义务的履行很可能导致经济利益流出企业；该义务的金额能够可靠的计量。</w:t>
      </w:r>
    </w:p>
    <w:p>
      <w:pPr>
        <w:spacing w:line="570" w:lineRule="atLeast" w:before="175"/>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本公司清偿预计负债所需支出全部或部分预期由第三方补偿的，补偿金额只有在基本确定能够收到</w:t>
      </w:r>
    </w:p>
    <w:p>
      <w:pPr>
        <w:pStyle w:val="BodyText"/>
        <w:spacing w:line="355" w:lineRule="auto" w:before="135"/>
        <w:ind w:right="1123"/>
        <w:jc w:val="left"/>
      </w:pPr>
      <w:r>
        <w:rPr>
          <w:spacing w:val="-2"/>
        </w:rPr>
        <w:t>时，才能作为资产单独确认，同时对该项单独核算的资产确认的补偿金额不超过对应的预计负债的账面金</w:t>
      </w:r>
      <w:r>
        <w:rPr>
          <w:spacing w:val="-44"/>
        </w:rPr>
        <w:t> </w:t>
      </w:r>
      <w:r>
        <w:rPr>
          <w:spacing w:val="-44"/>
        </w:rPr>
      </w:r>
      <w:r>
        <w:rPr/>
        <w:t>额。</w:t>
      </w:r>
    </w:p>
    <w:p>
      <w:pPr>
        <w:spacing w:line="240" w:lineRule="auto" w:before="1"/>
        <w:rPr>
          <w:rFonts w:ascii="宋体" w:hAnsi="宋体" w:cs="宋体" w:eastAsia="宋体" w:hint="default"/>
          <w:sz w:val="27"/>
          <w:szCs w:val="27"/>
        </w:rPr>
      </w:pPr>
    </w:p>
    <w:p>
      <w:pPr>
        <w:pStyle w:val="Heading3"/>
        <w:spacing w:line="240" w:lineRule="auto"/>
        <w:ind w:right="1123"/>
        <w:jc w:val="left"/>
        <w:rPr>
          <w:b w:val="0"/>
          <w:bCs w:val="0"/>
        </w:rPr>
      </w:pPr>
      <w:r>
        <w:rPr>
          <w:rFonts w:ascii="Times New Roman" w:hAnsi="Times New Roman" w:cs="Times New Roman" w:eastAsia="Times New Roman" w:hint="default"/>
        </w:rPr>
        <w:t>20</w:t>
      </w:r>
      <w:r>
        <w:rPr/>
        <w:t>、股份支付及权益工具</w:t>
      </w:r>
      <w:r>
        <w:rPr>
          <w:b w:val="0"/>
          <w:bCs w:val="0"/>
        </w:rPr>
      </w:r>
    </w:p>
    <w:p>
      <w:pPr>
        <w:spacing w:line="240" w:lineRule="auto" w:before="10"/>
        <w:rPr>
          <w:rFonts w:ascii="宋体" w:hAnsi="宋体" w:cs="宋体" w:eastAsia="宋体" w:hint="default"/>
          <w:b/>
          <w:bCs/>
          <w:sz w:val="24"/>
          <w:szCs w:val="24"/>
        </w:rPr>
      </w:pPr>
    </w:p>
    <w:p>
      <w:pPr>
        <w:spacing w:line="487" w:lineRule="auto" w:before="0"/>
        <w:ind w:left="573" w:right="553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本公司的股份支付为以权益结算的股份支付。</w:t>
      </w:r>
    </w:p>
    <w:p>
      <w:pPr>
        <w:spacing w:line="592" w:lineRule="exact" w:before="1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对于授予的存在活跃市场的期权等权益工具，按照活跃市场中的报价确定其公允价值。对于授予的不</w:t>
      </w:r>
    </w:p>
    <w:p>
      <w:pPr>
        <w:pStyle w:val="BodyText"/>
        <w:spacing w:line="357" w:lineRule="auto" w:before="44"/>
        <w:ind w:right="1123"/>
        <w:jc w:val="left"/>
      </w:pPr>
      <w:r>
        <w:rPr>
          <w:spacing w:val="-2"/>
        </w:rPr>
        <w:t>存在活跃市场的期权等权益工具，采用期权定价模型等确定其公允价值，选用的期权定价模型考虑以下因</w:t>
      </w:r>
      <w:r>
        <w:rPr>
          <w:spacing w:val="-44"/>
        </w:rPr>
        <w:t> </w:t>
      </w:r>
      <w:r>
        <w:rPr>
          <w:spacing w:val="-44"/>
        </w:rPr>
      </w:r>
      <w:r>
        <w:rPr/>
        <w:t>素：</w:t>
      </w:r>
      <w:r>
        <w:rPr>
          <w:rFonts w:ascii="宋体" w:hAnsi="宋体" w:cs="宋体" w:eastAsia="宋体" w:hint="default"/>
        </w:rPr>
        <w:t>a</w:t>
      </w:r>
      <w:r>
        <w:rPr/>
        <w:t>、期权的行权价格；</w:t>
      </w:r>
      <w:r>
        <w:rPr>
          <w:rFonts w:ascii="宋体" w:hAnsi="宋体" w:cs="宋体" w:eastAsia="宋体" w:hint="default"/>
        </w:rPr>
        <w:t>b</w:t>
      </w:r>
      <w:r>
        <w:rPr/>
        <w:t>、期权的有效期；</w:t>
      </w:r>
      <w:r>
        <w:rPr>
          <w:rFonts w:ascii="宋体" w:hAnsi="宋体" w:cs="宋体" w:eastAsia="宋体" w:hint="default"/>
        </w:rPr>
        <w:t>c</w:t>
      </w:r>
      <w:r>
        <w:rPr/>
        <w:t>、标的股份的现行价格；</w:t>
      </w:r>
      <w:r>
        <w:rPr>
          <w:rFonts w:ascii="宋体" w:hAnsi="宋体" w:cs="宋体" w:eastAsia="宋体" w:hint="default"/>
        </w:rPr>
        <w:t>d</w:t>
      </w:r>
      <w:r>
        <w:rPr/>
        <w:t>、股份预计波动率；</w:t>
      </w:r>
      <w:r>
        <w:rPr>
          <w:rFonts w:ascii="宋体" w:hAnsi="宋体" w:cs="宋体" w:eastAsia="宋体" w:hint="default"/>
        </w:rPr>
        <w:t>e</w:t>
      </w:r>
      <w:r>
        <w:rPr/>
        <w:t>、股份的</w:t>
      </w:r>
      <w:r>
        <w:rPr>
          <w:w w:val="100"/>
        </w:rPr>
        <w:t> </w:t>
      </w:r>
      <w:r>
        <w:rPr/>
        <w:t>预计股利；</w:t>
      </w:r>
      <w:r>
        <w:rPr>
          <w:rFonts w:ascii="宋体" w:hAnsi="宋体" w:cs="宋体" w:eastAsia="宋体" w:hint="default"/>
        </w:rPr>
        <w:t>f</w:t>
      </w:r>
      <w:r>
        <w:rPr/>
        <w:t>、期权有效期内的无风险利率。</w:t>
      </w:r>
    </w:p>
    <w:p>
      <w:pPr>
        <w:pStyle w:val="BodyText"/>
        <w:spacing w:line="355" w:lineRule="auto"/>
        <w:ind w:right="1126" w:firstLine="420"/>
        <w:jc w:val="both"/>
      </w:pPr>
      <w:r>
        <w:rPr>
          <w:spacing w:val="-2"/>
        </w:rPr>
        <w:t>在确定权益工具授予日的公允价值时，考虑股份支付协议规定的可行权条件中的市场条件和非可行权</w:t>
      </w:r>
      <w:r>
        <w:rPr>
          <w:w w:val="100"/>
        </w:rPr>
        <w:t> </w:t>
      </w:r>
      <w:r>
        <w:rPr>
          <w:spacing w:val="-7"/>
        </w:rPr>
        <w:t>条件的影响。股份支付存在非可行权条件的，只要职工或其他方满足了所有可行权条件中的非市场条件（如</w:t>
      </w:r>
      <w:r>
        <w:rPr>
          <w:spacing w:val="-17"/>
        </w:rPr>
        <w:t> </w:t>
      </w:r>
      <w:r>
        <w:rPr>
          <w:spacing w:val="-17"/>
        </w:rPr>
      </w:r>
      <w:r>
        <w:rPr/>
        <w:t>服务期限等），即确认已得到服务相对应的成本费用。</w:t>
      </w:r>
    </w:p>
    <w:p>
      <w:pPr>
        <w:spacing w:line="570" w:lineRule="atLeast" w:before="75"/>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等待期内每个资产负债表日，根据最新取得的可行权职工人数变动等后续信息作出最佳估计，修正计</w:t>
      </w:r>
    </w:p>
    <w:p>
      <w:pPr>
        <w:pStyle w:val="BodyText"/>
        <w:spacing w:line="240" w:lineRule="auto" w:before="133"/>
        <w:ind w:right="1123"/>
        <w:jc w:val="left"/>
      </w:pPr>
      <w:r>
        <w:rPr/>
        <w:t>权的权益工具数量。在可行权日，最终预计可行权权益工具的数量与实际可行权数量一致。</w:t>
      </w:r>
    </w:p>
    <w:p>
      <w:pPr>
        <w:spacing w:after="0" w:line="240" w:lineRule="auto"/>
        <w:jc w:val="left"/>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2"/>
        <w:rPr>
          <w:rFonts w:ascii="宋体" w:hAnsi="宋体" w:cs="宋体" w:eastAsia="宋体" w:hint="default"/>
          <w:b/>
          <w:bCs/>
          <w:sz w:val="23"/>
          <w:szCs w:val="23"/>
        </w:rPr>
      </w:pPr>
    </w:p>
    <w:p>
      <w:pPr>
        <w:pStyle w:val="BodyText"/>
        <w:spacing w:line="355" w:lineRule="auto" w:before="0"/>
        <w:ind w:right="1126" w:firstLine="420"/>
        <w:jc w:val="both"/>
      </w:pPr>
      <w:r>
        <w:rPr>
          <w:spacing w:val="-2"/>
        </w:rPr>
        <w:t>以权益结算的股份支付，按授予职工权益工具的公允价值计量。授予后立即可行权的，在授予日按照</w:t>
      </w:r>
      <w:r>
        <w:rPr>
          <w:w w:val="100"/>
        </w:rPr>
        <w:t> </w:t>
      </w:r>
      <w:r>
        <w:rPr>
          <w:spacing w:val="-2"/>
        </w:rPr>
        <w:t>权益工具的公允价值计入相关成本或费用，相应增加资本公积。在完成等待期内的服务或达到规定业绩条</w:t>
      </w:r>
      <w:r>
        <w:rPr>
          <w:spacing w:val="-44"/>
        </w:rPr>
        <w:t> </w:t>
      </w:r>
      <w:r>
        <w:rPr>
          <w:spacing w:val="-44"/>
        </w:rPr>
      </w:r>
      <w:r>
        <w:rPr>
          <w:spacing w:val="-2"/>
        </w:rPr>
        <w:t>件才可行权的，在等待期内的每个资产负债表日，以对可行权权益工具数量的最佳估计为基础，按照权益</w:t>
      </w:r>
      <w:r>
        <w:rPr>
          <w:spacing w:val="-43"/>
        </w:rPr>
        <w:t> </w:t>
      </w:r>
      <w:r>
        <w:rPr>
          <w:spacing w:val="-43"/>
        </w:rPr>
      </w:r>
      <w:r>
        <w:rPr>
          <w:spacing w:val="-2"/>
        </w:rPr>
        <w:t>工具授予日的公允价值，将当期取得的服务计入相关成本或费用和资本公积。在可行权日之后不再对已确</w:t>
      </w:r>
      <w:r>
        <w:rPr>
          <w:spacing w:val="-43"/>
        </w:rPr>
        <w:t> </w:t>
      </w:r>
      <w:r>
        <w:rPr>
          <w:spacing w:val="-43"/>
        </w:rPr>
      </w:r>
      <w:r>
        <w:rPr/>
        <w:t>认的相关成本或费用和所有者权益总额进行调整。</w:t>
      </w:r>
    </w:p>
    <w:p>
      <w:pPr>
        <w:pStyle w:val="BodyText"/>
        <w:spacing w:line="355" w:lineRule="auto" w:before="34"/>
        <w:ind w:right="1126" w:firstLine="420"/>
        <w:jc w:val="both"/>
      </w:pPr>
      <w:r>
        <w:rPr>
          <w:spacing w:val="-2"/>
        </w:rPr>
        <w:t>若在等待期内取消了授予的权益工具，本公司对取消所授予的权益性工具作为加速行权处理，将剩余</w:t>
      </w:r>
      <w:r>
        <w:rPr>
          <w:w w:val="100"/>
        </w:rPr>
        <w:t> </w:t>
      </w:r>
      <w:r>
        <w:rPr>
          <w:spacing w:val="-2"/>
        </w:rPr>
        <w:t>等待期内应确认的金额立即计入当期损益，同时确认资本公积。职工或其他方能够选择满足非可行权条件</w:t>
      </w:r>
      <w:r>
        <w:rPr>
          <w:spacing w:val="-44"/>
        </w:rPr>
        <w:t> </w:t>
      </w:r>
      <w:r>
        <w:rPr>
          <w:spacing w:val="-44"/>
        </w:rPr>
      </w:r>
      <w:r>
        <w:rPr/>
        <w:t>但在等待期内未满足的，本公司将其作为授予权益工具的取消处理。</w:t>
      </w:r>
    </w:p>
    <w:p>
      <w:pPr>
        <w:spacing w:line="240" w:lineRule="auto" w:before="1"/>
        <w:rPr>
          <w:rFonts w:ascii="宋体" w:hAnsi="宋体" w:cs="宋体" w:eastAsia="宋体" w:hint="default"/>
          <w:sz w:val="27"/>
          <w:szCs w:val="27"/>
        </w:rPr>
      </w:pPr>
    </w:p>
    <w:p>
      <w:pPr>
        <w:pStyle w:val="Heading3"/>
        <w:spacing w:line="240" w:lineRule="auto"/>
        <w:ind w:right="1123"/>
        <w:jc w:val="left"/>
        <w:rPr>
          <w:b w:val="0"/>
          <w:bCs w:val="0"/>
        </w:rPr>
      </w:pPr>
      <w:r>
        <w:rPr>
          <w:rFonts w:ascii="Times New Roman" w:hAnsi="Times New Roman" w:cs="Times New Roman" w:eastAsia="Times New Roman" w:hint="default"/>
        </w:rPr>
        <w:t>21</w:t>
      </w:r>
      <w:r>
        <w:rPr/>
        <w:t>、收入</w:t>
      </w:r>
      <w:r>
        <w:rPr>
          <w:b w:val="0"/>
          <w:bCs w:val="0"/>
        </w:rPr>
      </w:r>
    </w:p>
    <w:p>
      <w:pPr>
        <w:spacing w:line="570" w:lineRule="atLeast" w:before="44"/>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在已将商品所有权上的重要风险和报酬转移给购货方，本公司不再对该商品实施继续管理权和实际控</w:t>
      </w:r>
    </w:p>
    <w:p>
      <w:pPr>
        <w:pStyle w:val="BodyText"/>
        <w:spacing w:line="355" w:lineRule="auto" w:before="135"/>
        <w:ind w:right="1123"/>
        <w:jc w:val="left"/>
      </w:pPr>
      <w:r>
        <w:rPr>
          <w:spacing w:val="-2"/>
        </w:rPr>
        <w:t>制权，相关的收入已经收到或取得了收款的凭据，并且与销售该商品的成本能够可靠的计量时，确认收入</w:t>
      </w:r>
      <w:r>
        <w:rPr>
          <w:spacing w:val="-43"/>
        </w:rPr>
        <w:t> </w:t>
      </w:r>
      <w:r>
        <w:rPr>
          <w:spacing w:val="-43"/>
        </w:rPr>
      </w:r>
      <w:r>
        <w:rPr/>
        <w:t>的实现。主要交易方式的具体销售确认的时间为：</w:t>
      </w:r>
    </w:p>
    <w:p>
      <w:pPr>
        <w:pStyle w:val="BodyText"/>
        <w:spacing w:line="355" w:lineRule="auto" w:before="32"/>
        <w:ind w:right="1210" w:firstLine="420"/>
        <w:jc w:val="both"/>
      </w:pPr>
      <w:r>
        <w:rPr>
          <w:rFonts w:ascii="宋体" w:hAnsi="宋体" w:cs="宋体" w:eastAsia="宋体" w:hint="default"/>
          <w:spacing w:val="-2"/>
        </w:rPr>
        <w:t>a</w:t>
      </w:r>
      <w:r>
        <w:rPr>
          <w:spacing w:val="-2"/>
        </w:rPr>
        <w:t>、以离岸价（</w:t>
      </w:r>
      <w:r>
        <w:rPr>
          <w:rFonts w:ascii="宋体" w:hAnsi="宋体" w:cs="宋体" w:eastAsia="宋体" w:hint="default"/>
          <w:spacing w:val="-2"/>
        </w:rPr>
        <w:t>FOB</w:t>
      </w:r>
      <w:r>
        <w:rPr>
          <w:spacing w:val="-2"/>
        </w:rPr>
        <w:t>）、成本加运费（</w:t>
      </w:r>
      <w:r>
        <w:rPr>
          <w:rFonts w:ascii="宋体" w:hAnsi="宋体" w:cs="宋体" w:eastAsia="宋体" w:hint="default"/>
          <w:spacing w:val="-2"/>
        </w:rPr>
        <w:t>CNF</w:t>
      </w:r>
      <w:r>
        <w:rPr>
          <w:spacing w:val="-2"/>
        </w:rPr>
        <w:t>）结算的出口销售，以在合同规定的装运港将货物装箱上船</w:t>
      </w:r>
      <w:r>
        <w:rPr>
          <w:w w:val="100"/>
        </w:rPr>
        <w:t> </w:t>
      </w:r>
      <w:r>
        <w:rPr/>
        <w:t>并船只越过船舷时的时间为收入确认时点；</w:t>
      </w:r>
    </w:p>
    <w:p>
      <w:pPr>
        <w:pStyle w:val="BodyText"/>
        <w:spacing w:line="357" w:lineRule="auto" w:before="32"/>
        <w:ind w:left="573" w:right="0"/>
        <w:jc w:val="left"/>
        <w:rPr>
          <w:rFonts w:ascii="宋体" w:hAnsi="宋体" w:cs="宋体" w:eastAsia="宋体" w:hint="default"/>
        </w:rPr>
      </w:pPr>
      <w:r>
        <w:rPr>
          <w:rFonts w:ascii="宋体" w:hAnsi="宋体" w:cs="宋体" w:eastAsia="宋体" w:hint="default"/>
          <w:spacing w:val="-5"/>
        </w:rPr>
        <w:t>b</w:t>
      </w:r>
      <w:r>
        <w:rPr>
          <w:spacing w:val="-5"/>
        </w:rPr>
        <w:t>、以到岸价（</w:t>
      </w:r>
      <w:r>
        <w:rPr>
          <w:rFonts w:ascii="宋体" w:hAnsi="宋体" w:cs="宋体" w:eastAsia="宋体" w:hint="default"/>
          <w:spacing w:val="-5"/>
        </w:rPr>
        <w:t>CIF</w:t>
      </w:r>
      <w:r>
        <w:rPr>
          <w:spacing w:val="-5"/>
        </w:rPr>
        <w:t>）结算的出口销售，以货物越过在合同规定的目的港的船舷的时间为收入确认时点；</w:t>
      </w:r>
      <w:r>
        <w:rPr>
          <w:spacing w:val="-9"/>
        </w:rPr>
        <w:t> </w:t>
      </w:r>
      <w:r>
        <w:rPr>
          <w:spacing w:val="-9"/>
        </w:rPr>
      </w:r>
      <w:r>
        <w:rPr>
          <w:rFonts w:ascii="宋体" w:hAnsi="宋体" w:cs="宋体" w:eastAsia="宋体" w:hint="default"/>
          <w:spacing w:val="-2"/>
          <w:w w:val="99"/>
        </w:rPr>
        <w:t>c</w:t>
      </w:r>
      <w:r>
        <w:rPr>
          <w:spacing w:val="-2"/>
          <w:w w:val="99"/>
        </w:rPr>
        <w:t>、国内销售部分按转移商品所有权凭证或交付实物的时间为收入确认时点。</w:t>
      </w:r>
      <w:r>
        <w:rPr>
          <w:rFonts w:ascii="宋体" w:hAnsi="宋体" w:cs="宋体" w:eastAsia="宋体" w:hint="default"/>
          <w:spacing w:val="-2"/>
          <w:w w:val="99"/>
        </w:rPr>
        <w:t>’</w:t>
      </w:r>
      <w:r>
        <w:rPr>
          <w:rFonts w:ascii="宋体" w:hAnsi="宋体" w:cs="宋体" w:eastAsia="宋体" w:hint="default"/>
          <w:spacing w:val="-2"/>
        </w:rPr>
      </w:r>
    </w:p>
    <w:p>
      <w:pPr>
        <w:spacing w:line="570" w:lineRule="atLeast" w:before="72"/>
        <w:ind w:left="573" w:right="418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让渡资产使用权收入包括利息收入和使用费收入等；</w:t>
      </w:r>
    </w:p>
    <w:p>
      <w:pPr>
        <w:pStyle w:val="BodyText"/>
        <w:spacing w:line="355" w:lineRule="auto" w:before="135"/>
        <w:ind w:right="1126" w:firstLine="420"/>
        <w:jc w:val="both"/>
      </w:pPr>
      <w:r>
        <w:rPr>
          <w:spacing w:val="-2"/>
        </w:rPr>
        <w:t>利息收入金额，按照他人使用本公司货币资金的时间和实际利率计算确定；使用费收入金额，按照有</w:t>
      </w:r>
      <w:r>
        <w:rPr>
          <w:w w:val="100"/>
        </w:rPr>
        <w:t> </w:t>
      </w:r>
      <w:r>
        <w:rPr/>
        <w:t>关合同或协议约定的收费时间和方法计算确定。</w:t>
      </w:r>
    </w:p>
    <w:p>
      <w:pPr>
        <w:spacing w:line="240" w:lineRule="auto" w:before="8"/>
        <w:rPr>
          <w:rFonts w:ascii="宋体" w:hAnsi="宋体" w:cs="宋体" w:eastAsia="宋体" w:hint="default"/>
          <w:sz w:val="29"/>
          <w:szCs w:val="29"/>
        </w:rPr>
      </w:pPr>
    </w:p>
    <w:p>
      <w:pPr>
        <w:spacing w:line="570" w:lineRule="atLeast" w:before="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对在同一会计年度内开始并完成的劳务，于完成劳务时确认收入；如果劳务的开始和完成分属不同的</w:t>
      </w:r>
    </w:p>
    <w:p>
      <w:pPr>
        <w:pStyle w:val="BodyText"/>
        <w:spacing w:line="240" w:lineRule="auto" w:before="133"/>
        <w:ind w:right="0"/>
        <w:jc w:val="left"/>
      </w:pPr>
      <w:r>
        <w:rPr>
          <w:spacing w:val="-5"/>
        </w:rPr>
        <w:t>会计年度，则在提供劳务交易的结果能够可靠估计的情况下，于期末按完工百分比法确认相关的劳务收入。</w:t>
      </w:r>
    </w:p>
    <w:p>
      <w:pPr>
        <w:spacing w:after="0" w:line="240" w:lineRule="auto"/>
        <w:jc w:val="left"/>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2"/>
        <w:rPr>
          <w:rFonts w:ascii="宋体" w:hAnsi="宋体" w:cs="宋体" w:eastAsia="宋体" w:hint="default"/>
          <w:b/>
          <w:bCs/>
          <w:sz w:val="23"/>
          <w:szCs w:val="23"/>
        </w:rPr>
      </w:pPr>
    </w:p>
    <w:p>
      <w:pPr>
        <w:pStyle w:val="BodyText"/>
        <w:spacing w:line="355" w:lineRule="auto" w:before="0"/>
        <w:ind w:right="1123" w:firstLine="420"/>
        <w:jc w:val="left"/>
      </w:pPr>
      <w:r>
        <w:rPr>
          <w:spacing w:val="-2"/>
        </w:rPr>
        <w:t>依据《企业会计准则－建造合同》的规定，本公司的建造合同收入确认原则为完工百分比法。完工百</w:t>
      </w:r>
      <w:r>
        <w:rPr>
          <w:w w:val="100"/>
        </w:rPr>
        <w:t> </w:t>
      </w:r>
      <w:r>
        <w:rPr/>
        <w:t>分比法是指根据合同完工进度确认合同收入和费用的方法。具体原则为：</w:t>
      </w:r>
    </w:p>
    <w:p>
      <w:pPr>
        <w:pStyle w:val="BodyText"/>
        <w:spacing w:line="357" w:lineRule="auto" w:before="32"/>
        <w:ind w:left="573" w:right="3843"/>
        <w:jc w:val="left"/>
      </w:pPr>
      <w:r>
        <w:rPr>
          <w:rFonts w:ascii="宋体" w:hAnsi="宋体" w:cs="宋体" w:eastAsia="宋体" w:hint="default"/>
        </w:rPr>
        <w:t>a</w:t>
      </w:r>
      <w:r>
        <w:rPr/>
        <w:t>、建造合同收入，按下列条件均能满足时按完工百分比法予以确认：</w:t>
      </w:r>
      <w:r>
        <w:rPr>
          <w:w w:val="100"/>
        </w:rPr>
        <w:t> </w:t>
      </w:r>
      <w:r>
        <w:rPr/>
        <w:t>合同总收入能够可靠地计量；</w:t>
      </w:r>
      <w:r>
        <w:rPr>
          <w:w w:val="100"/>
        </w:rPr>
        <w:t> </w:t>
      </w:r>
      <w:r>
        <w:rPr/>
        <w:t>与合同相关的经济利益很可能流入企业；</w:t>
      </w:r>
      <w:r>
        <w:rPr>
          <w:w w:val="100"/>
        </w:rPr>
        <w:t> </w:t>
      </w:r>
      <w:r>
        <w:rPr/>
        <w:t>实际发生的合同成本能够清楚地区分和可靠地计量；</w:t>
      </w:r>
      <w:r>
        <w:rPr>
          <w:w w:val="100"/>
        </w:rPr>
        <w:t> </w:t>
      </w:r>
      <w:r>
        <w:rPr/>
        <w:t>合同完工进度和为完成合同尚需发生的成本能够可靠地确定。</w:t>
      </w:r>
      <w:r>
        <w:rPr>
          <w:w w:val="100"/>
        </w:rPr>
        <w:t> </w:t>
      </w:r>
      <w:r>
        <w:rPr>
          <w:rFonts w:ascii="宋体" w:hAnsi="宋体" w:cs="宋体" w:eastAsia="宋体" w:hint="default"/>
        </w:rPr>
        <w:t>b</w:t>
      </w:r>
      <w:r>
        <w:rPr/>
        <w:t>、完工百分比计算办法和智能化工程收入确认原则</w:t>
      </w:r>
      <w:r>
        <w:rPr>
          <w:w w:val="100"/>
        </w:rPr>
        <w:t> </w:t>
      </w:r>
      <w:r>
        <w:rPr>
          <w:spacing w:val="-2"/>
        </w:rPr>
        <w:t>智能化工程的完工进度</w:t>
      </w:r>
      <w:r>
        <w:rPr>
          <w:rFonts w:ascii="宋体" w:hAnsi="宋体" w:cs="宋体" w:eastAsia="宋体" w:hint="default"/>
          <w:spacing w:val="-2"/>
        </w:rPr>
        <w:t>=</w:t>
      </w:r>
      <w:r>
        <w:rPr>
          <w:spacing w:val="-2"/>
        </w:rPr>
        <w:t>已完成的合同工作量</w:t>
      </w:r>
      <w:r>
        <w:rPr>
          <w:rFonts w:ascii="宋体" w:hAnsi="宋体" w:cs="宋体" w:eastAsia="宋体" w:hint="default"/>
          <w:spacing w:val="-2"/>
        </w:rPr>
        <w:t>/</w:t>
      </w:r>
      <w:r>
        <w:rPr>
          <w:spacing w:val="-2"/>
        </w:rPr>
        <w:t>合同预计总工作量×100%</w:t>
      </w:r>
    </w:p>
    <w:p>
      <w:pPr>
        <w:pStyle w:val="BodyText"/>
        <w:spacing w:line="357" w:lineRule="auto"/>
        <w:ind w:left="573" w:right="1123"/>
        <w:jc w:val="left"/>
      </w:pPr>
      <w:r>
        <w:rPr/>
        <w:t>智能化工程项目已完成的工作量主要是以监理或甲方签字认可的工作量为依据来确认。</w:t>
      </w:r>
      <w:r>
        <w:rPr>
          <w:w w:val="100"/>
        </w:rPr>
        <w:t> </w:t>
      </w:r>
      <w:r>
        <w:rPr>
          <w:spacing w:val="-2"/>
        </w:rPr>
        <w:t>智能化工程项目预计的总工作量根据智能化工程预算资料合理预计，智能化工程预算资料是由达实智</w:t>
      </w:r>
    </w:p>
    <w:p>
      <w:pPr>
        <w:pStyle w:val="BodyText"/>
        <w:spacing w:line="357" w:lineRule="auto"/>
        <w:ind w:left="573" w:right="1554" w:hanging="421"/>
        <w:jc w:val="left"/>
      </w:pPr>
      <w:r>
        <w:rPr/>
        <w:t>能工程预算部门按工程合同约定的工程材料和工程量等进行计算、编制。</w:t>
      </w:r>
      <w:r>
        <w:rPr>
          <w:w w:val="100"/>
        </w:rPr>
        <w:t> </w:t>
      </w:r>
      <w:r>
        <w:rPr/>
        <w:t>智能化工程收入确认原则：</w:t>
      </w:r>
      <w:r>
        <w:rPr>
          <w:w w:val="100"/>
        </w:rPr>
        <w:t> </w:t>
      </w:r>
      <w:r>
        <w:rPr>
          <w:spacing w:val="-2"/>
        </w:rPr>
        <w:t>未完工智能化工程的工程收入</w:t>
      </w:r>
      <w:r>
        <w:rPr>
          <w:rFonts w:ascii="宋体" w:hAnsi="宋体" w:cs="宋体" w:eastAsia="宋体" w:hint="default"/>
          <w:spacing w:val="-2"/>
        </w:rPr>
        <w:t>=</w:t>
      </w:r>
      <w:r>
        <w:rPr>
          <w:spacing w:val="-2"/>
        </w:rPr>
        <w:t>完工进度×合同总收入－以前会计年度累计已确认的工程收入</w:t>
      </w:r>
      <w:r>
        <w:rPr>
          <w:w w:val="100"/>
        </w:rPr>
        <w:t> </w:t>
      </w:r>
      <w:r>
        <w:rPr/>
        <w:t>已完工未决算智能化工程的工程收入</w:t>
      </w:r>
      <w:r>
        <w:rPr>
          <w:rFonts w:ascii="宋体" w:hAnsi="宋体" w:cs="宋体" w:eastAsia="宋体" w:hint="default"/>
        </w:rPr>
        <w:t>=</w:t>
      </w:r>
      <w:r>
        <w:rPr/>
        <w:t>合同总收入－以前会计年度累计已确认的工程收入</w:t>
      </w:r>
    </w:p>
    <w:p>
      <w:pPr>
        <w:pStyle w:val="BodyText"/>
        <w:spacing w:line="355" w:lineRule="auto"/>
        <w:ind w:right="1123" w:firstLine="420"/>
        <w:jc w:val="left"/>
      </w:pPr>
      <w:r>
        <w:rPr>
          <w:spacing w:val="-2"/>
        </w:rPr>
        <w:t>已完工已决算智能化工程的工程收入</w:t>
      </w:r>
      <w:r>
        <w:rPr>
          <w:rFonts w:ascii="宋体" w:hAnsi="宋体" w:cs="宋体" w:eastAsia="宋体" w:hint="default"/>
          <w:spacing w:val="-2"/>
        </w:rPr>
        <w:t>=</w:t>
      </w:r>
      <w:r>
        <w:rPr>
          <w:spacing w:val="-2"/>
        </w:rPr>
        <w:t>决算收入（或已全额结算收入）－以前会计年度累计已确认的</w:t>
      </w:r>
      <w:r>
        <w:rPr>
          <w:w w:val="100"/>
        </w:rPr>
        <w:t> </w:t>
      </w:r>
      <w:r>
        <w:rPr/>
        <w:t>工程收入</w:t>
      </w:r>
    </w:p>
    <w:p>
      <w:pPr>
        <w:pStyle w:val="BodyText"/>
        <w:spacing w:line="357" w:lineRule="auto" w:before="32"/>
        <w:ind w:right="1123" w:firstLine="420"/>
        <w:jc w:val="left"/>
      </w:pPr>
      <w:r>
        <w:rPr>
          <w:rFonts w:ascii="宋体" w:hAnsi="宋体" w:cs="宋体" w:eastAsia="宋体" w:hint="default"/>
        </w:rPr>
        <w:t>c</w:t>
      </w:r>
      <w:r>
        <w:rPr/>
        <w:t>、如果建造合同的结果不能可靠地估计，且合同成本能够收回的，合同收入根据能够收回的实际合</w:t>
      </w:r>
      <w:r>
        <w:rPr>
          <w:w w:val="100"/>
        </w:rPr>
        <w:t> </w:t>
      </w:r>
      <w:r>
        <w:rPr>
          <w:spacing w:val="-2"/>
        </w:rPr>
        <w:t>同成本加以确认，合同成本在其发生的当期确认为合同费用；合同成本不能收回的，于发生时立即确认为</w:t>
      </w:r>
      <w:r>
        <w:rPr>
          <w:spacing w:val="-44"/>
        </w:rPr>
        <w:t> </w:t>
      </w:r>
      <w:r>
        <w:rPr>
          <w:spacing w:val="-44"/>
        </w:rPr>
      </w:r>
      <w:r>
        <w:rPr/>
        <w:t>费用，不确认收入。</w:t>
      </w:r>
    </w:p>
    <w:p>
      <w:pPr>
        <w:pStyle w:val="BodyText"/>
        <w:spacing w:line="240" w:lineRule="auto"/>
        <w:ind w:left="573" w:right="1123"/>
        <w:jc w:val="left"/>
      </w:pPr>
      <w:r>
        <w:rPr>
          <w:rFonts w:ascii="宋体" w:hAnsi="宋体" w:cs="宋体" w:eastAsia="宋体" w:hint="default"/>
        </w:rPr>
        <w:t>d</w:t>
      </w:r>
      <w:r>
        <w:rPr/>
        <w:t>、如果合同预计总成本将超过合同预计总收入，超过部分作为预计损失立即计入当期费用。</w:t>
      </w:r>
    </w:p>
    <w:p>
      <w:pPr>
        <w:pStyle w:val="BodyText"/>
        <w:spacing w:line="355" w:lineRule="auto" w:before="133"/>
        <w:ind w:left="573" w:right="1123"/>
        <w:jc w:val="left"/>
      </w:pPr>
      <w:r>
        <w:rPr/>
        <w:t>（</w:t>
      </w:r>
      <w:r>
        <w:rPr>
          <w:rFonts w:ascii="宋体" w:hAnsi="宋体" w:cs="宋体" w:eastAsia="宋体" w:hint="default"/>
        </w:rPr>
        <w:t>5</w:t>
      </w:r>
      <w:r>
        <w:rPr/>
        <w:t>）节能服务合同业务收入</w:t>
      </w:r>
      <w:r>
        <w:rPr>
          <w:w w:val="100"/>
        </w:rPr>
        <w:t> </w:t>
      </w:r>
      <w:r>
        <w:rPr>
          <w:spacing w:val="-2"/>
        </w:rPr>
        <w:t>节能服务合同业务基本情况：公司利用自身技术，通过为客户节约能源，获得节能分成来达到盈利目</w:t>
      </w:r>
    </w:p>
    <w:p>
      <w:pPr>
        <w:pStyle w:val="BodyText"/>
        <w:spacing w:line="357" w:lineRule="auto" w:before="32"/>
        <w:ind w:right="0"/>
        <w:jc w:val="left"/>
      </w:pPr>
      <w:r>
        <w:rPr/>
        <w:t>的；项目服务期通常为</w:t>
      </w:r>
      <w:r>
        <w:rPr>
          <w:spacing w:val="-55"/>
        </w:rPr>
        <w:t> </w:t>
      </w:r>
      <w:r>
        <w:rPr>
          <w:rFonts w:ascii="宋体" w:hAnsi="宋体" w:cs="宋体" w:eastAsia="宋体" w:hint="default"/>
        </w:rPr>
        <w:t>3-15</w:t>
      </w:r>
      <w:r>
        <w:rPr>
          <w:rFonts w:ascii="宋体" w:hAnsi="宋体" w:cs="宋体" w:eastAsia="宋体" w:hint="default"/>
          <w:spacing w:val="-55"/>
        </w:rPr>
        <w:t> </w:t>
      </w:r>
      <w:r>
        <w:rPr/>
        <w:t>年；在经营过程中，公司为节能项目提供相应的设备；在经营期间，相应设</w:t>
      </w:r>
      <w:r>
        <w:rPr>
          <w:w w:val="100"/>
        </w:rPr>
        <w:t> </w:t>
      </w:r>
      <w:r>
        <w:rPr>
          <w:spacing w:val="-2"/>
        </w:rPr>
        <w:t>备由客户代为保管；在项目进行过程中，公司为客户提供相关节能的服务；在项目结束后，公司会将相应</w:t>
      </w:r>
      <w:r>
        <w:rPr>
          <w:spacing w:val="-50"/>
        </w:rPr>
        <w:t> </w:t>
      </w:r>
      <w:r>
        <w:rPr>
          <w:spacing w:val="-50"/>
        </w:rPr>
      </w:r>
      <w:r>
        <w:rPr>
          <w:spacing w:val="-5"/>
        </w:rPr>
        <w:t>设备转移给其客户，不再另行收费；在项目结束后，客户如需后续服务，公司会予以提供，但需另行收费。</w:t>
      </w:r>
    </w:p>
    <w:p>
      <w:pPr>
        <w:pStyle w:val="BodyText"/>
        <w:spacing w:line="357" w:lineRule="auto"/>
        <w:ind w:right="1126" w:firstLine="420"/>
        <w:jc w:val="both"/>
      </w:pPr>
      <w:r>
        <w:rPr>
          <w:spacing w:val="-2"/>
        </w:rPr>
        <w:t>节能服务合同业务收入在满足收入确认条件时按双方约定的节能效果来计算确定，公司用于节能项目</w:t>
      </w:r>
      <w:r>
        <w:rPr>
          <w:w w:val="100"/>
        </w:rPr>
        <w:t> </w:t>
      </w:r>
      <w:r>
        <w:rPr>
          <w:spacing w:val="-2"/>
        </w:rPr>
        <w:t>的设备作为固定资产处理，使用寿命按项目期确定，计提折旧的年限按项目主要受益期确定，计提的折旧</w:t>
      </w:r>
      <w:r>
        <w:rPr>
          <w:spacing w:val="-45"/>
        </w:rPr>
        <w:t> </w:t>
      </w:r>
      <w:r>
        <w:rPr>
          <w:spacing w:val="-45"/>
        </w:rPr>
      </w:r>
      <w:r>
        <w:rPr/>
        <w:t>记入节能服务业务成本，与节能服务相关的费用记入当期费用。</w:t>
      </w:r>
    </w:p>
    <w:p>
      <w:pPr>
        <w:spacing w:after="0" w:line="357" w:lineRule="auto"/>
        <w:jc w:val="both"/>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rFonts w:ascii="Times New Roman" w:hAnsi="Times New Roman" w:cs="Times New Roman" w:eastAsia="Times New Roman" w:hint="default"/>
        </w:rPr>
        <w:t>22</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0"/>
        <w:ind w:left="573" w:right="1123"/>
        <w:jc w:val="left"/>
      </w:pPr>
      <w:r>
        <w:rPr/>
        <w:t>包括财政拨款、财政贴息、税收返还和无偿划拨非货币性资产。</w:t>
      </w:r>
    </w:p>
    <w:p>
      <w:pPr>
        <w:pStyle w:val="BodyText"/>
        <w:spacing w:line="570" w:lineRule="atLeast" w:before="175"/>
        <w:ind w:left="573" w:right="1123" w:hanging="42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）会计处理方法</w:t>
      </w:r>
      <w:r>
        <w:rPr>
          <w:rFonts w:ascii="宋体" w:hAnsi="宋体" w:cs="宋体" w:eastAsia="宋体" w:hint="default"/>
          <w:b/>
          <w:bCs/>
          <w:spacing w:val="-104"/>
        </w:rPr>
        <w:t> </w:t>
      </w:r>
      <w:r>
        <w:rPr>
          <w:spacing w:val="-2"/>
        </w:rPr>
        <w:t>本公司收到的与资产相关的政府补助，确认为递延收益，自相关资产达到预定可使用状态时起，在该</w:t>
      </w:r>
    </w:p>
    <w:p>
      <w:pPr>
        <w:pStyle w:val="BodyText"/>
        <w:spacing w:line="357" w:lineRule="auto" w:before="133"/>
        <w:ind w:right="1126"/>
        <w:jc w:val="both"/>
      </w:pPr>
      <w:r>
        <w:rPr>
          <w:spacing w:val="-2"/>
        </w:rPr>
        <w:t>资产使用寿命内平均计入各期损益。相关资产在使用寿命结束前被出售、转让、报废或发生毁损的，将递</w:t>
      </w:r>
      <w:r>
        <w:rPr>
          <w:spacing w:val="-47"/>
        </w:rPr>
        <w:t> </w:t>
      </w:r>
      <w:r>
        <w:rPr>
          <w:spacing w:val="-47"/>
        </w:rPr>
      </w:r>
      <w:r>
        <w:rPr>
          <w:spacing w:val="-2"/>
        </w:rPr>
        <w:t>延收益余额一次性转入资产处置当期的损益。收到的与收益相关的政府补助，用于补偿以后期间的相关费</w:t>
      </w:r>
      <w:r>
        <w:rPr>
          <w:spacing w:val="-43"/>
        </w:rPr>
        <w:t> </w:t>
      </w:r>
      <w:r>
        <w:rPr>
          <w:spacing w:val="-43"/>
        </w:rPr>
      </w:r>
      <w:r>
        <w:rPr>
          <w:spacing w:val="-2"/>
        </w:rPr>
        <w:t>用或损失的，确认为递延收益，在确认相关费用的期间计入当期损益；用于补偿已经发生的相关费用或损</w:t>
      </w:r>
      <w:r>
        <w:rPr>
          <w:spacing w:val="-43"/>
        </w:rPr>
        <w:t> </w:t>
      </w:r>
      <w:r>
        <w:rPr>
          <w:spacing w:val="-43"/>
        </w:rPr>
      </w:r>
      <w:r>
        <w:rPr/>
        <w:t>失的，取得时直接计入当期损益。</w:t>
      </w:r>
    </w:p>
    <w:p>
      <w:pPr>
        <w:spacing w:line="240" w:lineRule="auto" w:before="1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23</w:t>
      </w:r>
      <w:r>
        <w:rPr/>
        <w:t>、递延所得税资产和递延所得税负债</w:t>
      </w:r>
      <w:r>
        <w:rPr>
          <w:b w:val="0"/>
          <w:bCs w:val="0"/>
        </w:rPr>
      </w:r>
    </w:p>
    <w:p>
      <w:pPr>
        <w:spacing w:line="570" w:lineRule="atLeast" w:before="42"/>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a</w:t>
      </w:r>
      <w:r>
        <w:rPr>
          <w:rFonts w:ascii="宋体" w:hAnsi="宋体" w:cs="宋体" w:eastAsia="宋体" w:hint="default"/>
          <w:spacing w:val="-2"/>
          <w:sz w:val="21"/>
          <w:szCs w:val="21"/>
        </w:rPr>
        <w:t>、本公司以很可能取得用来抵扣可抵扣暂时性差异的应纳税所得额为限，确认由可抵扣暂时性差异</w:t>
      </w:r>
    </w:p>
    <w:p>
      <w:pPr>
        <w:pStyle w:val="BodyText"/>
        <w:spacing w:line="355" w:lineRule="auto" w:before="133"/>
        <w:ind w:right="1123"/>
        <w:jc w:val="left"/>
      </w:pPr>
      <w:r>
        <w:rPr>
          <w:spacing w:val="-2"/>
        </w:rPr>
        <w:t>产生的递延所得税资产。但是同时具有下列特征的交易中因资产或负债的初始确认所产生的递延所得税资</w:t>
      </w:r>
      <w:r>
        <w:rPr>
          <w:spacing w:val="-43"/>
        </w:rPr>
        <w:t> </w:t>
      </w:r>
      <w:r>
        <w:rPr>
          <w:spacing w:val="-43"/>
        </w:rPr>
      </w:r>
      <w:r>
        <w:rPr/>
        <w:t>产不予确认：</w:t>
      </w:r>
    </w:p>
    <w:p>
      <w:pPr>
        <w:pStyle w:val="BodyText"/>
        <w:spacing w:line="240" w:lineRule="auto" w:before="35"/>
        <w:ind w:left="573" w:right="1123"/>
        <w:jc w:val="left"/>
      </w:pPr>
      <w:r>
        <w:rPr>
          <w:rFonts w:ascii="宋体" w:hAnsi="宋体" w:cs="宋体" w:eastAsia="宋体" w:hint="default"/>
        </w:rPr>
        <w:t>1/</w:t>
      </w:r>
      <w:r>
        <w:rPr>
          <w:rFonts w:ascii="宋体" w:hAnsi="宋体" w:cs="宋体" w:eastAsia="宋体" w:hint="default"/>
          <w:spacing w:val="-4"/>
        </w:rPr>
        <w:t> </w:t>
      </w:r>
      <w:r>
        <w:rPr/>
        <w:t>该项交易不是企业合并；</w:t>
      </w:r>
    </w:p>
    <w:p>
      <w:pPr>
        <w:pStyle w:val="BodyText"/>
        <w:spacing w:line="355" w:lineRule="auto" w:before="133"/>
        <w:ind w:left="573" w:right="1123"/>
        <w:jc w:val="left"/>
      </w:pPr>
      <w:r>
        <w:rPr>
          <w:rFonts w:ascii="宋体" w:hAnsi="宋体" w:cs="宋体" w:eastAsia="宋体" w:hint="default"/>
          <w:w w:val="100"/>
        </w:rPr>
        <w:t>2/ </w:t>
      </w:r>
      <w:r>
        <w:rPr>
          <w:spacing w:val="-2"/>
          <w:w w:val="99"/>
        </w:rPr>
        <w:t>交易发生时既不影响会计利润也不影响应纳税所得额（或可抵扣亏损）。</w:t>
      </w:r>
      <w:r>
        <w:rPr>
          <w:rFonts w:ascii="宋体" w:hAnsi="宋体" w:cs="宋体" w:eastAsia="宋体" w:hint="default"/>
          <w:spacing w:val="-2"/>
          <w:w w:val="99"/>
        </w:rPr>
        <w:t>’</w:t>
      </w:r>
      <w:r>
        <w:rPr>
          <w:rFonts w:ascii="宋体" w:hAnsi="宋体" w:cs="宋体" w:eastAsia="宋体" w:hint="default"/>
          <w:spacing w:val="-87"/>
          <w:w w:val="99"/>
        </w:rPr>
        <w:t> </w:t>
      </w:r>
      <w:r>
        <w:rPr>
          <w:rFonts w:ascii="宋体" w:hAnsi="宋体" w:cs="宋体" w:eastAsia="宋体" w:hint="default"/>
          <w:spacing w:val="-2"/>
        </w:rPr>
        <w:t>b</w:t>
      </w:r>
      <w:r>
        <w:rPr>
          <w:spacing w:val="-2"/>
        </w:rPr>
        <w:t>、本公司对与子公司、联营公司及合营企业投资相关的可抵扣暂时性差异，同时满足下列条件的，</w:t>
      </w:r>
    </w:p>
    <w:p>
      <w:pPr>
        <w:pStyle w:val="BodyText"/>
        <w:spacing w:line="240" w:lineRule="auto" w:before="32"/>
        <w:ind w:right="1123"/>
        <w:jc w:val="left"/>
      </w:pPr>
      <w:r>
        <w:rPr/>
        <w:t>确认相应的递延所得税资产：</w:t>
      </w:r>
    </w:p>
    <w:p>
      <w:pPr>
        <w:pStyle w:val="BodyText"/>
        <w:spacing w:line="240" w:lineRule="auto" w:before="133"/>
        <w:ind w:left="573" w:right="1123"/>
        <w:jc w:val="left"/>
      </w:pPr>
      <w:r>
        <w:rPr>
          <w:rFonts w:ascii="宋体" w:hAnsi="宋体" w:cs="宋体" w:eastAsia="宋体" w:hint="default"/>
        </w:rPr>
        <w:t>1/</w:t>
      </w:r>
      <w:r>
        <w:rPr>
          <w:rFonts w:ascii="宋体" w:hAnsi="宋体" w:cs="宋体" w:eastAsia="宋体" w:hint="default"/>
          <w:spacing w:val="-5"/>
        </w:rPr>
        <w:t> </w:t>
      </w:r>
      <w:r>
        <w:rPr/>
        <w:t>暂时性差异在可预见的未来很可能转回；</w:t>
      </w:r>
    </w:p>
    <w:p>
      <w:pPr>
        <w:pStyle w:val="BodyText"/>
        <w:spacing w:line="355" w:lineRule="auto" w:before="135"/>
        <w:ind w:left="573" w:right="1123"/>
        <w:jc w:val="left"/>
      </w:pPr>
      <w:r>
        <w:rPr>
          <w:rFonts w:ascii="宋体" w:hAnsi="宋体" w:cs="宋体" w:eastAsia="宋体" w:hint="default"/>
        </w:rPr>
        <w:t>2/</w:t>
      </w:r>
      <w:r>
        <w:rPr>
          <w:rFonts w:ascii="宋体" w:hAnsi="宋体" w:cs="宋体" w:eastAsia="宋体" w:hint="default"/>
          <w:spacing w:val="-1"/>
        </w:rPr>
        <w:t> </w:t>
      </w:r>
      <w:r>
        <w:rPr/>
        <w:t>未来很可能获得用来抵扣暂时性差异的应纳税所得额。</w:t>
      </w:r>
      <w:r>
        <w:rPr>
          <w:w w:val="100"/>
        </w:rPr>
        <w:t> </w:t>
      </w:r>
      <w:r>
        <w:rPr>
          <w:rFonts w:ascii="宋体" w:hAnsi="宋体" w:cs="宋体" w:eastAsia="宋体" w:hint="default"/>
          <w:spacing w:val="-2"/>
        </w:rPr>
        <w:t>c</w:t>
      </w:r>
      <w:r>
        <w:rPr>
          <w:spacing w:val="-2"/>
        </w:rPr>
        <w:t>、本公司对于能够结转以后年度的可抵扣亏损和税款抵减，以很可能获得用来抵扣可抵扣亏损和税</w:t>
      </w:r>
    </w:p>
    <w:p>
      <w:pPr>
        <w:pStyle w:val="BodyText"/>
        <w:spacing w:line="240" w:lineRule="auto" w:before="32"/>
        <w:ind w:right="1123"/>
        <w:jc w:val="left"/>
        <w:rPr>
          <w:rFonts w:ascii="宋体" w:hAnsi="宋体" w:cs="宋体" w:eastAsia="宋体" w:hint="default"/>
        </w:rPr>
      </w:pPr>
      <w:r>
        <w:rPr>
          <w:w w:val="100"/>
        </w:rPr>
        <w:t>款抵</w:t>
      </w:r>
      <w:r>
        <w:rPr>
          <w:spacing w:val="-3"/>
          <w:w w:val="100"/>
        </w:rPr>
        <w:t>减</w:t>
      </w:r>
      <w:r>
        <w:rPr>
          <w:w w:val="100"/>
        </w:rPr>
        <w:t>的</w:t>
      </w:r>
      <w:r>
        <w:rPr>
          <w:spacing w:val="-3"/>
          <w:w w:val="100"/>
        </w:rPr>
        <w:t>未</w:t>
      </w:r>
      <w:r>
        <w:rPr>
          <w:w w:val="100"/>
        </w:rPr>
        <w:t>来</w:t>
      </w:r>
      <w:r>
        <w:rPr>
          <w:spacing w:val="-3"/>
          <w:w w:val="100"/>
        </w:rPr>
        <w:t>应</w:t>
      </w:r>
      <w:r>
        <w:rPr>
          <w:w w:val="100"/>
        </w:rPr>
        <w:t>纳</w:t>
      </w:r>
      <w:r>
        <w:rPr>
          <w:spacing w:val="-3"/>
          <w:w w:val="100"/>
        </w:rPr>
        <w:t>税</w:t>
      </w:r>
      <w:r>
        <w:rPr>
          <w:w w:val="100"/>
        </w:rPr>
        <w:t>所</w:t>
      </w:r>
      <w:r>
        <w:rPr>
          <w:spacing w:val="-3"/>
          <w:w w:val="100"/>
        </w:rPr>
        <w:t>得</w:t>
      </w:r>
      <w:r>
        <w:rPr>
          <w:w w:val="100"/>
        </w:rPr>
        <w:t>额为</w:t>
      </w:r>
      <w:r>
        <w:rPr>
          <w:spacing w:val="-3"/>
          <w:w w:val="100"/>
        </w:rPr>
        <w:t>限</w:t>
      </w:r>
      <w:r>
        <w:rPr>
          <w:w w:val="100"/>
        </w:rPr>
        <w:t>，</w:t>
      </w:r>
      <w:r>
        <w:rPr>
          <w:spacing w:val="-3"/>
          <w:w w:val="100"/>
        </w:rPr>
        <w:t>确</w:t>
      </w:r>
      <w:r>
        <w:rPr>
          <w:w w:val="100"/>
        </w:rPr>
        <w:t>认</w:t>
      </w:r>
      <w:r>
        <w:rPr>
          <w:spacing w:val="-3"/>
          <w:w w:val="100"/>
        </w:rPr>
        <w:t>相</w:t>
      </w:r>
      <w:r>
        <w:rPr>
          <w:w w:val="100"/>
        </w:rPr>
        <w:t>应</w:t>
      </w:r>
      <w:r>
        <w:rPr>
          <w:spacing w:val="-3"/>
          <w:w w:val="100"/>
        </w:rPr>
        <w:t>的</w:t>
      </w:r>
      <w:r>
        <w:rPr>
          <w:w w:val="100"/>
        </w:rPr>
        <w:t>递</w:t>
      </w:r>
      <w:r>
        <w:rPr>
          <w:spacing w:val="-3"/>
          <w:w w:val="100"/>
        </w:rPr>
        <w:t>延</w:t>
      </w:r>
      <w:r>
        <w:rPr>
          <w:w w:val="100"/>
        </w:rPr>
        <w:t>所得</w:t>
      </w:r>
      <w:r>
        <w:rPr>
          <w:spacing w:val="-3"/>
          <w:w w:val="100"/>
        </w:rPr>
        <w:t>税</w:t>
      </w:r>
      <w:r>
        <w:rPr>
          <w:w w:val="100"/>
        </w:rPr>
        <w:t>资</w:t>
      </w:r>
      <w:r>
        <w:rPr>
          <w:spacing w:val="-3"/>
          <w:w w:val="100"/>
        </w:rPr>
        <w:t>产</w:t>
      </w:r>
      <w:r>
        <w:rPr>
          <w:w w:val="100"/>
        </w:rPr>
        <w:t>。</w:t>
      </w:r>
      <w:r>
        <w:rPr>
          <w:rFonts w:ascii="宋体" w:hAnsi="宋体" w:cs="宋体" w:eastAsia="宋体" w:hint="default"/>
          <w:w w:val="50"/>
        </w:rPr>
        <w:t>’</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573" w:right="1123"/>
        <w:jc w:val="left"/>
      </w:pPr>
      <w:r>
        <w:rPr>
          <w:spacing w:val="-2"/>
        </w:rPr>
        <w:t>除下列情况产生的递延所得税负债以外，本公司确认所有应纳税暂时性差异产生的递延所得税负债：</w:t>
      </w:r>
      <w:r>
        <w:rPr>
          <w:spacing w:val="-27"/>
        </w:rPr>
        <w:t> </w:t>
      </w:r>
      <w:r>
        <w:rPr>
          <w:spacing w:val="-27"/>
        </w:rPr>
      </w:r>
      <w:r>
        <w:rPr>
          <w:rFonts w:ascii="宋体" w:hAnsi="宋体" w:cs="宋体" w:eastAsia="宋体" w:hint="default"/>
          <w:spacing w:val="-2"/>
          <w:w w:val="95"/>
        </w:rPr>
        <w:t>’a</w:t>
      </w:r>
      <w:r>
        <w:rPr>
          <w:spacing w:val="-2"/>
          <w:w w:val="95"/>
        </w:rPr>
        <w:t>、商誉的初始确认；</w:t>
      </w:r>
    </w:p>
    <w:p>
      <w:pPr>
        <w:pStyle w:val="BodyText"/>
        <w:spacing w:line="357" w:lineRule="auto" w:before="32"/>
        <w:ind w:left="573" w:right="4028"/>
        <w:jc w:val="left"/>
      </w:pPr>
      <w:r>
        <w:rPr>
          <w:rFonts w:ascii="宋体" w:hAnsi="宋体" w:cs="宋体" w:eastAsia="宋体" w:hint="default"/>
          <w:spacing w:val="-2"/>
        </w:rPr>
        <w:t>b</w:t>
      </w:r>
      <w:r>
        <w:rPr>
          <w:spacing w:val="-2"/>
        </w:rPr>
        <w:t>、同时满足具有下列特征的交易中产生的资产或负债的初始确认：</w:t>
      </w:r>
      <w:r>
        <w:rPr>
          <w:spacing w:val="-49"/>
        </w:rPr>
        <w:t> </w:t>
      </w:r>
      <w:r>
        <w:rPr>
          <w:spacing w:val="-49"/>
        </w:rPr>
      </w:r>
      <w:r>
        <w:rPr>
          <w:rFonts w:ascii="宋体" w:hAnsi="宋体" w:cs="宋体" w:eastAsia="宋体" w:hint="default"/>
        </w:rPr>
        <w:t>1/</w:t>
      </w:r>
      <w:r>
        <w:rPr>
          <w:rFonts w:ascii="宋体" w:hAnsi="宋体" w:cs="宋体" w:eastAsia="宋体" w:hint="default"/>
          <w:spacing w:val="-4"/>
        </w:rPr>
        <w:t> </w:t>
      </w:r>
      <w:r>
        <w:rPr/>
        <w:t>该项交易不是企业合并；</w:t>
      </w:r>
    </w:p>
    <w:p>
      <w:pPr>
        <w:pStyle w:val="BodyText"/>
        <w:spacing w:line="240" w:lineRule="auto"/>
        <w:ind w:left="573" w:right="1123"/>
        <w:jc w:val="left"/>
      </w:pPr>
      <w:r>
        <w:rPr>
          <w:rFonts w:ascii="宋体" w:hAnsi="宋体" w:cs="宋体" w:eastAsia="宋体" w:hint="default"/>
        </w:rPr>
        <w:t>2/</w:t>
      </w:r>
      <w:r>
        <w:rPr>
          <w:rFonts w:ascii="宋体" w:hAnsi="宋体" w:cs="宋体" w:eastAsia="宋体" w:hint="default"/>
          <w:spacing w:val="-6"/>
        </w:rPr>
        <w:t> </w:t>
      </w:r>
      <w:r>
        <w:rPr/>
        <w:t>交易发生时既不影响会计利润也不影响应纳税所得额（或可抵扣亏损）。</w:t>
      </w:r>
    </w:p>
    <w:p>
      <w:pPr>
        <w:pStyle w:val="BodyText"/>
        <w:spacing w:line="240" w:lineRule="auto" w:before="133"/>
        <w:ind w:left="573" w:right="1123"/>
        <w:jc w:val="left"/>
      </w:pPr>
      <w:r>
        <w:rPr>
          <w:rFonts w:ascii="宋体" w:hAnsi="宋体" w:cs="宋体" w:eastAsia="宋体" w:hint="default"/>
        </w:rPr>
        <w:t>c</w:t>
      </w:r>
      <w:r>
        <w:rPr/>
        <w:t>、本公司对与子公司、联营公司及合营企业投资产生相关的应纳税暂时性差异，同时满足下列条件</w:t>
      </w:r>
    </w:p>
    <w:p>
      <w:pPr>
        <w:spacing w:after="0" w:line="240" w:lineRule="auto"/>
        <w:jc w:val="left"/>
        <w:sectPr>
          <w:pgSz w:w="11910" w:h="16840"/>
          <w:pgMar w:header="877" w:footer="1340" w:top="1100" w:bottom="1540" w:left="980" w:right="0"/>
        </w:sectPr>
      </w:pPr>
    </w:p>
    <w:p>
      <w:pPr>
        <w:spacing w:line="240" w:lineRule="auto" w:before="3"/>
        <w:rPr>
          <w:rFonts w:ascii="宋体" w:hAnsi="宋体" w:cs="宋体" w:eastAsia="宋体" w:hint="default"/>
          <w:sz w:val="19"/>
          <w:szCs w:val="19"/>
        </w:rPr>
      </w:pPr>
    </w:p>
    <w:p>
      <w:pPr>
        <w:pStyle w:val="BodyText"/>
        <w:spacing w:line="240" w:lineRule="auto" w:before="36"/>
        <w:ind w:right="1123"/>
        <w:jc w:val="left"/>
      </w:pPr>
      <w:r>
        <w:rPr/>
        <w:t>的：</w:t>
      </w:r>
    </w:p>
    <w:p>
      <w:pPr>
        <w:pStyle w:val="BodyText"/>
        <w:spacing w:line="240" w:lineRule="auto" w:before="133"/>
        <w:ind w:left="573" w:right="1123"/>
        <w:jc w:val="left"/>
      </w:pPr>
      <w:r>
        <w:rPr>
          <w:rFonts w:ascii="宋体" w:hAnsi="宋体" w:cs="宋体" w:eastAsia="宋体" w:hint="default"/>
        </w:rPr>
        <w:t>1/</w:t>
      </w:r>
      <w:r>
        <w:rPr>
          <w:rFonts w:ascii="宋体" w:hAnsi="宋体" w:cs="宋体" w:eastAsia="宋体" w:hint="default"/>
          <w:spacing w:val="-5"/>
        </w:rPr>
        <w:t> </w:t>
      </w:r>
      <w:r>
        <w:rPr/>
        <w:t>投资企业能够控制暂时性差异的转回的时间；</w:t>
      </w:r>
    </w:p>
    <w:p>
      <w:pPr>
        <w:pStyle w:val="BodyText"/>
        <w:spacing w:line="240" w:lineRule="auto" w:before="133"/>
        <w:ind w:left="573" w:right="1123"/>
        <w:jc w:val="left"/>
        <w:rPr>
          <w:rFonts w:ascii="宋体" w:hAnsi="宋体" w:cs="宋体" w:eastAsia="宋体" w:hint="default"/>
        </w:rPr>
      </w:pPr>
      <w:r>
        <w:rPr>
          <w:rFonts w:ascii="宋体" w:hAnsi="宋体" w:cs="宋体" w:eastAsia="宋体" w:hint="default"/>
          <w:w w:val="100"/>
        </w:rPr>
        <w:t>2/</w:t>
      </w:r>
      <w:r>
        <w:rPr>
          <w:rFonts w:ascii="宋体" w:hAnsi="宋体" w:cs="宋体" w:eastAsia="宋体" w:hint="default"/>
        </w:rPr>
        <w:t> </w:t>
      </w:r>
      <w:r>
        <w:rPr>
          <w:spacing w:val="-3"/>
          <w:w w:val="100"/>
        </w:rPr>
        <w:t>暂</w:t>
      </w:r>
      <w:r>
        <w:rPr>
          <w:w w:val="100"/>
        </w:rPr>
        <w:t>时</w:t>
      </w:r>
      <w:r>
        <w:rPr>
          <w:spacing w:val="-3"/>
          <w:w w:val="100"/>
        </w:rPr>
        <w:t>性</w:t>
      </w:r>
      <w:r>
        <w:rPr>
          <w:w w:val="100"/>
        </w:rPr>
        <w:t>差</w:t>
      </w:r>
      <w:r>
        <w:rPr>
          <w:spacing w:val="-3"/>
          <w:w w:val="100"/>
        </w:rPr>
        <w:t>异</w:t>
      </w:r>
      <w:r>
        <w:rPr>
          <w:w w:val="100"/>
        </w:rPr>
        <w:t>在</w:t>
      </w:r>
      <w:r>
        <w:rPr>
          <w:spacing w:val="-3"/>
          <w:w w:val="100"/>
        </w:rPr>
        <w:t>可</w:t>
      </w:r>
      <w:r>
        <w:rPr>
          <w:w w:val="100"/>
        </w:rPr>
        <w:t>预</w:t>
      </w:r>
      <w:r>
        <w:rPr>
          <w:spacing w:val="-3"/>
          <w:w w:val="100"/>
        </w:rPr>
        <w:t>见的</w:t>
      </w:r>
      <w:r>
        <w:rPr>
          <w:w w:val="100"/>
        </w:rPr>
        <w:t>未来</w:t>
      </w:r>
      <w:r>
        <w:rPr>
          <w:spacing w:val="-3"/>
          <w:w w:val="100"/>
        </w:rPr>
        <w:t>很</w:t>
      </w:r>
      <w:r>
        <w:rPr>
          <w:w w:val="100"/>
        </w:rPr>
        <w:t>可</w:t>
      </w:r>
      <w:r>
        <w:rPr>
          <w:spacing w:val="-3"/>
          <w:w w:val="100"/>
        </w:rPr>
        <w:t>能</w:t>
      </w:r>
      <w:r>
        <w:rPr>
          <w:w w:val="100"/>
        </w:rPr>
        <w:t>不</w:t>
      </w:r>
      <w:r>
        <w:rPr>
          <w:spacing w:val="-3"/>
          <w:w w:val="100"/>
        </w:rPr>
        <w:t>会</w:t>
      </w:r>
      <w:r>
        <w:rPr>
          <w:w w:val="100"/>
        </w:rPr>
        <w:t>转</w:t>
      </w:r>
      <w:r>
        <w:rPr>
          <w:spacing w:val="-3"/>
          <w:w w:val="100"/>
        </w:rPr>
        <w:t>回</w:t>
      </w:r>
      <w:r>
        <w:rPr>
          <w:spacing w:val="-1"/>
          <w:w w:val="100"/>
        </w:rPr>
        <w:t>。</w:t>
      </w:r>
      <w:r>
        <w:rPr>
          <w:rFonts w:ascii="宋体" w:hAnsi="宋体" w:cs="宋体" w:eastAsia="宋体" w:hint="default"/>
          <w:w w:val="50"/>
        </w:rPr>
        <w:t>’</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3"/>
        <w:spacing w:line="240" w:lineRule="auto"/>
        <w:ind w:right="1123"/>
        <w:jc w:val="left"/>
        <w:rPr>
          <w:b w:val="0"/>
          <w:bCs w:val="0"/>
        </w:rPr>
      </w:pPr>
      <w:r>
        <w:rPr>
          <w:rFonts w:ascii="Times New Roman" w:hAnsi="Times New Roman" w:cs="Times New Roman" w:eastAsia="Times New Roman" w:hint="default"/>
        </w:rPr>
        <w:t>24</w:t>
      </w:r>
      <w:r>
        <w:rPr/>
        <w:t>、经营租赁、融资租赁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right="1123" w:firstLine="420"/>
        <w:jc w:val="left"/>
      </w:pPr>
      <w:r>
        <w:rPr>
          <w:spacing w:val="-2"/>
        </w:rPr>
        <w:t>①公司租入资产所支付的租赁费，在不扣除免租期的整个租赁期内，按直线法进行分摊，计入当期费</w:t>
      </w:r>
      <w:r>
        <w:rPr>
          <w:w w:val="100"/>
        </w:rPr>
        <w:t> </w:t>
      </w:r>
      <w:r>
        <w:rPr/>
        <w:t>用。公司支付的与租赁交易相关的初始直接费用，计入当期费用。</w:t>
      </w:r>
    </w:p>
    <w:p>
      <w:pPr>
        <w:pStyle w:val="BodyText"/>
        <w:spacing w:line="357" w:lineRule="auto" w:before="32"/>
        <w:ind w:right="1123" w:firstLine="420"/>
        <w:jc w:val="left"/>
      </w:pPr>
      <w:r>
        <w:rPr>
          <w:spacing w:val="-2"/>
        </w:rPr>
        <w:t>资产出租方承担了应由公司承担的与租赁相关的费用时，公司将该部分费用从租金总额中扣除，按扣</w:t>
      </w:r>
      <w:r>
        <w:rPr>
          <w:w w:val="100"/>
        </w:rPr>
        <w:t> </w:t>
      </w:r>
      <w:r>
        <w:rPr/>
        <w:t>除后的租金费用在租赁期内分摊，计入当期费用。</w:t>
      </w:r>
    </w:p>
    <w:p>
      <w:pPr>
        <w:pStyle w:val="BodyText"/>
        <w:spacing w:line="355" w:lineRule="auto" w:before="32"/>
        <w:ind w:right="1126" w:firstLine="420"/>
        <w:jc w:val="both"/>
      </w:pPr>
      <w:r>
        <w:rPr>
          <w:spacing w:val="-2"/>
        </w:rPr>
        <w:t>②公司出租资产所收取的租赁费，在不扣除免租期的整个租赁期内，按直线法进行分摊，确认为租赁</w:t>
      </w:r>
      <w:r>
        <w:rPr>
          <w:w w:val="100"/>
        </w:rPr>
        <w:t> </w:t>
      </w:r>
      <w:r>
        <w:rPr>
          <w:spacing w:val="-2"/>
        </w:rPr>
        <w:t>收入。公司支付的与租赁交易相关的初始直接费用，计入当期费用；如金额较大的，则予以资本化，在整</w:t>
      </w:r>
      <w:r>
        <w:rPr>
          <w:spacing w:val="-43"/>
        </w:rPr>
        <w:t> </w:t>
      </w:r>
      <w:r>
        <w:rPr>
          <w:spacing w:val="-43"/>
        </w:rPr>
      </w:r>
      <w:r>
        <w:rPr/>
        <w:t>个租赁期间内按照与租赁收入确认相同的基础分期计入当期收益。</w:t>
      </w:r>
    </w:p>
    <w:p>
      <w:pPr>
        <w:pStyle w:val="BodyText"/>
        <w:spacing w:line="355" w:lineRule="auto" w:before="32"/>
        <w:ind w:right="1123" w:firstLine="420"/>
        <w:jc w:val="left"/>
      </w:pPr>
      <w:r>
        <w:rPr>
          <w:spacing w:val="-2"/>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45"/>
        <w:ind w:right="1123"/>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12"/>
        <w:rPr>
          <w:rFonts w:ascii="宋体" w:hAnsi="宋体" w:cs="宋体" w:eastAsia="宋体" w:hint="default"/>
          <w:b/>
          <w:bCs/>
          <w:sz w:val="22"/>
          <w:szCs w:val="22"/>
        </w:rPr>
      </w:pPr>
    </w:p>
    <w:p>
      <w:pPr>
        <w:pStyle w:val="BodyText"/>
        <w:spacing w:line="355" w:lineRule="auto" w:before="0"/>
        <w:ind w:right="1123" w:firstLine="420"/>
        <w:jc w:val="left"/>
      </w:pPr>
      <w:r>
        <w:rPr>
          <w:spacing w:val="-2"/>
        </w:rPr>
        <w:t>①融资租入资产：公司在承租开始日，将租赁资产公允价值与最低租赁付款额现值两者中较低者作为</w:t>
      </w:r>
      <w:r>
        <w:rPr>
          <w:w w:val="100"/>
        </w:rPr>
        <w:t> </w:t>
      </w:r>
      <w:r>
        <w:rPr/>
        <w:t>租入资产的入账价值，将最低租赁付款额作为长期应付款的入账价值，其差额作为未确认的融资费用。</w:t>
      </w:r>
    </w:p>
    <w:p>
      <w:pPr>
        <w:pStyle w:val="BodyText"/>
        <w:spacing w:line="240" w:lineRule="auto" w:before="34"/>
        <w:ind w:left="573" w:right="1123"/>
        <w:jc w:val="left"/>
      </w:pPr>
      <w:r>
        <w:rPr/>
        <w:t>公司采用实际利率法对未确认的融资费用，在资产租赁期间内摊销，计入财务费用。</w:t>
      </w:r>
    </w:p>
    <w:p>
      <w:pPr>
        <w:pStyle w:val="BodyText"/>
        <w:spacing w:line="355" w:lineRule="auto" w:before="133"/>
        <w:ind w:right="0" w:firstLine="420"/>
        <w:jc w:val="left"/>
      </w:pPr>
      <w:r>
        <w:rPr/>
        <w:t>②融资租出资产：公司在租赁开始日，将应收融资租赁款，未担保余值之和与其现值的差额确认为未</w:t>
      </w:r>
      <w:r>
        <w:rPr>
          <w:w w:val="100"/>
        </w:rPr>
        <w:t> </w:t>
      </w:r>
      <w:r>
        <w:rPr>
          <w:spacing w:val="-5"/>
        </w:rPr>
        <w:t>实现融资收益，在将来收到租金的各期间内确认为租赁收入，公司发生的与出租交易相关的初始直接费用，</w:t>
      </w:r>
      <w:r>
        <w:rPr>
          <w:spacing w:val="-6"/>
        </w:rPr>
        <w:t> </w:t>
      </w:r>
      <w:r>
        <w:rPr>
          <w:spacing w:val="-6"/>
        </w:rPr>
      </w:r>
      <w:r>
        <w:rPr/>
        <w:t>计入应收融资租赁款的初始计量中，并减少租赁期内确认的收益金额。</w:t>
      </w:r>
    </w:p>
    <w:p>
      <w:pPr>
        <w:spacing w:line="240" w:lineRule="auto" w:before="1"/>
        <w:rPr>
          <w:rFonts w:ascii="宋体" w:hAnsi="宋体" w:cs="宋体" w:eastAsia="宋体" w:hint="default"/>
          <w:sz w:val="27"/>
          <w:szCs w:val="27"/>
        </w:rPr>
      </w:pPr>
    </w:p>
    <w:p>
      <w:pPr>
        <w:pStyle w:val="Heading3"/>
        <w:spacing w:line="489" w:lineRule="auto"/>
        <w:ind w:right="833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）售后租回的会计处理</w:t>
      </w:r>
      <w:r>
        <w:rPr>
          <w:w w:val="100"/>
        </w:rPr>
        <w:t> </w:t>
      </w:r>
      <w:r>
        <w:rPr>
          <w:rFonts w:ascii="宋体" w:hAnsi="宋体" w:cs="宋体" w:eastAsia="宋体" w:hint="default"/>
          <w:b w:val="0"/>
          <w:bCs w:val="0"/>
        </w:rPr>
        <w:t>不适用</w:t>
      </w:r>
    </w:p>
    <w:p>
      <w:pPr>
        <w:spacing w:line="592" w:lineRule="exact" w:before="8"/>
        <w:ind w:left="152" w:right="64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、主要会计政策、会计估计的变更</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本报告期主要会计政策、会计估计是否变更</w:t>
      </w:r>
    </w:p>
    <w:p>
      <w:pPr>
        <w:pStyle w:val="BodyText"/>
        <w:spacing w:line="240" w:lineRule="auto" w:before="44"/>
        <w:ind w:right="1123"/>
        <w:jc w:val="left"/>
      </w:pPr>
      <w:r>
        <w:rPr/>
        <w:t>□ 是 √</w:t>
      </w:r>
      <w:r>
        <w:rPr>
          <w:spacing w:val="1"/>
        </w:rPr>
        <w:t> </w:t>
      </w:r>
      <w:r>
        <w:rPr/>
        <w:t>否</w:t>
      </w:r>
    </w:p>
    <w:p>
      <w:pPr>
        <w:spacing w:after="0" w:line="240" w:lineRule="auto"/>
        <w:jc w:val="left"/>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right="1123"/>
        <w:jc w:val="left"/>
      </w:pPr>
      <w:r>
        <w:rPr/>
        <w:t>本报告期主要会计政策是否变更</w:t>
      </w:r>
    </w:p>
    <w:p>
      <w:pPr>
        <w:pStyle w:val="BodyText"/>
        <w:spacing w:line="240" w:lineRule="auto" w:before="133"/>
        <w:ind w:right="1123"/>
        <w:jc w:val="left"/>
      </w:pPr>
      <w:r>
        <w:rPr/>
        <w:t>□ 是 √</w:t>
      </w:r>
      <w:r>
        <w:rPr>
          <w:spacing w:val="1"/>
        </w:rPr>
        <w:t> </w:t>
      </w:r>
      <w:r>
        <w:rPr/>
        <w:t>否</w:t>
      </w:r>
    </w:p>
    <w:p>
      <w:pPr>
        <w:spacing w:line="570" w:lineRule="atLeast" w:before="175"/>
        <w:ind w:left="152" w:right="643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本报告期主要会计估计是否变更</w:t>
      </w:r>
    </w:p>
    <w:p>
      <w:pPr>
        <w:pStyle w:val="BodyText"/>
        <w:spacing w:line="240" w:lineRule="auto" w:before="133"/>
        <w:ind w:right="1123"/>
        <w:jc w:val="left"/>
      </w:pPr>
      <w:r>
        <w:rPr/>
        <w:t>□ 是 √</w:t>
      </w:r>
      <w:r>
        <w:rPr>
          <w:spacing w:val="1"/>
        </w:rPr>
        <w:t> </w:t>
      </w:r>
      <w:r>
        <w:rPr/>
        <w:t>否</w:t>
      </w:r>
    </w:p>
    <w:p>
      <w:pPr>
        <w:spacing w:line="570" w:lineRule="atLeast" w:before="175"/>
        <w:ind w:left="152" w:right="64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、前期会计差错更正</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本报告期是否发现前期会计差错</w:t>
      </w:r>
    </w:p>
    <w:p>
      <w:pPr>
        <w:pStyle w:val="BodyText"/>
        <w:spacing w:line="355" w:lineRule="auto" w:before="135"/>
        <w:ind w:right="4634"/>
        <w:jc w:val="left"/>
      </w:pPr>
      <w:r>
        <w:rPr/>
        <w:t>□ 是 √ 否</w:t>
      </w:r>
      <w:r>
        <w:rPr>
          <w:spacing w:val="-104"/>
        </w:rPr>
        <w:t> </w:t>
      </w:r>
      <w:r>
        <w:rPr>
          <w:spacing w:val="-104"/>
        </w:rPr>
      </w:r>
      <w:r>
        <w:rPr>
          <w:spacing w:val="-2"/>
        </w:rPr>
        <w:t>本报告期未发生采用追溯重述法的前期会计差错更正事项</w:t>
      </w:r>
      <w:r>
        <w:rPr>
          <w:spacing w:val="-55"/>
        </w:rPr>
        <w:t> </w:t>
      </w:r>
      <w:r>
        <w:rPr>
          <w:spacing w:val="-55"/>
        </w:rPr>
      </w:r>
      <w:r>
        <w:rPr>
          <w:spacing w:val="-2"/>
        </w:rPr>
        <w:t>本报告期未发生采用未来适用法的前期会计差错更正事项</w:t>
      </w:r>
    </w:p>
    <w:p>
      <w:pPr>
        <w:spacing w:line="570" w:lineRule="atLeast" w:before="74"/>
        <w:ind w:left="152" w:right="553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本报告期是否发现采用追溯重述法的前期会计差错</w:t>
      </w:r>
    </w:p>
    <w:p>
      <w:pPr>
        <w:pStyle w:val="BodyText"/>
        <w:spacing w:line="240" w:lineRule="auto" w:before="133"/>
        <w:ind w:right="1123"/>
        <w:jc w:val="left"/>
      </w:pPr>
      <w:r>
        <w:rPr/>
        <w:t>□ 是 √</w:t>
      </w:r>
      <w:r>
        <w:rPr>
          <w:spacing w:val="1"/>
        </w:rPr>
        <w:t> </w:t>
      </w:r>
      <w:r>
        <w:rPr/>
        <w:t>否</w:t>
      </w:r>
    </w:p>
    <w:p>
      <w:pPr>
        <w:spacing w:line="570" w:lineRule="atLeast" w:before="176"/>
        <w:ind w:left="152" w:right="553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本报告期是否发现采用未来适用法的前期会计差错</w:t>
      </w:r>
    </w:p>
    <w:p>
      <w:pPr>
        <w:pStyle w:val="BodyText"/>
        <w:spacing w:line="240" w:lineRule="auto" w:before="133"/>
        <w:ind w:right="1123"/>
        <w:jc w:val="left"/>
      </w:pPr>
      <w:r>
        <w:rPr/>
        <w:t>□ 是 √</w:t>
      </w:r>
      <w:r>
        <w:rPr>
          <w:spacing w:val="1"/>
        </w:rPr>
        <w:t> </w:t>
      </w:r>
      <w:r>
        <w:rPr/>
        <w:t>否</w:t>
      </w:r>
    </w:p>
    <w:p>
      <w:pPr>
        <w:spacing w:line="240" w:lineRule="auto" w:before="0"/>
        <w:rPr>
          <w:rFonts w:ascii="宋体" w:hAnsi="宋体" w:cs="宋体" w:eastAsia="宋体" w:hint="default"/>
          <w:sz w:val="20"/>
          <w:szCs w:val="20"/>
        </w:rPr>
      </w:pPr>
    </w:p>
    <w:p>
      <w:pPr>
        <w:pStyle w:val="Heading2"/>
        <w:spacing w:line="240" w:lineRule="auto" w:before="167"/>
        <w:ind w:right="1123"/>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17"/>
        <w:gridCol w:w="3002"/>
        <w:gridCol w:w="643"/>
        <w:gridCol w:w="2384"/>
      </w:tblGrid>
      <w:tr>
        <w:trPr>
          <w:trHeight w:val="404"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4"/>
              <w:jc w:val="center"/>
              <w:rPr>
                <w:rFonts w:ascii="宋体" w:hAnsi="宋体" w:cs="宋体" w:eastAsia="宋体" w:hint="default"/>
                <w:sz w:val="18"/>
                <w:szCs w:val="18"/>
              </w:rPr>
            </w:pPr>
            <w:r>
              <w:rPr>
                <w:rFonts w:ascii="宋体" w:hAnsi="宋体" w:cs="宋体" w:eastAsia="宋体" w:hint="default"/>
                <w:sz w:val="18"/>
                <w:szCs w:val="18"/>
              </w:rPr>
              <w:t>税种</w:t>
            </w:r>
          </w:p>
        </w:tc>
        <w:tc>
          <w:tcPr>
            <w:tcW w:w="3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517" w:type="dxa"/>
            <w:tcBorders>
              <w:top w:val="single" w:sz="4" w:space="0" w:color="000000"/>
              <w:left w:val="single" w:sz="4" w:space="0" w:color="000000"/>
              <w:bottom w:val="nil" w:sz="6" w:space="0" w:color="auto"/>
              <w:right w:val="single" w:sz="10" w:space="0" w:color="C6ECCC"/>
            </w:tcBorders>
            <w:shd w:val="clear" w:color="auto" w:fill="D2D2D2"/>
          </w:tcPr>
          <w:p>
            <w:pPr/>
          </w:p>
        </w:tc>
        <w:tc>
          <w:tcPr>
            <w:tcW w:w="3002" w:type="dxa"/>
            <w:vMerge w:val="restart"/>
            <w:tcBorders>
              <w:top w:val="single" w:sz="4" w:space="0" w:color="000000"/>
              <w:left w:val="single" w:sz="10" w:space="0" w:color="D2D2D2"/>
              <w:right w:val="single" w:sz="4" w:space="0" w:color="000000"/>
            </w:tcBorders>
            <w:shd w:val="clear" w:color="auto" w:fill="C6ECCC"/>
          </w:tcPr>
          <w:p>
            <w:pPr>
              <w:pStyle w:val="TableParagraph"/>
              <w:spacing w:line="316" w:lineRule="auto" w:before="49"/>
              <w:ind w:left="4" w:right="99"/>
              <w:jc w:val="left"/>
              <w:rPr>
                <w:rFonts w:ascii="宋体" w:hAnsi="宋体" w:cs="宋体" w:eastAsia="宋体" w:hint="default"/>
                <w:sz w:val="18"/>
                <w:szCs w:val="18"/>
              </w:rPr>
            </w:pPr>
            <w:r>
              <w:rPr>
                <w:rFonts w:ascii="宋体" w:hAnsi="宋体" w:cs="宋体" w:eastAsia="宋体" w:hint="default"/>
                <w:sz w:val="18"/>
                <w:szCs w:val="18"/>
              </w:rPr>
              <w:t>销售收入、加工及修理修配劳务收入 技术服务收入</w:t>
            </w:r>
          </w:p>
        </w:tc>
        <w:tc>
          <w:tcPr>
            <w:tcW w:w="3027" w:type="dxa"/>
            <w:gridSpan w:val="2"/>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1" w:hRule="exact"/>
        </w:trPr>
        <w:tc>
          <w:tcPr>
            <w:tcW w:w="3517" w:type="dxa"/>
            <w:tcBorders>
              <w:top w:val="nil" w:sz="6" w:space="0" w:color="auto"/>
              <w:left w:val="single" w:sz="4" w:space="0" w:color="000000"/>
              <w:bottom w:val="nil" w:sz="6" w:space="0" w:color="auto"/>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02" w:type="dxa"/>
            <w:vMerge/>
            <w:tcBorders>
              <w:left w:val="single" w:sz="10" w:space="0" w:color="D2D2D2"/>
              <w:right w:val="single" w:sz="4" w:space="0" w:color="000000"/>
            </w:tcBorders>
            <w:shd w:val="clear" w:color="auto" w:fill="C6ECCC"/>
          </w:tcPr>
          <w:p>
            <w:pPr/>
          </w:p>
        </w:tc>
        <w:tc>
          <w:tcPr>
            <w:tcW w:w="643" w:type="dxa"/>
            <w:tcBorders>
              <w:top w:val="nil" w:sz="6" w:space="0" w:color="auto"/>
              <w:left w:val="single" w:sz="4" w:space="0" w:color="000000"/>
              <w:bottom w:val="nil" w:sz="6" w:space="0" w:color="auto"/>
              <w:right w:val="nil" w:sz="6" w:space="0" w:color="auto"/>
            </w:tcBorders>
            <w:shd w:val="clear" w:color="auto" w:fill="C6ECCC"/>
          </w:tcPr>
          <w:p>
            <w:pPr>
              <w:pStyle w:val="TableParagraph"/>
              <w:spacing w:line="129" w:lineRule="exact"/>
              <w:ind w:left="-110" w:right="0"/>
              <w:jc w:val="left"/>
              <w:rPr>
                <w:rFonts w:ascii="宋体" w:hAnsi="宋体" w:cs="宋体" w:eastAsia="宋体" w:hint="default"/>
                <w:sz w:val="18"/>
                <w:szCs w:val="18"/>
              </w:rPr>
            </w:pPr>
            <w:r>
              <w:rPr>
                <w:rFonts w:ascii="宋体" w:hAnsi="宋体" w:cs="宋体" w:eastAsia="宋体" w:hint="default"/>
                <w:sz w:val="18"/>
                <w:szCs w:val="18"/>
              </w:rPr>
              <w:t>、</w:t>
            </w:r>
          </w:p>
        </w:tc>
        <w:tc>
          <w:tcPr>
            <w:tcW w:w="2384" w:type="dxa"/>
            <w:tcBorders>
              <w:top w:val="nil" w:sz="6" w:space="0" w:color="auto"/>
              <w:left w:val="nil" w:sz="6" w:space="0" w:color="auto"/>
              <w:bottom w:val="nil" w:sz="6" w:space="0" w:color="auto"/>
              <w:right w:val="single" w:sz="4" w:space="0" w:color="000000"/>
            </w:tcBorders>
            <w:shd w:val="clear" w:color="auto" w:fill="C6ECCC"/>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6%</w:t>
            </w:r>
          </w:p>
        </w:tc>
      </w:tr>
      <w:tr>
        <w:trPr>
          <w:trHeight w:val="162" w:hRule="exact"/>
        </w:trPr>
        <w:tc>
          <w:tcPr>
            <w:tcW w:w="3517" w:type="dxa"/>
            <w:tcBorders>
              <w:top w:val="nil" w:sz="6" w:space="0" w:color="auto"/>
              <w:left w:val="single" w:sz="4" w:space="0" w:color="000000"/>
              <w:bottom w:val="single" w:sz="4" w:space="0" w:color="000000"/>
              <w:right w:val="single" w:sz="10" w:space="0" w:color="C6ECCC"/>
            </w:tcBorders>
            <w:shd w:val="clear" w:color="auto" w:fill="D2D2D2"/>
          </w:tcPr>
          <w:p>
            <w:pPr/>
          </w:p>
        </w:tc>
        <w:tc>
          <w:tcPr>
            <w:tcW w:w="3002" w:type="dxa"/>
            <w:vMerge/>
            <w:tcBorders>
              <w:left w:val="single" w:sz="10" w:space="0" w:color="D2D2D2"/>
              <w:bottom w:val="single" w:sz="4" w:space="0" w:color="000000"/>
              <w:right w:val="single" w:sz="4" w:space="0" w:color="000000"/>
            </w:tcBorders>
            <w:shd w:val="clear" w:color="auto" w:fill="C6ECCC"/>
          </w:tcPr>
          <w:p>
            <w:pPr/>
          </w:p>
        </w:tc>
        <w:tc>
          <w:tcPr>
            <w:tcW w:w="3027" w:type="dxa"/>
            <w:gridSpan w:val="2"/>
            <w:tcBorders>
              <w:top w:val="nil" w:sz="6" w:space="0" w:color="auto"/>
              <w:left w:val="single" w:sz="4" w:space="0" w:color="000000"/>
              <w:bottom w:val="single" w:sz="4" w:space="0" w:color="000000"/>
              <w:right w:val="single" w:sz="4" w:space="0" w:color="000000"/>
            </w:tcBorders>
            <w:shd w:val="clear" w:color="auto" w:fill="C6ECCC"/>
          </w:tcPr>
          <w:p>
            <w:pPr/>
          </w:p>
        </w:tc>
      </w:tr>
      <w:tr>
        <w:trPr>
          <w:trHeight w:val="162" w:hRule="exact"/>
        </w:trPr>
        <w:tc>
          <w:tcPr>
            <w:tcW w:w="3517" w:type="dxa"/>
            <w:tcBorders>
              <w:top w:val="single" w:sz="4" w:space="0" w:color="000000"/>
              <w:left w:val="single" w:sz="4" w:space="0" w:color="000000"/>
              <w:bottom w:val="nil" w:sz="6" w:space="0" w:color="auto"/>
              <w:right w:val="single" w:sz="10" w:space="0" w:color="C6ECCC"/>
            </w:tcBorders>
            <w:shd w:val="clear" w:color="auto" w:fill="D2D2D2"/>
          </w:tcPr>
          <w:p>
            <w:pPr/>
          </w:p>
        </w:tc>
        <w:tc>
          <w:tcPr>
            <w:tcW w:w="3002" w:type="dxa"/>
            <w:vMerge w:val="restart"/>
            <w:tcBorders>
              <w:top w:val="single" w:sz="4" w:space="0" w:color="000000"/>
              <w:left w:val="single" w:sz="10" w:space="0" w:color="D2D2D2"/>
              <w:right w:val="single" w:sz="4" w:space="0" w:color="000000"/>
            </w:tcBorders>
            <w:shd w:val="clear" w:color="auto" w:fill="C6ECCC"/>
          </w:tcPr>
          <w:p>
            <w:pPr>
              <w:pStyle w:val="TableParagraph"/>
              <w:spacing w:line="314" w:lineRule="auto" w:before="50"/>
              <w:ind w:left="4" w:right="6"/>
              <w:jc w:val="left"/>
              <w:rPr>
                <w:rFonts w:ascii="宋体" w:hAnsi="宋体" w:cs="宋体" w:eastAsia="宋体" w:hint="default"/>
                <w:sz w:val="18"/>
                <w:szCs w:val="18"/>
              </w:rPr>
            </w:pPr>
            <w:r>
              <w:rPr>
                <w:rFonts w:ascii="宋体" w:hAnsi="宋体" w:cs="宋体" w:eastAsia="宋体" w:hint="default"/>
                <w:spacing w:val="-6"/>
                <w:sz w:val="18"/>
                <w:szCs w:val="18"/>
              </w:rPr>
              <w:t>工程安装收入、房屋租赁收入、技术服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务收入</w:t>
            </w:r>
          </w:p>
        </w:tc>
        <w:tc>
          <w:tcPr>
            <w:tcW w:w="3027" w:type="dxa"/>
            <w:gridSpan w:val="2"/>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1" w:hRule="exact"/>
        </w:trPr>
        <w:tc>
          <w:tcPr>
            <w:tcW w:w="3517" w:type="dxa"/>
            <w:tcBorders>
              <w:top w:val="nil" w:sz="6" w:space="0" w:color="auto"/>
              <w:left w:val="single" w:sz="4" w:space="0" w:color="000000"/>
              <w:bottom w:val="nil" w:sz="6" w:space="0" w:color="auto"/>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02" w:type="dxa"/>
            <w:vMerge/>
            <w:tcBorders>
              <w:left w:val="single" w:sz="10" w:space="0" w:color="D2D2D2"/>
              <w:right w:val="single" w:sz="4" w:space="0" w:color="000000"/>
            </w:tcBorders>
            <w:shd w:val="clear" w:color="auto" w:fill="C6ECCC"/>
          </w:tcPr>
          <w:p>
            <w:pPr/>
          </w:p>
        </w:tc>
        <w:tc>
          <w:tcPr>
            <w:tcW w:w="3027" w:type="dxa"/>
            <w:gridSpan w:val="2"/>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7"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p>
        </w:tc>
      </w:tr>
      <w:tr>
        <w:trPr>
          <w:trHeight w:val="161" w:hRule="exact"/>
        </w:trPr>
        <w:tc>
          <w:tcPr>
            <w:tcW w:w="3517" w:type="dxa"/>
            <w:tcBorders>
              <w:top w:val="nil" w:sz="6" w:space="0" w:color="auto"/>
              <w:left w:val="single" w:sz="4" w:space="0" w:color="000000"/>
              <w:bottom w:val="single" w:sz="4" w:space="0" w:color="000000"/>
              <w:right w:val="single" w:sz="10" w:space="0" w:color="C6ECCC"/>
            </w:tcBorders>
            <w:shd w:val="clear" w:color="auto" w:fill="D2D2D2"/>
          </w:tcPr>
          <w:p>
            <w:pPr/>
          </w:p>
        </w:tc>
        <w:tc>
          <w:tcPr>
            <w:tcW w:w="3002" w:type="dxa"/>
            <w:vMerge/>
            <w:tcBorders>
              <w:left w:val="single" w:sz="10" w:space="0" w:color="D2D2D2"/>
              <w:bottom w:val="single" w:sz="4" w:space="0" w:color="000000"/>
              <w:right w:val="single" w:sz="4" w:space="0" w:color="000000"/>
            </w:tcBorders>
            <w:shd w:val="clear" w:color="auto" w:fill="C6ECCC"/>
          </w:tcPr>
          <w:p>
            <w:pPr/>
          </w:p>
        </w:tc>
        <w:tc>
          <w:tcPr>
            <w:tcW w:w="3027" w:type="dxa"/>
            <w:gridSpan w:val="2"/>
            <w:tcBorders>
              <w:top w:val="nil" w:sz="6" w:space="0" w:color="auto"/>
              <w:left w:val="single" w:sz="4" w:space="0" w:color="000000"/>
              <w:bottom w:val="single" w:sz="4" w:space="0" w:color="000000"/>
              <w:right w:val="single" w:sz="4" w:space="0" w:color="000000"/>
            </w:tcBorders>
            <w:shd w:val="clear" w:color="auto" w:fill="C6ECCC"/>
          </w:tcPr>
          <w:p>
            <w:pPr/>
          </w:p>
        </w:tc>
      </w:tr>
      <w:tr>
        <w:trPr>
          <w:trHeight w:val="402" w:hRule="exact"/>
        </w:trPr>
        <w:tc>
          <w:tcPr>
            <w:tcW w:w="3517"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02"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027"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7"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7%</w:t>
            </w:r>
          </w:p>
        </w:tc>
      </w:tr>
      <w:tr>
        <w:trPr>
          <w:trHeight w:val="402" w:hRule="exact"/>
        </w:trPr>
        <w:tc>
          <w:tcPr>
            <w:tcW w:w="3517"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02"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30"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25%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027"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9" w:right="0"/>
              <w:jc w:val="center"/>
              <w:rPr>
                <w:rFonts w:ascii="宋体" w:hAnsi="宋体" w:cs="宋体" w:eastAsia="宋体" w:hint="default"/>
                <w:sz w:val="18"/>
                <w:szCs w:val="18"/>
              </w:rPr>
            </w:pPr>
            <w:r>
              <w:rPr>
                <w:rFonts w:ascii="宋体"/>
                <w:sz w:val="18"/>
              </w:rPr>
              <w:t>3%</w:t>
            </w:r>
          </w:p>
        </w:tc>
      </w:tr>
    </w:tbl>
    <w:p>
      <w:pPr>
        <w:spacing w:after="0" w:line="240" w:lineRule="auto"/>
        <w:jc w:val="center"/>
        <w:rPr>
          <w:rFonts w:ascii="宋体" w:hAnsi="宋体" w:cs="宋体" w:eastAsia="宋体" w:hint="default"/>
          <w:sz w:val="18"/>
          <w:szCs w:val="18"/>
        </w:rPr>
        <w:sectPr>
          <w:pgSz w:w="11910" w:h="16840"/>
          <w:pgMar w:header="877" w:footer="1340" w:top="1100" w:bottom="1540" w:left="980" w:right="0"/>
        </w:sectPr>
      </w:pPr>
    </w:p>
    <w:p>
      <w:pPr>
        <w:spacing w:line="240" w:lineRule="auto" w:before="8"/>
        <w:rPr>
          <w:rFonts w:ascii="宋体" w:hAnsi="宋体" w:cs="宋体" w:eastAsia="宋体" w:hint="default"/>
          <w:b/>
          <w:bCs/>
          <w:sz w:val="24"/>
          <w:szCs w:val="24"/>
        </w:rPr>
      </w:pPr>
    </w:p>
    <w:tbl>
      <w:tblPr>
        <w:tblW w:w="0" w:type="auto"/>
        <w:jc w:val="left"/>
        <w:tblInd w:w="146" w:type="dxa"/>
        <w:tblLayout w:type="fixed"/>
        <w:tblCellMar>
          <w:top w:w="0" w:type="dxa"/>
          <w:left w:w="0" w:type="dxa"/>
          <w:bottom w:w="0" w:type="dxa"/>
          <w:right w:w="0" w:type="dxa"/>
        </w:tblCellMar>
        <w:tblLook w:val="01E0"/>
      </w:tblPr>
      <w:tblGrid>
        <w:gridCol w:w="3519"/>
        <w:gridCol w:w="3024"/>
        <w:gridCol w:w="3016"/>
      </w:tblGrid>
      <w:tr>
        <w:trPr>
          <w:trHeight w:val="402" w:hRule="exact"/>
        </w:trPr>
        <w:tc>
          <w:tcPr>
            <w:tcW w:w="35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0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8" w:right="0"/>
              <w:jc w:val="center"/>
              <w:rPr>
                <w:rFonts w:ascii="宋体" w:hAnsi="宋体" w:cs="宋体" w:eastAsia="宋体" w:hint="default"/>
                <w:sz w:val="18"/>
                <w:szCs w:val="18"/>
              </w:rPr>
            </w:pPr>
            <w:r>
              <w:rPr>
                <w:rFonts w:ascii="宋体"/>
                <w:sz w:val="18"/>
              </w:rPr>
              <w:t>2%</w:t>
            </w:r>
          </w:p>
        </w:tc>
      </w:tr>
    </w:tbl>
    <w:p>
      <w:pPr>
        <w:spacing w:before="50"/>
        <w:ind w:left="152" w:right="1123"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573" w:right="1123"/>
        <w:jc w:val="left"/>
      </w:pPr>
      <w:r>
        <w:rPr/>
        <w:t>（</w:t>
      </w:r>
      <w:r>
        <w:rPr>
          <w:rFonts w:ascii="宋体" w:hAnsi="宋体" w:cs="宋体" w:eastAsia="宋体" w:hint="default"/>
        </w:rPr>
        <w:t>1</w:t>
      </w:r>
      <w:r>
        <w:rPr/>
        <w:t>）根据</w:t>
      </w:r>
      <w:r>
        <w:rPr>
          <w:spacing w:val="-56"/>
        </w:rPr>
        <w:t> </w:t>
      </w:r>
      <w:r>
        <w:rPr>
          <w:rFonts w:ascii="宋体" w:hAnsi="宋体" w:cs="宋体" w:eastAsia="宋体" w:hint="default"/>
        </w:rPr>
        <w:t>2010</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日财政部、国家税务总局财税</w:t>
      </w:r>
      <w:r>
        <w:rPr>
          <w:rFonts w:ascii="宋体" w:hAnsi="宋体" w:cs="宋体" w:eastAsia="宋体" w:hint="default"/>
        </w:rPr>
        <w:t>[2010]110</w:t>
      </w:r>
      <w:r>
        <w:rPr>
          <w:rFonts w:ascii="宋体" w:hAnsi="宋体" w:cs="宋体" w:eastAsia="宋体" w:hint="default"/>
          <w:spacing w:val="-54"/>
        </w:rPr>
        <w:t> </w:t>
      </w:r>
      <w:r>
        <w:rPr/>
        <w:t>号《关于促进节能服务业发展增</w:t>
      </w:r>
    </w:p>
    <w:p>
      <w:pPr>
        <w:pStyle w:val="BodyText"/>
        <w:spacing w:line="357" w:lineRule="auto" w:before="133"/>
        <w:ind w:right="1123"/>
        <w:jc w:val="left"/>
      </w:pPr>
      <w:r>
        <w:rPr/>
        <w:t>值税、营业税和企业所得税政策问题的通知》规定，自</w:t>
      </w:r>
      <w:r>
        <w:rPr>
          <w:spacing w:val="-53"/>
        </w:rPr>
        <w:t> </w:t>
      </w:r>
      <w:r>
        <w:rPr>
          <w:rFonts w:ascii="宋体" w:hAnsi="宋体" w:cs="宋体" w:eastAsia="宋体" w:hint="default"/>
        </w:rPr>
        <w:t>2011</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日起，对符合条件的节能服务公司</w:t>
      </w:r>
      <w:r>
        <w:rPr>
          <w:w w:val="100"/>
        </w:rPr>
        <w:t> </w:t>
      </w:r>
      <w:r>
        <w:rPr>
          <w:spacing w:val="-2"/>
        </w:rPr>
        <w:t>实施合同能源管理项目，取得的营业税应税收入，暂免征收营业税。节能服务公司实施符合条件的合同能</w:t>
      </w:r>
      <w:r>
        <w:rPr>
          <w:spacing w:val="-42"/>
        </w:rPr>
        <w:t> </w:t>
      </w:r>
      <w:r>
        <w:rPr>
          <w:spacing w:val="-42"/>
        </w:rPr>
      </w:r>
      <w:r>
        <w:rPr>
          <w:spacing w:val="-2"/>
        </w:rPr>
        <w:t>源管理项目，将项目中的增值税应税货物转让给用能企业，暂免征收增值税。对符合条件的节能服务公司</w:t>
      </w:r>
      <w:r>
        <w:rPr>
          <w:spacing w:val="-43"/>
        </w:rPr>
        <w:t> </w:t>
      </w:r>
      <w:r>
        <w:rPr>
          <w:spacing w:val="-43"/>
        </w:rPr>
      </w:r>
      <w:r>
        <w:rPr>
          <w:spacing w:val="-2"/>
        </w:rPr>
        <w:t>实施合同能源管理项目，符合企业所得税税法有关规定的，自项目取得第一笔生产经营收入所属纳税年度</w:t>
      </w:r>
      <w:r>
        <w:rPr>
          <w:spacing w:val="-43"/>
        </w:rPr>
        <w:t> </w:t>
      </w:r>
      <w:r>
        <w:rPr>
          <w:spacing w:val="-43"/>
        </w:rPr>
      </w:r>
      <w:r>
        <w:rPr>
          <w:spacing w:val="-2"/>
        </w:rPr>
        <w:t>起，第一年至第三年免征企业所得税，第四年至第六年按照</w:t>
      </w:r>
      <w:r>
        <w:rPr>
          <w:spacing w:val="30"/>
        </w:rPr>
        <w:t> </w:t>
      </w:r>
      <w:r>
        <w:rPr>
          <w:rFonts w:ascii="宋体" w:hAnsi="宋体" w:cs="宋体" w:eastAsia="宋体" w:hint="default"/>
          <w:spacing w:val="-2"/>
        </w:rPr>
        <w:t>25%</w:t>
      </w:r>
      <w:r>
        <w:rPr>
          <w:spacing w:val="-2"/>
        </w:rPr>
        <w:t>的法定税率减半征收企业所得税。</w:t>
      </w:r>
    </w:p>
    <w:p>
      <w:pPr>
        <w:pStyle w:val="BodyText"/>
        <w:spacing w:line="355" w:lineRule="auto"/>
        <w:ind w:right="1123" w:firstLine="420"/>
        <w:jc w:val="left"/>
      </w:pPr>
      <w:r>
        <w:rPr>
          <w:spacing w:val="-2"/>
        </w:rPr>
        <w:t>（</w:t>
      </w:r>
      <w:r>
        <w:rPr>
          <w:rFonts w:ascii="宋体" w:hAnsi="宋体" w:cs="宋体" w:eastAsia="宋体" w:hint="default"/>
          <w:spacing w:val="-2"/>
        </w:rPr>
        <w:t>2</w:t>
      </w:r>
      <w:r>
        <w:rPr>
          <w:spacing w:val="-2"/>
        </w:rPr>
        <w:t>）本公司及子公司深圳达实信息技术有限公司、上海达实联欣科技发展有限公司、北京达实德润</w:t>
      </w:r>
      <w:r>
        <w:rPr>
          <w:w w:val="100"/>
        </w:rPr>
        <w:t> </w:t>
      </w:r>
      <w:r>
        <w:rPr>
          <w:spacing w:val="-2"/>
        </w:rPr>
        <w:t>能源科技有限公司均系高新技术企业，依据企业所得税法的规定适用</w:t>
      </w:r>
      <w:r>
        <w:rPr>
          <w:spacing w:val="26"/>
        </w:rPr>
        <w:t> </w:t>
      </w:r>
      <w:r>
        <w:rPr>
          <w:rFonts w:ascii="宋体" w:hAnsi="宋体" w:cs="宋体" w:eastAsia="宋体" w:hint="default"/>
          <w:spacing w:val="-2"/>
        </w:rPr>
        <w:t>15%</w:t>
      </w:r>
      <w:r>
        <w:rPr>
          <w:spacing w:val="-2"/>
        </w:rPr>
        <w:t>的企业所得税税率。</w:t>
      </w:r>
    </w:p>
    <w:p>
      <w:pPr>
        <w:pStyle w:val="BodyText"/>
        <w:spacing w:line="355" w:lineRule="auto" w:before="34"/>
        <w:ind w:right="1128" w:firstLine="420"/>
        <w:jc w:val="both"/>
      </w:pPr>
      <w:r>
        <w:rPr>
          <w:spacing w:val="-17"/>
        </w:rPr>
        <w:t>（</w:t>
      </w:r>
      <w:r>
        <w:rPr>
          <w:rFonts w:ascii="宋体" w:hAnsi="宋体" w:cs="宋体" w:eastAsia="宋体" w:hint="default"/>
          <w:spacing w:val="-17"/>
        </w:rPr>
        <w:t>3</w:t>
      </w:r>
      <w:r>
        <w:rPr>
          <w:spacing w:val="-17"/>
        </w:rPr>
        <w:t>）自</w:t>
      </w:r>
      <w:r>
        <w:rPr>
          <w:spacing w:val="-47"/>
        </w:rPr>
        <w:t> </w:t>
      </w:r>
      <w:r>
        <w:rPr>
          <w:rFonts w:ascii="宋体" w:hAnsi="宋体" w:cs="宋体" w:eastAsia="宋体" w:hint="default"/>
        </w:rPr>
        <w:t>2011</w:t>
      </w:r>
      <w:r>
        <w:rPr>
          <w:rFonts w:ascii="宋体" w:hAnsi="宋体" w:cs="宋体" w:eastAsia="宋体" w:hint="default"/>
          <w:spacing w:val="-47"/>
        </w:rPr>
        <w:t> </w:t>
      </w:r>
      <w:r>
        <w:rPr/>
        <w:t>年</w:t>
      </w:r>
      <w:r>
        <w:rPr>
          <w:spacing w:val="-44"/>
        </w:rPr>
        <w:t> </w:t>
      </w:r>
      <w:r>
        <w:rPr>
          <w:rFonts w:ascii="宋体" w:hAnsi="宋体" w:cs="宋体" w:eastAsia="宋体" w:hint="default"/>
        </w:rPr>
        <w:t>1</w:t>
      </w:r>
      <w:r>
        <w:rPr>
          <w:rFonts w:ascii="宋体" w:hAnsi="宋体" w:cs="宋体" w:eastAsia="宋体" w:hint="default"/>
          <w:spacing w:val="-47"/>
        </w:rPr>
        <w:t> </w:t>
      </w:r>
      <w:r>
        <w:rPr/>
        <w:t>月</w:t>
      </w:r>
      <w:r>
        <w:rPr>
          <w:spacing w:val="-44"/>
        </w:rPr>
        <w:t> </w:t>
      </w:r>
      <w:r>
        <w:rPr>
          <w:rFonts w:ascii="宋体" w:hAnsi="宋体" w:cs="宋体" w:eastAsia="宋体" w:hint="default"/>
        </w:rPr>
        <w:t>1</w:t>
      </w:r>
      <w:r>
        <w:rPr>
          <w:rFonts w:ascii="宋体" w:hAnsi="宋体" w:cs="宋体" w:eastAsia="宋体" w:hint="default"/>
          <w:spacing w:val="-47"/>
        </w:rPr>
        <w:t> </w:t>
      </w:r>
      <w:r>
        <w:rPr>
          <w:spacing w:val="-3"/>
        </w:rPr>
        <w:t>日起根据财政部、国家税务总局关于软件产品增值税政策的通知财税</w:t>
      </w:r>
      <w:r>
        <w:rPr>
          <w:rFonts w:ascii="宋体" w:hAnsi="宋体" w:cs="宋体" w:eastAsia="宋体" w:hint="default"/>
          <w:spacing w:val="-3"/>
        </w:rPr>
        <w:t>[2011]100</w:t>
      </w:r>
      <w:r>
        <w:rPr>
          <w:rFonts w:ascii="宋体" w:hAnsi="宋体" w:cs="宋体" w:eastAsia="宋体" w:hint="default"/>
          <w:w w:val="100"/>
        </w:rPr>
        <w:t> </w:t>
      </w:r>
      <w:r>
        <w:rPr/>
        <w:t>号执行软件产品增值税政策，增值税一般纳税人销售其自行开发生产的软件产品，按</w:t>
      </w:r>
      <w:r>
        <w:rPr>
          <w:spacing w:val="-55"/>
        </w:rPr>
        <w:t> </w:t>
      </w:r>
      <w:r>
        <w:rPr>
          <w:rFonts w:ascii="宋体" w:hAnsi="宋体" w:cs="宋体" w:eastAsia="宋体" w:hint="default"/>
        </w:rPr>
        <w:t>17%</w:t>
      </w:r>
      <w:r>
        <w:rPr/>
        <w:t>税率征收增值税</w:t>
      </w:r>
      <w:r>
        <w:rPr>
          <w:w w:val="100"/>
        </w:rPr>
        <w:t> </w:t>
      </w:r>
      <w:r>
        <w:rPr>
          <w:spacing w:val="-2"/>
        </w:rPr>
        <w:t>后，对其增值税实际税负超过</w:t>
      </w:r>
      <w:r>
        <w:rPr>
          <w:spacing w:val="-3"/>
        </w:rPr>
        <w:t> </w:t>
      </w:r>
      <w:r>
        <w:rPr>
          <w:rFonts w:ascii="宋体" w:hAnsi="宋体" w:cs="宋体" w:eastAsia="宋体" w:hint="default"/>
          <w:spacing w:val="-2"/>
        </w:rPr>
        <w:t>3%</w:t>
      </w:r>
      <w:r>
        <w:rPr>
          <w:spacing w:val="-2"/>
        </w:rPr>
        <w:t>的部分实行即征即退政策。</w:t>
      </w:r>
    </w:p>
    <w:p>
      <w:pPr>
        <w:spacing w:line="240" w:lineRule="auto" w:before="1"/>
        <w:rPr>
          <w:rFonts w:ascii="宋体" w:hAnsi="宋体" w:cs="宋体" w:eastAsia="宋体" w:hint="default"/>
          <w:sz w:val="27"/>
          <w:szCs w:val="27"/>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1"/>
        <w:rPr>
          <w:rFonts w:ascii="宋体" w:hAnsi="宋体" w:cs="宋体" w:eastAsia="宋体" w:hint="default"/>
          <w:b/>
          <w:bCs/>
          <w:sz w:val="23"/>
          <w:szCs w:val="23"/>
        </w:rPr>
      </w:pPr>
    </w:p>
    <w:p>
      <w:pPr>
        <w:pStyle w:val="BodyText"/>
        <w:spacing w:line="357" w:lineRule="auto" w:before="0"/>
        <w:ind w:right="1123" w:firstLine="420"/>
        <w:jc w:val="left"/>
      </w:pPr>
      <w:r>
        <w:rPr>
          <w:spacing w:val="-2"/>
        </w:rPr>
        <w:t>（</w:t>
      </w:r>
      <w:r>
        <w:rPr>
          <w:rFonts w:ascii="宋体" w:hAnsi="宋体" w:cs="宋体" w:eastAsia="宋体" w:hint="default"/>
          <w:spacing w:val="-2"/>
        </w:rPr>
        <w:t>1</w:t>
      </w:r>
      <w:r>
        <w:rPr>
          <w:spacing w:val="-2"/>
        </w:rPr>
        <w:t>）子公司上海达实联欣科技发展有限公司及其子公司上海联欣金山建筑科技发展有限公司适用</w:t>
      </w:r>
      <w:r>
        <w:rPr>
          <w:spacing w:val="2"/>
        </w:rPr>
        <w:t> </w:t>
      </w:r>
      <w:r>
        <w:rPr>
          <w:rFonts w:ascii="宋体" w:hAnsi="宋体" w:cs="宋体" w:eastAsia="宋体" w:hint="default"/>
        </w:rPr>
        <w:t>1%</w:t>
      </w:r>
      <w:r>
        <w:rPr>
          <w:rFonts w:ascii="宋体" w:hAnsi="宋体" w:cs="宋体" w:eastAsia="宋体" w:hint="default"/>
          <w:w w:val="100"/>
        </w:rPr>
        <w:t> </w:t>
      </w:r>
      <w:r>
        <w:rPr>
          <w:spacing w:val="-2"/>
        </w:rPr>
        <w:t>的城市维护建设税税率，本公司及本公司其他子公司适用</w:t>
      </w:r>
      <w:r>
        <w:rPr>
          <w:spacing w:val="17"/>
        </w:rPr>
        <w:t> </w:t>
      </w:r>
      <w:r>
        <w:rPr>
          <w:rFonts w:ascii="宋体" w:hAnsi="宋体" w:cs="宋体" w:eastAsia="宋体" w:hint="default"/>
          <w:spacing w:val="-2"/>
        </w:rPr>
        <w:t>7%</w:t>
      </w:r>
      <w:r>
        <w:rPr>
          <w:spacing w:val="-2"/>
        </w:rPr>
        <w:t>的城市维护建设税税率。</w:t>
      </w:r>
    </w:p>
    <w:p>
      <w:pPr>
        <w:pStyle w:val="BodyText"/>
        <w:spacing w:line="357" w:lineRule="auto"/>
        <w:ind w:right="1123" w:firstLine="420"/>
        <w:jc w:val="left"/>
      </w:pPr>
      <w:r>
        <w:rPr/>
        <w:t>（</w:t>
      </w:r>
      <w:r>
        <w:rPr>
          <w:rFonts w:ascii="宋体" w:hAnsi="宋体" w:cs="宋体" w:eastAsia="宋体" w:hint="default"/>
        </w:rPr>
        <w:t>2</w:t>
      </w:r>
      <w:r>
        <w:rPr/>
        <w:t>）根据</w:t>
      </w:r>
      <w:r>
        <w:rPr>
          <w:spacing w:val="-55"/>
        </w:rPr>
        <w:t> </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日发布的《财政部、国家税务总局关于在北京等</w:t>
      </w:r>
      <w:r>
        <w:rPr>
          <w:spacing w:val="-53"/>
        </w:rPr>
        <w:t> </w:t>
      </w:r>
      <w:r>
        <w:rPr>
          <w:rFonts w:ascii="宋体" w:hAnsi="宋体" w:cs="宋体" w:eastAsia="宋体" w:hint="default"/>
        </w:rPr>
        <w:t>8</w:t>
      </w:r>
      <w:r>
        <w:rPr>
          <w:rFonts w:ascii="宋体" w:hAnsi="宋体" w:cs="宋体" w:eastAsia="宋体" w:hint="default"/>
          <w:spacing w:val="-55"/>
        </w:rPr>
        <w:t> </w:t>
      </w:r>
      <w:r>
        <w:rPr/>
        <w:t>省市开展交通运输业和</w:t>
      </w:r>
      <w:r>
        <w:rPr>
          <w:w w:val="100"/>
        </w:rPr>
        <w:t> </w:t>
      </w:r>
      <w:r>
        <w:rPr>
          <w:spacing w:val="-3"/>
        </w:rPr>
        <w:t>部分现代服务业营业税改征》（财税</w:t>
      </w:r>
      <w:r>
        <w:rPr>
          <w:rFonts w:ascii="宋体" w:hAnsi="宋体" w:cs="宋体" w:eastAsia="宋体" w:hint="default"/>
          <w:spacing w:val="-3"/>
        </w:rPr>
        <w:t>[2012]71 </w:t>
      </w:r>
      <w:r>
        <w:rPr>
          <w:spacing w:val="-3"/>
        </w:rPr>
        <w:t>号），明确交通运输业和部分现代服务业营业税改征增值税</w:t>
      </w:r>
      <w:r>
        <w:rPr>
          <w:spacing w:val="-87"/>
        </w:rPr>
        <w:t> </w:t>
      </w:r>
      <w:r>
        <w:rPr>
          <w:spacing w:val="-87"/>
        </w:rPr>
      </w:r>
      <w:r>
        <w:rPr>
          <w:spacing w:val="-3"/>
        </w:rPr>
        <w:t>试点范围，由上海市分批扩大至北京等</w:t>
      </w:r>
      <w:r>
        <w:rPr>
          <w:spacing w:val="-47"/>
        </w:rPr>
        <w:t> </w:t>
      </w:r>
      <w:r>
        <w:rPr>
          <w:rFonts w:ascii="宋体" w:hAnsi="宋体" w:cs="宋体" w:eastAsia="宋体" w:hint="default"/>
        </w:rPr>
        <w:t>8</w:t>
      </w:r>
      <w:r>
        <w:rPr>
          <w:rFonts w:ascii="宋体" w:hAnsi="宋体" w:cs="宋体" w:eastAsia="宋体" w:hint="default"/>
          <w:spacing w:val="-50"/>
        </w:rPr>
        <w:t> </w:t>
      </w:r>
      <w:r>
        <w:rPr>
          <w:spacing w:val="-5"/>
        </w:rPr>
        <w:t>个省、直辖市。深圳市作为试点地区自</w:t>
      </w:r>
      <w:r>
        <w:rPr>
          <w:spacing w:val="11"/>
        </w:rPr>
        <w:t> </w:t>
      </w:r>
      <w:r>
        <w:rPr>
          <w:rFonts w:ascii="宋体" w:hAnsi="宋体" w:cs="宋体" w:eastAsia="宋体" w:hint="default"/>
        </w:rPr>
        <w:t>2012</w:t>
      </w:r>
      <w:r>
        <w:rPr>
          <w:rFonts w:ascii="宋体" w:hAnsi="宋体" w:cs="宋体" w:eastAsia="宋体" w:hint="default"/>
          <w:spacing w:val="-50"/>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50"/>
        </w:rPr>
        <w:t> </w:t>
      </w:r>
      <w:r>
        <w:rPr>
          <w:rFonts w:ascii="宋体" w:hAnsi="宋体" w:cs="宋体" w:eastAsia="宋体" w:hint="default"/>
        </w:rPr>
        <w:t>1</w:t>
      </w:r>
      <w:r>
        <w:rPr>
          <w:rFonts w:ascii="宋体" w:hAnsi="宋体" w:cs="宋体" w:eastAsia="宋体" w:hint="default"/>
          <w:spacing w:val="-48"/>
        </w:rPr>
        <w:t> </w:t>
      </w:r>
      <w:r>
        <w:rPr/>
        <w:t>日起在交</w:t>
      </w:r>
      <w:r>
        <w:rPr>
          <w:spacing w:val="-102"/>
        </w:rPr>
        <w:t> </w:t>
      </w:r>
      <w:r>
        <w:rPr>
          <w:spacing w:val="-102"/>
        </w:rPr>
      </w:r>
      <w:r>
        <w:rPr>
          <w:spacing w:val="-2"/>
        </w:rPr>
        <w:t>通运输业和部分现代服务业试点营业税改征增值税（简称“营改增”），现代服务业增值税税率为</w:t>
      </w:r>
      <w:r>
        <w:rPr>
          <w:spacing w:val="31"/>
        </w:rPr>
        <w:t> </w:t>
      </w:r>
      <w:r>
        <w:rPr>
          <w:rFonts w:ascii="宋体" w:hAnsi="宋体" w:cs="宋体" w:eastAsia="宋体" w:hint="default"/>
          <w:spacing w:val="-2"/>
        </w:rPr>
        <w:t>6%</w:t>
      </w:r>
      <w:r>
        <w:rPr>
          <w:spacing w:val="-2"/>
        </w:rPr>
        <w:t>。</w:t>
      </w:r>
    </w:p>
    <w:p>
      <w:pPr>
        <w:spacing w:line="240" w:lineRule="auto" w:before="12"/>
        <w:rPr>
          <w:rFonts w:ascii="宋体" w:hAnsi="宋体" w:cs="宋体" w:eastAsia="宋体" w:hint="default"/>
          <w:sz w:val="24"/>
          <w:szCs w:val="24"/>
        </w:rPr>
      </w:pPr>
    </w:p>
    <w:p>
      <w:pPr>
        <w:pStyle w:val="Heading2"/>
        <w:spacing w:line="240" w:lineRule="auto"/>
        <w:ind w:right="1123"/>
        <w:jc w:val="left"/>
        <w:rPr>
          <w:b w:val="0"/>
          <w:bCs w:val="0"/>
        </w:rPr>
      </w:pPr>
      <w:r>
        <w:rPr/>
        <w:t>六、企业合并及合并财务报表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0"/>
        <w:ind w:left="573" w:right="0"/>
        <w:jc w:val="left"/>
      </w:pPr>
      <w:r>
        <w:rPr/>
        <w:t>公司共有</w:t>
      </w:r>
      <w:r>
        <w:rPr>
          <w:spacing w:val="-57"/>
        </w:rPr>
        <w:t> </w:t>
      </w:r>
      <w:r>
        <w:rPr>
          <w:rFonts w:ascii="宋体" w:hAnsi="宋体" w:cs="宋体" w:eastAsia="宋体" w:hint="default"/>
        </w:rPr>
        <w:t>4</w:t>
      </w:r>
      <w:r>
        <w:rPr>
          <w:rFonts w:ascii="宋体" w:hAnsi="宋体" w:cs="宋体" w:eastAsia="宋体" w:hint="default"/>
          <w:spacing w:val="-59"/>
        </w:rPr>
        <w:t> </w:t>
      </w:r>
      <w:r>
        <w:rPr/>
        <w:t>家子公司，分别是全资子公司达实信息、控股子公司达实自动化、达实德润及达实联欣。</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）同一控制下企业合并取得的子公司</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487"/>
        <w:gridCol w:w="566"/>
        <w:gridCol w:w="425"/>
        <w:gridCol w:w="710"/>
        <w:gridCol w:w="850"/>
        <w:gridCol w:w="1048"/>
      </w:tblGrid>
      <w:tr>
        <w:trPr>
          <w:trHeight w:val="101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67" w:right="65"/>
              <w:jc w:val="both"/>
              <w:rPr>
                <w:rFonts w:ascii="宋体" w:hAnsi="宋体" w:cs="宋体" w:eastAsia="宋体" w:hint="default"/>
                <w:sz w:val="18"/>
                <w:szCs w:val="18"/>
              </w:rPr>
            </w:pPr>
            <w:r>
              <w:rPr>
                <w:rFonts w:ascii="宋体" w:hAnsi="宋体" w:cs="宋体" w:eastAsia="宋体" w:hint="default"/>
                <w:sz w:val="18"/>
                <w:szCs w:val="18"/>
              </w:rPr>
              <w:t>实质上 构成对 子公司</w:t>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60" w:right="55"/>
              <w:jc w:val="both"/>
              <w:rPr>
                <w:rFonts w:ascii="宋体" w:hAnsi="宋体" w:cs="宋体" w:eastAsia="宋体" w:hint="default"/>
                <w:sz w:val="18"/>
                <w:szCs w:val="18"/>
              </w:rPr>
            </w:pPr>
            <w:r>
              <w:rPr>
                <w:rFonts w:ascii="宋体" w:hAnsi="宋体" w:cs="宋体" w:eastAsia="宋体" w:hint="default"/>
                <w:sz w:val="18"/>
                <w:szCs w:val="18"/>
              </w:rPr>
              <w:t>持股 比例 </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52" w:right="48" w:firstLine="45"/>
              <w:jc w:val="both"/>
              <w:rPr>
                <w:rFonts w:ascii="宋体" w:hAnsi="宋体" w:cs="宋体" w:eastAsia="宋体" w:hint="default"/>
                <w:sz w:val="18"/>
                <w:szCs w:val="18"/>
              </w:rPr>
            </w:pPr>
            <w:r>
              <w:rPr>
                <w:rFonts w:ascii="宋体" w:hAnsi="宋体" w:cs="宋体" w:eastAsia="宋体" w:hint="default"/>
                <w:sz w:val="18"/>
                <w:szCs w:val="18"/>
              </w:rPr>
              <w:t>表决 权比 例</w:t>
            </w:r>
            <w:r>
              <w:rPr>
                <w:rFonts w:ascii="宋体" w:hAnsi="宋体" w:cs="宋体" w:eastAsia="宋体"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28" w:right="24"/>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79" w:right="7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60" w:right="59"/>
              <w:jc w:val="both"/>
              <w:rPr>
                <w:rFonts w:ascii="宋体" w:hAnsi="宋体" w:cs="宋体" w:eastAsia="宋体" w:hint="default"/>
                <w:sz w:val="18"/>
                <w:szCs w:val="18"/>
              </w:rPr>
            </w:pPr>
            <w:r>
              <w:rPr>
                <w:rFonts w:ascii="宋体" w:hAnsi="宋体" w:cs="宋体" w:eastAsia="宋体" w:hint="default"/>
                <w:sz w:val="18"/>
                <w:szCs w:val="18"/>
              </w:rPr>
              <w:t>少数股东 权益中用 于冲减少</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74" w:right="61"/>
              <w:jc w:val="both"/>
              <w:rPr>
                <w:rFonts w:ascii="宋体" w:hAnsi="宋体" w:cs="宋体" w:eastAsia="宋体" w:hint="default"/>
                <w:sz w:val="18"/>
                <w:szCs w:val="18"/>
              </w:rPr>
            </w:pPr>
            <w:r>
              <w:rPr>
                <w:rFonts w:ascii="宋体" w:hAnsi="宋体" w:cs="宋体" w:eastAsia="宋体" w:hint="default"/>
                <w:sz w:val="18"/>
                <w:szCs w:val="18"/>
              </w:rPr>
              <w:t>从母公司所 有者权益冲 减子公司少</w:t>
            </w:r>
          </w:p>
        </w:tc>
      </w:tr>
    </w:tbl>
    <w:p>
      <w:pPr>
        <w:spacing w:after="0" w:line="316" w:lineRule="auto"/>
        <w:jc w:val="both"/>
        <w:rPr>
          <w:rFonts w:ascii="宋体" w:hAnsi="宋体" w:cs="宋体" w:eastAsia="宋体" w:hint="default"/>
          <w:sz w:val="18"/>
          <w:szCs w:val="18"/>
        </w:rPr>
        <w:sectPr>
          <w:pgSz w:w="11910" w:h="16840"/>
          <w:pgMar w:header="877" w:footer="1340" w:top="1100" w:bottom="154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487"/>
        <w:gridCol w:w="566"/>
        <w:gridCol w:w="425"/>
        <w:gridCol w:w="710"/>
        <w:gridCol w:w="850"/>
        <w:gridCol w:w="1058"/>
      </w:tblGrid>
      <w:tr>
        <w:trPr>
          <w:trHeight w:val="2542"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5"/>
              <w:jc w:val="center"/>
              <w:rPr>
                <w:rFonts w:ascii="宋体" w:hAnsi="宋体" w:cs="宋体" w:eastAsia="宋体" w:hint="default"/>
                <w:sz w:val="18"/>
                <w:szCs w:val="18"/>
              </w:rPr>
            </w:pPr>
            <w:r>
              <w:rPr>
                <w:rFonts w:ascii="宋体" w:hAnsi="宋体" w:cs="宋体" w:eastAsia="宋体" w:hint="default"/>
                <w:sz w:val="18"/>
                <w:szCs w:val="18"/>
              </w:rPr>
              <w:t>净投资 的其他 项目余 额</w:t>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0" w:right="59"/>
              <w:jc w:val="left"/>
              <w:rPr>
                <w:rFonts w:ascii="宋体" w:hAnsi="宋体" w:cs="宋体" w:eastAsia="宋体" w:hint="default"/>
                <w:sz w:val="18"/>
                <w:szCs w:val="18"/>
              </w:rPr>
            </w:pPr>
            <w:r>
              <w:rPr>
                <w:rFonts w:ascii="宋体" w:hAnsi="宋体" w:cs="宋体" w:eastAsia="宋体" w:hint="default"/>
                <w:sz w:val="18"/>
                <w:szCs w:val="18"/>
              </w:rPr>
              <w:t>数股东损 益的金额</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74" w:right="72"/>
              <w:jc w:val="center"/>
              <w:rPr>
                <w:rFonts w:ascii="宋体" w:hAnsi="宋体" w:cs="宋体" w:eastAsia="宋体" w:hint="default"/>
                <w:sz w:val="18"/>
                <w:szCs w:val="18"/>
              </w:rPr>
            </w:pPr>
            <w:r>
              <w:rPr>
                <w:rFonts w:ascii="宋体" w:hAnsi="宋体" w:cs="宋体" w:eastAsia="宋体" w:hint="default"/>
                <w:sz w:val="18"/>
                <w:szCs w:val="18"/>
              </w:rPr>
              <w:t>数股东分担 的本期亏损 超过少数股 东在该子公 司年初所有 者权益中所 享有份额后 的余额</w:t>
            </w:r>
          </w:p>
        </w:tc>
      </w:tr>
      <w:tr>
        <w:trPr>
          <w:trHeight w:val="4150"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08"/>
              <w:jc w:val="left"/>
              <w:rPr>
                <w:rFonts w:ascii="宋体" w:hAnsi="宋体" w:cs="宋体" w:eastAsia="宋体" w:hint="default"/>
                <w:sz w:val="18"/>
                <w:szCs w:val="18"/>
              </w:rPr>
            </w:pPr>
            <w:r>
              <w:rPr>
                <w:rFonts w:ascii="宋体" w:hAnsi="宋体" w:cs="宋体" w:eastAsia="宋体" w:hint="default"/>
                <w:sz w:val="18"/>
                <w:szCs w:val="18"/>
              </w:rPr>
              <w:t>达实自 动化</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 w:right="106"/>
              <w:jc w:val="both"/>
              <w:rPr>
                <w:rFonts w:ascii="宋体" w:hAnsi="宋体" w:cs="宋体" w:eastAsia="宋体" w:hint="default"/>
                <w:sz w:val="18"/>
                <w:szCs w:val="18"/>
              </w:rPr>
            </w:pPr>
            <w:r>
              <w:rPr>
                <w:rFonts w:ascii="宋体" w:hAnsi="宋体" w:cs="宋体" w:eastAsia="宋体" w:hint="default"/>
                <w:sz w:val="18"/>
                <w:szCs w:val="18"/>
              </w:rPr>
              <w:t>自动化 系统的 设计、 开发、 安装、 调试及 终端产 品销售</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sz w:val="18"/>
              </w:rPr>
              <w:t>2,000,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000.00</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107"/>
              <w:jc w:val="left"/>
              <w:rPr>
                <w:rFonts w:ascii="宋体" w:hAnsi="宋体" w:cs="宋体" w:eastAsia="宋体" w:hint="default"/>
                <w:sz w:val="18"/>
                <w:szCs w:val="18"/>
              </w:rPr>
            </w:pPr>
            <w:r>
              <w:rPr>
                <w:rFonts w:ascii="宋体" w:hAnsi="宋体" w:cs="宋体" w:eastAsia="宋体" w:hint="default"/>
                <w:sz w:val="18"/>
                <w:szCs w:val="18"/>
              </w:rPr>
              <w:t>楼宇自 动化、 工业自 动化、 办公自 动化系 统的设 计、开 发、安 装、调 试及维 修服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10" w:right="0"/>
              <w:jc w:val="left"/>
              <w:rPr>
                <w:rFonts w:ascii="宋体" w:hAnsi="宋体" w:cs="宋体" w:eastAsia="宋体" w:hint="default"/>
                <w:sz w:val="18"/>
                <w:szCs w:val="18"/>
              </w:rPr>
            </w:pPr>
            <w:r>
              <w:rPr>
                <w:rFonts w:ascii="宋体"/>
                <w:sz w:val="18"/>
              </w:rPr>
              <w:t>2,678,</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100.00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76" w:right="0"/>
              <w:jc w:val="left"/>
              <w:rPr>
                <w:rFonts w:ascii="宋体" w:hAnsi="宋体" w:cs="宋体" w:eastAsia="宋体" w:hint="default"/>
                <w:sz w:val="18"/>
                <w:szCs w:val="18"/>
              </w:rPr>
            </w:pPr>
            <w:r>
              <w:rPr>
                <w:rFonts w:ascii="宋体"/>
                <w:sz w:val="18"/>
              </w:rPr>
              <w:t>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55" w:right="0"/>
              <w:jc w:val="left"/>
              <w:rPr>
                <w:rFonts w:ascii="宋体" w:hAnsi="宋体" w:cs="宋体" w:eastAsia="宋体" w:hint="default"/>
                <w:sz w:val="18"/>
                <w:szCs w:val="18"/>
              </w:rPr>
            </w:pPr>
            <w:r>
              <w:rPr>
                <w:rFonts w:ascii="宋体"/>
                <w:sz w:val="18"/>
              </w:rPr>
              <w:t>90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45" w:right="0"/>
              <w:jc w:val="left"/>
              <w:rPr>
                <w:rFonts w:ascii="宋体" w:hAnsi="宋体" w:cs="宋体" w:eastAsia="宋体" w:hint="default"/>
                <w:sz w:val="18"/>
                <w:szCs w:val="18"/>
              </w:rPr>
            </w:pPr>
            <w:r>
              <w:rPr>
                <w:rFonts w:ascii="宋体"/>
                <w:sz w:val="18"/>
              </w:rPr>
              <w:t>532,699</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.68</w:t>
            </w:r>
          </w:p>
        </w:tc>
        <w:tc>
          <w:tcPr>
            <w:tcW w:w="85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2</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487"/>
        <w:gridCol w:w="566"/>
        <w:gridCol w:w="425"/>
        <w:gridCol w:w="710"/>
        <w:gridCol w:w="850"/>
        <w:gridCol w:w="1048"/>
      </w:tblGrid>
      <w:tr>
        <w:trPr>
          <w:trHeight w:val="3518"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60" w:right="55"/>
              <w:jc w:val="both"/>
              <w:rPr>
                <w:rFonts w:ascii="宋体" w:hAnsi="宋体" w:cs="宋体" w:eastAsia="宋体" w:hint="default"/>
                <w:sz w:val="18"/>
                <w:szCs w:val="18"/>
              </w:rPr>
            </w:pPr>
            <w:r>
              <w:rPr>
                <w:rFonts w:ascii="宋体" w:hAnsi="宋体" w:cs="宋体" w:eastAsia="宋体" w:hint="default"/>
                <w:sz w:val="18"/>
                <w:szCs w:val="18"/>
              </w:rPr>
              <w:t>持股 比例 </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52" w:right="48" w:firstLine="45"/>
              <w:jc w:val="both"/>
              <w:rPr>
                <w:rFonts w:ascii="宋体" w:hAnsi="宋体" w:cs="宋体" w:eastAsia="宋体" w:hint="default"/>
                <w:sz w:val="18"/>
                <w:szCs w:val="18"/>
              </w:rPr>
            </w:pPr>
            <w:r>
              <w:rPr>
                <w:rFonts w:ascii="宋体" w:hAnsi="宋体" w:cs="宋体" w:eastAsia="宋体" w:hint="default"/>
                <w:sz w:val="18"/>
                <w:szCs w:val="18"/>
              </w:rPr>
              <w:t>表决 权比 例</w:t>
            </w:r>
            <w:r>
              <w:rPr>
                <w:rFonts w:ascii="宋体" w:hAnsi="宋体" w:cs="宋体" w:eastAsia="宋体"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8" w:right="24"/>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4" w:lineRule="auto"/>
              <w:ind w:left="79" w:right="7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60" w:right="59"/>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4" w:right="61"/>
              <w:jc w:val="center"/>
              <w:rPr>
                <w:rFonts w:ascii="宋体" w:hAnsi="宋体" w:cs="宋体" w:eastAsia="宋体" w:hint="default"/>
                <w:sz w:val="18"/>
                <w:szCs w:val="18"/>
              </w:rPr>
            </w:pPr>
            <w:r>
              <w:rPr>
                <w:rFonts w:ascii="宋体" w:hAnsi="宋体" w:cs="宋体" w:eastAsia="宋体" w:hint="default"/>
                <w:sz w:val="18"/>
                <w:szCs w:val="18"/>
              </w:rPr>
              <w:t>从母公司所 有者权益冲 减子公司少 数股东分担 的本期亏损 超过少数股 东在该子公 司年初所有 者权益中所 享有份额后 的余额</w:t>
            </w:r>
          </w:p>
        </w:tc>
      </w:tr>
      <w:tr>
        <w:trPr>
          <w:trHeight w:val="1966"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达实信 息</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106"/>
              <w:jc w:val="both"/>
              <w:rPr>
                <w:rFonts w:ascii="宋体" w:hAnsi="宋体" w:cs="宋体" w:eastAsia="宋体" w:hint="default"/>
                <w:sz w:val="18"/>
                <w:szCs w:val="18"/>
              </w:rPr>
            </w:pPr>
            <w:r>
              <w:rPr>
                <w:rFonts w:ascii="宋体" w:hAnsi="宋体" w:cs="宋体" w:eastAsia="宋体" w:hint="default"/>
                <w:sz w:val="18"/>
                <w:szCs w:val="18"/>
              </w:rPr>
              <w:t>安防行 业，智 能一卡 通和计 算机系 统集成</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50,000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107"/>
              <w:jc w:val="both"/>
              <w:rPr>
                <w:rFonts w:ascii="宋体" w:hAnsi="宋体" w:cs="宋体" w:eastAsia="宋体" w:hint="default"/>
                <w:sz w:val="18"/>
                <w:szCs w:val="18"/>
              </w:rPr>
            </w:pPr>
            <w:r>
              <w:rPr>
                <w:rFonts w:ascii="宋体" w:hAnsi="宋体" w:cs="宋体" w:eastAsia="宋体" w:hint="default"/>
                <w:sz w:val="18"/>
                <w:szCs w:val="18"/>
              </w:rPr>
              <w:t>安防行 业，智 能一卡 通和计 算机系 统集成</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68,150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4" w:right="0"/>
              <w:jc w:val="left"/>
              <w:rPr>
                <w:rFonts w:ascii="宋体" w:hAnsi="宋体" w:cs="宋体" w:eastAsia="宋体" w:hint="default"/>
                <w:sz w:val="18"/>
                <w:szCs w:val="18"/>
              </w:rPr>
            </w:pPr>
            <w:r>
              <w:rPr>
                <w:rFonts w:ascii="宋体"/>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3" w:right="0"/>
              <w:jc w:val="left"/>
              <w:rPr>
                <w:rFonts w:ascii="宋体" w:hAnsi="宋体" w:cs="宋体" w:eastAsia="宋体" w:hint="default"/>
                <w:sz w:val="18"/>
                <w:szCs w:val="18"/>
              </w:rPr>
            </w:pPr>
            <w:r>
              <w:rPr>
                <w:rFonts w:ascii="宋体"/>
                <w:sz w:val="18"/>
              </w:rPr>
              <w:t>100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100" w:bottom="154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487"/>
        <w:gridCol w:w="566"/>
        <w:gridCol w:w="425"/>
        <w:gridCol w:w="710"/>
        <w:gridCol w:w="850"/>
        <w:gridCol w:w="1058"/>
      </w:tblGrid>
      <w:tr>
        <w:trPr>
          <w:trHeight w:val="3522"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达实德 润</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技术咨 询服 务；计 算机系 统服务 及维修</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2,739,</w:t>
            </w:r>
          </w:p>
          <w:p>
            <w:pPr>
              <w:pStyle w:val="TableParagraph"/>
              <w:spacing w:line="240" w:lineRule="auto" w:before="76"/>
              <w:ind w:left="23" w:right="0"/>
              <w:jc w:val="left"/>
              <w:rPr>
                <w:rFonts w:ascii="宋体" w:hAnsi="宋体" w:cs="宋体" w:eastAsia="宋体" w:hint="default"/>
                <w:sz w:val="18"/>
                <w:szCs w:val="18"/>
              </w:rPr>
            </w:pPr>
            <w:r>
              <w:rPr>
                <w:rFonts w:ascii="宋体"/>
                <w:sz w:val="18"/>
              </w:rPr>
              <w:t>726.00</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技术咨 询服 务；计 算机系 统服务 及维 修，销 售计算 机、电 子、机 械产品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13,500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7"/>
              <w:jc w:val="right"/>
              <w:rPr>
                <w:rFonts w:ascii="宋体" w:hAnsi="宋体" w:cs="宋体" w:eastAsia="宋体" w:hint="default"/>
                <w:sz w:val="18"/>
                <w:szCs w:val="18"/>
              </w:rPr>
            </w:pPr>
            <w:r>
              <w:rPr>
                <w:rFonts w:ascii="宋体"/>
                <w:sz w:val="18"/>
              </w:rPr>
              <w:t>45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7"/>
              <w:jc w:val="right"/>
              <w:rPr>
                <w:rFonts w:ascii="宋体" w:hAnsi="宋体" w:cs="宋体" w:eastAsia="宋体" w:hint="default"/>
                <w:sz w:val="18"/>
                <w:szCs w:val="18"/>
              </w:rPr>
            </w:pPr>
            <w:r>
              <w:rPr>
                <w:rFonts w:ascii="宋体"/>
                <w:sz w:val="18"/>
              </w:rPr>
              <w:t>45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center"/>
              <w:rPr>
                <w:rFonts w:ascii="宋体" w:hAnsi="宋体" w:cs="宋体" w:eastAsia="宋体" w:hint="default"/>
                <w:sz w:val="18"/>
                <w:szCs w:val="18"/>
              </w:rPr>
            </w:pPr>
            <w:r>
              <w:rPr>
                <w:rFonts w:ascii="宋体"/>
                <w:sz w:val="18"/>
              </w:rPr>
              <w:t>8,118,9</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30.23</w:t>
            </w:r>
          </w:p>
        </w:tc>
        <w:tc>
          <w:tcPr>
            <w:tcW w:w="85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459"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4" w:lineRule="auto"/>
              <w:ind w:left="22" w:right="108"/>
              <w:jc w:val="left"/>
              <w:rPr>
                <w:rFonts w:ascii="宋体" w:hAnsi="宋体" w:cs="宋体" w:eastAsia="宋体" w:hint="default"/>
                <w:sz w:val="18"/>
                <w:szCs w:val="18"/>
              </w:rPr>
            </w:pPr>
            <w:r>
              <w:rPr>
                <w:rFonts w:ascii="宋体" w:hAnsi="宋体" w:cs="宋体" w:eastAsia="宋体" w:hint="default"/>
                <w:sz w:val="18"/>
                <w:szCs w:val="18"/>
              </w:rPr>
              <w:t>达实联 欣</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06"/>
              <w:jc w:val="both"/>
              <w:rPr>
                <w:rFonts w:ascii="宋体" w:hAnsi="宋体" w:cs="宋体" w:eastAsia="宋体" w:hint="default"/>
                <w:sz w:val="18"/>
                <w:szCs w:val="18"/>
              </w:rPr>
            </w:pPr>
            <w:r>
              <w:rPr>
                <w:rFonts w:ascii="宋体" w:hAnsi="宋体" w:cs="宋体" w:eastAsia="宋体" w:hint="default"/>
                <w:sz w:val="18"/>
                <w:szCs w:val="18"/>
              </w:rPr>
              <w:t>建筑智 能化， 安防行 业，电 气及设 备集成 系统， 技术咨 询服务</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sz w:val="18"/>
              </w:rPr>
              <w:t>40,000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107"/>
              <w:jc w:val="left"/>
              <w:rPr>
                <w:rFonts w:ascii="宋体" w:hAnsi="宋体" w:cs="宋体" w:eastAsia="宋体" w:hint="default"/>
                <w:sz w:val="18"/>
                <w:szCs w:val="18"/>
              </w:rPr>
            </w:pPr>
            <w:r>
              <w:rPr>
                <w:rFonts w:ascii="宋体" w:hAnsi="宋体" w:cs="宋体" w:eastAsia="宋体" w:hint="default"/>
                <w:sz w:val="18"/>
                <w:szCs w:val="18"/>
              </w:rPr>
              <w:t>建筑智 能化， 安防行 业，电 气及设 备集成 系统， 技术咨 询服 务，销 售五金 电缆防 水装潢 材料。</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21"/>
              <w:jc w:val="right"/>
              <w:rPr>
                <w:rFonts w:ascii="宋体" w:hAnsi="宋体" w:cs="宋体" w:eastAsia="宋体" w:hint="default"/>
                <w:sz w:val="18"/>
                <w:szCs w:val="18"/>
              </w:rPr>
            </w:pPr>
            <w:r>
              <w:rPr>
                <w:rFonts w:ascii="宋体"/>
                <w:spacing w:val="-1"/>
                <w:sz w:val="18"/>
              </w:rPr>
              <w:t>140,54</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4,282.</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z w:val="18"/>
              </w:rPr>
              <w:t>51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z w:val="18"/>
              </w:rPr>
              <w:t>51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45" w:right="0"/>
              <w:jc w:val="left"/>
              <w:rPr>
                <w:rFonts w:ascii="宋体" w:hAnsi="宋体" w:cs="宋体" w:eastAsia="宋体" w:hint="default"/>
                <w:sz w:val="18"/>
                <w:szCs w:val="18"/>
              </w:rPr>
            </w:pPr>
            <w:r>
              <w:rPr>
                <w:rFonts w:ascii="宋体"/>
                <w:sz w:val="18"/>
              </w:rPr>
              <w:t>65,461,</w:t>
            </w:r>
          </w:p>
          <w:p>
            <w:pPr>
              <w:pStyle w:val="TableParagraph"/>
              <w:spacing w:line="240" w:lineRule="auto" w:before="74"/>
              <w:ind w:left="136" w:right="0"/>
              <w:jc w:val="left"/>
              <w:rPr>
                <w:rFonts w:ascii="宋体" w:hAnsi="宋体" w:cs="宋体" w:eastAsia="宋体" w:hint="default"/>
                <w:sz w:val="18"/>
                <w:szCs w:val="18"/>
              </w:rPr>
            </w:pPr>
            <w:r>
              <w:rPr>
                <w:rFonts w:ascii="宋体"/>
                <w:sz w:val="18"/>
              </w:rPr>
              <w:t>450.37</w:t>
            </w:r>
          </w:p>
        </w:tc>
        <w:tc>
          <w:tcPr>
            <w:tcW w:w="85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5708"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上海联 欣金山 建筑科 技发展 有限公 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6" w:right="105"/>
              <w:jc w:val="both"/>
              <w:rPr>
                <w:rFonts w:ascii="宋体" w:hAnsi="宋体" w:cs="宋体" w:eastAsia="宋体" w:hint="default"/>
                <w:sz w:val="18"/>
                <w:szCs w:val="18"/>
              </w:rPr>
            </w:pPr>
            <w:r>
              <w:rPr>
                <w:rFonts w:ascii="宋体" w:hAnsi="宋体" w:cs="宋体" w:eastAsia="宋体" w:hint="default"/>
                <w:sz w:val="18"/>
                <w:szCs w:val="18"/>
              </w:rPr>
              <w:t>控股子 公司的 全资子 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06"/>
              <w:jc w:val="both"/>
              <w:rPr>
                <w:rFonts w:ascii="宋体" w:hAnsi="宋体" w:cs="宋体" w:eastAsia="宋体" w:hint="default"/>
                <w:sz w:val="18"/>
                <w:szCs w:val="18"/>
              </w:rPr>
            </w:pPr>
            <w:r>
              <w:rPr>
                <w:rFonts w:ascii="宋体" w:hAnsi="宋体" w:cs="宋体" w:eastAsia="宋体" w:hint="default"/>
                <w:sz w:val="18"/>
                <w:szCs w:val="18"/>
              </w:rPr>
              <w:t>建筑智 能化， 安防行 业，电 气及设 备集成 系统， 技术咨 询服务</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sz w:val="18"/>
              </w:rPr>
              <w:t>10,000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23" w:right="0"/>
              <w:jc w:val="left"/>
              <w:rPr>
                <w:rFonts w:ascii="宋体" w:hAnsi="宋体" w:cs="宋体" w:eastAsia="宋体" w:hint="default"/>
                <w:sz w:val="18"/>
                <w:szCs w:val="18"/>
              </w:rPr>
            </w:pPr>
            <w:r>
              <w:rPr>
                <w:rFonts w:ascii="宋体"/>
                <w:sz w:val="18"/>
              </w:rPr>
              <w:t>0</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建筑智 能化， 安防行 业，电 气及设 备集成 系统， 技术咨 询服 务，电 子产 品、五 金、电 缆、防 水、装 潢材料 的销 售。</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100" w:bottom="1540" w:left="980" w:right="0"/>
        </w:sectPr>
      </w:pPr>
    </w:p>
    <w:p>
      <w:pPr>
        <w:spacing w:line="240" w:lineRule="auto" w:before="9"/>
        <w:rPr>
          <w:rFonts w:ascii="Times New Roman" w:hAnsi="Times New Roman" w:cs="Times New Roman" w:eastAsia="Times New Roman" w:hint="default"/>
          <w:sz w:val="24"/>
          <w:szCs w:val="24"/>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pStyle w:val="BodyText"/>
        <w:spacing w:line="240" w:lineRule="auto" w:before="97"/>
        <w:ind w:left="467" w:right="1123"/>
        <w:jc w:val="left"/>
      </w:pPr>
      <w:r>
        <w:rPr/>
        <w:t>上海联欣金山建筑科技发展有限公司系上海达实联欣科技发展有限公司的全资子公司。</w:t>
      </w:r>
    </w:p>
    <w:p>
      <w:pPr>
        <w:spacing w:line="240" w:lineRule="auto" w:before="10"/>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2"/>
        <w:gridCol w:w="4688"/>
      </w:tblGrid>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spacing w:line="357" w:lineRule="auto" w:before="49"/>
        <w:ind w:left="152" w:right="4634" w:firstLine="0"/>
        <w:jc w:val="left"/>
        <w:rPr>
          <w:rFonts w:ascii="宋体" w:hAnsi="宋体" w:cs="宋体" w:eastAsia="宋体" w:hint="default"/>
          <w:sz w:val="18"/>
          <w:szCs w:val="18"/>
        </w:rPr>
      </w:pPr>
      <w:r>
        <w:rPr>
          <w:rFonts w:ascii="宋体" w:hAnsi="宋体" w:cs="宋体" w:eastAsia="宋体" w:hint="default"/>
          <w:sz w:val="18"/>
          <w:szCs w:val="18"/>
        </w:rPr>
        <w:t>特殊目的主体或通过受托经营或承租等方式形成控制权的经营实体的其他说明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1"/>
        <w:rPr>
          <w:rFonts w:ascii="宋体" w:hAnsi="宋体" w:cs="宋体" w:eastAsia="宋体" w:hint="default"/>
          <w:b/>
          <w:bCs/>
          <w:sz w:val="23"/>
          <w:szCs w:val="23"/>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pStyle w:val="BodyText"/>
        <w:spacing w:line="240" w:lineRule="auto" w:before="113"/>
        <w:ind w:left="573" w:right="1123"/>
        <w:jc w:val="left"/>
      </w:pPr>
      <w:r>
        <w:rPr/>
        <w:t>由于新增对外投资，与上年相比本年新增合并单位</w:t>
      </w:r>
      <w:r>
        <w:rPr>
          <w:rFonts w:ascii="宋体" w:hAnsi="宋体" w:cs="宋体" w:eastAsia="宋体" w:hint="default"/>
        </w:rPr>
        <w:t>3</w:t>
      </w:r>
      <w:r>
        <w:rPr/>
        <w:t>家。</w:t>
      </w:r>
    </w:p>
    <w:p>
      <w:pPr>
        <w:spacing w:line="355" w:lineRule="auto" w:before="137"/>
        <w:ind w:left="152" w:right="679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与上年相比本年（期）新增合并单位</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家，原因为</w:t>
      </w:r>
    </w:p>
    <w:p>
      <w:pPr>
        <w:pStyle w:val="BodyText"/>
        <w:spacing w:line="357" w:lineRule="auto" w:before="27"/>
        <w:ind w:right="1122" w:firstLine="420"/>
        <w:jc w:val="left"/>
      </w:pPr>
      <w:r>
        <w:rPr>
          <w:rFonts w:ascii="宋体" w:hAnsi="宋体" w:cs="宋体" w:eastAsia="宋体" w:hint="default"/>
        </w:rPr>
        <w:t>1</w:t>
      </w:r>
      <w:r>
        <w:rPr/>
        <w:t>、报告期内，公司采用现金增资及股权收购的方式取得</w:t>
      </w:r>
      <w:r>
        <w:rPr>
          <w:spacing w:val="77"/>
        </w:rPr>
        <w:t> </w:t>
      </w:r>
      <w:r>
        <w:rPr/>
        <w:t>北京启迪德润能源科技有限公司</w:t>
      </w:r>
      <w:r>
        <w:rPr>
          <w:rFonts w:ascii="宋体" w:hAnsi="宋体" w:cs="宋体" w:eastAsia="宋体" w:hint="default"/>
        </w:rPr>
        <w:t>45%</w:t>
      </w:r>
      <w:r>
        <w:rPr/>
        <w:t>股权，</w:t>
      </w:r>
      <w:r>
        <w:rPr>
          <w:w w:val="100"/>
        </w:rPr>
        <w:t> </w:t>
      </w:r>
      <w:r>
        <w:rPr/>
        <w:t>收购完成后，该公司变为公司控股子公司，现更名为达实德润；</w:t>
      </w:r>
    </w:p>
    <w:p>
      <w:pPr>
        <w:pStyle w:val="BodyText"/>
        <w:spacing w:line="355" w:lineRule="auto"/>
        <w:ind w:right="1123" w:firstLine="420"/>
        <w:jc w:val="left"/>
      </w:pPr>
      <w:r>
        <w:rPr>
          <w:rFonts w:ascii="宋体" w:hAnsi="宋体" w:cs="宋体" w:eastAsia="宋体" w:hint="default"/>
          <w:spacing w:val="-2"/>
        </w:rPr>
        <w:t>2</w:t>
      </w:r>
      <w:r>
        <w:rPr>
          <w:spacing w:val="-2"/>
        </w:rPr>
        <w:t>、报告期内，公司收购上海联欣科技发展有限公司</w:t>
      </w:r>
      <w:r>
        <w:rPr>
          <w:rFonts w:ascii="宋体" w:hAnsi="宋体" w:cs="宋体" w:eastAsia="宋体" w:hint="default"/>
          <w:spacing w:val="-2"/>
        </w:rPr>
        <w:t>51%</w:t>
      </w:r>
      <w:r>
        <w:rPr>
          <w:spacing w:val="-2"/>
        </w:rPr>
        <w:t>股权，收购完成后，该公司变为公司控股子公</w:t>
      </w:r>
      <w:r>
        <w:rPr>
          <w:w w:val="100"/>
        </w:rPr>
        <w:t> </w:t>
      </w:r>
      <w:r>
        <w:rPr/>
        <w:t>司，现更名为达实联欣；</w:t>
      </w:r>
    </w:p>
    <w:p>
      <w:pPr>
        <w:pStyle w:val="BodyText"/>
        <w:spacing w:line="357" w:lineRule="auto" w:before="32"/>
        <w:ind w:right="0" w:firstLine="420"/>
        <w:jc w:val="left"/>
      </w:pPr>
      <w:r>
        <w:rPr>
          <w:rFonts w:ascii="宋体" w:hAnsi="宋体" w:cs="宋体" w:eastAsia="宋体" w:hint="default"/>
          <w:spacing w:val="-2"/>
        </w:rPr>
        <w:t>3</w:t>
      </w:r>
      <w:r>
        <w:rPr>
          <w:spacing w:val="-2"/>
        </w:rPr>
        <w:t>、公司收购的上海联欣科技发展有限公司拥有一家全资子公司上海联欣金山建筑科技发展有限公司，</w:t>
      </w:r>
      <w:r>
        <w:rPr>
          <w:w w:val="100"/>
        </w:rPr>
        <w:t> </w:t>
      </w:r>
      <w:r>
        <w:rPr/>
        <w:t>本期纳入合并报表。</w:t>
      </w:r>
    </w:p>
    <w:p>
      <w:pPr>
        <w:spacing w:line="240" w:lineRule="auto" w:before="1"/>
        <w:rPr>
          <w:rFonts w:ascii="宋体" w:hAnsi="宋体" w:cs="宋体" w:eastAsia="宋体" w:hint="default"/>
          <w:sz w:val="27"/>
          <w:szCs w:val="27"/>
        </w:rPr>
      </w:pPr>
    </w:p>
    <w:p>
      <w:pPr>
        <w:pStyle w:val="Heading3"/>
        <w:spacing w:line="240" w:lineRule="auto"/>
        <w:ind w:right="1123"/>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0"/>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45"/>
      </w:tblGrid>
      <w:tr>
        <w:trPr>
          <w:trHeight w:val="397"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7" w:hRule="exact"/>
        </w:trPr>
        <w:tc>
          <w:tcPr>
            <w:tcW w:w="407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133,960,008.18</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50,774,635.31</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上海联欣金山建筑科技发展有限公司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9,634,788.48</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-266,603.44</w:t>
            </w:r>
          </w:p>
        </w:tc>
      </w:tr>
      <w:tr>
        <w:trPr>
          <w:trHeight w:val="404" w:hRule="exact"/>
        </w:trPr>
        <w:tc>
          <w:tcPr>
            <w:tcW w:w="407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北京达实德润能源科技有效公司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14,761,691.34</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886,955.28</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本期不再纳入合并范围的子公司、特殊目的主体、通过受托经营或承租等方式形成控制权的经营实体</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新纳入合并范围的主体和不再纳入合并范围的主体的其他说明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340" w:top="1100" w:bottom="154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716"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同一控制下企业合并的其他说明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9"/>
        <w:gridCol w:w="2422"/>
        <w:gridCol w:w="4739"/>
      </w:tblGrid>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4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达实德润</w:t>
            </w:r>
          </w:p>
        </w:tc>
        <w:tc>
          <w:tcPr>
            <w:tcW w:w="2422"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7,256,368.77</w:t>
            </w:r>
          </w:p>
        </w:tc>
        <w:tc>
          <w:tcPr>
            <w:tcW w:w="47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商誉价值</w:t>
            </w:r>
            <w:r>
              <w:rPr>
                <w:rFonts w:ascii="宋体" w:hAnsi="宋体" w:cs="宋体" w:eastAsia="宋体" w:hint="default"/>
                <w:sz w:val="18"/>
                <w:szCs w:val="18"/>
              </w:rPr>
              <w:t>=</w:t>
            </w:r>
            <w:r>
              <w:rPr>
                <w:rFonts w:ascii="宋体" w:hAnsi="宋体" w:cs="宋体" w:eastAsia="宋体" w:hint="default"/>
                <w:sz w:val="18"/>
                <w:szCs w:val="18"/>
              </w:rPr>
              <w:t>企业合并成本</w:t>
            </w:r>
            <w:r>
              <w:rPr>
                <w:rFonts w:ascii="宋体" w:hAnsi="宋体" w:cs="宋体" w:eastAsia="宋体" w:hint="default"/>
                <w:sz w:val="18"/>
                <w:szCs w:val="18"/>
              </w:rPr>
              <w:t>-</w:t>
            </w:r>
            <w:r>
              <w:rPr>
                <w:rFonts w:ascii="宋体" w:hAnsi="宋体" w:cs="宋体" w:eastAsia="宋体" w:hint="default"/>
                <w:sz w:val="18"/>
                <w:szCs w:val="18"/>
              </w:rPr>
              <w:t>被购买方可辨认净资产公允价值</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达实联欣</w:t>
            </w:r>
          </w:p>
        </w:tc>
        <w:tc>
          <w:tcPr>
            <w:tcW w:w="2422"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158,769,749.96</w:t>
            </w:r>
          </w:p>
        </w:tc>
        <w:tc>
          <w:tcPr>
            <w:tcW w:w="47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商誉价值</w:t>
            </w:r>
            <w:r>
              <w:rPr>
                <w:rFonts w:ascii="宋体" w:hAnsi="宋体" w:cs="宋体" w:eastAsia="宋体" w:hint="default"/>
                <w:sz w:val="18"/>
                <w:szCs w:val="18"/>
              </w:rPr>
              <w:t>=</w:t>
            </w:r>
            <w:r>
              <w:rPr>
                <w:rFonts w:ascii="宋体" w:hAnsi="宋体" w:cs="宋体" w:eastAsia="宋体" w:hint="default"/>
                <w:sz w:val="18"/>
                <w:szCs w:val="18"/>
              </w:rPr>
              <w:t>企业合并成本</w:t>
            </w:r>
            <w:r>
              <w:rPr>
                <w:rFonts w:ascii="宋体" w:hAnsi="宋体" w:cs="宋体" w:eastAsia="宋体" w:hint="default"/>
                <w:sz w:val="18"/>
                <w:szCs w:val="18"/>
              </w:rPr>
              <w:t>-</w:t>
            </w:r>
            <w:r>
              <w:rPr>
                <w:rFonts w:ascii="宋体" w:hAnsi="宋体" w:cs="宋体" w:eastAsia="宋体" w:hint="default"/>
                <w:sz w:val="18"/>
                <w:szCs w:val="18"/>
              </w:rPr>
              <w:t>被购买方可辨认净资产公允价值</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w:t>
      </w:r>
    </w:p>
    <w:p>
      <w:pPr>
        <w:spacing w:line="240" w:lineRule="auto" w:before="4"/>
        <w:rPr>
          <w:rFonts w:ascii="宋体" w:hAnsi="宋体" w:cs="宋体" w:eastAsia="宋体" w:hint="default"/>
          <w:sz w:val="25"/>
          <w:szCs w:val="25"/>
        </w:rPr>
      </w:pPr>
    </w:p>
    <w:p>
      <w:pPr>
        <w:pStyle w:val="Heading2"/>
        <w:spacing w:line="240" w:lineRule="auto"/>
        <w:ind w:right="1123"/>
        <w:jc w:val="left"/>
        <w:rPr>
          <w:b w:val="0"/>
          <w:bCs w:val="0"/>
        </w:rPr>
      </w:pPr>
      <w:r>
        <w:rPr/>
        <w:t>七、合并财务报表主要项目注释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325"/>
        <w:gridCol w:w="931"/>
        <w:gridCol w:w="1462"/>
        <w:gridCol w:w="1327"/>
        <w:gridCol w:w="932"/>
        <w:gridCol w:w="1594"/>
      </w:tblGrid>
      <w:tr>
        <w:trPr>
          <w:trHeight w:val="206" w:hRule="exact"/>
        </w:trPr>
        <w:tc>
          <w:tcPr>
            <w:tcW w:w="199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9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8"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宋体" w:hAnsi="宋体" w:cs="宋体" w:eastAsia="宋体"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249,811.13</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108,890.24</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230,954.63</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89,987.54</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2"/>
                <w:sz w:val="18"/>
                <w:szCs w:val="18"/>
              </w:rPr>
              <w:t> </w:t>
            </w:r>
            <w:r>
              <w:rPr>
                <w:rFonts w:ascii="宋体" w:hAnsi="宋体" w:cs="宋体" w:eastAsia="宋体" w:hint="default"/>
                <w:sz w:val="18"/>
                <w:szCs w:val="18"/>
              </w:rPr>
              <w:t>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18,856.50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18,902.70</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221,348,705.17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284,296,815.73</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221,259,434.37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284,207,261.86</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港 </w:t>
            </w:r>
            <w:r>
              <w:rPr>
                <w:rFonts w:ascii="宋体" w:hAnsi="宋体" w:cs="宋体" w:eastAsia="宋体" w:hint="default"/>
                <w:spacing w:val="2"/>
                <w:sz w:val="18"/>
                <w:szCs w:val="18"/>
              </w:rPr>
              <w:t> </w:t>
            </w:r>
            <w:r>
              <w:rPr>
                <w:rFonts w:ascii="宋体" w:hAnsi="宋体" w:cs="宋体" w:eastAsia="宋体" w:hint="default"/>
                <w:sz w:val="18"/>
                <w:szCs w:val="18"/>
              </w:rPr>
              <w:t>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40,482.35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81.09%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32,827.14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40,575.48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32,894.54</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2"/>
                <w:sz w:val="18"/>
                <w:szCs w:val="18"/>
              </w:rPr>
              <w:t> </w:t>
            </w:r>
            <w:r>
              <w:rPr>
                <w:rFonts w:ascii="宋体" w:hAnsi="宋体" w:cs="宋体" w:eastAsia="宋体" w:hint="default"/>
                <w:sz w:val="18"/>
                <w:szCs w:val="18"/>
              </w:rPr>
              <w:t>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8,979.98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56,443.66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8,992.26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56,659.33</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10,447,746.57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16,414,586.67</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10,447,746.57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16,414,586.67</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232,046,262.87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300,820,292.64</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45"/>
        <w:gridCol w:w="2656"/>
        <w:gridCol w:w="2657"/>
      </w:tblGrid>
      <w:tr>
        <w:trPr>
          <w:trHeight w:val="403" w:hRule="exact"/>
        </w:trPr>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1"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1" w:hRule="exact"/>
        </w:trPr>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26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715" w:right="0"/>
              <w:jc w:val="left"/>
              <w:rPr>
                <w:rFonts w:ascii="宋体" w:hAnsi="宋体" w:cs="宋体" w:eastAsia="宋体" w:hint="default"/>
                <w:sz w:val="18"/>
                <w:szCs w:val="18"/>
              </w:rPr>
            </w:pPr>
            <w:r>
              <w:rPr>
                <w:rFonts w:ascii="宋体"/>
                <w:sz w:val="18"/>
              </w:rPr>
              <w:t>339,591.58</w:t>
            </w:r>
          </w:p>
        </w:tc>
        <w:tc>
          <w:tcPr>
            <w:tcW w:w="26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100" w:bottom="1540" w:left="980" w:right="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258"/>
        <w:gridCol w:w="2657"/>
        <w:gridCol w:w="2657"/>
      </w:tblGrid>
      <w:tr>
        <w:trPr>
          <w:trHeight w:val="40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23" w:right="0"/>
              <w:jc w:val="left"/>
              <w:rPr>
                <w:rFonts w:ascii="宋体" w:hAnsi="宋体" w:cs="宋体" w:eastAsia="宋体" w:hint="default"/>
                <w:sz w:val="18"/>
                <w:szCs w:val="18"/>
              </w:rPr>
            </w:pPr>
            <w:r>
              <w:rPr>
                <w:rFonts w:ascii="宋体"/>
                <w:sz w:val="18"/>
              </w:rPr>
              <w:t>339,591.58</w:t>
            </w:r>
          </w:p>
        </w:tc>
        <w:tc>
          <w:tcPr>
            <w:tcW w:w="26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397"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39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129,931.00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59,769.00</w:t>
            </w:r>
          </w:p>
        </w:tc>
      </w:tr>
      <w:tr>
        <w:trPr>
          <w:trHeight w:val="402" w:hRule="exact"/>
        </w:trPr>
        <w:tc>
          <w:tcPr>
            <w:tcW w:w="39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pacing w:val="-1"/>
                <w:sz w:val="18"/>
              </w:rPr>
              <w:t>7,449,324.00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13,250,000.00</w:t>
            </w:r>
          </w:p>
        </w:tc>
      </w:tr>
      <w:tr>
        <w:trPr>
          <w:trHeight w:val="404"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7,579,255.00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13,309,769.00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59" w:lineRule="auto" w:before="36"/>
        <w:ind w:right="1123"/>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65"/>
        </w:rPr>
        <w:t> </w:t>
      </w:r>
      <w:r>
        <w:rPr>
          <w:spacing w:val="-65"/>
        </w:rPr>
      </w:r>
      <w:r>
        <w:rPr/>
        <w:t>情况</w:t>
      </w:r>
      <w:r>
        <w:rPr>
          <w:b w:val="0"/>
          <w:bCs w:val="0"/>
        </w:rPr>
      </w:r>
    </w:p>
    <w:p>
      <w:pPr>
        <w:spacing w:line="240" w:lineRule="auto" w:before="11"/>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因出票人无力履约而将票据转为应收账款的票据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0"/>
        <w:gridCol w:w="1987"/>
        <w:gridCol w:w="1984"/>
        <w:gridCol w:w="1702"/>
        <w:gridCol w:w="1349"/>
      </w:tblGrid>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7"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footerReference w:type="default" r:id="rId21"/>
          <w:pgSz w:w="11910" w:h="16840"/>
          <w:pgMar w:footer="1340" w:header="877" w:top="1100" w:bottom="154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980" w:right="0"/>
          <w:cols w:num="2" w:equalWidth="0">
            <w:col w:w="3393" w:space="543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40"/>
        <w:gridCol w:w="1996"/>
        <w:gridCol w:w="1985"/>
        <w:gridCol w:w="1702"/>
        <w:gridCol w:w="1349"/>
      </w:tblGrid>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漯河建业昌建置业有限公司</w:t>
            </w:r>
          </w:p>
        </w:tc>
        <w:tc>
          <w:tcPr>
            <w:tcW w:w="1996"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457,500.00</w:t>
            </w:r>
          </w:p>
        </w:tc>
        <w:tc>
          <w:tcPr>
            <w:tcW w:w="134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漯河建业昌建置业有限公司</w:t>
            </w:r>
          </w:p>
        </w:tc>
        <w:tc>
          <w:tcPr>
            <w:tcW w:w="1996"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450,000.00</w:t>
            </w:r>
          </w:p>
        </w:tc>
        <w:tc>
          <w:tcPr>
            <w:tcW w:w="134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宁波八益实业有限公司</w:t>
            </w:r>
          </w:p>
        </w:tc>
        <w:tc>
          <w:tcPr>
            <w:tcW w:w="1996"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300,000.00</w:t>
            </w:r>
          </w:p>
        </w:tc>
        <w:tc>
          <w:tcPr>
            <w:tcW w:w="134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4" w:hRule="exact"/>
        </w:trPr>
        <w:tc>
          <w:tcPr>
            <w:tcW w:w="25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漯河建业昌建置业有限公司</w:t>
            </w:r>
          </w:p>
        </w:tc>
        <w:tc>
          <w:tcPr>
            <w:tcW w:w="1996"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300,000.00</w:t>
            </w:r>
          </w:p>
        </w:tc>
        <w:tc>
          <w:tcPr>
            <w:tcW w:w="134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漯河建业昌建置业有限公司</w:t>
            </w:r>
          </w:p>
        </w:tc>
        <w:tc>
          <w:tcPr>
            <w:tcW w:w="1996"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275,000.00</w:t>
            </w:r>
          </w:p>
        </w:tc>
        <w:tc>
          <w:tcPr>
            <w:tcW w:w="134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1,782,500.00</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spacing w:line="357" w:lineRule="auto" w:before="49"/>
        <w:ind w:left="152" w:right="7874" w:firstLine="0"/>
        <w:jc w:val="left"/>
        <w:rPr>
          <w:rFonts w:ascii="宋体" w:hAnsi="宋体" w:cs="宋体" w:eastAsia="宋体" w:hint="default"/>
          <w:sz w:val="18"/>
          <w:szCs w:val="18"/>
        </w:rPr>
      </w:pPr>
      <w:r>
        <w:rPr>
          <w:rFonts w:ascii="宋体" w:hAnsi="宋体" w:cs="宋体" w:eastAsia="宋体" w:hint="default"/>
          <w:sz w:val="18"/>
          <w:szCs w:val="18"/>
        </w:rPr>
        <w:t>说明 已贴现或质押的商业承兑票据的说明</w:t>
      </w:r>
    </w:p>
    <w:p>
      <w:pPr>
        <w:spacing w:after="0" w:line="357" w:lineRule="auto"/>
        <w:jc w:val="left"/>
        <w:rPr>
          <w:rFonts w:ascii="宋体" w:hAnsi="宋体" w:cs="宋体" w:eastAsia="宋体" w:hint="default"/>
          <w:sz w:val="18"/>
          <w:szCs w:val="18"/>
        </w:rPr>
        <w:sectPr>
          <w:type w:val="continuous"/>
          <w:pgSz w:w="11910" w:h="16840"/>
          <w:pgMar w:top="1580" w:bottom="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rFonts w:ascii="Times New Roman" w:hAnsi="Times New Roman" w:cs="Times New Roman" w:eastAsia="Times New Roman" w:hint="default"/>
        </w:rPr>
        <w:t>4</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233,622.44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52,616.68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233,622.44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52,616.68</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233,622.44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52,616.68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233,622.44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52,616.68</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）应收利息的说明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98"/>
        <w:gridCol w:w="1422"/>
        <w:gridCol w:w="540"/>
        <w:gridCol w:w="1349"/>
        <w:gridCol w:w="509"/>
        <w:gridCol w:w="1514"/>
        <w:gridCol w:w="575"/>
        <w:gridCol w:w="1237"/>
        <w:gridCol w:w="528"/>
      </w:tblGrid>
      <w:tr>
        <w:trPr>
          <w:trHeight w:val="396" w:hRule="exact"/>
        </w:trPr>
        <w:tc>
          <w:tcPr>
            <w:tcW w:w="1898" w:type="dxa"/>
            <w:vMerge w:val="restart"/>
            <w:tcBorders>
              <w:top w:val="single" w:sz="4" w:space="0" w:color="000000"/>
              <w:left w:val="single" w:sz="4" w:space="0" w:color="000000"/>
              <w:right w:val="single" w:sz="4" w:space="0" w:color="000000"/>
            </w:tcBorders>
            <w:shd w:val="clear" w:color="auto" w:fill="D2D2D2"/>
          </w:tcPr>
          <w:p>
            <w:pPr/>
          </w:p>
        </w:tc>
        <w:tc>
          <w:tcPr>
            <w:tcW w:w="382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1898" w:type="dxa"/>
            <w:vMerge/>
            <w:tcBorders>
              <w:left w:val="single" w:sz="4" w:space="0" w:color="000000"/>
              <w:bottom w:val="nil" w:sz="6" w:space="0" w:color="auto"/>
              <w:right w:val="single" w:sz="4" w:space="0" w:color="000000"/>
            </w:tcBorders>
            <w:shd w:val="clear" w:color="auto" w:fill="D2D2D2"/>
          </w:tcPr>
          <w:p>
            <w:pPr/>
          </w:p>
        </w:tc>
        <w:tc>
          <w:tcPr>
            <w:tcW w:w="19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2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2" w:hRule="exact"/>
        </w:trPr>
        <w:tc>
          <w:tcPr>
            <w:tcW w:w="18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62" w:type="dxa"/>
            <w:gridSpan w:val="2"/>
            <w:vMerge/>
            <w:tcBorders>
              <w:left w:val="single" w:sz="4" w:space="0" w:color="000000"/>
              <w:bottom w:val="single" w:sz="4" w:space="0" w:color="000000"/>
              <w:right w:val="single" w:sz="4" w:space="0" w:color="000000"/>
            </w:tcBorders>
            <w:shd w:val="clear" w:color="auto" w:fill="D2D2D2"/>
          </w:tcPr>
          <w:p>
            <w:pPr/>
          </w:p>
        </w:tc>
        <w:tc>
          <w:tcPr>
            <w:tcW w:w="1859" w:type="dxa"/>
            <w:gridSpan w:val="2"/>
            <w:vMerge/>
            <w:tcBorders>
              <w:left w:val="single" w:sz="4" w:space="0" w:color="000000"/>
              <w:bottom w:val="single" w:sz="4" w:space="0" w:color="000000"/>
              <w:right w:val="single" w:sz="4" w:space="0" w:color="000000"/>
            </w:tcBorders>
            <w:shd w:val="clear" w:color="auto" w:fill="D2D2D2"/>
          </w:tcPr>
          <w:p>
            <w:pPr/>
          </w:p>
        </w:tc>
        <w:tc>
          <w:tcPr>
            <w:tcW w:w="2089" w:type="dxa"/>
            <w:gridSpan w:val="2"/>
            <w:vMerge/>
            <w:tcBorders>
              <w:left w:val="single" w:sz="4" w:space="0" w:color="000000"/>
              <w:bottom w:val="single" w:sz="4" w:space="0" w:color="000000"/>
              <w:right w:val="single" w:sz="4" w:space="0" w:color="000000"/>
            </w:tcBorders>
            <w:shd w:val="clear" w:color="auto" w:fill="D2D2D2"/>
          </w:tcPr>
          <w:p>
            <w:pPr/>
          </w:p>
        </w:tc>
        <w:tc>
          <w:tcPr>
            <w:tcW w:w="1765" w:type="dxa"/>
            <w:gridSpan w:val="2"/>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1898" w:type="dxa"/>
            <w:vMerge/>
            <w:tcBorders>
              <w:left w:val="single" w:sz="4" w:space="0" w:color="000000"/>
              <w:bottom w:val="single" w:sz="4" w:space="0" w:color="FFFFFF"/>
              <w:right w:val="single" w:sz="4" w:space="0" w:color="000000"/>
            </w:tcBorders>
            <w:shd w:val="clear" w:color="auto" w:fill="D2D2D2"/>
          </w:tcPr>
          <w:p>
            <w:pPr/>
          </w:p>
        </w:tc>
        <w:tc>
          <w:tcPr>
            <w:tcW w:w="142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9" w:right="83"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5" w:right="6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514" w:type="dxa"/>
            <w:tcBorders>
              <w:top w:val="single" w:sz="4" w:space="0" w:color="000000"/>
              <w:left w:val="single" w:sz="4" w:space="0" w:color="000000"/>
              <w:bottom w:val="nil" w:sz="6" w:space="0" w:color="auto"/>
              <w:right w:val="single" w:sz="4" w:space="0" w:color="000000"/>
            </w:tcBorders>
            <w:shd w:val="clear" w:color="auto" w:fill="D2D2D2"/>
          </w:tcPr>
          <w:p>
            <w:pPr/>
          </w:p>
        </w:tc>
        <w:tc>
          <w:tcPr>
            <w:tcW w:w="5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51" w:right="9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37" w:type="dxa"/>
            <w:tcBorders>
              <w:top w:val="single" w:sz="4" w:space="0" w:color="000000"/>
              <w:left w:val="single" w:sz="4" w:space="0" w:color="000000"/>
              <w:bottom w:val="nil" w:sz="6" w:space="0" w:color="auto"/>
              <w:right w:val="single" w:sz="4" w:space="0" w:color="000000"/>
            </w:tcBorders>
            <w:shd w:val="clear" w:color="auto" w:fill="D2D2D2"/>
          </w:tcPr>
          <w:p>
            <w:pPr/>
          </w:p>
        </w:tc>
        <w:tc>
          <w:tcPr>
            <w:tcW w:w="5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2" w:right="77"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r>
        <w:trPr>
          <w:trHeight w:val="392" w:hRule="exact"/>
        </w:trPr>
        <w:tc>
          <w:tcPr>
            <w:tcW w:w="1898" w:type="dxa"/>
            <w:vMerge w:val="restart"/>
            <w:tcBorders>
              <w:top w:val="single" w:sz="4" w:space="0" w:color="FFFFFF"/>
              <w:left w:val="single" w:sz="4" w:space="0" w:color="000000"/>
              <w:right w:val="single" w:sz="4" w:space="0" w:color="000000"/>
            </w:tcBorders>
            <w:shd w:val="clear" w:color="auto" w:fill="D2D2D2"/>
          </w:tcPr>
          <w:p>
            <w:pPr/>
          </w:p>
        </w:tc>
        <w:tc>
          <w:tcPr>
            <w:tcW w:w="1422"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40" w:type="dxa"/>
            <w:vMerge/>
            <w:tcBorders>
              <w:left w:val="single" w:sz="4" w:space="0" w:color="000000"/>
              <w:right w:val="single" w:sz="4" w:space="0" w:color="000000"/>
            </w:tcBorders>
            <w:shd w:val="clear" w:color="auto" w:fill="D2D2D2"/>
          </w:tcPr>
          <w:p>
            <w:pPr/>
          </w:p>
        </w:tc>
        <w:tc>
          <w:tcPr>
            <w:tcW w:w="1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09" w:type="dxa"/>
            <w:vMerge/>
            <w:tcBorders>
              <w:left w:val="single" w:sz="4" w:space="0" w:color="000000"/>
              <w:right w:val="single" w:sz="4" w:space="0" w:color="000000"/>
            </w:tcBorders>
            <w:shd w:val="clear" w:color="auto" w:fill="D2D2D2"/>
          </w:tcPr>
          <w:p>
            <w:pPr/>
          </w:p>
        </w:tc>
        <w:tc>
          <w:tcPr>
            <w:tcW w:w="15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75" w:type="dxa"/>
            <w:vMerge/>
            <w:tcBorders>
              <w:left w:val="single" w:sz="4" w:space="0" w:color="000000"/>
              <w:right w:val="single" w:sz="4" w:space="0" w:color="000000"/>
            </w:tcBorders>
            <w:shd w:val="clear" w:color="auto" w:fill="D2D2D2"/>
          </w:tcPr>
          <w:p>
            <w:pPr/>
          </w:p>
        </w:tc>
        <w:tc>
          <w:tcPr>
            <w:tcW w:w="12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tcBorders>
              <w:left w:val="single" w:sz="4" w:space="0" w:color="000000"/>
              <w:right w:val="single" w:sz="4" w:space="0" w:color="000000"/>
            </w:tcBorders>
            <w:shd w:val="clear" w:color="auto" w:fill="D2D2D2"/>
          </w:tcPr>
          <w:p>
            <w:pPr/>
          </w:p>
        </w:tc>
      </w:tr>
      <w:tr>
        <w:trPr>
          <w:trHeight w:val="161" w:hRule="exact"/>
        </w:trPr>
        <w:tc>
          <w:tcPr>
            <w:tcW w:w="1898" w:type="dxa"/>
            <w:vMerge/>
            <w:tcBorders>
              <w:left w:val="single" w:sz="4" w:space="0" w:color="000000"/>
              <w:bottom w:val="single" w:sz="4" w:space="0" w:color="000000"/>
              <w:right w:val="single" w:sz="4" w:space="0" w:color="000000"/>
            </w:tcBorders>
            <w:shd w:val="clear" w:color="auto" w:fill="D2D2D2"/>
          </w:tcPr>
          <w:p>
            <w:pPr/>
          </w:p>
        </w:tc>
        <w:tc>
          <w:tcPr>
            <w:tcW w:w="14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9" w:type="dxa"/>
            <w:vMerge/>
            <w:tcBorders>
              <w:left w:val="single" w:sz="4" w:space="0" w:color="000000"/>
              <w:bottom w:val="single" w:sz="4" w:space="0" w:color="000000"/>
              <w:right w:val="single" w:sz="4" w:space="0" w:color="000000"/>
            </w:tcBorders>
            <w:shd w:val="clear" w:color="auto" w:fill="D2D2D2"/>
          </w:tcPr>
          <w:p>
            <w:pPr/>
          </w:p>
        </w:tc>
        <w:tc>
          <w:tcPr>
            <w:tcW w:w="1514" w:type="dxa"/>
            <w:tcBorders>
              <w:top w:val="nil" w:sz="6" w:space="0" w:color="auto"/>
              <w:left w:val="single" w:sz="4" w:space="0" w:color="000000"/>
              <w:bottom w:val="single" w:sz="4" w:space="0" w:color="000000"/>
              <w:right w:val="single" w:sz="4" w:space="0" w:color="000000"/>
            </w:tcBorders>
            <w:shd w:val="clear" w:color="auto" w:fill="D2D2D2"/>
          </w:tcPr>
          <w:p>
            <w:pPr/>
          </w:p>
        </w:tc>
        <w:tc>
          <w:tcPr>
            <w:tcW w:w="575" w:type="dxa"/>
            <w:vMerge/>
            <w:tcBorders>
              <w:left w:val="single" w:sz="4" w:space="0" w:color="000000"/>
              <w:bottom w:val="single" w:sz="4" w:space="0" w:color="000000"/>
              <w:right w:val="single" w:sz="4" w:space="0" w:color="000000"/>
            </w:tcBorders>
            <w:shd w:val="clear" w:color="auto" w:fill="D2D2D2"/>
          </w:tcPr>
          <w:p>
            <w:pPr/>
          </w:p>
        </w:tc>
        <w:tc>
          <w:tcPr>
            <w:tcW w:w="1237" w:type="dxa"/>
            <w:tcBorders>
              <w:top w:val="nil" w:sz="6" w:space="0" w:color="auto"/>
              <w:left w:val="single" w:sz="4" w:space="0" w:color="000000"/>
              <w:bottom w:val="single" w:sz="4" w:space="0" w:color="000000"/>
              <w:right w:val="single" w:sz="4" w:space="0" w:color="000000"/>
            </w:tcBorders>
            <w:shd w:val="clear" w:color="auto" w:fill="D2D2D2"/>
          </w:tcPr>
          <w:p>
            <w:pPr/>
          </w:p>
        </w:tc>
        <w:tc>
          <w:tcPr>
            <w:tcW w:w="528"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422" w:type="dxa"/>
            <w:tcBorders>
              <w:top w:val="single" w:sz="4" w:space="0" w:color="000000"/>
              <w:left w:val="single" w:sz="10"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10,339,150.85</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5.39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3,101,745.26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30</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403,147,138.57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 w:right="0"/>
              <w:jc w:val="center"/>
              <w:rPr>
                <w:rFonts w:ascii="宋体" w:hAnsi="宋体" w:cs="宋体" w:eastAsia="宋体" w:hint="default"/>
                <w:sz w:val="18"/>
                <w:szCs w:val="18"/>
              </w:rPr>
            </w:pPr>
            <w:r>
              <w:rPr>
                <w:rFonts w:ascii="宋体"/>
                <w:sz w:val="18"/>
              </w:rPr>
              <w:t>99.97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20,712,228.39</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7" w:right="0"/>
              <w:jc w:val="left"/>
              <w:rPr>
                <w:rFonts w:ascii="宋体" w:hAnsi="宋体" w:cs="宋体" w:eastAsia="宋体" w:hint="default"/>
                <w:sz w:val="18"/>
                <w:szCs w:val="18"/>
              </w:rPr>
            </w:pPr>
            <w:r>
              <w:rPr>
                <w:rFonts w:ascii="宋体"/>
                <w:sz w:val="18"/>
              </w:rPr>
              <w:t>5.14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180,621,961.35</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94.09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7,606,214.69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4.21</w:t>
            </w: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403,147,138.57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 w:right="0"/>
              <w:jc w:val="center"/>
              <w:rPr>
                <w:rFonts w:ascii="宋体" w:hAnsi="宋体" w:cs="宋体" w:eastAsia="宋体" w:hint="default"/>
                <w:sz w:val="18"/>
                <w:szCs w:val="18"/>
              </w:rPr>
            </w:pPr>
            <w:r>
              <w:rPr>
                <w:rFonts w:ascii="宋体"/>
                <w:sz w:val="18"/>
              </w:rPr>
              <w:t>99.97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20,712,228.39</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7" w:right="0"/>
              <w:jc w:val="left"/>
              <w:rPr>
                <w:rFonts w:ascii="宋体" w:hAnsi="宋体" w:cs="宋体" w:eastAsia="宋体" w:hint="default"/>
                <w:sz w:val="18"/>
                <w:szCs w:val="18"/>
              </w:rPr>
            </w:pPr>
            <w:r>
              <w:rPr>
                <w:rFonts w:ascii="宋体"/>
                <w:sz w:val="18"/>
              </w:rPr>
              <w:t>5.14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180,621,961.35</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94.09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7,606,214.69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4.21</w:t>
            </w:r>
          </w:p>
        </w:tc>
      </w:tr>
      <w:tr>
        <w:trPr>
          <w:trHeight w:val="1027" w:hRule="exact"/>
        </w:trPr>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2"/>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125,479.49</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8" w:right="0"/>
              <w:jc w:val="center"/>
              <w:rPr>
                <w:rFonts w:ascii="宋体" w:hAnsi="宋体" w:cs="宋体" w:eastAsia="宋体" w:hint="default"/>
                <w:sz w:val="18"/>
                <w:szCs w:val="18"/>
              </w:rPr>
            </w:pPr>
            <w:r>
              <w:rPr>
                <w:rFonts w:ascii="宋体"/>
                <w:sz w:val="18"/>
              </w:rPr>
              <w:t>0.03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125,479.49</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6" w:right="0"/>
              <w:jc w:val="left"/>
              <w:rPr>
                <w:rFonts w:ascii="宋体" w:hAnsi="宋体" w:cs="宋体" w:eastAsia="宋体" w:hint="default"/>
                <w:sz w:val="18"/>
                <w:szCs w:val="18"/>
              </w:rPr>
            </w:pPr>
            <w:r>
              <w:rPr>
                <w:rFonts w:ascii="宋体"/>
                <w:sz w:val="18"/>
              </w:rPr>
              <w:t>100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997,610.29</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
              <w:jc w:val="right"/>
              <w:rPr>
                <w:rFonts w:ascii="宋体" w:hAnsi="宋体" w:cs="宋体" w:eastAsia="宋体" w:hint="default"/>
                <w:sz w:val="18"/>
                <w:szCs w:val="18"/>
              </w:rPr>
            </w:pPr>
            <w:r>
              <w:rPr>
                <w:rFonts w:ascii="宋体"/>
                <w:sz w:val="18"/>
              </w:rPr>
              <w:t>0.52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764,610.29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76.64</w:t>
            </w: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10"/>
              <w:jc w:val="right"/>
              <w:rPr>
                <w:rFonts w:ascii="宋体" w:hAnsi="宋体" w:cs="宋体" w:eastAsia="宋体" w:hint="default"/>
                <w:sz w:val="18"/>
                <w:szCs w:val="18"/>
              </w:rPr>
            </w:pPr>
            <w:r>
              <w:rPr>
                <w:rFonts w:ascii="宋体"/>
                <w:spacing w:val="-1"/>
                <w:sz w:val="18"/>
              </w:rPr>
              <w:t>403,272,618.06</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34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20,837,707.88</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sz w:val="18"/>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191,958,722.49</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sz w:val="18"/>
              </w:rPr>
              <w:t>--</w:t>
            </w:r>
          </w:p>
        </w:tc>
        <w:tc>
          <w:tcPr>
            <w:tcW w:w="12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11,472,570.24</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footerReference w:type="default" r:id="rId22"/>
          <w:pgSz w:w="11910" w:h="16840"/>
          <w:pgMar w:footer="1332" w:header="877" w:top="1100" w:bottom="1520" w:left="980" w:right="0"/>
          <w:pgNumType w:start="101"/>
        </w:sectPr>
      </w:pPr>
    </w:p>
    <w:p>
      <w:pPr>
        <w:spacing w:line="360"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60" w:lineRule="auto" w:before="25"/>
        <w:ind w:left="152" w:right="16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组合中，按账龄分析法计提坏账准备的应收账款</w:t>
      </w:r>
    </w:p>
    <w:p>
      <w:pPr>
        <w:spacing w:before="27"/>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8"/>
        <w:gridCol w:w="1459"/>
        <w:gridCol w:w="932"/>
        <w:gridCol w:w="1459"/>
      </w:tblGrid>
      <w:tr>
        <w:trPr>
          <w:trHeight w:val="403" w:hRule="exact"/>
        </w:trPr>
        <w:tc>
          <w:tcPr>
            <w:tcW w:w="14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466"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46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580" w:bottom="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444"/>
        <w:gridCol w:w="1605"/>
        <w:gridCol w:w="929"/>
        <w:gridCol w:w="1728"/>
        <w:gridCol w:w="1459"/>
        <w:gridCol w:w="932"/>
        <w:gridCol w:w="1459"/>
      </w:tblGrid>
      <w:tr>
        <w:trPr>
          <w:trHeight w:val="402"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r>
      <w:tr>
        <w:trPr>
          <w:trHeight w:val="402" w:hRule="exact"/>
        </w:trPr>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9" w:right="0"/>
              <w:jc w:val="left"/>
              <w:rPr>
                <w:rFonts w:ascii="宋体" w:hAnsi="宋体" w:cs="宋体" w:eastAsia="宋体" w:hint="default"/>
                <w:sz w:val="18"/>
                <w:szCs w:val="18"/>
              </w:rPr>
            </w:pPr>
            <w:r>
              <w:rPr>
                <w:rFonts w:ascii="宋体"/>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sz w:val="18"/>
              </w:rPr>
              <w:t>--</w:t>
            </w:r>
          </w:p>
        </w:tc>
      </w:tr>
      <w:tr>
        <w:trPr>
          <w:trHeight w:val="401" w:hRule="exact"/>
        </w:trPr>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年以内小计</w:t>
            </w:r>
          </w:p>
        </w:tc>
        <w:tc>
          <w:tcPr>
            <w:tcW w:w="16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342,931,137.15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85.06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10,287,934.11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139,720,518.90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77.36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4,168,278.71</w:t>
            </w:r>
          </w:p>
        </w:tc>
      </w:tr>
      <w:tr>
        <w:trPr>
          <w:trHeight w:val="403" w:hRule="exact"/>
        </w:trPr>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29,901,641.40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7.42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1,495,082.07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29,618,962.36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1,480,948.12</w:t>
            </w:r>
          </w:p>
        </w:tc>
      </w:tr>
      <w:tr>
        <w:trPr>
          <w:trHeight w:val="401" w:hRule="exact"/>
        </w:trPr>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15,569,919.51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3.86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1,556,991.95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9,268,817.97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5.13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926,881.80</w:t>
            </w:r>
          </w:p>
        </w:tc>
      </w:tr>
      <w:tr>
        <w:trPr>
          <w:trHeight w:val="403" w:hRule="exact"/>
        </w:trPr>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6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14,744,440.51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7,372,220.26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2,013,662.12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1,030,106.06</w:t>
            </w:r>
          </w:p>
        </w:tc>
      </w:tr>
      <w:tr>
        <w:trPr>
          <w:trHeight w:val="401" w:hRule="exact"/>
        </w:trPr>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13,094,885.67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3.25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6,547,442.84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1,864,800.05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932,400.03</w:t>
            </w:r>
          </w:p>
        </w:tc>
      </w:tr>
      <w:tr>
        <w:trPr>
          <w:trHeight w:val="403" w:hRule="exact"/>
        </w:trPr>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1,649,554.84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0.41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824,777.42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102,312.07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51,156.03</w:t>
            </w:r>
          </w:p>
        </w:tc>
      </w:tr>
      <w:tr>
        <w:trPr>
          <w:trHeight w:val="401" w:hRule="exact"/>
        </w:trPr>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605" w:type="dxa"/>
            <w:tcBorders>
              <w:top w:val="single" w:sz="4" w:space="0" w:color="000000"/>
              <w:left w:val="single" w:sz="12" w:space="0" w:color="D2D2D2"/>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46,550.00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46,550.00</w:t>
            </w:r>
          </w:p>
        </w:tc>
      </w:tr>
      <w:tr>
        <w:trPr>
          <w:trHeight w:val="404" w:hRule="exact"/>
        </w:trPr>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51"/>
              <w:ind w:right="8"/>
              <w:jc w:val="right"/>
              <w:rPr>
                <w:rFonts w:ascii="宋体" w:hAnsi="宋体" w:cs="宋体" w:eastAsia="宋体" w:hint="default"/>
                <w:sz w:val="18"/>
                <w:szCs w:val="18"/>
              </w:rPr>
            </w:pPr>
            <w:r>
              <w:rPr>
                <w:rFonts w:ascii="宋体"/>
                <w:spacing w:val="-1"/>
                <w:sz w:val="18"/>
              </w:rPr>
              <w:t>403,147,138.57</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9" w:right="0"/>
              <w:jc w:val="left"/>
              <w:rPr>
                <w:rFonts w:ascii="宋体" w:hAnsi="宋体" w:cs="宋体" w:eastAsia="宋体" w:hint="default"/>
                <w:sz w:val="18"/>
                <w:szCs w:val="18"/>
              </w:rPr>
            </w:pPr>
            <w:r>
              <w:rPr>
                <w:rFonts w:ascii="宋体"/>
                <w:sz w:val="18"/>
              </w:rPr>
              <w:t>--</w:t>
            </w:r>
          </w:p>
        </w:tc>
        <w:tc>
          <w:tcPr>
            <w:tcW w:w="17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20,712,228.39</w:t>
            </w:r>
          </w:p>
        </w:tc>
        <w:tc>
          <w:tcPr>
            <w:tcW w:w="145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1"/>
              <w:ind w:right="6"/>
              <w:jc w:val="right"/>
              <w:rPr>
                <w:rFonts w:ascii="宋体" w:hAnsi="宋体" w:cs="宋体" w:eastAsia="宋体" w:hint="default"/>
                <w:sz w:val="18"/>
                <w:szCs w:val="18"/>
              </w:rPr>
            </w:pPr>
            <w:r>
              <w:rPr>
                <w:rFonts w:ascii="宋体"/>
                <w:spacing w:val="-1"/>
                <w:sz w:val="18"/>
              </w:rPr>
              <w:t>180,621,961.35</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7,606,214.69</w:t>
            </w:r>
          </w:p>
        </w:tc>
      </w:tr>
    </w:tbl>
    <w:p>
      <w:pPr>
        <w:spacing w:after="0" w:line="240" w:lineRule="auto"/>
        <w:jc w:val="right"/>
        <w:rPr>
          <w:rFonts w:ascii="宋体" w:hAnsi="宋体" w:cs="宋体" w:eastAsia="宋体" w:hint="default"/>
          <w:sz w:val="18"/>
          <w:szCs w:val="18"/>
        </w:rPr>
        <w:sectPr>
          <w:pgSz w:w="11910" w:h="16840"/>
          <w:pgMar w:header="877" w:footer="1332" w:top="1100" w:bottom="154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60" w:lineRule="auto" w:before="115"/>
        <w:ind w:left="152" w:right="5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组合中，采用其他方法计提坏账准备的应收账款</w:t>
      </w:r>
    </w:p>
    <w:p>
      <w:pPr>
        <w:spacing w:line="357" w:lineRule="auto" w:before="27"/>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期末单项金额虽不重大但单项计提坏账准备的应收账款</w:t>
      </w:r>
    </w:p>
    <w:p>
      <w:pPr>
        <w:spacing w:before="29"/>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980" w:right="0"/>
          <w:cols w:num="2" w:equalWidth="0">
            <w:col w:w="4473" w:space="435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15"/>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诸暨市招投标中心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100</w:t>
            </w:r>
          </w:p>
        </w:tc>
        <w:tc>
          <w:tcPr>
            <w:tcW w:w="19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账龄较长</w:t>
            </w:r>
          </w:p>
        </w:tc>
      </w:tr>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港中旅</w:t>
            </w:r>
            <w:r>
              <w:rPr>
                <w:rFonts w:ascii="宋体" w:hAnsi="宋体" w:cs="宋体" w:eastAsia="宋体" w:hint="default"/>
                <w:sz w:val="18"/>
                <w:szCs w:val="18"/>
              </w:rPr>
              <w:t>(</w:t>
            </w:r>
            <w:r>
              <w:rPr>
                <w:rFonts w:ascii="宋体" w:hAnsi="宋体" w:cs="宋体" w:eastAsia="宋体" w:hint="default"/>
                <w:sz w:val="18"/>
                <w:szCs w:val="18"/>
              </w:rPr>
              <w:t>珠海</w:t>
            </w:r>
            <w:r>
              <w:rPr>
                <w:rFonts w:ascii="宋体" w:hAnsi="宋体" w:cs="宋体" w:eastAsia="宋体" w:hint="default"/>
                <w:sz w:val="18"/>
                <w:szCs w:val="18"/>
              </w:rPr>
              <w:t>)</w:t>
            </w:r>
            <w:r>
              <w:rPr>
                <w:rFonts w:ascii="宋体" w:hAnsi="宋体" w:cs="宋体" w:eastAsia="宋体" w:hint="default"/>
                <w:sz w:val="18"/>
                <w:szCs w:val="18"/>
              </w:rPr>
              <w:t>海洋温泉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27,287.19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27,287.19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19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账龄较长</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广州颐和南湖高尔夫会 员住所有限公司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13,342.30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13,342.30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w:t>
            </w:r>
          </w:p>
        </w:tc>
        <w:tc>
          <w:tcPr>
            <w:tcW w:w="19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w:t>
            </w:r>
          </w:p>
        </w:tc>
        <w:tc>
          <w:tcPr>
            <w:tcW w:w="19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125,479.49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125,479.49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）本报告期实际核销的应收账款情况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6"/>
        <w:gridCol w:w="1561"/>
        <w:gridCol w:w="1558"/>
        <w:gridCol w:w="1135"/>
        <w:gridCol w:w="2127"/>
        <w:gridCol w:w="1061"/>
      </w:tblGrid>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72" w:hanging="89"/>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714" w:hRule="exact"/>
        </w:trPr>
        <w:tc>
          <w:tcPr>
            <w:tcW w:w="2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2" w:right="111"/>
              <w:jc w:val="left"/>
              <w:rPr>
                <w:rFonts w:ascii="宋体" w:hAnsi="宋体" w:cs="宋体" w:eastAsia="宋体" w:hint="default"/>
                <w:sz w:val="18"/>
                <w:szCs w:val="18"/>
              </w:rPr>
            </w:pPr>
            <w:r>
              <w:rPr>
                <w:rFonts w:ascii="宋体" w:hAnsi="宋体" w:cs="宋体" w:eastAsia="宋体" w:hint="default"/>
                <w:sz w:val="18"/>
                <w:szCs w:val="18"/>
              </w:rPr>
              <w:t>盐田三期国际集装箱码头 有限公司</w:t>
            </w:r>
          </w:p>
        </w:tc>
        <w:tc>
          <w:tcPr>
            <w:tcW w:w="15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85,519.77</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鸿富锦精密工业（深圳）有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5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71,804.01</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账龄时间长已过诉讼时效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深圳庐山置业有限公司</w:t>
            </w:r>
          </w:p>
        </w:tc>
        <w:tc>
          <w:tcPr>
            <w:tcW w:w="15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61,961.96</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账龄时间长已过诉讼时效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十堰市恒威科工贸公司</w:t>
            </w:r>
          </w:p>
        </w:tc>
        <w:tc>
          <w:tcPr>
            <w:tcW w:w="15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52,500.00</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账龄时间长已过诉讼时效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580" w:bottom="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26"/>
        <w:gridCol w:w="1561"/>
        <w:gridCol w:w="1558"/>
        <w:gridCol w:w="1135"/>
        <w:gridCol w:w="2127"/>
        <w:gridCol w:w="1061"/>
      </w:tblGrid>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昆明嘉义电子有限责任</w:t>
            </w:r>
          </w:p>
        </w:tc>
        <w:tc>
          <w:tcPr>
            <w:tcW w:w="15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30,256.00</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账龄长无法收回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2" w:right="111"/>
              <w:jc w:val="left"/>
              <w:rPr>
                <w:rFonts w:ascii="宋体" w:hAnsi="宋体" w:cs="宋体" w:eastAsia="宋体" w:hint="default"/>
                <w:sz w:val="18"/>
                <w:szCs w:val="18"/>
              </w:rPr>
            </w:pPr>
            <w:r>
              <w:rPr>
                <w:rFonts w:ascii="宋体" w:hAnsi="宋体" w:cs="宋体" w:eastAsia="宋体" w:hint="default"/>
                <w:sz w:val="18"/>
                <w:szCs w:val="18"/>
              </w:rPr>
              <w:t>商丘市丰源铝电有限责任 公司</w:t>
            </w:r>
          </w:p>
        </w:tc>
        <w:tc>
          <w:tcPr>
            <w:tcW w:w="15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21,260.00</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账龄长无法收回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11"/>
              <w:jc w:val="left"/>
              <w:rPr>
                <w:rFonts w:ascii="宋体" w:hAnsi="宋体" w:cs="宋体" w:eastAsia="宋体" w:hint="default"/>
                <w:sz w:val="18"/>
                <w:szCs w:val="18"/>
              </w:rPr>
            </w:pPr>
            <w:r>
              <w:rPr>
                <w:rFonts w:ascii="宋体" w:hAnsi="宋体" w:cs="宋体" w:eastAsia="宋体" w:hint="default"/>
                <w:sz w:val="18"/>
                <w:szCs w:val="18"/>
              </w:rPr>
              <w:t>佛山市达实高科电子科技 有限公司</w:t>
            </w:r>
          </w:p>
        </w:tc>
        <w:tc>
          <w:tcPr>
            <w:tcW w:w="15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16,335.89</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账龄长无法收回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2" w:right="111"/>
              <w:jc w:val="left"/>
              <w:rPr>
                <w:rFonts w:ascii="宋体" w:hAnsi="宋体" w:cs="宋体" w:eastAsia="宋体" w:hint="default"/>
                <w:sz w:val="18"/>
                <w:szCs w:val="18"/>
              </w:rPr>
            </w:pPr>
            <w:r>
              <w:rPr>
                <w:rFonts w:ascii="宋体" w:hAnsi="宋体" w:cs="宋体" w:eastAsia="宋体" w:hint="default"/>
                <w:sz w:val="18"/>
                <w:szCs w:val="18"/>
              </w:rPr>
              <w:t>梅州市塔牌集团蕉岭鑫盛 能源发展有限公司</w:t>
            </w:r>
          </w:p>
        </w:tc>
        <w:tc>
          <w:tcPr>
            <w:tcW w:w="15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14,419.00</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账龄长无法收回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11"/>
              <w:jc w:val="left"/>
              <w:rPr>
                <w:rFonts w:ascii="宋体" w:hAnsi="宋体" w:cs="宋体" w:eastAsia="宋体" w:hint="default"/>
                <w:sz w:val="18"/>
                <w:szCs w:val="18"/>
              </w:rPr>
            </w:pPr>
            <w:r>
              <w:rPr>
                <w:rFonts w:ascii="宋体" w:hAnsi="宋体" w:cs="宋体" w:eastAsia="宋体" w:hint="default"/>
                <w:sz w:val="18"/>
                <w:szCs w:val="18"/>
              </w:rPr>
              <w:t>山东机械设备进出口集团 有限公司</w:t>
            </w:r>
          </w:p>
        </w:tc>
        <w:tc>
          <w:tcPr>
            <w:tcW w:w="15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账龄长无法收回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85,983.19</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账龄长无法收回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450,039.82</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spacing w:line="506" w:lineRule="auto" w:before="118"/>
        <w:ind w:left="573" w:right="309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）本报告期应收账款中持有公司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100"/>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％）以上表决权股份的股东单位情况</w:t>
      </w:r>
    </w:p>
    <w:p>
      <w:pPr>
        <w:pStyle w:val="Heading3"/>
        <w:spacing w:line="240" w:lineRule="auto" w:before="104"/>
        <w:ind w:right="1123"/>
        <w:jc w:val="left"/>
        <w:rPr>
          <w:b w:val="0"/>
          <w:bCs w:val="0"/>
        </w:rPr>
      </w:pPr>
      <w:r>
        <w:rPr/>
        <w:t>（</w:t>
      </w:r>
      <w:r>
        <w:rPr>
          <w:rFonts w:ascii="Times New Roman" w:hAnsi="Times New Roman" w:cs="Times New Roman" w:eastAsia="Times New Roman" w:hint="default"/>
        </w:rPr>
        <w:t>4</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9"/>
        <w:gridCol w:w="1780"/>
        <w:gridCol w:w="1802"/>
        <w:gridCol w:w="1779"/>
        <w:gridCol w:w="1802"/>
      </w:tblGrid>
      <w:tr>
        <w:trPr>
          <w:trHeight w:val="71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76" w:right="79" w:hanging="586"/>
              <w:jc w:val="left"/>
              <w:rPr>
                <w:rFonts w:ascii="宋体" w:hAnsi="宋体" w:cs="宋体" w:eastAsia="宋体" w:hint="default"/>
                <w:sz w:val="18"/>
                <w:szCs w:val="18"/>
              </w:rPr>
            </w:pPr>
            <w:r>
              <w:rPr>
                <w:rFonts w:ascii="宋体" w:hAnsi="宋体" w:cs="宋体" w:eastAsia="宋体" w:hint="default"/>
                <w:sz w:val="18"/>
                <w:szCs w:val="18"/>
              </w:rPr>
              <w:t>占应收账款总额的比 例</w:t>
            </w:r>
            <w:r>
              <w:rPr>
                <w:rFonts w:ascii="宋体" w:hAnsi="宋体" w:cs="宋体" w:eastAsia="宋体" w:hint="default"/>
                <w:sz w:val="18"/>
                <w:szCs w:val="18"/>
              </w:rPr>
              <w:t>(%)</w:t>
            </w:r>
          </w:p>
        </w:tc>
      </w:tr>
      <w:tr>
        <w:trPr>
          <w:trHeight w:val="406" w:hRule="exact"/>
        </w:trPr>
        <w:tc>
          <w:tcPr>
            <w:tcW w:w="24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上海华垒石材有限公司</w:t>
            </w:r>
          </w:p>
        </w:tc>
        <w:tc>
          <w:tcPr>
            <w:tcW w:w="17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02"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35,002,000.00</w:t>
            </w:r>
          </w:p>
        </w:tc>
        <w:tc>
          <w:tcPr>
            <w:tcW w:w="17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02"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8.68</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成都地铁有限责任公司</w:t>
            </w:r>
          </w:p>
        </w:tc>
        <w:tc>
          <w:tcPr>
            <w:tcW w:w="17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02"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22,818,488.03</w:t>
            </w:r>
          </w:p>
        </w:tc>
        <w:tc>
          <w:tcPr>
            <w:tcW w:w="17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02"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5.66</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7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02"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15,005,535.53</w:t>
            </w:r>
          </w:p>
        </w:tc>
        <w:tc>
          <w:tcPr>
            <w:tcW w:w="17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02"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3.72</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7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02"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522,154.88</w:t>
            </w:r>
          </w:p>
        </w:tc>
        <w:tc>
          <w:tcPr>
            <w:tcW w:w="17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02"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0.13</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上海金杖房地产开发有限公司</w:t>
            </w:r>
          </w:p>
        </w:tc>
        <w:tc>
          <w:tcPr>
            <w:tcW w:w="17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02"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13,805,238.00</w:t>
            </w:r>
          </w:p>
        </w:tc>
        <w:tc>
          <w:tcPr>
            <w:tcW w:w="17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02"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3.42</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上海金午置业有限公司</w:t>
            </w:r>
          </w:p>
        </w:tc>
        <w:tc>
          <w:tcPr>
            <w:tcW w:w="17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02"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12,434,941.50</w:t>
            </w:r>
          </w:p>
        </w:tc>
        <w:tc>
          <w:tcPr>
            <w:tcW w:w="17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02"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3.08</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sz w:val="18"/>
              </w:rPr>
              <w:t>--</w:t>
            </w:r>
          </w:p>
        </w:tc>
        <w:tc>
          <w:tcPr>
            <w:tcW w:w="18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99,588,357.94</w:t>
            </w:r>
          </w:p>
        </w:tc>
        <w:tc>
          <w:tcPr>
            <w:tcW w:w="1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sz w:val="18"/>
              </w:rPr>
              <w:t>--</w:t>
            </w:r>
          </w:p>
        </w:tc>
        <w:tc>
          <w:tcPr>
            <w:tcW w:w="18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24.69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333"/>
        <w:gridCol w:w="742"/>
        <w:gridCol w:w="1203"/>
        <w:gridCol w:w="634"/>
        <w:gridCol w:w="1274"/>
        <w:gridCol w:w="853"/>
        <w:gridCol w:w="991"/>
        <w:gridCol w:w="638"/>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9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2D2D2"/>
          </w:tcPr>
          <w:p>
            <w:pP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02" w:type="dxa"/>
            <w:vMerge/>
            <w:tcBorders>
              <w:left w:val="single" w:sz="4" w:space="0" w:color="000000"/>
              <w:bottom w:val="single" w:sz="4" w:space="0" w:color="000000"/>
              <w:right w:val="single" w:sz="4" w:space="0" w:color="000000"/>
            </w:tcBorders>
            <w:shd w:val="clear" w:color="auto" w:fill="D2D2D2"/>
          </w:tcPr>
          <w:p>
            <w:pP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5" w:right="131"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0" w:right="132"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877" w:footer="1332" w:top="1100" w:bottom="152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02"/>
        <w:gridCol w:w="1359"/>
        <w:gridCol w:w="715"/>
        <w:gridCol w:w="1203"/>
        <w:gridCol w:w="634"/>
        <w:gridCol w:w="1274"/>
        <w:gridCol w:w="853"/>
        <w:gridCol w:w="991"/>
        <w:gridCol w:w="638"/>
      </w:tblGrid>
      <w:tr>
        <w:trPr>
          <w:trHeight w:val="401"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21,652,926.78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99.32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2,089,114.30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13,841,046.15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99.65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sz w:val="18"/>
              </w:rPr>
              <w:t>735,150.65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5.31</w:t>
            </w: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21,652,926.78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99.32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2,089,114.30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13,841,046.15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99.65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center"/>
              <w:rPr>
                <w:rFonts w:ascii="宋体" w:hAnsi="宋体" w:cs="宋体" w:eastAsia="宋体" w:hint="default"/>
                <w:sz w:val="18"/>
                <w:szCs w:val="18"/>
              </w:rPr>
            </w:pPr>
            <w:r>
              <w:rPr>
                <w:rFonts w:ascii="宋体"/>
                <w:sz w:val="18"/>
              </w:rPr>
              <w:t>735,150.65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5.31</w:t>
            </w:r>
          </w:p>
        </w:tc>
      </w:tr>
      <w:tr>
        <w:trPr>
          <w:trHeight w:val="1027"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148,115.00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0.68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148,115.00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48,360.00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0.35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7" w:right="0"/>
              <w:jc w:val="center"/>
              <w:rPr>
                <w:rFonts w:ascii="宋体" w:hAnsi="宋体" w:cs="宋体" w:eastAsia="宋体" w:hint="default"/>
                <w:sz w:val="18"/>
                <w:szCs w:val="18"/>
              </w:rPr>
            </w:pPr>
            <w:r>
              <w:rPr>
                <w:rFonts w:ascii="宋体"/>
                <w:sz w:val="18"/>
              </w:rPr>
              <w:t>48,360.00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z w:val="18"/>
              </w:rPr>
              <w:t>100</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8"/>
              <w:jc w:val="right"/>
              <w:rPr>
                <w:rFonts w:ascii="宋体" w:hAnsi="宋体" w:cs="宋体" w:eastAsia="宋体" w:hint="default"/>
                <w:sz w:val="18"/>
                <w:szCs w:val="18"/>
              </w:rPr>
            </w:pPr>
            <w:r>
              <w:rPr>
                <w:rFonts w:ascii="宋体"/>
                <w:spacing w:val="-1"/>
                <w:sz w:val="18"/>
              </w:rPr>
              <w:t>21,801,041.78</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2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2,237,229.30</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13,889,406.15</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43" w:right="0"/>
              <w:jc w:val="center"/>
              <w:rPr>
                <w:rFonts w:ascii="宋体" w:hAnsi="宋体" w:cs="宋体" w:eastAsia="宋体" w:hint="default"/>
                <w:sz w:val="18"/>
                <w:szCs w:val="18"/>
              </w:rPr>
            </w:pPr>
            <w:r>
              <w:rPr>
                <w:rFonts w:ascii="宋体"/>
                <w:sz w:val="18"/>
              </w:rPr>
              <w:t>783,510.65</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1332" w:top="1100" w:bottom="152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57" w:lineRule="auto" w:before="29"/>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组合中，采用账龄分析法计提坏账准备的其他应收款</w:t>
      </w:r>
    </w:p>
    <w:p>
      <w:pPr>
        <w:spacing w:before="29"/>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6"/>
        <w:gridCol w:w="1698"/>
        <w:gridCol w:w="796"/>
        <w:gridCol w:w="1459"/>
        <w:gridCol w:w="1444"/>
        <w:gridCol w:w="677"/>
        <w:gridCol w:w="1649"/>
      </w:tblGrid>
      <w:tr>
        <w:trPr>
          <w:trHeight w:val="403" w:hRule="exact"/>
        </w:trPr>
        <w:tc>
          <w:tcPr>
            <w:tcW w:w="1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8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24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4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836" w:type="dxa"/>
            <w:vMerge/>
            <w:tcBorders>
              <w:left w:val="single" w:sz="4" w:space="0" w:color="000000"/>
              <w:bottom w:val="nil" w:sz="6" w:space="0" w:color="auto"/>
              <w:right w:val="single" w:sz="4" w:space="0" w:color="000000"/>
            </w:tcBorders>
            <w:shd w:val="clear" w:color="auto" w:fill="D2D2D2"/>
          </w:tcPr>
          <w:p>
            <w:pPr/>
          </w:p>
        </w:tc>
        <w:tc>
          <w:tcPr>
            <w:tcW w:w="2494"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1" w:type="dxa"/>
            <w:gridSpan w:val="2"/>
            <w:vMerge/>
            <w:tcBorders>
              <w:left w:val="single" w:sz="4" w:space="0" w:color="000000"/>
              <w:bottom w:val="single" w:sz="4" w:space="0" w:color="000000"/>
              <w:right w:val="single" w:sz="4" w:space="0" w:color="000000"/>
            </w:tcBorders>
            <w:shd w:val="clear" w:color="auto" w:fill="D2D2D2"/>
          </w:tcPr>
          <w:p>
            <w:pPr/>
          </w:p>
        </w:tc>
        <w:tc>
          <w:tcPr>
            <w:tcW w:w="16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836" w:type="dxa"/>
            <w:vMerge w:val="restart"/>
            <w:tcBorders>
              <w:top w:val="nil" w:sz="6" w:space="0" w:color="auto"/>
              <w:left w:val="single" w:sz="4" w:space="0" w:color="000000"/>
              <w:right w:val="single" w:sz="4" w:space="0" w:color="000000"/>
            </w:tcBorders>
            <w:shd w:val="clear" w:color="auto" w:fill="D2D2D2"/>
          </w:tcPr>
          <w:p>
            <w:pPr/>
          </w:p>
        </w:tc>
        <w:tc>
          <w:tcPr>
            <w:tcW w:w="16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59" w:type="dxa"/>
            <w:vMerge/>
            <w:tcBorders>
              <w:left w:val="single" w:sz="4" w:space="0" w:color="000000"/>
              <w:bottom w:val="nil" w:sz="6" w:space="0" w:color="auto"/>
              <w:right w:val="single" w:sz="4" w:space="0" w:color="000000"/>
            </w:tcBorders>
            <w:shd w:val="clear" w:color="auto" w:fill="D2D2D2"/>
          </w:tcPr>
          <w:p>
            <w:pPr/>
          </w:p>
        </w:tc>
        <w:tc>
          <w:tcPr>
            <w:tcW w:w="14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49"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836" w:type="dxa"/>
            <w:vMerge/>
            <w:tcBorders>
              <w:left w:val="single" w:sz="4" w:space="0" w:color="000000"/>
              <w:bottom w:val="single" w:sz="4" w:space="0" w:color="000000"/>
              <w:right w:val="single" w:sz="4" w:space="0" w:color="000000"/>
            </w:tcBorders>
            <w:shd w:val="clear" w:color="auto" w:fill="D2D2D2"/>
          </w:tcPr>
          <w:p>
            <w:pPr/>
          </w:p>
        </w:tc>
        <w:tc>
          <w:tcPr>
            <w:tcW w:w="1698"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4"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164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r>
      <w:tr>
        <w:trPr>
          <w:trHeight w:val="408"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年以内小计</w:t>
            </w:r>
          </w:p>
        </w:tc>
        <w:tc>
          <w:tcPr>
            <w:tcW w:w="1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15,303,867.79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70.68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459,116.05</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9,698,073.66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1"/>
              <w:jc w:val="right"/>
              <w:rPr>
                <w:rFonts w:ascii="宋体" w:hAnsi="宋体" w:cs="宋体" w:eastAsia="宋体" w:hint="default"/>
                <w:sz w:val="18"/>
                <w:szCs w:val="18"/>
              </w:rPr>
            </w:pPr>
            <w:r>
              <w:rPr>
                <w:rFonts w:ascii="宋体"/>
                <w:sz w:val="18"/>
              </w:rPr>
              <w:t>70.07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290,942.21</w:t>
            </w:r>
          </w:p>
        </w:tc>
      </w:tr>
      <w:tr>
        <w:trPr>
          <w:trHeight w:val="404"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2,637,838.90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12.18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131,891.94</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1,127,112.13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
              <w:jc w:val="right"/>
              <w:rPr>
                <w:rFonts w:ascii="宋体" w:hAnsi="宋体" w:cs="宋体" w:eastAsia="宋体" w:hint="default"/>
                <w:sz w:val="18"/>
                <w:szCs w:val="18"/>
              </w:rPr>
            </w:pPr>
            <w:r>
              <w:rPr>
                <w:rFonts w:ascii="宋体"/>
                <w:sz w:val="18"/>
              </w:rPr>
              <w:t>8.14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56,355.61</w:t>
            </w: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893,759.33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4.13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89,375.93</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2,800,193.36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1"/>
              <w:jc w:val="right"/>
              <w:rPr>
                <w:rFonts w:ascii="宋体" w:hAnsi="宋体" w:cs="宋体" w:eastAsia="宋体" w:hint="default"/>
                <w:sz w:val="18"/>
                <w:szCs w:val="18"/>
              </w:rPr>
            </w:pPr>
            <w:r>
              <w:rPr>
                <w:rFonts w:ascii="宋体"/>
                <w:sz w:val="18"/>
              </w:rPr>
              <w:t>20.23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280,019.33</w:t>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2,817,460.76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13.01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1,408,730.38</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215,667.00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
              <w:jc w:val="right"/>
              <w:rPr>
                <w:rFonts w:ascii="宋体" w:hAnsi="宋体" w:cs="宋体" w:eastAsia="宋体" w:hint="default"/>
                <w:sz w:val="18"/>
                <w:szCs w:val="18"/>
              </w:rPr>
            </w:pPr>
            <w:r>
              <w:rPr>
                <w:rFonts w:ascii="宋体"/>
                <w:sz w:val="18"/>
              </w:rPr>
              <w:t>1.56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107,833.50</w:t>
            </w: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2,704,793.76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12.49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1,352,396.88</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115,667.00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
              <w:jc w:val="right"/>
              <w:rPr>
                <w:rFonts w:ascii="宋体" w:hAnsi="宋体" w:cs="宋体" w:eastAsia="宋体" w:hint="default"/>
                <w:sz w:val="18"/>
                <w:szCs w:val="18"/>
              </w:rPr>
            </w:pPr>
            <w:r>
              <w:rPr>
                <w:rFonts w:ascii="宋体"/>
                <w:sz w:val="18"/>
              </w:rPr>
              <w:t>0.84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57,833.50</w:t>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112,667.00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0.52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56,333.50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100,000.00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
              <w:jc w:val="right"/>
              <w:rPr>
                <w:rFonts w:ascii="宋体" w:hAnsi="宋体" w:cs="宋体" w:eastAsia="宋体" w:hint="default"/>
                <w:sz w:val="18"/>
                <w:szCs w:val="18"/>
              </w:rPr>
            </w:pPr>
            <w:r>
              <w:rPr>
                <w:rFonts w:ascii="宋体"/>
                <w:sz w:val="18"/>
              </w:rPr>
              <w:t>0.72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50,000.00</w:t>
            </w: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698" w:type="dxa"/>
            <w:tcBorders>
              <w:top w:val="single" w:sz="4" w:space="0" w:color="000000"/>
              <w:left w:val="single" w:sz="13" w:space="0" w:color="D2D2D2"/>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
              <w:jc w:val="right"/>
              <w:rPr>
                <w:rFonts w:ascii="宋体" w:hAnsi="宋体" w:cs="宋体" w:eastAsia="宋体" w:hint="default"/>
                <w:sz w:val="18"/>
                <w:szCs w:val="18"/>
              </w:rPr>
            </w:pPr>
            <w:r>
              <w:rPr>
                <w:rFonts w:ascii="宋体"/>
                <w:sz w:val="18"/>
              </w:rPr>
              <w:t>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8"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49"/>
              <w:ind w:right="13"/>
              <w:jc w:val="right"/>
              <w:rPr>
                <w:rFonts w:ascii="宋体" w:hAnsi="宋体" w:cs="宋体" w:eastAsia="宋体" w:hint="default"/>
                <w:sz w:val="18"/>
                <w:szCs w:val="18"/>
              </w:rPr>
            </w:pPr>
            <w:r>
              <w:rPr>
                <w:rFonts w:ascii="宋体"/>
                <w:spacing w:val="-1"/>
                <w:sz w:val="18"/>
              </w:rPr>
              <w:t>21,652,926.78</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2,089,114.30</w:t>
            </w:r>
          </w:p>
        </w:tc>
        <w:tc>
          <w:tcPr>
            <w:tcW w:w="144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10"/>
              <w:jc w:val="right"/>
              <w:rPr>
                <w:rFonts w:ascii="宋体" w:hAnsi="宋体" w:cs="宋体" w:eastAsia="宋体" w:hint="default"/>
                <w:sz w:val="18"/>
                <w:szCs w:val="18"/>
              </w:rPr>
            </w:pPr>
            <w:r>
              <w:rPr>
                <w:rFonts w:ascii="宋体"/>
                <w:spacing w:val="-1"/>
                <w:sz w:val="18"/>
              </w:rPr>
              <w:t>13,841,046.15</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
              <w:jc w:val="center"/>
              <w:rPr>
                <w:rFonts w:ascii="宋体" w:hAnsi="宋体" w:cs="宋体" w:eastAsia="宋体" w:hint="default"/>
                <w:sz w:val="18"/>
                <w:szCs w:val="18"/>
              </w:rPr>
            </w:pPr>
            <w:r>
              <w:rPr>
                <w:rFonts w:ascii="宋体"/>
                <w:sz w:val="18"/>
              </w:rPr>
              <w:t>--</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735,150.65</w:t>
            </w:r>
          </w:p>
        </w:tc>
      </w:tr>
    </w:tbl>
    <w:p>
      <w:pPr>
        <w:spacing w:after="0" w:line="240" w:lineRule="auto"/>
        <w:jc w:val="right"/>
        <w:rPr>
          <w:rFonts w:ascii="宋体" w:hAnsi="宋体" w:cs="宋体" w:eastAsia="宋体" w:hint="default"/>
          <w:sz w:val="18"/>
          <w:szCs w:val="18"/>
        </w:rPr>
        <w:sectPr>
          <w:type w:val="continuous"/>
          <w:pgSz w:w="11910" w:h="16840"/>
          <w:pgMar w:top="1580" w:bottom="0" w:left="980" w:right="0"/>
        </w:sectPr>
      </w:pPr>
    </w:p>
    <w:p>
      <w:pPr>
        <w:spacing w:line="203" w:lineRule="exact" w:before="0"/>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57" w:lineRule="auto" w:before="115"/>
        <w:ind w:left="152" w:right="5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组合中，采用其他方法计提坏账准备的其他应收款</w:t>
      </w:r>
    </w:p>
    <w:p>
      <w:pPr>
        <w:spacing w:line="357" w:lineRule="auto" w:before="27"/>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期末单项金额虽不重大但单项计提坏账准备的其他应收款</w:t>
      </w:r>
    </w:p>
    <w:p>
      <w:pPr>
        <w:spacing w:before="24"/>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980" w:right="0"/>
          <w:cols w:num="2" w:equalWidth="0">
            <w:col w:w="4653" w:space="4176"/>
            <w:col w:w="2101"/>
          </w:cols>
        </w:sectPr>
      </w:pPr>
    </w:p>
    <w:p>
      <w:pPr>
        <w:spacing w:line="240" w:lineRule="auto" w:before="4"/>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25"/>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华为投资控股有限公司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100,000.00</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深圳市政府采购中心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10,000.00</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账龄较长</w:t>
            </w:r>
          </w:p>
        </w:tc>
      </w:tr>
    </w:tbl>
    <w:p>
      <w:pPr>
        <w:spacing w:after="0" w:line="240" w:lineRule="auto"/>
        <w:jc w:val="left"/>
        <w:rPr>
          <w:rFonts w:ascii="宋体" w:hAnsi="宋体" w:cs="宋体" w:eastAsia="宋体" w:hint="default"/>
          <w:sz w:val="18"/>
          <w:szCs w:val="18"/>
        </w:rPr>
        <w:sectPr>
          <w:type w:val="continuous"/>
          <w:pgSz w:w="11910" w:h="16840"/>
          <w:pgMar w:top="1580" w:bottom="0" w:left="980" w:right="0"/>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771880" type="#_x0000_t75" stroked="false">
            <v:imagedata r:id="rId6" o:title=""/>
          </v:shape>
        </w:pict>
      </w: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廊坊开发区中油龙慧自 动化工程有限公司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38,115.00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38,115.00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9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148,115.00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148,115.00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spacing w:line="506" w:lineRule="auto" w:before="36"/>
        <w:ind w:left="573" w:right="267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）本报告期其他应收款中持有公司</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100"/>
          <w:sz w:val="21"/>
          <w:szCs w:val="21"/>
        </w:rPr>
        <w:t> </w:t>
      </w:r>
      <w:r>
        <w:rPr>
          <w:rFonts w:ascii="宋体" w:hAnsi="宋体" w:cs="宋体" w:eastAsia="宋体" w:hint="default"/>
          <w:sz w:val="21"/>
          <w:szCs w:val="21"/>
        </w:rPr>
        <w:t>本报告期其他应收款中无持有公司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％）以上表决权股份的股东单位情况。</w:t>
      </w:r>
    </w:p>
    <w:p>
      <w:pPr>
        <w:pStyle w:val="Heading3"/>
        <w:spacing w:line="240" w:lineRule="auto" w:before="101"/>
        <w:ind w:right="1123"/>
        <w:jc w:val="left"/>
        <w:rPr>
          <w:b w:val="0"/>
          <w:bCs w:val="0"/>
        </w:rPr>
      </w:pPr>
      <w:r>
        <w:rPr/>
        <w:t>（</w:t>
      </w:r>
      <w:r>
        <w:rPr>
          <w:rFonts w:ascii="Times New Roman" w:hAnsi="Times New Roman" w:cs="Times New Roman" w:eastAsia="Times New Roman" w:hint="default"/>
        </w:rPr>
        <w:t>3</w:t>
      </w:r>
      <w:r>
        <w:rPr/>
        <w:t>）金额较大的其他应收款的性质或内容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1915"/>
        <w:gridCol w:w="2859"/>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占其他应收款总额的比例</w:t>
            </w:r>
            <w:r>
              <w:rPr>
                <w:rFonts w:ascii="宋体" w:hAnsi="宋体" w:cs="宋体" w:eastAsia="宋体" w:hint="default"/>
                <w:sz w:val="18"/>
                <w:szCs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4</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6"/>
        <w:gridCol w:w="1649"/>
        <w:gridCol w:w="1649"/>
        <w:gridCol w:w="1636"/>
        <w:gridCol w:w="1662"/>
      </w:tblGrid>
      <w:tr>
        <w:trPr>
          <w:trHeight w:val="709"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28" w:right="96" w:hanging="315"/>
              <w:jc w:val="left"/>
              <w:rPr>
                <w:rFonts w:ascii="宋体" w:hAnsi="宋体" w:cs="宋体" w:eastAsia="宋体" w:hint="default"/>
                <w:sz w:val="18"/>
                <w:szCs w:val="18"/>
              </w:rPr>
            </w:pPr>
            <w:r>
              <w:rPr>
                <w:rFonts w:ascii="宋体" w:hAnsi="宋体" w:cs="宋体" w:eastAsia="宋体" w:hint="default"/>
                <w:sz w:val="18"/>
                <w:szCs w:val="18"/>
              </w:rPr>
              <w:t>占其他应收款总额 的比例</w:t>
            </w:r>
            <w:r>
              <w:rPr>
                <w:rFonts w:ascii="宋体" w:hAnsi="宋体" w:cs="宋体" w:eastAsia="宋体" w:hint="default"/>
                <w:sz w:val="18"/>
                <w:szCs w:val="18"/>
              </w:rPr>
              <w:t>(%)</w:t>
            </w:r>
          </w:p>
        </w:tc>
      </w:tr>
      <w:tr>
        <w:trPr>
          <w:trHeight w:val="407" w:hRule="exact"/>
        </w:trPr>
        <w:tc>
          <w:tcPr>
            <w:tcW w:w="29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港铁轨道交通</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p>
        </w:tc>
        <w:tc>
          <w:tcPr>
            <w:tcW w:w="164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2,520,482.10</w:t>
            </w:r>
          </w:p>
        </w:tc>
        <w:tc>
          <w:tcPr>
            <w:tcW w:w="16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6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pacing w:val="-1"/>
                <w:sz w:val="18"/>
              </w:rPr>
              <w:t>11.56%</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大连机械设备成套公司</w:t>
            </w:r>
          </w:p>
        </w:tc>
        <w:tc>
          <w:tcPr>
            <w:tcW w:w="164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1,400,000.00</w:t>
            </w:r>
          </w:p>
        </w:tc>
        <w:tc>
          <w:tcPr>
            <w:tcW w:w="16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6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6.42%</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中海振兴（成都）物业发展有限公司</w:t>
            </w:r>
          </w:p>
        </w:tc>
        <w:tc>
          <w:tcPr>
            <w:tcW w:w="164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1,200,636.58</w:t>
            </w:r>
          </w:p>
        </w:tc>
        <w:tc>
          <w:tcPr>
            <w:tcW w:w="16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6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5.51%</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中海振兴（成都）物业发展有限公司</w:t>
            </w:r>
          </w:p>
        </w:tc>
        <w:tc>
          <w:tcPr>
            <w:tcW w:w="164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25,000.00</w:t>
            </w:r>
          </w:p>
        </w:tc>
        <w:tc>
          <w:tcPr>
            <w:tcW w:w="16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6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0.11%</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北京启迪筑能建筑信息技术有限公司</w:t>
            </w:r>
          </w:p>
        </w:tc>
        <w:tc>
          <w:tcPr>
            <w:tcW w:w="164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1,210,536.32</w:t>
            </w:r>
          </w:p>
        </w:tc>
        <w:tc>
          <w:tcPr>
            <w:tcW w:w="16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6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5.55%</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成都市城乡建设委员会</w:t>
            </w:r>
          </w:p>
        </w:tc>
        <w:tc>
          <w:tcPr>
            <w:tcW w:w="164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1,000,000.00</w:t>
            </w:r>
          </w:p>
        </w:tc>
        <w:tc>
          <w:tcPr>
            <w:tcW w:w="16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6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4.59%</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7,356,655.00</w:t>
            </w:r>
          </w:p>
        </w:tc>
        <w:tc>
          <w:tcPr>
            <w:tcW w:w="163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66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33.74%</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7,356,655.00</w:t>
            </w:r>
          </w:p>
        </w:tc>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pacing w:val="-1"/>
                <w:sz w:val="18"/>
              </w:rPr>
              <w:t>33.74%</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0"/>
        <w:gridCol w:w="3199"/>
        <w:gridCol w:w="1064"/>
        <w:gridCol w:w="3053"/>
        <w:gridCol w:w="1063"/>
      </w:tblGrid>
      <w:tr>
        <w:trPr>
          <w:trHeight w:val="206"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18,287,663.35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92.99</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20,258,943.40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94.64</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1,357,568.31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6.9</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486,488.40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2.27</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21,850.60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0.11</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660,985.40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3.09</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51"/>
              <w:ind w:right="7"/>
              <w:jc w:val="right"/>
              <w:rPr>
                <w:rFonts w:ascii="宋体" w:hAnsi="宋体" w:cs="宋体" w:eastAsia="宋体" w:hint="default"/>
                <w:sz w:val="18"/>
                <w:szCs w:val="18"/>
              </w:rPr>
            </w:pPr>
            <w:r>
              <w:rPr>
                <w:rFonts w:ascii="宋体"/>
                <w:spacing w:val="-1"/>
                <w:sz w:val="18"/>
              </w:rPr>
              <w:t>19,667,082.26</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8"/>
              <w:jc w:val="right"/>
              <w:rPr>
                <w:rFonts w:ascii="宋体" w:hAnsi="宋体" w:cs="宋体" w:eastAsia="宋体" w:hint="default"/>
                <w:sz w:val="18"/>
                <w:szCs w:val="18"/>
              </w:rPr>
            </w:pPr>
            <w:r>
              <w:rPr>
                <w:rFonts w:ascii="宋体"/>
                <w:spacing w:val="-1"/>
                <w:sz w:val="18"/>
              </w:rPr>
              <w:t>21,406,417.20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footerReference w:type="default" r:id="rId23"/>
          <w:pgSz w:w="11910" w:h="16840"/>
          <w:pgMar w:footer="1227" w:header="877" w:top="1100" w:bottom="1420" w:left="980" w:right="0"/>
          <w:pgNumType w:start="105"/>
        </w:sectPr>
      </w:pPr>
    </w:p>
    <w:p>
      <w:pPr>
        <w:spacing w:line="240" w:lineRule="auto" w:before="11"/>
        <w:rPr>
          <w:rFonts w:ascii="宋体" w:hAnsi="宋体" w:cs="宋体" w:eastAsia="宋体" w:hint="default"/>
          <w:sz w:val="21"/>
          <w:szCs w:val="21"/>
        </w:rPr>
      </w:pPr>
      <w:r>
        <w:rPr/>
        <w:pict>
          <v:shape style="position:absolute;margin-left:460.320007pt;margin-top:764.919983pt;width:135.0pt;height:77pt;mso-position-horizontal-relative:page;mso-position-vertical-relative:page;z-index:-771856" type="#_x0000_t75" stroked="false">
            <v:imagedata r:id="rId6" o:title=""/>
          </v:shape>
        </w:pict>
      </w: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0"/>
        <w:gridCol w:w="1755"/>
        <w:gridCol w:w="1756"/>
        <w:gridCol w:w="1754"/>
        <w:gridCol w:w="1757"/>
      </w:tblGrid>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3" w:hRule="exact"/>
        </w:trPr>
        <w:tc>
          <w:tcPr>
            <w:tcW w:w="25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77"/>
              <w:jc w:val="left"/>
              <w:rPr>
                <w:rFonts w:ascii="宋体" w:hAnsi="宋体" w:cs="宋体" w:eastAsia="宋体" w:hint="default"/>
                <w:sz w:val="18"/>
                <w:szCs w:val="18"/>
              </w:rPr>
            </w:pPr>
            <w:r>
              <w:rPr>
                <w:rFonts w:ascii="宋体" w:hAnsi="宋体" w:cs="宋体" w:eastAsia="宋体" w:hint="default"/>
                <w:sz w:val="18"/>
                <w:szCs w:val="18"/>
              </w:rPr>
              <w:t>深圳市比沃迪数码科技有限公 司</w:t>
            </w:r>
          </w:p>
        </w:tc>
        <w:tc>
          <w:tcPr>
            <w:tcW w:w="17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3,831,211.76</w:t>
            </w:r>
          </w:p>
        </w:tc>
        <w:tc>
          <w:tcPr>
            <w:tcW w:w="17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交易未完成</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深圳市富士智能系统有限公司</w:t>
            </w:r>
          </w:p>
        </w:tc>
        <w:tc>
          <w:tcPr>
            <w:tcW w:w="17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1,377,659.91</w:t>
            </w:r>
          </w:p>
        </w:tc>
        <w:tc>
          <w:tcPr>
            <w:tcW w:w="17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交易未完成</w:t>
            </w:r>
          </w:p>
        </w:tc>
      </w:tr>
      <w:tr>
        <w:trPr>
          <w:trHeight w:val="401" w:hRule="exact"/>
        </w:trPr>
        <w:tc>
          <w:tcPr>
            <w:tcW w:w="25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江西雄宇（集团）有限公司</w:t>
            </w:r>
          </w:p>
        </w:tc>
        <w:tc>
          <w:tcPr>
            <w:tcW w:w="17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1,200,000.00</w:t>
            </w:r>
          </w:p>
        </w:tc>
        <w:tc>
          <w:tcPr>
            <w:tcW w:w="17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交易未完成</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上海北索电子科技有限公司</w:t>
            </w:r>
          </w:p>
        </w:tc>
        <w:tc>
          <w:tcPr>
            <w:tcW w:w="17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761,158.40</w:t>
            </w:r>
          </w:p>
        </w:tc>
        <w:tc>
          <w:tcPr>
            <w:tcW w:w="17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交易未完成</w:t>
            </w:r>
          </w:p>
        </w:tc>
      </w:tr>
      <w:tr>
        <w:trPr>
          <w:trHeight w:val="401" w:hRule="exact"/>
        </w:trPr>
        <w:tc>
          <w:tcPr>
            <w:tcW w:w="25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深圳市拓锐实业有限公司</w:t>
            </w:r>
          </w:p>
        </w:tc>
        <w:tc>
          <w:tcPr>
            <w:tcW w:w="17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733,775.86</w:t>
            </w:r>
          </w:p>
        </w:tc>
        <w:tc>
          <w:tcPr>
            <w:tcW w:w="17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交易未完成</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17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7,903,805.93</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spacing w:line="240" w:lineRule="auto" w:before="0"/>
        <w:rPr>
          <w:rFonts w:ascii="宋体" w:hAnsi="宋体" w:cs="宋体" w:eastAsia="宋体" w:hint="default"/>
          <w:sz w:val="18"/>
          <w:szCs w:val="18"/>
        </w:rPr>
      </w:pPr>
    </w:p>
    <w:p>
      <w:pPr>
        <w:spacing w:line="506" w:lineRule="auto" w:before="118"/>
        <w:ind w:left="573" w:right="267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）本报告期预付款项中持有本公司</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100"/>
          <w:sz w:val="21"/>
          <w:szCs w:val="21"/>
        </w:rPr>
        <w:t> </w:t>
      </w:r>
      <w:r>
        <w:rPr>
          <w:rFonts w:ascii="宋体" w:hAnsi="宋体" w:cs="宋体" w:eastAsia="宋体" w:hint="default"/>
          <w:sz w:val="21"/>
          <w:szCs w:val="21"/>
        </w:rPr>
        <w:t>本报告期预付款项中无持有本公司</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％）以上表决权股份的股东单位情况。</w:t>
      </w:r>
    </w:p>
    <w:p>
      <w:pPr>
        <w:pStyle w:val="Heading3"/>
        <w:spacing w:line="240" w:lineRule="auto" w:before="104"/>
        <w:ind w:right="1123"/>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462"/>
        <w:gridCol w:w="1193"/>
        <w:gridCol w:w="1330"/>
        <w:gridCol w:w="1327"/>
        <w:gridCol w:w="1330"/>
        <w:gridCol w:w="132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7,280,048.59</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7,280,048.59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9,277,205.43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9,277,205.43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723,613.04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723,613.04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2,184,461.93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2,184,461.93</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8,734,200.30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8,734,200.30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3,538,581.60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3,538,581.60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101,641,352.79</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101,641,352.79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90,537,882.00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90,537,882.00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2,159,904.90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2,159,904.90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872,433.00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872,433.00</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46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4,289,734.06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4,289,734.06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16,210.60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16,210.60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120,555,330.22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120,555,330.22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110,700,298.02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110,700,298.02</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56"/>
        <w:gridCol w:w="2924"/>
        <w:gridCol w:w="3178"/>
      </w:tblGrid>
      <w:tr>
        <w:trPr>
          <w:trHeight w:val="403" w:hRule="exact"/>
        </w:trPr>
        <w:tc>
          <w:tcPr>
            <w:tcW w:w="3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227" w:top="1100" w:bottom="1420" w:left="980" w:right="0"/>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1792" type="#_x0000_t75" stroked="false">
            <v:imagedata r:id="rId6" o:title=""/>
          </v:shape>
        </w:pict>
      </w: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办公场地装修费用摊销</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107,621.73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52,808.00</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107,621.73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52,808.00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其他流动资产说明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7"/>
        <w:gridCol w:w="799"/>
        <w:gridCol w:w="797"/>
        <w:gridCol w:w="799"/>
        <w:gridCol w:w="797"/>
      </w:tblGrid>
      <w:tr>
        <w:trPr>
          <w:trHeight w:val="1961"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59" w:right="60"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11</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8"/>
        <w:gridCol w:w="2003"/>
        <w:gridCol w:w="1863"/>
        <w:gridCol w:w="1860"/>
        <w:gridCol w:w="2127"/>
      </w:tblGrid>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122,214,509.79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69,516,382.66</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191,730,892.45</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122,214,509.79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69,516,382.66</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191,730,892.45</w:t>
            </w:r>
          </w:p>
        </w:tc>
      </w:tr>
      <w:tr>
        <w:trPr>
          <w:trHeight w:val="716"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19,109,669.08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26,380,880.15</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45,490,549.23</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19,109,669.08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26,380,880.15</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45,490,549.23</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103,104,840.71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43,135,502.51</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146,240,343.22</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103,104,840.71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43,135,502.51</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146,240,343.22</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四、投资性房地产账 面价值合计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103,104,840.71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43,135,502.51</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146,240,343.22</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103,104,840.71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43,135,502.51</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146,240,343.22</w:t>
            </w:r>
          </w:p>
        </w:tc>
      </w:tr>
    </w:tbl>
    <w:p>
      <w:pPr>
        <w:spacing w:after="0" w:line="240" w:lineRule="auto"/>
        <w:jc w:val="right"/>
        <w:rPr>
          <w:rFonts w:ascii="宋体" w:hAnsi="宋体" w:cs="宋体" w:eastAsia="宋体" w:hint="default"/>
          <w:sz w:val="18"/>
          <w:szCs w:val="18"/>
        </w:rPr>
        <w:sectPr>
          <w:pgSz w:w="11910" w:h="16840"/>
          <w:pgMar w:header="877" w:footer="1227" w:top="1100" w:bottom="1420" w:left="980" w:right="0"/>
        </w:sectPr>
      </w:pPr>
    </w:p>
    <w:p>
      <w:pPr>
        <w:spacing w:line="240" w:lineRule="auto" w:before="11"/>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771808" type="#_x0000_t75" stroked="false">
            <v:imagedata r:id="rId6" o:title=""/>
          </v:shape>
        </w:pict>
      </w: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5"/>
      </w:tblGrid>
      <w:tr>
        <w:trPr>
          <w:trHeight w:val="403" w:hRule="exact"/>
        </w:trPr>
        <w:tc>
          <w:tcPr>
            <w:tcW w:w="2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13"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3" w:hRule="exact"/>
        </w:trPr>
        <w:tc>
          <w:tcPr>
            <w:tcW w:w="254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2D2D2"/>
          </w:tcPr>
          <w:p>
            <w:pPr/>
          </w:p>
        </w:tc>
      </w:tr>
    </w:tbl>
    <w:p>
      <w:pPr>
        <w:spacing w:line="316" w:lineRule="auto" w:before="49"/>
        <w:ind w:left="152" w:right="1123" w:firstLine="0"/>
        <w:jc w:val="left"/>
        <w:rPr>
          <w:rFonts w:ascii="宋体" w:hAnsi="宋体" w:cs="宋体" w:eastAsia="宋体" w:hint="default"/>
          <w:sz w:val="18"/>
          <w:szCs w:val="18"/>
        </w:rPr>
      </w:pPr>
      <w:r>
        <w:rPr>
          <w:rFonts w:ascii="宋体" w:hAnsi="宋体" w:cs="宋体" w:eastAsia="宋体" w:hint="default"/>
          <w:spacing w:val="-2"/>
          <w:sz w:val="18"/>
          <w:szCs w:val="18"/>
        </w:rPr>
        <w:t>说明报告期内改变计量模式的投资性房地产和未办妥产权证书的投资性房地产有关情况，说明未办妥产权证书的原因和预计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办结时间</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1315"/>
        <w:gridCol w:w="1594"/>
        <w:gridCol w:w="1597"/>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92,033,530.73</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06" w:right="0"/>
              <w:jc w:val="left"/>
              <w:rPr>
                <w:rFonts w:ascii="宋体" w:hAnsi="宋体" w:cs="宋体" w:eastAsia="宋体" w:hint="default"/>
                <w:sz w:val="18"/>
                <w:szCs w:val="18"/>
              </w:rPr>
            </w:pPr>
            <w:r>
              <w:rPr>
                <w:rFonts w:ascii="宋体"/>
                <w:sz w:val="18"/>
              </w:rPr>
              <w:t>38,627,269.35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10,161,593.37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120,499,206.71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52,745,169.26</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06" w:right="0"/>
              <w:jc w:val="left"/>
              <w:rPr>
                <w:rFonts w:ascii="宋体" w:hAnsi="宋体" w:cs="宋体" w:eastAsia="宋体" w:hint="default"/>
                <w:sz w:val="18"/>
                <w:szCs w:val="18"/>
              </w:rPr>
            </w:pPr>
            <w:r>
              <w:rPr>
                <w:rFonts w:ascii="宋体"/>
                <w:sz w:val="18"/>
              </w:rPr>
              <w:t>11,782,881.55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6,482,447.08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58,045,603.73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4,983,415.00</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98" w:right="0"/>
              <w:jc w:val="left"/>
              <w:rPr>
                <w:rFonts w:ascii="宋体" w:hAnsi="宋体" w:cs="宋体" w:eastAsia="宋体" w:hint="default"/>
                <w:sz w:val="18"/>
                <w:szCs w:val="18"/>
              </w:rPr>
            </w:pPr>
            <w:r>
              <w:rPr>
                <w:rFonts w:ascii="宋体"/>
                <w:sz w:val="18"/>
              </w:rPr>
              <w:t>4,976,608.20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2,643,310.30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7,316,712.90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9,816,214.00</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98" w:right="0"/>
              <w:jc w:val="left"/>
              <w:rPr>
                <w:rFonts w:ascii="宋体" w:hAnsi="宋体" w:cs="宋体" w:eastAsia="宋体" w:hint="default"/>
                <w:sz w:val="18"/>
                <w:szCs w:val="18"/>
              </w:rPr>
            </w:pPr>
            <w:r>
              <w:rPr>
                <w:rFonts w:ascii="宋体"/>
                <w:sz w:val="18"/>
              </w:rPr>
              <w:t>4,806,633.72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1,035,835.99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13,587,011.73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节能专用设备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24,488,732.47</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06" w:right="0"/>
              <w:jc w:val="left"/>
              <w:rPr>
                <w:rFonts w:ascii="宋体" w:hAnsi="宋体" w:cs="宋体" w:eastAsia="宋体" w:hint="default"/>
                <w:sz w:val="18"/>
                <w:szCs w:val="18"/>
              </w:rPr>
            </w:pPr>
            <w:r>
              <w:rPr>
                <w:rFonts w:ascii="宋体"/>
                <w:sz w:val="18"/>
              </w:rPr>
              <w:t>17,061,145.88</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41,549,878.35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29,168,900.24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7,428,928.54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10,761,820.62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6,281,876.77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41,077,772.63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13,148,387.08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3,619,065.49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3,172,232.65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4,323,731.55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15,615,953.67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1,833,206.80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2,302,625.31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836,291.85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1,685,667.60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3,286,456.36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3,415,298.07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1,507,237.74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1,924,131.05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272,477.62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6,574,189.24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节能专用设备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right"/>
              <w:rPr>
                <w:rFonts w:ascii="宋体" w:hAnsi="宋体" w:cs="宋体" w:eastAsia="宋体" w:hint="default"/>
                <w:sz w:val="18"/>
                <w:szCs w:val="18"/>
              </w:rPr>
            </w:pPr>
            <w:r>
              <w:rPr>
                <w:rFonts w:ascii="宋体"/>
                <w:spacing w:val="-1"/>
                <w:sz w:val="18"/>
              </w:rPr>
              <w:t>10,772,008.29</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4,829,165.07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15,601,173.36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62,864,630.49</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79,421,434.08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39,596,782.18</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42,429,650.06</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3,150,208.20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4,030,256.54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6,400,915.93</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7,012,822.49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节能专用设备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13,716,724.18</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25,948,704.99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节能专用设备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62,864,630.49</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79,421,434.08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39,596,782.18</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42,429,650.06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3,150,208.20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4,030,256.54</w:t>
            </w:r>
          </w:p>
        </w:tc>
      </w:tr>
    </w:tbl>
    <w:p>
      <w:pPr>
        <w:spacing w:after="0" w:line="240" w:lineRule="auto"/>
        <w:jc w:val="right"/>
        <w:rPr>
          <w:rFonts w:ascii="宋体" w:hAnsi="宋体" w:cs="宋体" w:eastAsia="宋体" w:hint="default"/>
          <w:sz w:val="18"/>
          <w:szCs w:val="18"/>
        </w:rPr>
        <w:sectPr>
          <w:pgSz w:w="11910" w:h="16840"/>
          <w:pgMar w:header="877" w:footer="1227" w:top="1100" w:bottom="1420" w:left="980" w:right="0"/>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1840" type="#_x0000_t75" stroked="false">
            <v:imagedata r:id="rId6" o:title=""/>
          </v:shape>
        </w:pict>
      </w:r>
    </w:p>
    <w:tbl>
      <w:tblPr>
        <w:tblW w:w="0" w:type="auto"/>
        <w:jc w:val="left"/>
        <w:tblInd w:w="149" w:type="dxa"/>
        <w:tblLayout w:type="fixed"/>
        <w:tblCellMar>
          <w:top w:w="0" w:type="dxa"/>
          <w:left w:w="0" w:type="dxa"/>
          <w:bottom w:w="0" w:type="dxa"/>
          <w:right w:w="0" w:type="dxa"/>
        </w:tblCellMar>
        <w:tblLook w:val="01E0"/>
      </w:tblPr>
      <w:tblGrid>
        <w:gridCol w:w="2128"/>
        <w:gridCol w:w="1474"/>
        <w:gridCol w:w="4506"/>
        <w:gridCol w:w="1459"/>
      </w:tblGrid>
      <w:tr>
        <w:trPr>
          <w:trHeight w:val="401" w:hRule="exact"/>
        </w:trPr>
        <w:tc>
          <w:tcPr>
            <w:tcW w:w="21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476"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6,400,915.93</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0" w:right="0"/>
              <w:jc w:val="left"/>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7,012,822.49</w:t>
            </w: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节能专用设备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13,716,724.18</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0" w:right="0"/>
              <w:jc w:val="left"/>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25,948,704.99</w:t>
            </w:r>
            <w:r>
              <w:rPr>
                <w:rFonts w:ascii="宋体"/>
                <w:sz w:val="18"/>
              </w:rPr>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本期折旧额元；本期由在建工程转入固定资产原价为元。</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4"/>
        <w:gridCol w:w="4795"/>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146,240,343.22</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5"/>
        <w:gridCol w:w="1280"/>
        <w:gridCol w:w="991"/>
        <w:gridCol w:w="1316"/>
        <w:gridCol w:w="1236"/>
        <w:gridCol w:w="1153"/>
        <w:gridCol w:w="1330"/>
      </w:tblGrid>
      <w:tr>
        <w:trPr>
          <w:trHeight w:val="402" w:hRule="exact"/>
        </w:trPr>
        <w:tc>
          <w:tcPr>
            <w:tcW w:w="22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5" w:type="dxa"/>
            <w:vMerge/>
            <w:tcBorders>
              <w:left w:val="single" w:sz="4" w:space="0" w:color="000000"/>
              <w:bottom w:val="single" w:sz="4" w:space="0" w:color="000000"/>
              <w:right w:val="single" w:sz="4" w:space="0" w:color="000000"/>
            </w:tcBorders>
            <w:shd w:val="clear" w:color="auto" w:fill="D2D2D2"/>
          </w:tcPr>
          <w:p>
            <w:pP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22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0"/>
              <w:jc w:val="left"/>
              <w:rPr>
                <w:rFonts w:ascii="宋体" w:hAnsi="宋体" w:cs="宋体" w:eastAsia="宋体" w:hint="default"/>
                <w:sz w:val="18"/>
                <w:szCs w:val="18"/>
              </w:rPr>
            </w:pPr>
            <w:r>
              <w:rPr>
                <w:rFonts w:ascii="宋体" w:hAnsi="宋体" w:cs="宋体" w:eastAsia="宋体" w:hint="default"/>
                <w:sz w:val="18"/>
                <w:szCs w:val="18"/>
              </w:rPr>
              <w:t>中山市阜沙国贸酒店能源站 节能服务项目</w:t>
            </w:r>
          </w:p>
        </w:tc>
        <w:tc>
          <w:tcPr>
            <w:tcW w:w="128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4,688,381.91</w:t>
            </w:r>
          </w:p>
        </w:tc>
        <w:tc>
          <w:tcPr>
            <w:tcW w:w="115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4,688,381.91</w:t>
            </w:r>
          </w:p>
        </w:tc>
      </w:tr>
      <w:tr>
        <w:trPr>
          <w:trHeight w:val="715" w:hRule="exact"/>
        </w:trPr>
        <w:tc>
          <w:tcPr>
            <w:tcW w:w="22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深圳市民中心中央空调节能 改造项目</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4,394,958.24</w:t>
            </w:r>
          </w:p>
        </w:tc>
        <w:tc>
          <w:tcPr>
            <w:tcW w:w="9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4,394,958.24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3,916,887.68</w:t>
            </w:r>
          </w:p>
        </w:tc>
        <w:tc>
          <w:tcPr>
            <w:tcW w:w="115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3,916,887.68</w:t>
            </w:r>
          </w:p>
        </w:tc>
      </w:tr>
      <w:tr>
        <w:trPr>
          <w:trHeight w:val="713" w:hRule="exact"/>
        </w:trPr>
        <w:tc>
          <w:tcPr>
            <w:tcW w:w="22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0"/>
              <w:jc w:val="left"/>
              <w:rPr>
                <w:rFonts w:ascii="宋体" w:hAnsi="宋体" w:cs="宋体" w:eastAsia="宋体" w:hint="default"/>
                <w:sz w:val="18"/>
                <w:szCs w:val="18"/>
              </w:rPr>
            </w:pPr>
            <w:r>
              <w:rPr>
                <w:rFonts w:ascii="宋体" w:hAnsi="宋体" w:cs="宋体" w:eastAsia="宋体" w:hint="default"/>
                <w:sz w:val="18"/>
                <w:szCs w:val="18"/>
              </w:rPr>
              <w:t>镇江益华广场一期群楼能源 站节能服务项目</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7,906,710.13</w:t>
            </w:r>
          </w:p>
        </w:tc>
        <w:tc>
          <w:tcPr>
            <w:tcW w:w="9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7,906,710.13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1,755,800.00</w:t>
            </w:r>
          </w:p>
        </w:tc>
        <w:tc>
          <w:tcPr>
            <w:tcW w:w="115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1,755,800.00</w:t>
            </w:r>
          </w:p>
        </w:tc>
      </w:tr>
      <w:tr>
        <w:trPr>
          <w:trHeight w:val="403" w:hRule="exact"/>
        </w:trPr>
        <w:tc>
          <w:tcPr>
            <w:tcW w:w="22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达实大厦停车场系统</w:t>
            </w:r>
          </w:p>
        </w:tc>
        <w:tc>
          <w:tcPr>
            <w:tcW w:w="128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56,398.91</w:t>
            </w:r>
          </w:p>
        </w:tc>
        <w:tc>
          <w:tcPr>
            <w:tcW w:w="115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56,398.91</w:t>
            </w:r>
          </w:p>
        </w:tc>
      </w:tr>
      <w:tr>
        <w:trPr>
          <w:trHeight w:val="713" w:hRule="exact"/>
        </w:trPr>
        <w:tc>
          <w:tcPr>
            <w:tcW w:w="22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0"/>
              <w:jc w:val="left"/>
              <w:rPr>
                <w:rFonts w:ascii="宋体" w:hAnsi="宋体" w:cs="宋体" w:eastAsia="宋体" w:hint="default"/>
                <w:sz w:val="18"/>
                <w:szCs w:val="18"/>
              </w:rPr>
            </w:pPr>
            <w:r>
              <w:rPr>
                <w:rFonts w:ascii="宋体" w:hAnsi="宋体" w:cs="宋体" w:eastAsia="宋体" w:hint="default"/>
                <w:sz w:val="18"/>
                <w:szCs w:val="18"/>
              </w:rPr>
              <w:t>佛山和信商业广场能源站节 能服务项目</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218,800.00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218,800.00</w:t>
            </w:r>
          </w:p>
        </w:tc>
        <w:tc>
          <w:tcPr>
            <w:tcW w:w="123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长安标致雪铁龙汽车有限公 司水蓄冷节能服务合同</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5,505,717.14</w:t>
            </w:r>
          </w:p>
        </w:tc>
        <w:tc>
          <w:tcPr>
            <w:tcW w:w="9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5,505,717.14</w:t>
            </w:r>
          </w:p>
        </w:tc>
        <w:tc>
          <w:tcPr>
            <w:tcW w:w="123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18,026,185.51</w:t>
            </w:r>
          </w:p>
        </w:tc>
        <w:tc>
          <w:tcPr>
            <w:tcW w:w="9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18,026,185.51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10,417,468.50</w:t>
            </w:r>
          </w:p>
        </w:tc>
        <w:tc>
          <w:tcPr>
            <w:tcW w:w="115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10,417,468.50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778,661.07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2,152,034.78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2,930,695.85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778,661.07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2,152,034.78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2,930,695.85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410,344.70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399,669.62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810,014.32</w:t>
            </w:r>
          </w:p>
        </w:tc>
      </w:tr>
    </w:tbl>
    <w:p>
      <w:pPr>
        <w:spacing w:after="0" w:line="240" w:lineRule="auto"/>
        <w:jc w:val="right"/>
        <w:rPr>
          <w:rFonts w:ascii="宋体" w:hAnsi="宋体" w:cs="宋体" w:eastAsia="宋体" w:hint="default"/>
          <w:sz w:val="18"/>
          <w:szCs w:val="18"/>
        </w:rPr>
        <w:sectPr>
          <w:pgSz w:w="11910" w:h="16840"/>
          <w:pgMar w:header="877" w:footer="1227" w:top="1100" w:bottom="142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410,344.70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399,669.62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810,014.32</w:t>
            </w:r>
            <w:r>
              <w:rPr>
                <w:rFonts w:ascii="宋体"/>
                <w:sz w:val="18"/>
              </w:rPr>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368,316.37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1,752,365.16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2,120,681.53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368,316.37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1,752,365.16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2,120,681.53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368,316.37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1,752,365.16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2,120,681.53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368,316.37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1,752,365.16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2,120,681.53</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本期摊销额元。</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开发项目</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1,453,402.94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617,330.04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816,204.37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19,868.53</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1,453,402.94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617,330.04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816,204.37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19,868.53</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上海达实联欣科技发展有限公 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158,769,749.96</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158,769,749.96</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北京达实德润能源科技有限公 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7,256,368.77</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7,256,368.77</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166,026,118.73</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166,026,118.73</w:t>
            </w: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513" w:right="1123" w:hanging="361"/>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 </w:t>
      </w:r>
      <w:r>
        <w:rPr>
          <w:rFonts w:ascii="宋体" w:hAnsi="宋体" w:cs="宋体" w:eastAsia="宋体" w:hint="default"/>
          <w:spacing w:val="-2"/>
          <w:sz w:val="18"/>
          <w:szCs w:val="18"/>
        </w:rPr>
        <w:t>期末先对不包含商誉的资产组或者资产组组合进行减值测试，计算可收回金额，并与相关帐面价值相比较，确认相应的</w:t>
      </w:r>
    </w:p>
    <w:p>
      <w:pPr>
        <w:spacing w:line="224"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减值损失计提减值准备。再对包含商誉的资产组或者资产组组合进行减值测试，比较这些相关资产组或者资产组组合的账面</w:t>
      </w:r>
    </w:p>
    <w:p>
      <w:pPr>
        <w:spacing w:line="316" w:lineRule="auto" w:before="76"/>
        <w:ind w:left="152" w:right="0" w:firstLine="0"/>
        <w:jc w:val="left"/>
        <w:rPr>
          <w:rFonts w:ascii="宋体" w:hAnsi="宋体" w:cs="宋体" w:eastAsia="宋体" w:hint="default"/>
          <w:sz w:val="18"/>
          <w:szCs w:val="18"/>
        </w:rPr>
      </w:pPr>
      <w:r>
        <w:rPr>
          <w:rFonts w:ascii="宋体" w:hAnsi="宋体" w:cs="宋体" w:eastAsia="宋体" w:hint="default"/>
          <w:spacing w:val="-4"/>
          <w:sz w:val="18"/>
          <w:szCs w:val="18"/>
        </w:rPr>
        <w:t>价值（包括所分摊的商誉的账面价值的部分）与其可收回金额，如相关资产组或资产组组合的可收回金额低于其账面价值的，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应当确认商誉的减值损失计提减值准备。</w:t>
      </w:r>
    </w:p>
    <w:p>
      <w:pPr>
        <w:spacing w:line="240" w:lineRule="auto" w:before="11"/>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78"/>
        <w:gridCol w:w="1356"/>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5,800,678.49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sz w:val="18"/>
              </w:rPr>
              <w:t>16,296,401.42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2,976,958.99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19,120,120.92</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sz w:val="18"/>
              </w:rPr>
              <w:t>--</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CMMI3</w:t>
            </w:r>
            <w:r>
              <w:rPr>
                <w:rFonts w:ascii="宋体" w:hAnsi="宋体" w:cs="宋体" w:eastAsia="宋体" w:hint="default"/>
                <w:spacing w:val="-45"/>
                <w:sz w:val="18"/>
                <w:szCs w:val="18"/>
              </w:rPr>
              <w:t> </w:t>
            </w:r>
            <w:r>
              <w:rPr>
                <w:rFonts w:ascii="宋体" w:hAnsi="宋体" w:cs="宋体" w:eastAsia="宋体" w:hint="default"/>
                <w:sz w:val="18"/>
                <w:szCs w:val="18"/>
              </w:rPr>
              <w:t>认证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243,055.56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116,666.63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126,388.93</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footerReference w:type="default" r:id="rId24"/>
          <w:pgSz w:w="11910" w:h="16840"/>
          <w:pgMar w:footer="1340" w:header="877" w:top="1100" w:bottom="1540" w:left="980" w:right="0"/>
          <w:pgNumType w:start="11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78"/>
        <w:gridCol w:w="1356"/>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宋体" w:hAnsi="宋体" w:cs="宋体" w:eastAsia="宋体" w:hint="default"/>
                <w:sz w:val="18"/>
                <w:szCs w:val="18"/>
              </w:rPr>
            </w:pPr>
            <w:r>
              <w:rPr>
                <w:rFonts w:ascii="宋体"/>
                <w:sz w:val="18"/>
              </w:rPr>
              <w:t>6,043,734.05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sz w:val="18"/>
              </w:rPr>
              <w:t>16,296,401.42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4" w:right="0"/>
              <w:jc w:val="left"/>
              <w:rPr>
                <w:rFonts w:ascii="宋体" w:hAnsi="宋体" w:cs="宋体" w:eastAsia="宋体" w:hint="default"/>
                <w:sz w:val="18"/>
                <w:szCs w:val="18"/>
              </w:rPr>
            </w:pPr>
            <w:r>
              <w:rPr>
                <w:rFonts w:ascii="宋体"/>
                <w:sz w:val="18"/>
              </w:rPr>
              <w:t>3,093,625.62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163" w:right="0"/>
              <w:jc w:val="left"/>
              <w:rPr>
                <w:rFonts w:ascii="宋体" w:hAnsi="宋体" w:cs="宋体" w:eastAsia="宋体" w:hint="default"/>
                <w:sz w:val="18"/>
                <w:szCs w:val="18"/>
              </w:rPr>
            </w:pPr>
            <w:r>
              <w:rPr>
                <w:rFonts w:ascii="宋体"/>
                <w:sz w:val="18"/>
              </w:rPr>
              <w:t>19,246,509.85</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17</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0"/>
        <w:gridCol w:w="2927"/>
        <w:gridCol w:w="2921"/>
      </w:tblGrid>
      <w:tr>
        <w:trPr>
          <w:trHeight w:val="406"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3,478,345.98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1,909,600.49</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94,397.56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161,022.47</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预提工资</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455,000.00</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836,974.83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945,000.00</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未弥补亏损</w:t>
            </w:r>
          </w:p>
        </w:tc>
        <w:tc>
          <w:tcPr>
            <w:tcW w:w="292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2,446,669.98</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未实现内部销售利润</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90,730.15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110,021.03</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限制性股票摊销</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786,796.36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5,347,244.88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6,027,313.97</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4"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交易性金融工具、衍生金融工具的估值</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50,938.74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50,938.74</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48"/>
        <w:gridCol w:w="2933"/>
        <w:gridCol w:w="2787"/>
      </w:tblGrid>
      <w:tr>
        <w:trPr>
          <w:trHeight w:val="402" w:hRule="exact"/>
        </w:trPr>
        <w:tc>
          <w:tcPr>
            <w:tcW w:w="3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48" w:type="dxa"/>
            <w:vMerge/>
            <w:tcBorders>
              <w:left w:val="single" w:sz="4" w:space="0" w:color="000000"/>
              <w:bottom w:val="single" w:sz="4" w:space="0" w:color="000000"/>
              <w:right w:val="single" w:sz="4" w:space="0" w:color="000000"/>
            </w:tcBorders>
            <w:shd w:val="clear" w:color="auto" w:fill="D2D2D2"/>
          </w:tcPr>
          <w:p>
            <w:pP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97"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7" w:hRule="exact"/>
        </w:trPr>
        <w:tc>
          <w:tcPr>
            <w:tcW w:w="38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交易性金融资产公允价值变动</w:t>
            </w:r>
          </w:p>
        </w:tc>
        <w:tc>
          <w:tcPr>
            <w:tcW w:w="2933"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pacing w:val="-1"/>
                <w:sz w:val="18"/>
              </w:rPr>
              <w:t>339,591.58</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339,591.58</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39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8" w:hRule="exact"/>
        </w:trPr>
        <w:tc>
          <w:tcPr>
            <w:tcW w:w="38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33"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56"/>
              <w:ind w:right="21"/>
              <w:jc w:val="right"/>
              <w:rPr>
                <w:rFonts w:ascii="宋体" w:hAnsi="宋体" w:cs="宋体" w:eastAsia="宋体" w:hint="default"/>
                <w:sz w:val="18"/>
                <w:szCs w:val="18"/>
              </w:rPr>
            </w:pPr>
            <w:r>
              <w:rPr>
                <w:rFonts w:ascii="宋体"/>
                <w:spacing w:val="-1"/>
                <w:sz w:val="18"/>
              </w:rPr>
              <w:t>23,074,634.11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
              <w:jc w:val="right"/>
              <w:rPr>
                <w:rFonts w:ascii="宋体" w:hAnsi="宋体" w:cs="宋体" w:eastAsia="宋体" w:hint="default"/>
                <w:sz w:val="18"/>
                <w:szCs w:val="18"/>
              </w:rPr>
            </w:pPr>
            <w:r>
              <w:rPr>
                <w:rFonts w:ascii="宋体"/>
                <w:spacing w:val="-1"/>
                <w:sz w:val="18"/>
              </w:rPr>
              <w:t>12,256,080.89</w:t>
            </w:r>
          </w:p>
        </w:tc>
      </w:tr>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933"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629,317.07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1,073,483.11</w:t>
            </w:r>
          </w:p>
        </w:tc>
      </w:tr>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预提工资</w:t>
            </w:r>
          </w:p>
        </w:tc>
        <w:tc>
          <w:tcPr>
            <w:tcW w:w="2933"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400,000.00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2,700,000.00</w:t>
            </w:r>
          </w:p>
        </w:tc>
      </w:tr>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933"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5,579,832.17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6,300,000.00</w:t>
            </w:r>
          </w:p>
        </w:tc>
      </w:tr>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未弥补亏损</w:t>
            </w:r>
          </w:p>
        </w:tc>
        <w:tc>
          <w:tcPr>
            <w:tcW w:w="2933" w:type="dxa"/>
            <w:tcBorders>
              <w:top w:val="single" w:sz="4" w:space="0" w:color="000000"/>
              <w:left w:val="single" w:sz="10" w:space="0" w:color="C6ECCC"/>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9,786,679.92</w:t>
            </w:r>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未实现内部销售利润</w:t>
            </w:r>
          </w:p>
        </w:tc>
        <w:tc>
          <w:tcPr>
            <w:tcW w:w="2933"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420,951.16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643,791.12</w:t>
            </w:r>
          </w:p>
        </w:tc>
      </w:tr>
    </w:tbl>
    <w:p>
      <w:pPr>
        <w:spacing w:after="0" w:line="240" w:lineRule="auto"/>
        <w:jc w:val="right"/>
        <w:rPr>
          <w:rFonts w:ascii="宋体" w:hAnsi="宋体" w:cs="宋体" w:eastAsia="宋体" w:hint="default"/>
          <w:sz w:val="18"/>
          <w:szCs w:val="18"/>
        </w:rPr>
        <w:sectPr>
          <w:pgSz w:w="11910" w:h="16840"/>
          <w:pgMar w:header="877" w:footer="1340" w:top="1100" w:bottom="154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845"/>
        <w:gridCol w:w="2937"/>
        <w:gridCol w:w="2787"/>
      </w:tblGrid>
      <w:tr>
        <w:trPr>
          <w:trHeight w:val="402" w:hRule="exact"/>
        </w:trPr>
        <w:tc>
          <w:tcPr>
            <w:tcW w:w="38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限制性股票摊销</w:t>
            </w:r>
          </w:p>
        </w:tc>
        <w:tc>
          <w:tcPr>
            <w:tcW w:w="2937"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5,245,309.07</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35,350,043.58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4" w:right="0"/>
              <w:jc w:val="left"/>
              <w:rPr>
                <w:rFonts w:ascii="宋体" w:hAnsi="宋体" w:cs="宋体" w:eastAsia="宋体" w:hint="default"/>
                <w:sz w:val="18"/>
                <w:szCs w:val="18"/>
              </w:rPr>
            </w:pPr>
            <w:r>
              <w:rPr>
                <w:rFonts w:ascii="宋体"/>
                <w:sz w:val="18"/>
              </w:rPr>
              <w:t>32,760,035.04</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5"/>
        <w:gridCol w:w="1628"/>
        <w:gridCol w:w="1628"/>
        <w:gridCol w:w="1630"/>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4"/>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9"/>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4"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30"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5,347,244.88</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6" w:right="0"/>
              <w:jc w:val="left"/>
              <w:rPr>
                <w:rFonts w:ascii="宋体" w:hAnsi="宋体" w:cs="宋体" w:eastAsia="宋体" w:hint="default"/>
                <w:sz w:val="18"/>
                <w:szCs w:val="18"/>
              </w:rPr>
            </w:pPr>
            <w:r>
              <w:rPr>
                <w:rFonts w:ascii="宋体"/>
                <w:sz w:val="18"/>
              </w:rPr>
              <w:t>6,027,313.97</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50,938.74</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18</w:t>
      </w:r>
      <w:r>
        <w:rPr/>
        <w:t>、资产减值准备明细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54"/>
        <w:gridCol w:w="1527"/>
        <w:gridCol w:w="1529"/>
        <w:gridCol w:w="1399"/>
        <w:gridCol w:w="1397"/>
        <w:gridCol w:w="1452"/>
      </w:tblGrid>
      <w:tr>
        <w:trPr>
          <w:trHeight w:val="206" w:hRule="exact"/>
        </w:trPr>
        <w:tc>
          <w:tcPr>
            <w:tcW w:w="22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0" w:hRule="exact"/>
        </w:trPr>
        <w:tc>
          <w:tcPr>
            <w:tcW w:w="2254"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12,256,080.89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11,268,896.11</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450,039.82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23,074,937.18</w:t>
            </w:r>
          </w:p>
        </w:tc>
      </w:tr>
      <w:tr>
        <w:trPr>
          <w:trHeight w:val="401"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12,256,080.89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11,268,896.11</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450,039.82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23,074,937.18</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19</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6,734,437.76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15,415,124.74</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6,734,437.76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15,415,124.74</w:t>
            </w:r>
          </w:p>
        </w:tc>
      </w:tr>
    </w:tbl>
    <w:p>
      <w:pPr>
        <w:spacing w:line="338" w:lineRule="auto" w:before="49"/>
        <w:ind w:left="152" w:right="7199"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2,134,000.00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应付票据的说明</w:t>
      </w:r>
    </w:p>
    <w:p>
      <w:pPr>
        <w:spacing w:after="0" w:line="338" w:lineRule="auto"/>
        <w:jc w:val="left"/>
        <w:rPr>
          <w:rFonts w:ascii="宋体" w:hAnsi="宋体" w:cs="宋体" w:eastAsia="宋体" w:hint="default"/>
          <w:sz w:val="18"/>
          <w:szCs w:val="18"/>
        </w:rPr>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212,064,068.75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99,888,899.56</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41,568,485.71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25,483,206.48</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2,963,322.11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6,951,520.60</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4,139,511.14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3,106,317.09</w:t>
            </w:r>
          </w:p>
        </w:tc>
      </w:tr>
      <w:tr>
        <w:trPr>
          <w:trHeight w:val="404"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260,735,387.71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135,429,943.73</w:t>
            </w:r>
          </w:p>
        </w:tc>
      </w:tr>
    </w:tbl>
    <w:p>
      <w:pPr>
        <w:spacing w:line="240" w:lineRule="auto" w:before="3"/>
        <w:rPr>
          <w:rFonts w:ascii="宋体" w:hAnsi="宋体" w:cs="宋体" w:eastAsia="宋体" w:hint="default"/>
          <w:sz w:val="19"/>
          <w:szCs w:val="19"/>
        </w:rPr>
      </w:pPr>
    </w:p>
    <w:p>
      <w:pPr>
        <w:spacing w:line="506" w:lineRule="auto" w:before="36"/>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）本报告期应付账款中应付持有公司</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本报告期应付账款中无应付持有公司</w:t>
      </w:r>
      <w:r>
        <w:rPr>
          <w:rFonts w:ascii="宋体" w:hAnsi="宋体" w:cs="宋体" w:eastAsia="宋体" w:hint="default"/>
          <w:spacing w:val="-2"/>
          <w:sz w:val="21"/>
          <w:szCs w:val="21"/>
        </w:rPr>
        <w:t>5</w:t>
      </w:r>
      <w:r>
        <w:rPr>
          <w:rFonts w:ascii="宋体" w:hAnsi="宋体" w:cs="宋体" w:eastAsia="宋体" w:hint="default"/>
          <w:spacing w:val="-2"/>
          <w:sz w:val="21"/>
          <w:szCs w:val="21"/>
        </w:rPr>
        <w:t>％（含</w:t>
      </w:r>
      <w:r>
        <w:rPr>
          <w:rFonts w:ascii="宋体" w:hAnsi="宋体" w:cs="宋体" w:eastAsia="宋体" w:hint="default"/>
          <w:spacing w:val="-2"/>
          <w:sz w:val="21"/>
          <w:szCs w:val="21"/>
        </w:rPr>
        <w:t>5</w:t>
      </w:r>
      <w:r>
        <w:rPr>
          <w:rFonts w:ascii="宋体" w:hAnsi="宋体" w:cs="宋体" w:eastAsia="宋体" w:hint="default"/>
          <w:spacing w:val="-2"/>
          <w:sz w:val="21"/>
          <w:szCs w:val="21"/>
        </w:rPr>
        <w:t>％）以上表决权股份的股东单位款项。</w:t>
      </w:r>
    </w:p>
    <w:p>
      <w:pPr>
        <w:pStyle w:val="Heading3"/>
        <w:spacing w:line="240" w:lineRule="auto" w:before="104"/>
        <w:ind w:right="1123"/>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1123" w:firstLine="420"/>
        <w:jc w:val="left"/>
      </w:pPr>
      <w:r>
        <w:rPr>
          <w:spacing w:val="-2"/>
        </w:rPr>
        <w:t>本报告期账龄超过</w:t>
      </w:r>
      <w:r>
        <w:rPr>
          <w:rFonts w:ascii="Times New Roman" w:hAnsi="Times New Roman" w:cs="Times New Roman" w:eastAsia="Times New Roman" w:hint="default"/>
          <w:spacing w:val="-2"/>
        </w:rPr>
        <w:t>1</w:t>
      </w:r>
      <w:r>
        <w:rPr>
          <w:spacing w:val="-2"/>
        </w:rPr>
        <w:t>年的大额应付账款主要系未达到付款条件工程项目分包商工程款、设备供应商材</w:t>
      </w:r>
      <w:r>
        <w:rPr>
          <w:w w:val="100"/>
        </w:rPr>
        <w:t> </w:t>
      </w:r>
      <w:r>
        <w:rPr/>
        <w:t>料款。</w:t>
      </w:r>
    </w:p>
    <w:p>
      <w:pPr>
        <w:spacing w:line="240" w:lineRule="auto" w:before="8"/>
        <w:rPr>
          <w:rFonts w:ascii="宋体" w:hAnsi="宋体" w:cs="宋体" w:eastAsia="宋体" w:hint="default"/>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21</w:t>
      </w:r>
      <w:r>
        <w:rPr/>
        <w:t>、预收账款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45"/>
        <w:gridCol w:w="2802"/>
        <w:gridCol w:w="2921"/>
      </w:tblGrid>
      <w:tr>
        <w:trPr>
          <w:trHeight w:val="396"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8" w:hRule="exact"/>
        </w:trPr>
        <w:tc>
          <w:tcPr>
            <w:tcW w:w="38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280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pacing w:val="-1"/>
                <w:sz w:val="18"/>
              </w:rPr>
              <w:t>57,374,415.27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33,262,011.44</w:t>
            </w:r>
          </w:p>
        </w:tc>
      </w:tr>
      <w:tr>
        <w:trPr>
          <w:trHeight w:val="401" w:hRule="exact"/>
        </w:trPr>
        <w:tc>
          <w:tcPr>
            <w:tcW w:w="38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80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5,439,801.45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2,402,101.38</w:t>
            </w:r>
          </w:p>
        </w:tc>
      </w:tr>
      <w:tr>
        <w:trPr>
          <w:trHeight w:val="403" w:hRule="exact"/>
        </w:trPr>
        <w:tc>
          <w:tcPr>
            <w:tcW w:w="38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80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153,960.40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62,968,177.12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35,664,112.82</w:t>
            </w:r>
          </w:p>
        </w:tc>
      </w:tr>
    </w:tbl>
    <w:p>
      <w:pPr>
        <w:spacing w:line="240" w:lineRule="auto" w:before="3"/>
        <w:rPr>
          <w:rFonts w:ascii="宋体" w:hAnsi="宋体" w:cs="宋体" w:eastAsia="宋体" w:hint="default"/>
          <w:sz w:val="19"/>
          <w:szCs w:val="19"/>
        </w:rPr>
      </w:pPr>
    </w:p>
    <w:p>
      <w:pPr>
        <w:spacing w:line="506" w:lineRule="auto" w:before="36"/>
        <w:ind w:left="573" w:right="246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）本报告期预收账款中预收持有公司</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b/>
          <w:bCs/>
          <w:w w:val="100"/>
          <w:sz w:val="21"/>
          <w:szCs w:val="21"/>
        </w:rPr>
        <w:t> </w:t>
      </w:r>
      <w:r>
        <w:rPr>
          <w:rFonts w:ascii="宋体" w:hAnsi="宋体" w:cs="宋体" w:eastAsia="宋体" w:hint="default"/>
          <w:sz w:val="21"/>
          <w:szCs w:val="21"/>
        </w:rPr>
        <w:t>本报告期预收账款中无预收持有公司</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％）以上表决权股份的股东单位款项。</w:t>
      </w:r>
    </w:p>
    <w:p>
      <w:pPr>
        <w:spacing w:line="506" w:lineRule="auto" w:before="104"/>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）账龄超过一年的大额预收账款情况的说明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账龄超过一年的预收账款系南山区艺术博览馆智能化系统采购及安装合同项目预收项目款。</w:t>
      </w:r>
    </w:p>
    <w:p>
      <w:pPr>
        <w:spacing w:after="0" w:line="506" w:lineRule="auto"/>
        <w:jc w:val="left"/>
        <w:rPr>
          <w:rFonts w:ascii="宋体" w:hAnsi="宋体" w:cs="宋体" w:eastAsia="宋体" w:hint="default"/>
          <w:sz w:val="21"/>
          <w:szCs w:val="21"/>
        </w:rPr>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rFonts w:ascii="Times New Roman" w:hAnsi="Times New Roman" w:cs="Times New Roman" w:eastAsia="Times New Roman" w:hint="default"/>
        </w:rPr>
        <w:t>22</w:t>
      </w:r>
      <w:r>
        <w:rPr/>
        <w:t>、应付职工薪酬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863"/>
        <w:gridCol w:w="1992"/>
        <w:gridCol w:w="2259"/>
        <w:gridCol w:w="1860"/>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6,081,268.63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59,293,920.18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53,825,553.88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11,549,634.93</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21,580.00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21,580.00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3,106,050.63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3,106,050.63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）医疗保险费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784,521.85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784,521.85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）基本养老保险 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1,985,082.07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1,985,082.07</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）工伤保险</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69,731.81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69,731.81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）生育保险</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92,720.21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92,720.21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）失业保险</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173,994.69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173,994.69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1,113,001.49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1,113,001.49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152,197.12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152,197.12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10,385.06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500,007.50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500,007.50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10,385.06</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6,091,653.69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64,186,756.92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58,718,390.62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11,560,019.99</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4"/>
          <w:sz w:val="18"/>
          <w:szCs w:val="18"/>
        </w:rPr>
        <w:t> </w:t>
      </w:r>
      <w:r>
        <w:rPr>
          <w:rFonts w:ascii="宋体" w:hAnsi="宋体" w:cs="宋体" w:eastAsia="宋体" w:hint="default"/>
          <w:sz w:val="18"/>
          <w:szCs w:val="18"/>
        </w:rPr>
        <w:t>0.00</w:t>
      </w:r>
      <w:r>
        <w:rPr>
          <w:rFonts w:ascii="宋体" w:hAnsi="宋体" w:cs="宋体" w:eastAsia="宋体" w:hint="default"/>
          <w:spacing w:val="-43"/>
          <w:sz w:val="18"/>
          <w:szCs w:val="18"/>
        </w:rPr>
        <w:t> </w:t>
      </w:r>
      <w:r>
        <w:rPr>
          <w:rFonts w:ascii="宋体" w:hAnsi="宋体" w:cs="宋体" w:eastAsia="宋体" w:hint="default"/>
          <w:sz w:val="18"/>
          <w:szCs w:val="18"/>
        </w:rPr>
        <w:t>元。</w:t>
      </w:r>
    </w:p>
    <w:p>
      <w:pPr>
        <w:spacing w:line="360" w:lineRule="auto" w:before="115"/>
        <w:ind w:left="152" w:right="1487"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6"/>
          <w:sz w:val="18"/>
          <w:szCs w:val="18"/>
        </w:rPr>
        <w:t> </w:t>
      </w:r>
      <w:r>
        <w:rPr>
          <w:rFonts w:ascii="宋体" w:hAnsi="宋体" w:cs="宋体" w:eastAsia="宋体" w:hint="default"/>
          <w:sz w:val="18"/>
          <w:szCs w:val="18"/>
        </w:rPr>
        <w:t>500,007.50</w:t>
      </w:r>
      <w:r>
        <w:rPr>
          <w:rFonts w:ascii="宋体" w:hAnsi="宋体" w:cs="宋体" w:eastAsia="宋体" w:hint="default"/>
          <w:spacing w:val="-44"/>
          <w:sz w:val="18"/>
          <w:szCs w:val="18"/>
        </w:rPr>
        <w:t> </w:t>
      </w:r>
      <w:r>
        <w:rPr>
          <w:rFonts w:ascii="宋体" w:hAnsi="宋体" w:cs="宋体" w:eastAsia="宋体" w:hint="default"/>
          <w:sz w:val="18"/>
          <w:szCs w:val="18"/>
        </w:rPr>
        <w:t>元，非货币性福利金额</w:t>
      </w:r>
      <w:r>
        <w:rPr>
          <w:rFonts w:ascii="宋体" w:hAnsi="宋体" w:cs="宋体" w:eastAsia="宋体" w:hint="default"/>
          <w:spacing w:val="-47"/>
          <w:sz w:val="18"/>
          <w:szCs w:val="18"/>
        </w:rPr>
        <w:t> </w:t>
      </w:r>
      <w:r>
        <w:rPr>
          <w:rFonts w:ascii="宋体" w:hAnsi="宋体" w:cs="宋体" w:eastAsia="宋体" w:hint="default"/>
          <w:sz w:val="18"/>
          <w:szCs w:val="18"/>
        </w:rPr>
        <w:t>0.00</w:t>
      </w:r>
      <w:r>
        <w:rPr>
          <w:rFonts w:ascii="宋体" w:hAnsi="宋体" w:cs="宋体" w:eastAsia="宋体" w:hint="default"/>
          <w:spacing w:val="-45"/>
          <w:sz w:val="18"/>
          <w:szCs w:val="18"/>
        </w:rPr>
        <w:t> </w:t>
      </w:r>
      <w:r>
        <w:rPr>
          <w:rFonts w:ascii="宋体" w:hAnsi="宋体" w:cs="宋体" w:eastAsia="宋体" w:hint="default"/>
          <w:sz w:val="18"/>
          <w:szCs w:val="18"/>
        </w:rPr>
        <w:t>元，因解除劳动关系给予补偿</w:t>
      </w:r>
      <w:r>
        <w:rPr>
          <w:rFonts w:ascii="宋体" w:hAnsi="宋体" w:cs="宋体" w:eastAsia="宋体" w:hint="default"/>
          <w:spacing w:val="-46"/>
          <w:sz w:val="18"/>
          <w:szCs w:val="18"/>
        </w:rPr>
        <w:t> </w:t>
      </w:r>
      <w:r>
        <w:rPr>
          <w:rFonts w:ascii="宋体" w:hAnsi="宋体" w:cs="宋体" w:eastAsia="宋体" w:hint="default"/>
          <w:sz w:val="18"/>
          <w:szCs w:val="18"/>
        </w:rPr>
        <w:t>152,197.12</w:t>
      </w:r>
      <w:r>
        <w:rPr>
          <w:rFonts w:ascii="宋体" w:hAnsi="宋体" w:cs="宋体" w:eastAsia="宋体" w:hint="default"/>
          <w:spacing w:val="-45"/>
          <w:sz w:val="18"/>
          <w:szCs w:val="18"/>
        </w:rPr>
        <w:t> </w:t>
      </w:r>
      <w:r>
        <w:rPr>
          <w:rFonts w:ascii="宋体" w:hAnsi="宋体" w:cs="宋体" w:eastAsia="宋体" w:hint="default"/>
          <w:sz w:val="18"/>
          <w:szCs w:val="18"/>
        </w:rPr>
        <w:t>元。 应付职工薪酬预计发放时间、金额等安排</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12"/>
        <w:gridCol w:w="2789"/>
        <w:gridCol w:w="2657"/>
      </w:tblGrid>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1,781,113.89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-1,896,228.33</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7,071,103.21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3,256,957.49</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8,242,383.63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3,972,166.34</w:t>
            </w:r>
          </w:p>
        </w:tc>
      </w:tr>
      <w:tr>
        <w:trPr>
          <w:trHeight w:val="404"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212,877.92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100,807.30</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440,224.03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210,797.13</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411,354.93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160,016.42</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72,167.99</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726,715.78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61,435.63</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其他附加税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77,914.57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5,625.38</w:t>
            </w:r>
          </w:p>
        </w:tc>
      </w:tr>
    </w:tbl>
    <w:p>
      <w:pPr>
        <w:spacing w:after="0" w:line="240" w:lineRule="auto"/>
        <w:jc w:val="right"/>
        <w:rPr>
          <w:rFonts w:ascii="宋体" w:hAnsi="宋体" w:cs="宋体" w:eastAsia="宋体" w:hint="default"/>
          <w:sz w:val="18"/>
          <w:szCs w:val="18"/>
        </w:rPr>
        <w:sectPr>
          <w:pgSz w:w="11910" w:h="16840"/>
          <w:pgMar w:header="877" w:footer="1340" w:top="1100" w:bottom="154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123"/>
        <w:gridCol w:w="2789"/>
        <w:gridCol w:w="2657"/>
      </w:tblGrid>
      <w:tr>
        <w:trPr>
          <w:trHeight w:val="404"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86" w:right="0"/>
              <w:jc w:val="left"/>
              <w:rPr>
                <w:rFonts w:ascii="宋体" w:hAnsi="宋体" w:cs="宋体" w:eastAsia="宋体" w:hint="default"/>
                <w:sz w:val="18"/>
                <w:szCs w:val="18"/>
              </w:rPr>
            </w:pPr>
            <w:r>
              <w:rPr>
                <w:rFonts w:ascii="宋体"/>
                <w:sz w:val="18"/>
              </w:rPr>
              <w:t>19,097,291.58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46" w:right="0"/>
              <w:jc w:val="left"/>
              <w:rPr>
                <w:rFonts w:ascii="宋体" w:hAnsi="宋体" w:cs="宋体" w:eastAsia="宋体" w:hint="default"/>
                <w:sz w:val="18"/>
                <w:szCs w:val="18"/>
              </w:rPr>
            </w:pPr>
            <w:r>
              <w:rPr>
                <w:rFonts w:ascii="宋体"/>
                <w:sz w:val="18"/>
              </w:rPr>
              <w:t>5,810,141.73</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89"/>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29,206,644.38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11,797,901.98</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5,492,749.27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3,030,666.30</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1,002,733.75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455,691.82</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630,898.01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512,773.95</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36,333,025.41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15,797,034.05</w:t>
            </w:r>
          </w:p>
        </w:tc>
      </w:tr>
    </w:tbl>
    <w:p>
      <w:pPr>
        <w:spacing w:line="240" w:lineRule="auto" w:before="3"/>
        <w:rPr>
          <w:rFonts w:ascii="宋体" w:hAnsi="宋体" w:cs="宋体" w:eastAsia="宋体" w:hint="default"/>
          <w:sz w:val="19"/>
          <w:szCs w:val="19"/>
        </w:rPr>
      </w:pPr>
    </w:p>
    <w:p>
      <w:pPr>
        <w:spacing w:line="506" w:lineRule="auto" w:before="36"/>
        <w:ind w:left="573" w:right="246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）本报告期其他应付款中应付持有公司</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b/>
          <w:bCs/>
          <w:w w:val="100"/>
          <w:sz w:val="21"/>
          <w:szCs w:val="21"/>
        </w:rPr>
        <w:t> </w:t>
      </w:r>
      <w:r>
        <w:rPr>
          <w:rFonts w:ascii="宋体" w:hAnsi="宋体" w:cs="宋体" w:eastAsia="宋体" w:hint="default"/>
          <w:sz w:val="21"/>
          <w:szCs w:val="21"/>
        </w:rPr>
        <w:t>本报告期其他应付款中无应付持有公司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％）以上表决权股份的股东单位款项</w:t>
      </w:r>
    </w:p>
    <w:p>
      <w:pPr>
        <w:pStyle w:val="Heading3"/>
        <w:spacing w:line="240" w:lineRule="auto" w:before="101"/>
        <w:ind w:right="1123"/>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25</w:t>
      </w:r>
      <w:r>
        <w:rPr/>
        <w:t>、其他流动负债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危险品在途监测与安全评估系统研制资助</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80,000.00</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建筑能耗监测与节能控制系统项目资助</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300,000.00</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科技成果转化项目补助资金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1,779,832.17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6,000,000.00</w:t>
            </w:r>
          </w:p>
        </w:tc>
      </w:tr>
      <w:tr>
        <w:trPr>
          <w:trHeight w:val="716"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35"/>
              <w:jc w:val="left"/>
              <w:rPr>
                <w:rFonts w:ascii="宋体" w:hAnsi="宋体" w:cs="宋体" w:eastAsia="宋体" w:hint="default"/>
                <w:sz w:val="18"/>
                <w:szCs w:val="18"/>
              </w:rPr>
            </w:pPr>
            <w:r>
              <w:rPr>
                <w:rFonts w:ascii="宋体" w:hAnsi="宋体" w:cs="宋体" w:eastAsia="宋体" w:hint="default"/>
                <w:sz w:val="18"/>
                <w:szCs w:val="18"/>
              </w:rPr>
              <w:t>大型公共建筑中央空调能耗监测与节能优化 关键技术研究专项补助资金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134"/>
              <w:jc w:val="left"/>
              <w:rPr>
                <w:rFonts w:ascii="宋体" w:hAnsi="宋体" w:cs="宋体" w:eastAsia="宋体" w:hint="default"/>
                <w:sz w:val="18"/>
                <w:szCs w:val="18"/>
              </w:rPr>
            </w:pPr>
            <w:r>
              <w:rPr>
                <w:rFonts w:ascii="宋体" w:hAnsi="宋体" w:cs="宋体" w:eastAsia="宋体" w:hint="default"/>
                <w:sz w:val="18"/>
                <w:szCs w:val="18"/>
              </w:rPr>
              <w:t>城市轨道交通分布式综合监控系统（</w:t>
            </w:r>
            <w:r>
              <w:rPr>
                <w:rFonts w:ascii="宋体" w:hAnsi="宋体" w:cs="宋体" w:eastAsia="宋体" w:hint="default"/>
                <w:sz w:val="18"/>
                <w:szCs w:val="18"/>
              </w:rPr>
              <w:t>SCADA) </w:t>
            </w:r>
            <w:r>
              <w:rPr>
                <w:rFonts w:ascii="宋体" w:hAnsi="宋体" w:cs="宋体" w:eastAsia="宋体" w:hint="default"/>
                <w:sz w:val="18"/>
                <w:szCs w:val="18"/>
              </w:rPr>
              <w:t>研发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35"/>
              <w:jc w:val="left"/>
              <w:rPr>
                <w:rFonts w:ascii="宋体" w:hAnsi="宋体" w:cs="宋体" w:eastAsia="宋体" w:hint="default"/>
                <w:sz w:val="18"/>
                <w:szCs w:val="18"/>
              </w:rPr>
            </w:pPr>
            <w:r>
              <w:rPr>
                <w:rFonts w:ascii="宋体" w:hAnsi="宋体" w:cs="宋体" w:eastAsia="宋体" w:hint="default"/>
                <w:sz w:val="18"/>
                <w:szCs w:val="18"/>
              </w:rPr>
              <w:t>复杂工业系统全流程集成监控与节能优化关 键技术及应用</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450,000.00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5,579,832.17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6,380,000.00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其他流动负债说明</w:t>
      </w:r>
    </w:p>
    <w:p>
      <w:pPr>
        <w:pStyle w:val="BodyText"/>
        <w:spacing w:line="240" w:lineRule="auto" w:before="96"/>
        <w:ind w:left="573" w:right="1123"/>
        <w:jc w:val="left"/>
      </w:pPr>
      <w:r>
        <w:rPr/>
        <w:t>本期增加</w:t>
      </w:r>
      <w:r>
        <w:rPr>
          <w:rFonts w:ascii="Times New Roman" w:hAnsi="Times New Roman" w:cs="Times New Roman" w:eastAsia="Times New Roman" w:hint="default"/>
        </w:rPr>
        <w:t>350</w:t>
      </w:r>
      <w:r>
        <w:rPr/>
        <w:t>万元，其中：</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月公司收到科工贸和信息化委员会大型公共建筑中央空调能耗</w:t>
      </w:r>
    </w:p>
    <w:p>
      <w:pPr>
        <w:spacing w:after="0" w:line="240" w:lineRule="auto"/>
        <w:jc w:val="left"/>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BodyText"/>
        <w:spacing w:line="256" w:lineRule="auto" w:before="36"/>
        <w:ind w:right="1127"/>
        <w:jc w:val="both"/>
      </w:pPr>
      <w:r>
        <w:rPr>
          <w:spacing w:val="-2"/>
        </w:rPr>
        <w:t>监测与节能优化关键技术研究资助款</w:t>
      </w:r>
      <w:r>
        <w:rPr>
          <w:rFonts w:ascii="Times New Roman" w:hAnsi="Times New Roman" w:cs="Times New Roman" w:eastAsia="Times New Roman" w:hint="default"/>
          <w:spacing w:val="-2"/>
        </w:rPr>
        <w:t>200</w:t>
      </w:r>
      <w:r>
        <w:rPr>
          <w:spacing w:val="-2"/>
        </w:rPr>
        <w:t>万元；</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月公司收到深圳市财政委员会城市轨道交通分</w:t>
      </w:r>
      <w:r>
        <w:rPr>
          <w:spacing w:val="-35"/>
        </w:rPr>
        <w:t> </w:t>
      </w:r>
      <w:r>
        <w:rPr>
          <w:spacing w:val="-35"/>
        </w:rPr>
      </w:r>
      <w:r>
        <w:rPr>
          <w:spacing w:val="-1"/>
        </w:rPr>
        <w:t>布式综合监控系统（</w:t>
      </w:r>
      <w:r>
        <w:rPr>
          <w:rFonts w:ascii="Times New Roman" w:hAnsi="Times New Roman" w:cs="Times New Roman" w:eastAsia="Times New Roman" w:hint="default"/>
          <w:spacing w:val="-1"/>
        </w:rPr>
        <w:t>SCADA)</w:t>
      </w:r>
      <w:r>
        <w:rPr>
          <w:spacing w:val="-1"/>
        </w:rPr>
        <w:t>研发、建筑能耗监测与节能控制系统、复杂工业系统全流程集成监控与节能</w:t>
      </w:r>
      <w:r>
        <w:rPr>
          <w:spacing w:val="-20"/>
        </w:rPr>
        <w:t> </w:t>
      </w:r>
      <w:r>
        <w:rPr>
          <w:spacing w:val="-20"/>
        </w:rPr>
      </w:r>
      <w:r>
        <w:rPr/>
        <w:t>优化关键技术及应用补助资金</w:t>
      </w:r>
      <w:r>
        <w:rPr>
          <w:rFonts w:ascii="Times New Roman" w:hAnsi="Times New Roman" w:cs="Times New Roman" w:eastAsia="Times New Roman" w:hint="default"/>
        </w:rPr>
        <w:t>150</w:t>
      </w:r>
      <w:r>
        <w:rPr/>
        <w:t>万元。</w:t>
      </w:r>
    </w:p>
    <w:p>
      <w:pPr>
        <w:pStyle w:val="BodyText"/>
        <w:spacing w:line="240" w:lineRule="auto" w:before="5"/>
        <w:ind w:left="573" w:right="1123"/>
        <w:jc w:val="left"/>
      </w:pPr>
      <w:r>
        <w:rPr/>
        <w:t>本期减少</w:t>
      </w:r>
      <w:r>
        <w:rPr>
          <w:rFonts w:ascii="Times New Roman" w:hAnsi="Times New Roman" w:cs="Times New Roman" w:eastAsia="Times New Roman" w:hint="default"/>
        </w:rPr>
        <w:t>430</w:t>
      </w:r>
      <w:r>
        <w:rPr/>
        <w:t>万元系转入营业外收入。</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26</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277"/>
        <w:gridCol w:w="1274"/>
        <w:gridCol w:w="1277"/>
        <w:gridCol w:w="1166"/>
        <w:gridCol w:w="1367"/>
        <w:gridCol w:w="1367"/>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初始金额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z w:val="18"/>
                <w:szCs w:val="18"/>
              </w:rPr>
              <w:t>%</w:t>
            </w:r>
            <w:r>
              <w:rPr>
                <w:rFonts w:ascii="宋体" w:hAnsi="宋体" w:cs="宋体" w:eastAsia="宋体" w:hint="default"/>
                <w:sz w:val="18"/>
                <w:szCs w:val="18"/>
              </w:rPr>
              <w:t>）</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购买达实联欣股权款</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65"/>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left="38" w:right="0"/>
              <w:jc w:val="center"/>
              <w:rPr>
                <w:rFonts w:ascii="宋体" w:hAnsi="宋体" w:cs="宋体" w:eastAsia="宋体" w:hint="default"/>
                <w:sz w:val="18"/>
                <w:szCs w:val="18"/>
              </w:rPr>
            </w:pPr>
            <w:r>
              <w:rPr>
                <w:rFonts w:ascii="宋体"/>
                <w:sz w:val="18"/>
              </w:rPr>
              <w:t>45,449,788.00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49"/>
              <w:ind w:left="163" w:right="0"/>
              <w:jc w:val="left"/>
              <w:rPr>
                <w:rFonts w:ascii="宋体" w:hAnsi="宋体" w:cs="宋体" w:eastAsia="宋体" w:hint="default"/>
                <w:sz w:val="18"/>
                <w:szCs w:val="18"/>
              </w:rPr>
            </w:pPr>
            <w:r>
              <w:rPr>
                <w:rFonts w:ascii="宋体"/>
                <w:sz w:val="18"/>
              </w:rPr>
              <w:t>45,449,788.00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27</w:t>
      </w:r>
      <w:r>
        <w:rPr/>
        <w:t>、股本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357"/>
        <w:gridCol w:w="1276"/>
        <w:gridCol w:w="708"/>
        <w:gridCol w:w="1560"/>
        <w:gridCol w:w="708"/>
        <w:gridCol w:w="1408"/>
        <w:gridCol w:w="135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840"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661" w:type="dxa"/>
            <w:gridSpan w:val="5"/>
            <w:vMerge/>
            <w:tcBorders>
              <w:left w:val="single" w:sz="4" w:space="0" w:color="000000"/>
              <w:bottom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357"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08" w:type="dxa"/>
            <w:vMerge/>
            <w:tcBorders>
              <w:left w:val="single" w:sz="4" w:space="0" w:color="000000"/>
              <w:bottom w:val="single" w:sz="4" w:space="0" w:color="000000"/>
              <w:right w:val="single" w:sz="4" w:space="0" w:color="000000"/>
            </w:tcBorders>
            <w:shd w:val="clear" w:color="auto" w:fill="D2D2D2"/>
          </w:tcPr>
          <w:p>
            <w:pPr/>
          </w:p>
        </w:tc>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sz w:val="18"/>
              </w:rPr>
              <w:t>101,400,000.00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2" w:right="0"/>
              <w:jc w:val="left"/>
              <w:rPr>
                <w:rFonts w:ascii="宋体" w:hAnsi="宋体" w:cs="宋体" w:eastAsia="宋体" w:hint="default"/>
                <w:sz w:val="18"/>
                <w:szCs w:val="18"/>
              </w:rPr>
            </w:pPr>
            <w:r>
              <w:rPr>
                <w:rFonts w:ascii="宋体"/>
                <w:sz w:val="18"/>
              </w:rPr>
              <w:t>3,000,000.00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8" w:right="0"/>
              <w:jc w:val="left"/>
              <w:rPr>
                <w:rFonts w:ascii="宋体" w:hAnsi="宋体" w:cs="宋体" w:eastAsia="宋体" w:hint="default"/>
                <w:sz w:val="18"/>
                <w:szCs w:val="18"/>
              </w:rPr>
            </w:pPr>
            <w:r>
              <w:rPr>
                <w:rFonts w:ascii="宋体"/>
                <w:sz w:val="18"/>
              </w:rPr>
              <w:t>104,400,000.00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7" w:right="0"/>
              <w:jc w:val="left"/>
              <w:rPr>
                <w:rFonts w:ascii="宋体" w:hAnsi="宋体" w:cs="宋体" w:eastAsia="宋体" w:hint="default"/>
                <w:sz w:val="18"/>
                <w:szCs w:val="18"/>
              </w:rPr>
            </w:pPr>
            <w:r>
              <w:rPr>
                <w:rFonts w:ascii="宋体"/>
                <w:sz w:val="18"/>
              </w:rPr>
              <w:t>107,400,000.00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6" w:right="0"/>
              <w:jc w:val="left"/>
              <w:rPr>
                <w:rFonts w:ascii="宋体" w:hAnsi="宋体" w:cs="宋体" w:eastAsia="宋体" w:hint="default"/>
                <w:sz w:val="18"/>
                <w:szCs w:val="18"/>
              </w:rPr>
            </w:pPr>
            <w:r>
              <w:rPr>
                <w:rFonts w:ascii="宋体"/>
                <w:sz w:val="18"/>
              </w:rPr>
              <w:t>208,800,000.00</w:t>
            </w:r>
          </w:p>
        </w:tc>
      </w:tr>
    </w:tbl>
    <w:p>
      <w:pPr>
        <w:spacing w:before="49"/>
        <w:ind w:left="152" w:right="112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p>
      <w:pPr>
        <w:spacing w:before="60"/>
        <w:ind w:left="152" w:right="1123"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pStyle w:val="BodyText"/>
        <w:spacing w:line="357" w:lineRule="auto" w:before="75"/>
        <w:ind w:right="1109" w:firstLine="420"/>
        <w:jc w:val="both"/>
      </w:pPr>
      <w:r>
        <w:rPr/>
        <w:t>根据</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25</w:t>
      </w:r>
      <w:r>
        <w:rPr/>
        <w:t>日召开的</w:t>
      </w:r>
      <w:r>
        <w:rPr>
          <w:rFonts w:ascii="宋体" w:hAnsi="宋体" w:cs="宋体" w:eastAsia="宋体" w:hint="default"/>
        </w:rPr>
        <w:t>2012</w:t>
      </w:r>
      <w:r>
        <w:rPr/>
        <w:t>年第一次临时股东大会审议通过的《深圳达实智能股份有限公司限制</w:t>
      </w:r>
      <w:r>
        <w:rPr>
          <w:w w:val="100"/>
        </w:rPr>
        <w:t> </w:t>
      </w:r>
      <w:r>
        <w:rPr>
          <w:spacing w:val="-3"/>
        </w:rPr>
        <w:t>性股票激励计划（草案）》，以及</w:t>
      </w:r>
      <w:r>
        <w:rPr>
          <w:spacing w:val="11"/>
        </w:rPr>
        <w:t> </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14</w:t>
      </w:r>
      <w:r>
        <w:rPr/>
        <w:t>第四届董事会第十七次会议审议通过的《关于对限制性股</w:t>
      </w:r>
      <w:r>
        <w:rPr>
          <w:spacing w:val="-102"/>
        </w:rPr>
        <w:t> </w:t>
      </w:r>
      <w:r>
        <w:rPr>
          <w:spacing w:val="-102"/>
        </w:rPr>
      </w:r>
      <w:r>
        <w:rPr/>
        <w:t>票计划进行调整的议案》和《关于向激励对象授予限制性股票的议案》的规定，</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14</w:t>
      </w:r>
      <w:r>
        <w:rPr/>
        <w:t>日，公司以</w:t>
      </w:r>
      <w:r>
        <w:rPr>
          <w:spacing w:val="-24"/>
        </w:rPr>
        <w:t> </w:t>
      </w:r>
      <w:r>
        <w:rPr>
          <w:spacing w:val="-24"/>
        </w:rPr>
      </w:r>
      <w:r>
        <w:rPr>
          <w:rFonts w:ascii="宋体" w:hAnsi="宋体" w:cs="宋体" w:eastAsia="宋体" w:hint="default"/>
        </w:rPr>
        <w:t>8.51</w:t>
      </w:r>
      <w:r>
        <w:rPr/>
        <w:t>元</w:t>
      </w:r>
      <w:r>
        <w:rPr>
          <w:rFonts w:ascii="宋体" w:hAnsi="宋体" w:cs="宋体" w:eastAsia="宋体" w:hint="default"/>
        </w:rPr>
        <w:t>/</w:t>
      </w:r>
      <w:r>
        <w:rPr/>
        <w:t>股的价格授予</w:t>
      </w:r>
      <w:r>
        <w:rPr>
          <w:rFonts w:ascii="宋体" w:hAnsi="宋体" w:cs="宋体" w:eastAsia="宋体" w:hint="default"/>
        </w:rPr>
        <w:t>76</w:t>
      </w:r>
      <w:r>
        <w:rPr/>
        <w:t>位激励对象</w:t>
      </w:r>
      <w:r>
        <w:rPr>
          <w:rFonts w:ascii="宋体" w:hAnsi="宋体" w:cs="宋体" w:eastAsia="宋体" w:hint="default"/>
        </w:rPr>
        <w:t>300</w:t>
      </w:r>
      <w:r>
        <w:rPr/>
        <w:t>万股限制性股票</w:t>
      </w:r>
      <w:r>
        <w:rPr>
          <w:rFonts w:ascii="宋体" w:hAnsi="宋体" w:cs="宋体" w:eastAsia="宋体" w:hint="default"/>
        </w:rPr>
        <w:t>,</w:t>
      </w:r>
      <w:r>
        <w:rPr>
          <w:rFonts w:ascii="宋体" w:hAnsi="宋体" w:cs="宋体" w:eastAsia="宋体" w:hint="default"/>
          <w:spacing w:val="-13"/>
        </w:rPr>
        <w:t> </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19</w:t>
      </w:r>
      <w:r>
        <w:rPr/>
        <w:t>日收到增资款，增加股本</w:t>
      </w:r>
      <w:r>
        <w:rPr>
          <w:rFonts w:ascii="宋体" w:hAnsi="宋体" w:cs="宋体" w:eastAsia="宋体" w:hint="default"/>
        </w:rPr>
        <w:t>300</w:t>
      </w:r>
      <w:r>
        <w:rPr/>
        <w:t>万元，</w:t>
      </w:r>
      <w:r>
        <w:rPr>
          <w:w w:val="100"/>
        </w:rPr>
        <w:t> </w:t>
      </w:r>
      <w:r>
        <w:rPr>
          <w:spacing w:val="-2"/>
        </w:rPr>
        <w:t>变更后总股本为</w:t>
      </w:r>
      <w:r>
        <w:rPr>
          <w:rFonts w:ascii="宋体" w:hAnsi="宋体" w:cs="宋体" w:eastAsia="宋体" w:hint="default"/>
          <w:spacing w:val="-2"/>
        </w:rPr>
        <w:t>10440</w:t>
      </w:r>
      <w:r>
        <w:rPr>
          <w:spacing w:val="-2"/>
        </w:rPr>
        <w:t>万股，变更后注册资本为</w:t>
      </w:r>
      <w:r>
        <w:rPr>
          <w:rFonts w:ascii="宋体" w:hAnsi="宋体" w:cs="宋体" w:eastAsia="宋体" w:hint="default"/>
          <w:spacing w:val="-2"/>
        </w:rPr>
        <w:t>10440</w:t>
      </w:r>
      <w:r>
        <w:rPr>
          <w:spacing w:val="-2"/>
        </w:rPr>
        <w:t>万元。上述增资情况业经深圳市鹏城会计师事务所有</w:t>
      </w:r>
      <w:r>
        <w:rPr>
          <w:spacing w:val="-36"/>
        </w:rPr>
        <w:t> </w:t>
      </w:r>
      <w:r>
        <w:rPr>
          <w:spacing w:val="-36"/>
        </w:rPr>
      </w:r>
      <w:r>
        <w:rPr/>
        <w:t>限公司于 </w:t>
      </w:r>
      <w:r>
        <w:rPr>
          <w:rFonts w:ascii="宋体" w:hAnsi="宋体" w:cs="宋体" w:eastAsia="宋体" w:hint="default"/>
        </w:rPr>
        <w:t>2012 </w:t>
      </w:r>
      <w:r>
        <w:rPr/>
        <w:t>年 </w:t>
      </w:r>
      <w:r>
        <w:rPr>
          <w:rFonts w:ascii="宋体" w:hAnsi="宋体" w:cs="宋体" w:eastAsia="宋体" w:hint="default"/>
        </w:rPr>
        <w:t>6 </w:t>
      </w:r>
      <w:r>
        <w:rPr/>
        <w:t>月 </w:t>
      </w:r>
      <w:r>
        <w:rPr>
          <w:rFonts w:ascii="宋体" w:hAnsi="宋体" w:cs="宋体" w:eastAsia="宋体" w:hint="default"/>
        </w:rPr>
        <w:t>19</w:t>
      </w:r>
      <w:r>
        <w:rPr/>
        <w:t>日出具的深鹏所验字</w:t>
      </w:r>
      <w:r>
        <w:rPr>
          <w:rFonts w:ascii="宋体" w:hAnsi="宋体" w:cs="宋体" w:eastAsia="宋体" w:hint="default"/>
        </w:rPr>
        <w:t>[2012]0140</w:t>
      </w:r>
      <w:r>
        <w:rPr>
          <w:rFonts w:ascii="宋体" w:hAnsi="宋体" w:cs="宋体" w:eastAsia="宋体" w:hint="default"/>
          <w:spacing w:val="-9"/>
        </w:rPr>
        <w:t> </w:t>
      </w:r>
      <w:r>
        <w:rPr/>
        <w:t>号验资报告验证。</w:t>
      </w:r>
    </w:p>
    <w:p>
      <w:pPr>
        <w:pStyle w:val="BodyText"/>
        <w:spacing w:line="357" w:lineRule="auto"/>
        <w:ind w:right="1128" w:firstLine="420"/>
        <w:jc w:val="both"/>
      </w:pPr>
      <w:r>
        <w:rPr/>
        <w:t>根据公司</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12</w:t>
      </w:r>
      <w:r>
        <w:rPr/>
        <w:t>日召开的</w:t>
      </w:r>
      <w:r>
        <w:rPr>
          <w:rFonts w:ascii="宋体" w:hAnsi="宋体" w:cs="宋体" w:eastAsia="宋体" w:hint="default"/>
        </w:rPr>
        <w:t>2012</w:t>
      </w:r>
      <w:r>
        <w:rPr/>
        <w:t>年第三次临时股东大会审议通过的</w:t>
      </w:r>
      <w:r>
        <w:rPr>
          <w:rFonts w:ascii="宋体" w:hAnsi="宋体" w:cs="宋体" w:eastAsia="宋体" w:hint="default"/>
        </w:rPr>
        <w:t>2012</w:t>
      </w:r>
      <w:r>
        <w:rPr/>
        <w:t>年半年度公司权益分配方</w:t>
      </w:r>
      <w:r>
        <w:rPr>
          <w:w w:val="100"/>
        </w:rPr>
        <w:t> </w:t>
      </w:r>
      <w:r>
        <w:rPr>
          <w:spacing w:val="-2"/>
        </w:rPr>
        <w:t>案，公司以</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日总股本</w:t>
      </w:r>
      <w:r>
        <w:rPr>
          <w:rFonts w:ascii="宋体" w:hAnsi="宋体" w:cs="宋体" w:eastAsia="宋体" w:hint="default"/>
          <w:spacing w:val="-2"/>
        </w:rPr>
        <w:t>10440</w:t>
      </w:r>
      <w:r>
        <w:rPr>
          <w:spacing w:val="-2"/>
        </w:rPr>
        <w:t>万股为基数，以资本公积金向全体股东每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股，增加股本</w:t>
      </w:r>
      <w:r>
        <w:rPr>
          <w:spacing w:val="-29"/>
        </w:rPr>
        <w:t> </w:t>
      </w:r>
      <w:r>
        <w:rPr>
          <w:spacing w:val="-29"/>
        </w:rPr>
      </w:r>
      <w:r>
        <w:rPr>
          <w:rFonts w:ascii="宋体" w:hAnsi="宋体" w:cs="宋体" w:eastAsia="宋体" w:hint="default"/>
        </w:rPr>
        <w:t>10440</w:t>
      </w:r>
      <w:r>
        <w:rPr/>
        <w:t>万股，变更后的总股本为</w:t>
      </w:r>
      <w:r>
        <w:rPr>
          <w:rFonts w:ascii="宋体" w:hAnsi="宋体" w:cs="宋体" w:eastAsia="宋体" w:hint="default"/>
        </w:rPr>
        <w:t>20880</w:t>
      </w:r>
      <w:r>
        <w:rPr/>
        <w:t>万股，变更后注册资本为</w:t>
      </w:r>
      <w:r>
        <w:rPr>
          <w:rFonts w:ascii="宋体" w:hAnsi="宋体" w:cs="宋体" w:eastAsia="宋体" w:hint="default"/>
        </w:rPr>
        <w:t>20880</w:t>
      </w:r>
      <w:r>
        <w:rPr/>
        <w:t>万元。上述资本公积转增股本情况业</w:t>
      </w:r>
      <w:r>
        <w:rPr>
          <w:spacing w:val="-25"/>
        </w:rPr>
        <w:t> </w:t>
      </w:r>
      <w:r>
        <w:rPr>
          <w:spacing w:val="-25"/>
        </w:rPr>
      </w:r>
      <w:r>
        <w:rPr/>
        <w:t>经中勤万信会计师事务所验字</w:t>
      </w:r>
      <w:r>
        <w:rPr>
          <w:rFonts w:ascii="宋体" w:hAnsi="宋体" w:cs="宋体" w:eastAsia="宋体" w:hint="default"/>
        </w:rPr>
        <w:t>[2012]3057</w:t>
      </w:r>
      <w:r>
        <w:rPr/>
        <w:t>号验资报告验证。</w:t>
      </w:r>
    </w:p>
    <w:p>
      <w:pPr>
        <w:spacing w:line="240" w:lineRule="auto" w:before="1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28</w:t>
      </w:r>
      <w:r>
        <w:rPr/>
        <w:t>、资本公积</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569" w:right="0"/>
              <w:jc w:val="left"/>
              <w:rPr>
                <w:rFonts w:ascii="宋体" w:hAnsi="宋体" w:cs="宋体" w:eastAsia="宋体" w:hint="default"/>
                <w:sz w:val="18"/>
                <w:szCs w:val="18"/>
              </w:rPr>
            </w:pPr>
            <w:r>
              <w:rPr>
                <w:rFonts w:ascii="宋体"/>
                <w:sz w:val="18"/>
              </w:rPr>
              <w:t>359,709,000.00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89" w:right="0"/>
              <w:jc w:val="left"/>
              <w:rPr>
                <w:rFonts w:ascii="宋体" w:hAnsi="宋体" w:cs="宋体" w:eastAsia="宋体" w:hint="default"/>
                <w:sz w:val="18"/>
                <w:szCs w:val="18"/>
              </w:rPr>
            </w:pPr>
            <w:r>
              <w:rPr>
                <w:rFonts w:ascii="宋体"/>
                <w:sz w:val="18"/>
              </w:rPr>
              <w:t>27,775,309.03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4" w:right="0"/>
              <w:jc w:val="left"/>
              <w:rPr>
                <w:rFonts w:ascii="宋体" w:hAnsi="宋体" w:cs="宋体" w:eastAsia="宋体" w:hint="default"/>
                <w:sz w:val="18"/>
                <w:szCs w:val="18"/>
              </w:rPr>
            </w:pPr>
            <w:r>
              <w:rPr>
                <w:rFonts w:ascii="宋体"/>
                <w:sz w:val="18"/>
              </w:rPr>
              <w:t>104,400,000.00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sz w:val="18"/>
              </w:rPr>
              <w:t>283,084,309.03</w:t>
            </w:r>
          </w:p>
        </w:tc>
      </w:tr>
    </w:tbl>
    <w:p>
      <w:pPr>
        <w:spacing w:after="0" w:line="240" w:lineRule="auto"/>
        <w:jc w:val="left"/>
        <w:rPr>
          <w:rFonts w:ascii="宋体" w:hAnsi="宋体" w:cs="宋体" w:eastAsia="宋体" w:hint="default"/>
          <w:sz w:val="18"/>
          <w:szCs w:val="18"/>
        </w:rPr>
        <w:sectPr>
          <w:pgSz w:w="11910" w:h="16840"/>
          <w:pgMar w:header="877" w:footer="1340" w:top="1100" w:bottom="1540" w:left="980" w:right="0"/>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771760" type="#_x0000_t75" stroked="false">
            <v:imagedata r:id="rId6" o:title=""/>
          </v:shape>
        </w:pict>
      </w:r>
    </w:p>
    <w:tbl>
      <w:tblPr>
        <w:tblW w:w="0" w:type="auto"/>
        <w:jc w:val="left"/>
        <w:tblInd w:w="149" w:type="dxa"/>
        <w:tblLayout w:type="fixed"/>
        <w:tblCellMar>
          <w:top w:w="0" w:type="dxa"/>
          <w:left w:w="0" w:type="dxa"/>
          <w:bottom w:w="0" w:type="dxa"/>
          <w:right w:w="0" w:type="dxa"/>
        </w:tblCellMar>
        <w:tblLook w:val="01E0"/>
      </w:tblPr>
      <w:tblGrid>
        <w:gridCol w:w="2394"/>
        <w:gridCol w:w="1861"/>
        <w:gridCol w:w="1992"/>
        <w:gridCol w:w="1729"/>
        <w:gridCol w:w="1594"/>
      </w:tblGrid>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95,100.00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95,100.00</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359,804,100.00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9" w:right="0"/>
              <w:jc w:val="left"/>
              <w:rPr>
                <w:rFonts w:ascii="宋体" w:hAnsi="宋体" w:cs="宋体" w:eastAsia="宋体" w:hint="default"/>
                <w:sz w:val="18"/>
                <w:szCs w:val="18"/>
              </w:rPr>
            </w:pPr>
            <w:r>
              <w:rPr>
                <w:rFonts w:ascii="宋体"/>
                <w:sz w:val="18"/>
              </w:rPr>
              <w:t>27,775,309.03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sz w:val="18"/>
              </w:rPr>
              <w:t>104,400,000.00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283,179,409.03</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29</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658" w:right="0"/>
              <w:jc w:val="left"/>
              <w:rPr>
                <w:rFonts w:ascii="宋体" w:hAnsi="宋体" w:cs="宋体" w:eastAsia="宋体" w:hint="default"/>
                <w:sz w:val="18"/>
                <w:szCs w:val="18"/>
              </w:rPr>
            </w:pPr>
            <w:r>
              <w:rPr>
                <w:rFonts w:ascii="宋体"/>
                <w:sz w:val="18"/>
              </w:rPr>
              <w:t>18,158,337.68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4,226,963.63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22,385,301.31</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658" w:right="0"/>
              <w:jc w:val="left"/>
              <w:rPr>
                <w:rFonts w:ascii="宋体" w:hAnsi="宋体" w:cs="宋体" w:eastAsia="宋体" w:hint="default"/>
                <w:sz w:val="18"/>
                <w:szCs w:val="18"/>
              </w:rPr>
            </w:pPr>
            <w:r>
              <w:rPr>
                <w:rFonts w:ascii="宋体"/>
                <w:sz w:val="18"/>
              </w:rPr>
              <w:t>18,158,337.68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4,226,963.63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22,385,301.31</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30</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128,513,823.46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128,513,823.46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77,801,320.40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4,226,963.63</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20,280,000.00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181,808,180.23</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26" w:lineRule="auto" w:before="101"/>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w w:val="99"/>
          <w:sz w:val="18"/>
          <w:szCs w:val="18"/>
        </w:rPr>
        <w:t>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经审计的利润数</w:t>
      </w:r>
    </w:p>
    <w:p>
      <w:pPr>
        <w:spacing w:line="240" w:lineRule="auto" w:before="3"/>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31</w:t>
      </w:r>
      <w:r>
        <w:rPr/>
        <w:t>、营业收入、营业成本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767" w:right="0"/>
              <w:jc w:val="left"/>
              <w:rPr>
                <w:rFonts w:ascii="宋体" w:hAnsi="宋体" w:cs="宋体" w:eastAsia="宋体" w:hint="default"/>
                <w:sz w:val="18"/>
                <w:szCs w:val="18"/>
              </w:rPr>
            </w:pPr>
            <w:r>
              <w:rPr>
                <w:rFonts w:ascii="宋体"/>
                <w:sz w:val="18"/>
              </w:rPr>
              <w:t>796,732,028.91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98" w:right="0"/>
              <w:jc w:val="left"/>
              <w:rPr>
                <w:rFonts w:ascii="宋体" w:hAnsi="宋体" w:cs="宋体" w:eastAsia="宋体" w:hint="default"/>
                <w:sz w:val="18"/>
                <w:szCs w:val="18"/>
              </w:rPr>
            </w:pPr>
            <w:r>
              <w:rPr>
                <w:rFonts w:ascii="宋体"/>
                <w:sz w:val="18"/>
              </w:rPr>
              <w:t>505,489,191.11</w:t>
            </w:r>
          </w:p>
        </w:tc>
      </w:tr>
    </w:tbl>
    <w:p>
      <w:pPr>
        <w:spacing w:after="0" w:line="240" w:lineRule="auto"/>
        <w:jc w:val="left"/>
        <w:rPr>
          <w:rFonts w:ascii="宋体" w:hAnsi="宋体" w:cs="宋体" w:eastAsia="宋体" w:hint="default"/>
          <w:sz w:val="18"/>
          <w:szCs w:val="18"/>
        </w:rPr>
        <w:sectPr>
          <w:footerReference w:type="default" r:id="rId25"/>
          <w:pgSz w:w="11910" w:h="16840"/>
          <w:pgMar w:footer="1227" w:header="877" w:top="1100" w:bottom="1420" w:left="980" w:right="0"/>
          <w:pgNumType w:start="117"/>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1888" type="#_x0000_t75" stroked="false">
            <v:imagedata r:id="rId6" o:title=""/>
          </v:shape>
        </w:pict>
      </w:r>
    </w:p>
    <w:tbl>
      <w:tblPr>
        <w:tblW w:w="0" w:type="auto"/>
        <w:jc w:val="left"/>
        <w:tblInd w:w="149" w:type="dxa"/>
        <w:tblLayout w:type="fixed"/>
        <w:tblCellMar>
          <w:top w:w="0" w:type="dxa"/>
          <w:left w:w="0" w:type="dxa"/>
          <w:bottom w:w="0" w:type="dxa"/>
          <w:right w:w="0" w:type="dxa"/>
        </w:tblCellMar>
        <w:tblLook w:val="01E0"/>
      </w:tblPr>
      <w:tblGrid>
        <w:gridCol w:w="3321"/>
        <w:gridCol w:w="3058"/>
        <w:gridCol w:w="3190"/>
      </w:tblGrid>
      <w:tr>
        <w:trPr>
          <w:trHeight w:val="401" w:hRule="exact"/>
        </w:trPr>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27,338,235.30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25,070,850.23</w:t>
            </w:r>
          </w:p>
        </w:tc>
      </w:tr>
      <w:tr>
        <w:trPr>
          <w:trHeight w:val="403" w:hRule="exact"/>
        </w:trPr>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570,537,078.75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389,305,660.38</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建筑智能化及建筑节能</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605,060,107.30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439,758,498.66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444,423,645.86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344,142,012.68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绿色建筑公用工程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120,659,422.08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80,130,751.05</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工业自动化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41,085,627.32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28,806,933.00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32,555,026.73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23,365,482.85</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终端产品及其他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29,926,872.21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9,189,722.68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28,510,518.52</w:t>
            </w:r>
            <w:r>
              <w:rPr>
                <w:rFonts w:ascii="宋体"/>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9,732,526.45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796,732,028.91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557,885,905.39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505,489,191.11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377,240,021.98</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3</w:t>
      </w:r>
      <w:r>
        <w:rPr/>
        <w:t>）主营业务（分产品）</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796,732,028.91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8" w:right="0"/>
              <w:jc w:val="left"/>
              <w:rPr>
                <w:rFonts w:ascii="宋体" w:hAnsi="宋体" w:cs="宋体" w:eastAsia="宋体" w:hint="default"/>
                <w:sz w:val="18"/>
                <w:szCs w:val="18"/>
              </w:rPr>
            </w:pPr>
            <w:r>
              <w:rPr>
                <w:rFonts w:ascii="宋体"/>
                <w:sz w:val="18"/>
              </w:rPr>
              <w:t>557,885,905.39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4" w:right="0"/>
              <w:jc w:val="left"/>
              <w:rPr>
                <w:rFonts w:ascii="宋体" w:hAnsi="宋体" w:cs="宋体" w:eastAsia="宋体" w:hint="default"/>
                <w:sz w:val="18"/>
                <w:szCs w:val="18"/>
              </w:rPr>
            </w:pPr>
            <w:r>
              <w:rPr>
                <w:rFonts w:ascii="宋体"/>
                <w:sz w:val="18"/>
              </w:rPr>
              <w:t>505,489,191.11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4" w:right="0"/>
              <w:jc w:val="left"/>
              <w:rPr>
                <w:rFonts w:ascii="宋体" w:hAnsi="宋体" w:cs="宋体" w:eastAsia="宋体" w:hint="default"/>
                <w:sz w:val="18"/>
                <w:szCs w:val="18"/>
              </w:rPr>
            </w:pPr>
            <w:r>
              <w:rPr>
                <w:rFonts w:ascii="宋体"/>
                <w:sz w:val="18"/>
              </w:rPr>
              <w:t>377,240,021.98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796,732,028.91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8" w:right="0"/>
              <w:jc w:val="left"/>
              <w:rPr>
                <w:rFonts w:ascii="宋体" w:hAnsi="宋体" w:cs="宋体" w:eastAsia="宋体" w:hint="default"/>
                <w:sz w:val="18"/>
                <w:szCs w:val="18"/>
              </w:rPr>
            </w:pPr>
            <w:r>
              <w:rPr>
                <w:rFonts w:ascii="宋体"/>
                <w:sz w:val="18"/>
              </w:rPr>
              <w:t>557,885,905.39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4" w:right="0"/>
              <w:jc w:val="left"/>
              <w:rPr>
                <w:rFonts w:ascii="宋体" w:hAnsi="宋体" w:cs="宋体" w:eastAsia="宋体" w:hint="default"/>
                <w:sz w:val="18"/>
                <w:szCs w:val="18"/>
              </w:rPr>
            </w:pPr>
            <w:r>
              <w:rPr>
                <w:rFonts w:ascii="宋体"/>
                <w:sz w:val="18"/>
              </w:rPr>
              <w:t>505,489,191.11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4" w:right="0"/>
              <w:jc w:val="left"/>
              <w:rPr>
                <w:rFonts w:ascii="宋体" w:hAnsi="宋体" w:cs="宋体" w:eastAsia="宋体" w:hint="default"/>
                <w:sz w:val="18"/>
                <w:szCs w:val="18"/>
              </w:rPr>
            </w:pPr>
            <w:r>
              <w:rPr>
                <w:rFonts w:ascii="宋体"/>
                <w:sz w:val="18"/>
              </w:rPr>
              <w:t>377,240,021.98</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4</w:t>
      </w:r>
      <w:r>
        <w:rPr/>
        <w:t>）主营业务（分地区）</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3"/>
        <w:gridCol w:w="1726"/>
        <w:gridCol w:w="1726"/>
      </w:tblGrid>
      <w:tr>
        <w:trPr>
          <w:trHeight w:val="401"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329,551,176.77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243,878,583.95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287,730,963.96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212,678,675.74</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234,763,712.66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141,839,449.52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75,186,408.14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55,413,590.42</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33,051,071.06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22,325,044.00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37,598,226.47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27,861,189.66</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30,091,508.84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24,500,955.80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14,113,035.60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10,438,929.52</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23,017,204.24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13,688,671.60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10,017,028.12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6,052,040.36</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144,567,275.32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110,590,332.39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80,046,996.38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64,406,629.64</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1,690,080.02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1,062,868.13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796,532.44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388,966.64</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796,732,028.91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557,885,905.39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505,489,191.11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377,240,021.98</w:t>
            </w:r>
          </w:p>
        </w:tc>
      </w:tr>
    </w:tbl>
    <w:p>
      <w:pPr>
        <w:spacing w:after="0" w:line="240" w:lineRule="auto"/>
        <w:jc w:val="right"/>
        <w:rPr>
          <w:rFonts w:ascii="宋体" w:hAnsi="宋体" w:cs="宋体" w:eastAsia="宋体" w:hint="default"/>
          <w:sz w:val="18"/>
          <w:szCs w:val="18"/>
        </w:rPr>
        <w:sectPr>
          <w:pgSz w:w="11910" w:h="16840"/>
          <w:pgMar w:header="877" w:footer="1227" w:top="1100" w:bottom="142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t>（</w:t>
      </w:r>
      <w:r>
        <w:rPr>
          <w:rFonts w:ascii="宋体" w:hAnsi="宋体" w:cs="宋体" w:eastAsia="宋体" w:hint="default"/>
        </w:rPr>
        <w:t>5</w:t>
      </w:r>
      <w:r>
        <w:rPr/>
        <w:t>）公司前五名客户的营业收入情况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4"/>
        <w:gridCol w:w="2850"/>
        <w:gridCol w:w="4126"/>
      </w:tblGrid>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成都地铁有限责任公司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44,045,574.06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5.34</w:t>
            </w:r>
          </w:p>
        </w:tc>
      </w:tr>
      <w:tr>
        <w:trPr>
          <w:trHeight w:val="715"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39"/>
              <w:jc w:val="left"/>
              <w:rPr>
                <w:rFonts w:ascii="宋体" w:hAnsi="宋体" w:cs="宋体" w:eastAsia="宋体" w:hint="default"/>
                <w:sz w:val="18"/>
                <w:szCs w:val="18"/>
              </w:rPr>
            </w:pPr>
            <w:r>
              <w:rPr>
                <w:rFonts w:ascii="宋体" w:hAnsi="宋体" w:cs="宋体" w:eastAsia="宋体" w:hint="default"/>
                <w:sz w:val="18"/>
                <w:szCs w:val="18"/>
              </w:rPr>
              <w:t>世纪互联（佛山）信息技术有限 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42,646,283.10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5.18</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上海松江万达投资有限公司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37,500,000.00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4.55</w:t>
            </w:r>
          </w:p>
        </w:tc>
      </w:tr>
      <w:tr>
        <w:trPr>
          <w:trHeight w:val="715"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37"/>
              <w:jc w:val="left"/>
              <w:rPr>
                <w:rFonts w:ascii="宋体" w:hAnsi="宋体" w:cs="宋体" w:eastAsia="宋体" w:hint="default"/>
                <w:sz w:val="18"/>
                <w:szCs w:val="18"/>
              </w:rPr>
            </w:pPr>
            <w:r>
              <w:rPr>
                <w:rFonts w:ascii="宋体" w:hAnsi="宋体" w:cs="宋体" w:eastAsia="宋体" w:hint="default"/>
                <w:sz w:val="18"/>
                <w:szCs w:val="18"/>
              </w:rPr>
              <w:t>范德兰德物流自动化系统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 </w:t>
            </w:r>
            <w:r>
              <w:rPr>
                <w:rFonts w:ascii="宋体" w:hAnsi="宋体" w:cs="宋体" w:eastAsia="宋体" w:hint="default"/>
                <w:sz w:val="18"/>
                <w:szCs w:val="18"/>
              </w:rPr>
              <w:t>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34,024,364.52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4.13</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深圳市水务工程建设管理中心</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31,949,027.40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3.88</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190,165,249.08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23.08</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32</w:t>
      </w:r>
      <w:r>
        <w:rPr/>
        <w:t>、营业税金及附加</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1992"/>
        <w:gridCol w:w="1863"/>
        <w:gridCol w:w="2909"/>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19,624,091.13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12,503,658.72</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详见税项之说明</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1,858,273.25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1,407,298.44</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详见税项之说明</w:t>
            </w:r>
          </w:p>
        </w:tc>
      </w:tr>
      <w:tr>
        <w:trPr>
          <w:trHeight w:val="404"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989,775.36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879,834.21</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详见税项之说明</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641,803.65</w:t>
            </w:r>
          </w:p>
        </w:tc>
        <w:tc>
          <w:tcPr>
            <w:tcW w:w="1863" w:type="dxa"/>
            <w:tcBorders>
              <w:top w:val="single" w:sz="4" w:space="0" w:color="000000"/>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详见税项之说明</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167,747.72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73,873.58</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详见税项之说明</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72,858.24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61,821.57</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详见税项之说明</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23,354,549.35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14,926,486.52</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33</w:t>
      </w:r>
      <w:r>
        <w:rPr/>
        <w:t>、销售费用</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35,722,637.79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28,000,369.52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4,565,691.16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4,296,116.06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1,636,699.57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1,299,834.84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2,098,538.36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2,346,513.33</w:t>
            </w:r>
            <w:r>
              <w:rPr>
                <w:rFonts w:ascii="宋体"/>
                <w:sz w:val="18"/>
              </w:rPr>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1,655,255.46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1,412,257.35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物料消耗及低耗品摊销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629,944.38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758,845.77</w:t>
            </w:r>
          </w:p>
        </w:tc>
      </w:tr>
    </w:tbl>
    <w:p>
      <w:pPr>
        <w:spacing w:after="0" w:line="240" w:lineRule="auto"/>
        <w:jc w:val="right"/>
        <w:rPr>
          <w:rFonts w:ascii="宋体" w:hAnsi="宋体" w:cs="宋体" w:eastAsia="宋体" w:hint="default"/>
          <w:sz w:val="18"/>
          <w:szCs w:val="18"/>
        </w:rPr>
        <w:sectPr>
          <w:footerReference w:type="default" r:id="rId26"/>
          <w:pgSz w:w="11910" w:h="16840"/>
          <w:pgMar w:footer="1340" w:header="877" w:top="1100" w:bottom="1540" w:left="980" w:right="0"/>
          <w:pgNumType w:start="119"/>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工程及售后维护费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1,015,984.60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1,216,685.27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其他项小计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9,137,850.61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4,081,776.76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56,462,601.93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43,412,398.90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34</w:t>
      </w:r>
      <w:r>
        <w:rPr/>
        <w:t>、管理费用</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19,163,298.50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11,110,133.48</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3,912,158.88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2,836,731.37</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2,156,535.76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807,559.92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咨询及审计费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1,673,943.31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1,350,347.94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1,490,849.91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865,001.44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5,943,039.75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3,763,974.77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其他项小计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16,560,496.68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7,958,370.44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50,900,322.79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28,692,119.36</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35</w:t>
      </w:r>
      <w:r>
        <w:rPr/>
        <w:t>、财务费用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1,510,270.60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-4,073,981.64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-5,864,656.72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9,798.65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103,697.21</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345,268.96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748,149.30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-3,718,914.03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-3,502,539.61</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36</w:t>
      </w:r>
      <w:r>
        <w:rPr/>
        <w:t>、公允价值变动收益</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-22,800.45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-22,800.45</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公允价值变动收益的说明</w:t>
      </w:r>
    </w:p>
    <w:p>
      <w:pPr>
        <w:pStyle w:val="BodyText"/>
        <w:spacing w:line="240" w:lineRule="auto" w:before="94"/>
        <w:ind w:right="1123"/>
        <w:jc w:val="left"/>
      </w:pPr>
      <w:r>
        <w:rPr/>
        <w:t>系子公司达实联欣购买股票型基金，期末公允价值变动。</w:t>
      </w:r>
    </w:p>
    <w:p>
      <w:pPr>
        <w:spacing w:after="0" w:line="240" w:lineRule="auto"/>
        <w:jc w:val="left"/>
        <w:sectPr>
          <w:footerReference w:type="default" r:id="rId27"/>
          <w:pgSz w:w="11910" w:h="16840"/>
          <w:pgMar w:footer="1334" w:header="877" w:top="1100" w:bottom="1520" w:left="980" w:right="0"/>
          <w:pgNumType w:start="12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rFonts w:ascii="宋体" w:hAnsi="宋体" w:cs="宋体" w:eastAsia="宋体" w:hint="default"/>
        </w:rPr>
        <w:t>37</w:t>
      </w:r>
      <w:r>
        <w:rPr/>
        <w:t>、资产减值损失</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10,252,726.77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6,216,624.77</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10,252,726.77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6,216,624.77</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38</w:t>
      </w:r>
      <w:r>
        <w:rPr/>
        <w:t>、营业外收入</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）营业外收入情况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24,647.56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522.06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24,647.56</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24,647.56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522.06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24,647.56</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8,629,254.25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2,429,588.50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8,629,254.25</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339,805.71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55,878.38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339,805.71</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8,993,707.52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2,485,988.94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8,993,707.52</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）政府补助明细</w:t>
      </w:r>
      <w:r>
        <w:rPr>
          <w:b w:val="0"/>
          <w:bCs w:val="0"/>
        </w:rPr>
      </w:r>
    </w:p>
    <w:p>
      <w:pPr>
        <w:spacing w:line="240" w:lineRule="auto" w:before="13"/>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09"/>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财政补助金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4,329,086.42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729,588.50</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4,300,167.83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1,700,000.00</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8,629,254.25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2,429,588.50</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pStyle w:val="BodyText"/>
        <w:spacing w:line="357" w:lineRule="auto" w:before="72"/>
        <w:ind w:left="573" w:right="1123"/>
        <w:jc w:val="left"/>
      </w:pPr>
      <w:r>
        <w:rPr/>
        <w:t>本公司于</w:t>
      </w:r>
      <w:r>
        <w:rPr>
          <w:rFonts w:ascii="宋体" w:hAnsi="宋体" w:cs="宋体" w:eastAsia="宋体" w:hint="default"/>
        </w:rPr>
        <w:t>2012</w:t>
      </w:r>
      <w:r>
        <w:rPr/>
        <w:t>年度收到的主要政府补助情况如下：</w:t>
      </w:r>
      <w:r>
        <w:rPr>
          <w:w w:val="100"/>
        </w:rPr>
        <w:t> </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21</w:t>
      </w:r>
      <w:r>
        <w:rPr>
          <w:spacing w:val="-2"/>
        </w:rPr>
        <w:t>日收到深圳市科学技术协会发放的深圳市科学技术奖</w:t>
      </w:r>
      <w:r>
        <w:rPr>
          <w:rFonts w:ascii="宋体" w:hAnsi="宋体" w:cs="宋体" w:eastAsia="宋体" w:hint="default"/>
          <w:spacing w:val="-2"/>
        </w:rPr>
        <w:t>300,000.00</w:t>
      </w:r>
      <w:r>
        <w:rPr>
          <w:spacing w:val="-2"/>
        </w:rPr>
        <w:t>元。</w:t>
      </w:r>
    </w:p>
    <w:p>
      <w:pPr>
        <w:pStyle w:val="BodyText"/>
        <w:spacing w:line="355" w:lineRule="auto" w:before="31"/>
        <w:ind w:left="573" w:right="1123"/>
        <w:jc w:val="left"/>
      </w:pP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29</w:t>
      </w:r>
      <w:r>
        <w:rPr/>
        <w:t>日收到广东省表彰的</w:t>
      </w:r>
      <w:r>
        <w:rPr>
          <w:rFonts w:ascii="宋体" w:hAnsi="宋体" w:cs="宋体" w:eastAsia="宋体" w:hint="default"/>
        </w:rPr>
        <w:t>2008</w:t>
      </w:r>
      <w:r>
        <w:rPr/>
        <w:t>年度广东省节能先进单位和先进个人奖励</w:t>
      </w:r>
      <w:r>
        <w:rPr>
          <w:rFonts w:ascii="宋体" w:hAnsi="宋体" w:cs="宋体" w:eastAsia="宋体" w:hint="default"/>
        </w:rPr>
        <w:t>50,000.00</w:t>
      </w:r>
      <w:r>
        <w:rPr/>
        <w:t>元。</w:t>
      </w:r>
      <w:r>
        <w:rPr>
          <w:spacing w:val="-3"/>
          <w:w w:val="100"/>
        </w:rPr>
        <w:t> </w:t>
      </w:r>
      <w:r>
        <w:rPr/>
        <w:t>根据深经贸信息秘书字【</w:t>
      </w:r>
      <w:r>
        <w:rPr>
          <w:rFonts w:ascii="宋体" w:hAnsi="宋体" w:cs="宋体" w:eastAsia="宋体" w:hint="default"/>
        </w:rPr>
        <w:t>2012</w:t>
      </w:r>
      <w:r>
        <w:rPr/>
        <w:t>】</w:t>
      </w:r>
      <w:r>
        <w:rPr>
          <w:rFonts w:ascii="宋体" w:hAnsi="宋体" w:cs="宋体" w:eastAsia="宋体" w:hint="default"/>
        </w:rPr>
        <w:t>1291</w:t>
      </w:r>
      <w:r>
        <w:rPr/>
        <w:t>号文，</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28</w:t>
      </w:r>
      <w:r>
        <w:rPr/>
        <w:t>日收到</w:t>
      </w:r>
      <w:r>
        <w:rPr>
          <w:rFonts w:ascii="宋体" w:hAnsi="宋体" w:cs="宋体" w:eastAsia="宋体" w:hint="default"/>
        </w:rPr>
        <w:t>2011</w:t>
      </w:r>
      <w:r>
        <w:rPr/>
        <w:t>年深圳市民营及中小企业改制上</w:t>
      </w:r>
    </w:p>
    <w:p>
      <w:pPr>
        <w:pStyle w:val="BodyText"/>
        <w:spacing w:line="240" w:lineRule="auto" w:before="32"/>
        <w:ind w:right="1123"/>
        <w:jc w:val="left"/>
      </w:pPr>
      <w:r>
        <w:rPr/>
        <w:t>市资助</w:t>
      </w:r>
      <w:r>
        <w:rPr>
          <w:rFonts w:ascii="宋体" w:hAnsi="宋体" w:cs="宋体" w:eastAsia="宋体" w:hint="default"/>
        </w:rPr>
        <w:t>2,000,000.00</w:t>
      </w:r>
      <w:r>
        <w:rPr/>
        <w:t>元。</w:t>
      </w:r>
    </w:p>
    <w:p>
      <w:pPr>
        <w:pStyle w:val="BodyText"/>
        <w:spacing w:line="240" w:lineRule="auto" w:before="135"/>
        <w:ind w:left="573" w:right="1123"/>
        <w:jc w:val="left"/>
      </w:pP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12</w:t>
      </w:r>
      <w:r>
        <w:rPr/>
        <w:t>日收到财政委员会</w:t>
      </w:r>
      <w:r>
        <w:rPr>
          <w:rFonts w:ascii="宋体" w:hAnsi="宋体" w:cs="宋体" w:eastAsia="宋体" w:hint="default"/>
        </w:rPr>
        <w:t>2011</w:t>
      </w:r>
      <w:r>
        <w:rPr/>
        <w:t>年第一批深圳市资源节约奖励</w:t>
      </w:r>
      <w:r>
        <w:rPr>
          <w:rFonts w:ascii="宋体" w:hAnsi="宋体" w:cs="宋体" w:eastAsia="宋体" w:hint="default"/>
        </w:rPr>
        <w:t>881,900.00</w:t>
      </w:r>
      <w:r>
        <w:rPr/>
        <w:t>元。</w:t>
      </w:r>
    </w:p>
    <w:p>
      <w:pPr>
        <w:pStyle w:val="BodyText"/>
        <w:spacing w:line="240" w:lineRule="auto" w:before="133"/>
        <w:ind w:left="573" w:right="1123"/>
        <w:jc w:val="left"/>
      </w:pP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31</w:t>
      </w:r>
      <w:r>
        <w:rPr/>
        <w:t>日收到财政委员会</w:t>
      </w:r>
      <w:r>
        <w:rPr>
          <w:rFonts w:ascii="宋体" w:hAnsi="宋体" w:cs="宋体" w:eastAsia="宋体" w:hint="default"/>
        </w:rPr>
        <w:t>2011</w:t>
      </w:r>
      <w:r>
        <w:rPr/>
        <w:t>年市科技研发资金</w:t>
      </w:r>
      <w:r>
        <w:rPr>
          <w:rFonts w:ascii="宋体" w:hAnsi="宋体" w:cs="宋体" w:eastAsia="宋体" w:hint="default"/>
        </w:rPr>
        <w:t>CMM/CMMI</w:t>
      </w:r>
      <w:r>
        <w:rPr/>
        <w:t>补助</w:t>
      </w:r>
      <w:r>
        <w:rPr>
          <w:rFonts w:ascii="宋体" w:hAnsi="宋体" w:cs="宋体" w:eastAsia="宋体" w:hint="default"/>
        </w:rPr>
        <w:t>400,000.00</w:t>
      </w:r>
      <w:r>
        <w:rPr/>
        <w:t>元。</w:t>
      </w:r>
    </w:p>
    <w:p>
      <w:pPr>
        <w:pStyle w:val="BodyText"/>
        <w:spacing w:line="355" w:lineRule="auto" w:before="133"/>
        <w:ind w:right="1123" w:firstLine="420"/>
        <w:jc w:val="left"/>
      </w:pP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26</w:t>
      </w:r>
      <w:r>
        <w:rPr/>
        <w:t>日收深圳市市场监督管理局第六批专利申请资助、计算机软件著作权登记资助</w:t>
      </w:r>
      <w:r>
        <w:rPr>
          <w:rFonts w:ascii="宋体" w:hAnsi="宋体" w:cs="宋体" w:eastAsia="宋体" w:hint="default"/>
        </w:rPr>
        <w:t>7,500.00</w:t>
      </w:r>
      <w:r>
        <w:rPr>
          <w:rFonts w:ascii="宋体" w:hAnsi="宋体" w:cs="宋体" w:eastAsia="宋体" w:hint="default"/>
          <w:w w:val="100"/>
        </w:rPr>
        <w:t> </w:t>
      </w:r>
      <w:r>
        <w:rPr/>
        <w:t>元。</w:t>
      </w:r>
    </w:p>
    <w:p>
      <w:pPr>
        <w:spacing w:after="0" w:line="355" w:lineRule="auto"/>
        <w:jc w:val="left"/>
        <w:sectPr>
          <w:pgSz w:w="11910" w:h="16840"/>
          <w:pgMar w:header="877" w:footer="1334" w:top="1100" w:bottom="1540" w:left="980" w:right="0"/>
        </w:sectPr>
      </w:pPr>
    </w:p>
    <w:p>
      <w:pPr>
        <w:spacing w:line="240" w:lineRule="auto" w:before="3"/>
        <w:rPr>
          <w:rFonts w:ascii="宋体" w:hAnsi="宋体" w:cs="宋体" w:eastAsia="宋体" w:hint="default"/>
          <w:sz w:val="19"/>
          <w:szCs w:val="19"/>
        </w:rPr>
      </w:pPr>
    </w:p>
    <w:p>
      <w:pPr>
        <w:pStyle w:val="BodyText"/>
        <w:spacing w:line="240" w:lineRule="auto" w:before="36"/>
        <w:ind w:left="573" w:right="1123"/>
        <w:jc w:val="left"/>
      </w:pP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11</w:t>
      </w:r>
      <w:r>
        <w:rPr/>
        <w:t>日收深圳市南山区地方税务局返还</w:t>
      </w:r>
      <w:r>
        <w:rPr>
          <w:rFonts w:ascii="宋体" w:hAnsi="宋体" w:cs="宋体" w:eastAsia="宋体" w:hint="default"/>
        </w:rPr>
        <w:t>2011</w:t>
      </w:r>
      <w:r>
        <w:rPr/>
        <w:t>年个人所得税手续费</w:t>
      </w:r>
      <w:r>
        <w:rPr>
          <w:rFonts w:ascii="宋体" w:hAnsi="宋体" w:cs="宋体" w:eastAsia="宋体" w:hint="default"/>
        </w:rPr>
        <w:t>34,061.39</w:t>
      </w:r>
      <w:r>
        <w:rPr/>
        <w:t>元。</w:t>
      </w:r>
    </w:p>
    <w:p>
      <w:pPr>
        <w:pStyle w:val="BodyText"/>
        <w:spacing w:line="240" w:lineRule="auto" w:before="133"/>
        <w:ind w:left="573" w:right="1123"/>
        <w:jc w:val="left"/>
      </w:pP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31</w:t>
      </w:r>
      <w:r>
        <w:rPr/>
        <w:t>日收深圳市财政委员会</w:t>
      </w:r>
      <w:r>
        <w:rPr>
          <w:rFonts w:ascii="宋体" w:hAnsi="宋体" w:cs="宋体" w:eastAsia="宋体" w:hint="default"/>
        </w:rPr>
        <w:t>2011</w:t>
      </w:r>
      <w:r>
        <w:rPr/>
        <w:t>年科技研发第二批研发补助</w:t>
      </w:r>
      <w:r>
        <w:rPr>
          <w:rFonts w:ascii="宋体" w:hAnsi="宋体" w:cs="宋体" w:eastAsia="宋体" w:hint="default"/>
        </w:rPr>
        <w:t>280,000.00</w:t>
      </w:r>
      <w:r>
        <w:rPr/>
        <w:t>元。</w:t>
      </w:r>
    </w:p>
    <w:p>
      <w:pPr>
        <w:pStyle w:val="BodyText"/>
        <w:spacing w:line="240" w:lineRule="auto" w:before="133"/>
        <w:ind w:left="573" w:right="0"/>
        <w:jc w:val="left"/>
      </w:pPr>
      <w:r>
        <w:rPr>
          <w:rFonts w:ascii="宋体" w:hAnsi="宋体" w:cs="宋体" w:eastAsia="宋体" w:hint="default"/>
        </w:rPr>
        <w:t>2012</w:t>
      </w:r>
      <w:r>
        <w:rPr>
          <w:rFonts w:ascii="宋体" w:hAnsi="宋体" w:cs="宋体" w:eastAsia="宋体" w:hint="default"/>
          <w:spacing w:val="-71"/>
        </w:rPr>
        <w:t> </w:t>
      </w:r>
      <w:r>
        <w:rPr/>
        <w:t>年</w:t>
      </w:r>
      <w:r>
        <w:rPr>
          <w:spacing w:val="-71"/>
        </w:rPr>
        <w:t> </w:t>
      </w:r>
      <w:r>
        <w:rPr>
          <w:rFonts w:ascii="宋体" w:hAnsi="宋体" w:cs="宋体" w:eastAsia="宋体" w:hint="default"/>
        </w:rPr>
        <w:t>12</w:t>
      </w:r>
      <w:r>
        <w:rPr>
          <w:rFonts w:ascii="宋体" w:hAnsi="宋体" w:cs="宋体" w:eastAsia="宋体" w:hint="default"/>
          <w:spacing w:val="-75"/>
        </w:rPr>
        <w:t> </w:t>
      </w:r>
      <w:r>
        <w:rPr/>
        <w:t>月</w:t>
      </w:r>
      <w:r>
        <w:rPr>
          <w:spacing w:val="-71"/>
        </w:rPr>
        <w:t> </w:t>
      </w:r>
      <w:r>
        <w:rPr>
          <w:rFonts w:ascii="宋体" w:hAnsi="宋体" w:cs="宋体" w:eastAsia="宋体" w:hint="default"/>
        </w:rPr>
        <w:t>21</w:t>
      </w:r>
      <w:r>
        <w:rPr>
          <w:rFonts w:ascii="宋体" w:hAnsi="宋体" w:cs="宋体" w:eastAsia="宋体" w:hint="default"/>
          <w:spacing w:val="-71"/>
        </w:rPr>
        <w:t> </w:t>
      </w:r>
      <w:r>
        <w:rPr>
          <w:spacing w:val="17"/>
        </w:rPr>
        <w:t>日收深圳市南山区科技创新局</w:t>
      </w:r>
      <w:r>
        <w:rPr>
          <w:spacing w:val="-65"/>
        </w:rPr>
        <w:t> </w:t>
      </w:r>
      <w:r>
        <w:rPr>
          <w:rFonts w:ascii="宋体" w:hAnsi="宋体" w:cs="宋体" w:eastAsia="宋体" w:hint="default"/>
        </w:rPr>
        <w:t>2012</w:t>
      </w:r>
      <w:r>
        <w:rPr>
          <w:rFonts w:ascii="宋体" w:hAnsi="宋体" w:cs="宋体" w:eastAsia="宋体" w:hint="default"/>
          <w:spacing w:val="-71"/>
        </w:rPr>
        <w:t> </w:t>
      </w:r>
      <w:r>
        <w:rPr>
          <w:spacing w:val="18"/>
        </w:rPr>
        <w:t>年南山区自主创新产业发展专项资金资助款</w:t>
      </w:r>
    </w:p>
    <w:p>
      <w:pPr>
        <w:pStyle w:val="BodyText"/>
        <w:spacing w:line="240" w:lineRule="auto" w:before="135"/>
        <w:ind w:right="1123"/>
        <w:jc w:val="left"/>
      </w:pPr>
      <w:r>
        <w:rPr>
          <w:rFonts w:ascii="宋体" w:hAnsi="宋体" w:cs="宋体" w:eastAsia="宋体" w:hint="default"/>
        </w:rPr>
        <w:t>60,000.00</w:t>
      </w:r>
      <w:r>
        <w:rPr/>
        <w:t>元。</w:t>
      </w:r>
    </w:p>
    <w:p>
      <w:pPr>
        <w:pStyle w:val="BodyText"/>
        <w:spacing w:line="240" w:lineRule="auto" w:before="133"/>
        <w:ind w:left="573" w:right="1123"/>
        <w:jc w:val="left"/>
      </w:pPr>
      <w:r>
        <w:rPr>
          <w:rFonts w:ascii="宋体" w:hAnsi="宋体" w:cs="宋体" w:eastAsia="宋体" w:hint="default"/>
          <w:spacing w:val="11"/>
        </w:rPr>
        <w:t>2012</w:t>
      </w:r>
      <w:r>
        <w:rPr>
          <w:spacing w:val="11"/>
        </w:rPr>
        <w:t>年</w:t>
      </w:r>
      <w:r>
        <w:rPr>
          <w:rFonts w:ascii="宋体" w:hAnsi="宋体" w:cs="宋体" w:eastAsia="宋体" w:hint="default"/>
          <w:spacing w:val="11"/>
        </w:rPr>
        <w:t>12</w:t>
      </w:r>
      <w:r>
        <w:rPr>
          <w:spacing w:val="11"/>
        </w:rPr>
        <w:t>月</w:t>
      </w:r>
      <w:r>
        <w:rPr>
          <w:rFonts w:ascii="宋体" w:hAnsi="宋体" w:cs="宋体" w:eastAsia="宋体" w:hint="default"/>
          <w:spacing w:val="11"/>
        </w:rPr>
        <w:t>21</w:t>
      </w:r>
      <w:r>
        <w:rPr>
          <w:spacing w:val="11"/>
        </w:rPr>
        <w:t>日收深圳市市场质量监督管理局（南山分局）自主创新产业发展专项资金资助款</w:t>
      </w:r>
      <w:r>
        <w:rPr/>
      </w:r>
    </w:p>
    <w:p>
      <w:pPr>
        <w:pStyle w:val="BodyText"/>
        <w:spacing w:line="240" w:lineRule="auto" w:before="133"/>
        <w:ind w:right="1123"/>
        <w:jc w:val="left"/>
      </w:pPr>
      <w:r>
        <w:rPr>
          <w:rFonts w:ascii="宋体" w:hAnsi="宋体" w:cs="宋体" w:eastAsia="宋体" w:hint="default"/>
        </w:rPr>
        <w:t>80,000.00</w:t>
      </w:r>
      <w:r>
        <w:rPr/>
        <w:t>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right="1123"/>
        <w:jc w:val="left"/>
        <w:rPr>
          <w:b w:val="0"/>
          <w:bCs w:val="0"/>
        </w:rPr>
      </w:pPr>
      <w:r>
        <w:rPr>
          <w:rFonts w:ascii="Times New Roman" w:hAnsi="Times New Roman" w:cs="Times New Roman" w:eastAsia="Times New Roman" w:hint="default"/>
        </w:rPr>
        <w:t>39</w:t>
      </w:r>
      <w:r>
        <w:rPr/>
        <w:t>、营业外支出</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2"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5,040.85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62,548.39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5,040.85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62,548.39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员工补偿款</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860,713.00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存货损失</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5,719.94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1,719.63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1,554.93</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6,760.48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1,630,536.26</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40</w:t>
      </w:r>
      <w:r>
        <w:rPr/>
        <w:t>、所得税费用</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21,323,506.00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7,789,590.29</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829,045.38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-399,352.70</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22,152,551.38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7,390,237.59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41</w:t>
      </w:r>
      <w:r>
        <w:rPr/>
        <w:t>、基本每股收益和稀释每股收益的计算过程</w:t>
      </w:r>
      <w:r>
        <w:rPr>
          <w:b w:val="0"/>
          <w:bCs w:val="0"/>
        </w:rPr>
      </w:r>
    </w:p>
    <w:p>
      <w:pPr>
        <w:spacing w:line="240" w:lineRule="auto" w:before="10"/>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4820"/>
        <w:gridCol w:w="1844"/>
        <w:gridCol w:w="1489"/>
        <w:gridCol w:w="1488"/>
      </w:tblGrid>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P0</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77,801,320.40</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5"/>
              <w:jc w:val="right"/>
              <w:rPr>
                <w:rFonts w:ascii="宋体" w:hAnsi="宋体" w:cs="宋体" w:eastAsia="宋体" w:hint="default"/>
                <w:sz w:val="18"/>
                <w:szCs w:val="18"/>
              </w:rPr>
            </w:pPr>
            <w:r>
              <w:rPr>
                <w:rFonts w:ascii="宋体"/>
                <w:spacing w:val="-1"/>
                <w:sz w:val="18"/>
              </w:rPr>
              <w:t>44,962,647.11</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F</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7,590,417.77</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4"/>
              <w:jc w:val="right"/>
              <w:rPr>
                <w:rFonts w:ascii="宋体" w:hAnsi="宋体" w:cs="宋体" w:eastAsia="宋体" w:hint="default"/>
                <w:sz w:val="18"/>
                <w:szCs w:val="18"/>
              </w:rPr>
            </w:pPr>
            <w:r>
              <w:rPr>
                <w:rFonts w:ascii="宋体"/>
                <w:spacing w:val="-1"/>
                <w:sz w:val="18"/>
              </w:rPr>
              <w:t>572,942.21</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sz w:val="18"/>
              </w:rPr>
              <w:t>P0'=P0-F</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70,210,902.63</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5"/>
              <w:jc w:val="right"/>
              <w:rPr>
                <w:rFonts w:ascii="宋体" w:hAnsi="宋体" w:cs="宋体" w:eastAsia="宋体" w:hint="default"/>
                <w:sz w:val="18"/>
                <w:szCs w:val="18"/>
              </w:rPr>
            </w:pPr>
            <w:r>
              <w:rPr>
                <w:rFonts w:ascii="宋体"/>
                <w:spacing w:val="-1"/>
                <w:sz w:val="18"/>
              </w:rPr>
              <w:t>44,389,704.90</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V</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z w:val="18"/>
              </w:rPr>
              <w:t>--</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5"/>
              <w:jc w:val="right"/>
              <w:rPr>
                <w:rFonts w:ascii="宋体" w:hAnsi="宋体" w:cs="宋体" w:eastAsia="宋体" w:hint="default"/>
                <w:sz w:val="18"/>
                <w:szCs w:val="18"/>
              </w:rPr>
            </w:pPr>
            <w:r>
              <w:rPr>
                <w:rFonts w:ascii="宋体"/>
                <w:sz w:val="18"/>
              </w:rPr>
              <w:t>--</w:t>
            </w:r>
          </w:p>
        </w:tc>
      </w:tr>
      <w:tr>
        <w:trPr>
          <w:trHeight w:val="58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归属于公司普通股股东的净利润，并考虑稀释性潜在普通股对</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sz w:val="18"/>
              </w:rPr>
              <w:t>P1=P0+V</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77,801,320.40</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44,962,647.11</w:t>
            </w:r>
          </w:p>
        </w:tc>
      </w:tr>
    </w:tbl>
    <w:p>
      <w:pPr>
        <w:spacing w:after="0" w:line="240" w:lineRule="auto"/>
        <w:jc w:val="right"/>
        <w:rPr>
          <w:rFonts w:ascii="宋体" w:hAnsi="宋体" w:cs="宋体" w:eastAsia="宋体" w:hint="default"/>
          <w:sz w:val="18"/>
          <w:szCs w:val="18"/>
        </w:rPr>
        <w:sectPr>
          <w:pgSz w:w="11910" w:h="16840"/>
          <w:pgMar w:header="877" w:footer="1334" w:top="1100" w:bottom="1540" w:left="980" w:right="0"/>
        </w:sectPr>
      </w:pPr>
    </w:p>
    <w:p>
      <w:pPr>
        <w:spacing w:line="240" w:lineRule="auto" w:before="8"/>
        <w:rPr>
          <w:rFonts w:ascii="宋体" w:hAnsi="宋体" w:cs="宋体" w:eastAsia="宋体" w:hint="default"/>
          <w:b/>
          <w:bCs/>
          <w:sz w:val="24"/>
          <w:szCs w:val="24"/>
        </w:rPr>
      </w:pPr>
    </w:p>
    <w:tbl>
      <w:tblPr>
        <w:tblW w:w="0" w:type="auto"/>
        <w:jc w:val="left"/>
        <w:tblInd w:w="145" w:type="dxa"/>
        <w:tblLayout w:type="fixed"/>
        <w:tblCellMar>
          <w:top w:w="0" w:type="dxa"/>
          <w:left w:w="0" w:type="dxa"/>
          <w:bottom w:w="0" w:type="dxa"/>
          <w:right w:w="0" w:type="dxa"/>
        </w:tblCellMar>
        <w:tblLook w:val="01E0"/>
      </w:tblPr>
      <w:tblGrid>
        <w:gridCol w:w="4820"/>
        <w:gridCol w:w="1844"/>
        <w:gridCol w:w="1489"/>
        <w:gridCol w:w="1488"/>
      </w:tblGrid>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其影响，按《企业会计准则》及有关规定进行调整。</w:t>
            </w:r>
          </w:p>
        </w:tc>
        <w:tc>
          <w:tcPr>
            <w:tcW w:w="1844"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nil" w:sz="6" w:space="0" w:color="auto"/>
            </w:tcBorders>
          </w:tcPr>
          <w:p>
            <w:pPr/>
          </w:p>
        </w:tc>
      </w:tr>
      <w:tr>
        <w:trPr>
          <w:trHeight w:val="89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316" w:lineRule="auto"/>
              <w:ind w:left="4" w:right="-4"/>
              <w:jc w:val="left"/>
              <w:rPr>
                <w:rFonts w:ascii="宋体" w:hAnsi="宋体" w:cs="宋体" w:eastAsia="宋体" w:hint="default"/>
                <w:sz w:val="18"/>
                <w:szCs w:val="18"/>
              </w:rPr>
            </w:pPr>
            <w:r>
              <w:rPr>
                <w:rFonts w:ascii="宋体" w:hAnsi="宋体" w:cs="宋体" w:eastAsia="宋体" w:hint="default"/>
                <w:spacing w:val="4"/>
                <w:sz w:val="18"/>
                <w:szCs w:val="18"/>
              </w:rPr>
              <w:t>稀释事项对扣除非经常性损益后归属于公司普通股股东的净 </w:t>
            </w:r>
            <w:r>
              <w:rPr>
                <w:rFonts w:ascii="宋体" w:hAnsi="宋体" w:cs="宋体" w:eastAsia="宋体" w:hint="default"/>
                <w:sz w:val="18"/>
                <w:szCs w:val="18"/>
              </w:rPr>
              <w:t>利润的影响</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sz w:val="18"/>
              </w:rPr>
              <w:t>V'</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3"/>
              <w:jc w:val="right"/>
              <w:rPr>
                <w:rFonts w:ascii="宋体" w:hAnsi="宋体" w:cs="宋体" w:eastAsia="宋体" w:hint="default"/>
                <w:sz w:val="18"/>
                <w:szCs w:val="18"/>
              </w:rPr>
            </w:pPr>
            <w:r>
              <w:rPr>
                <w:rFonts w:ascii="宋体"/>
                <w:sz w:val="18"/>
              </w:rPr>
              <w:t>--</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5"/>
              <w:jc w:val="right"/>
              <w:rPr>
                <w:rFonts w:ascii="宋体" w:hAnsi="宋体" w:cs="宋体" w:eastAsia="宋体" w:hint="default"/>
                <w:sz w:val="18"/>
                <w:szCs w:val="18"/>
              </w:rPr>
            </w:pPr>
            <w:r>
              <w:rPr>
                <w:rFonts w:ascii="宋体"/>
                <w:sz w:val="18"/>
              </w:rPr>
              <w:t>--</w:t>
            </w:r>
          </w:p>
        </w:tc>
      </w:tr>
      <w:tr>
        <w:trPr>
          <w:trHeight w:val="1212"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316" w:lineRule="auto"/>
              <w:ind w:left="4" w:right="-1"/>
              <w:jc w:val="both"/>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扣除非经常性损益后归属于公司普通股股东的净利润，并考虑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稀释性潜在普通股对其影响，按《企业会计准则》及有关规定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进行调整</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sz w:val="18"/>
              </w:rPr>
              <w:t>P1'=P0'+V'</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70,210,902.63</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44,389,704.90</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S0</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101,400,000.00</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4"/>
              <w:jc w:val="right"/>
              <w:rPr>
                <w:rFonts w:ascii="宋体" w:hAnsi="宋体" w:cs="宋体" w:eastAsia="宋体" w:hint="default"/>
                <w:sz w:val="18"/>
                <w:szCs w:val="18"/>
              </w:rPr>
            </w:pPr>
            <w:r>
              <w:rPr>
                <w:rFonts w:ascii="宋体"/>
                <w:spacing w:val="-1"/>
                <w:sz w:val="18"/>
              </w:rPr>
              <w:t>156,000,000.00</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S1</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104,400,000.00</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4"/>
              <w:jc w:val="right"/>
              <w:rPr>
                <w:rFonts w:ascii="宋体" w:hAnsi="宋体" w:cs="宋体" w:eastAsia="宋体" w:hint="default"/>
                <w:sz w:val="18"/>
                <w:szCs w:val="18"/>
              </w:rPr>
            </w:pPr>
            <w:r>
              <w:rPr>
                <w:rFonts w:ascii="宋体"/>
                <w:spacing w:val="-1"/>
                <w:sz w:val="18"/>
              </w:rPr>
              <w:t>46,800,000.00</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Si</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3,000,000.00</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Sj</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w:t>
            </w:r>
          </w:p>
        </w:tc>
      </w:tr>
      <w:tr>
        <w:trPr>
          <w:trHeight w:val="349"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sz w:val="18"/>
              </w:rPr>
              <w:t>Sk</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
              <w:jc w:val="right"/>
              <w:rPr>
                <w:rFonts w:ascii="宋体" w:hAnsi="宋体" w:cs="宋体" w:eastAsia="宋体" w:hint="default"/>
                <w:sz w:val="18"/>
                <w:szCs w:val="18"/>
              </w:rPr>
            </w:pPr>
            <w:r>
              <w:rPr>
                <w:rFonts w:ascii="宋体"/>
                <w:sz w:val="18"/>
              </w:rPr>
              <w:t>--</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right="2"/>
              <w:jc w:val="right"/>
              <w:rPr>
                <w:rFonts w:ascii="宋体" w:hAnsi="宋体" w:cs="宋体" w:eastAsia="宋体" w:hint="default"/>
                <w:sz w:val="18"/>
                <w:szCs w:val="18"/>
              </w:rPr>
            </w:pPr>
            <w:r>
              <w:rPr>
                <w:rFonts w:ascii="宋体"/>
                <w:sz w:val="18"/>
              </w:rPr>
              <w:t>--</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M0</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z w:val="18"/>
              </w:rPr>
              <w:t>12</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Mi</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6</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6"/>
              <w:jc w:val="right"/>
              <w:rPr>
                <w:rFonts w:ascii="宋体" w:hAnsi="宋体" w:cs="宋体" w:eastAsia="宋体" w:hint="default"/>
                <w:sz w:val="18"/>
                <w:szCs w:val="18"/>
              </w:rPr>
            </w:pPr>
            <w:r>
              <w:rPr>
                <w:rFonts w:ascii="宋体"/>
                <w:sz w:val="18"/>
              </w:rPr>
              <w:t>-</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Mj</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z w:val="18"/>
              </w:rPr>
              <w:t>--</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w:t>
            </w:r>
          </w:p>
        </w:tc>
      </w:tr>
      <w:tr>
        <w:trPr>
          <w:trHeight w:val="900"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5" w:right="0"/>
              <w:jc w:val="center"/>
              <w:rPr>
                <w:rFonts w:ascii="宋体" w:hAnsi="宋体" w:cs="宋体" w:eastAsia="宋体" w:hint="default"/>
                <w:sz w:val="18"/>
                <w:szCs w:val="18"/>
              </w:rPr>
            </w:pPr>
            <w:r>
              <w:rPr>
                <w:rFonts w:ascii="宋体" w:hAnsi="宋体" w:cs="宋体" w:eastAsia="宋体" w:hint="default"/>
                <w:sz w:val="18"/>
                <w:szCs w:val="18"/>
              </w:rPr>
              <w:t>S=S0</w:t>
            </w:r>
            <w:r>
              <w:rPr>
                <w:rFonts w:ascii="宋体" w:hAnsi="宋体" w:cs="宋体" w:eastAsia="宋体" w:hint="default"/>
                <w:sz w:val="18"/>
                <w:szCs w:val="18"/>
              </w:rPr>
              <w:t>＋</w:t>
            </w:r>
            <w:r>
              <w:rPr>
                <w:rFonts w:ascii="宋体" w:hAnsi="宋体" w:cs="宋体" w:eastAsia="宋体" w:hint="default"/>
                <w:sz w:val="18"/>
                <w:szCs w:val="18"/>
              </w:rPr>
              <w:t>S1</w:t>
            </w:r>
            <w:r>
              <w:rPr>
                <w:rFonts w:ascii="宋体" w:hAnsi="宋体" w:cs="宋体" w:eastAsia="宋体" w:hint="default"/>
                <w:sz w:val="18"/>
                <w:szCs w:val="18"/>
              </w:rPr>
              <w:t>＋Si×Mi</w:t>
            </w:r>
          </w:p>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÷M0–Sj×Mj÷M0</w:t>
            </w:r>
            <w:r>
              <w:rPr>
                <w:rFonts w:ascii="宋体" w:hAnsi="宋体" w:cs="宋体" w:eastAsia="宋体" w:hint="default"/>
                <w:sz w:val="18"/>
                <w:szCs w:val="18"/>
              </w:rPr>
              <w:t>-Sk</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right"/>
              <w:rPr>
                <w:rFonts w:ascii="宋体" w:hAnsi="宋体" w:cs="宋体" w:eastAsia="宋体" w:hint="default"/>
                <w:sz w:val="18"/>
                <w:szCs w:val="18"/>
              </w:rPr>
            </w:pPr>
            <w:r>
              <w:rPr>
                <w:rFonts w:ascii="宋体"/>
                <w:spacing w:val="-1"/>
                <w:sz w:val="18"/>
              </w:rPr>
              <w:t>207,300,000.00</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right="5"/>
              <w:jc w:val="right"/>
              <w:rPr>
                <w:rFonts w:ascii="宋体" w:hAnsi="宋体" w:cs="宋体" w:eastAsia="宋体" w:hint="default"/>
                <w:sz w:val="18"/>
                <w:szCs w:val="18"/>
              </w:rPr>
            </w:pPr>
            <w:r>
              <w:rPr>
                <w:rFonts w:ascii="宋体"/>
                <w:spacing w:val="-1"/>
                <w:sz w:val="18"/>
              </w:rPr>
              <w:t>202,800,000.00</w:t>
            </w:r>
          </w:p>
        </w:tc>
      </w:tr>
      <w:tr>
        <w:trPr>
          <w:trHeight w:val="900"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316"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加：假定稀释性潜在普通股转换为已发行普通股而增加的普通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股加权平均数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sz w:val="18"/>
              </w:rPr>
              <w:t>X1</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3"/>
              <w:jc w:val="right"/>
              <w:rPr>
                <w:rFonts w:ascii="宋体" w:hAnsi="宋体" w:cs="宋体" w:eastAsia="宋体" w:hint="default"/>
                <w:sz w:val="18"/>
                <w:szCs w:val="18"/>
              </w:rPr>
            </w:pPr>
            <w:r>
              <w:rPr>
                <w:rFonts w:ascii="宋体"/>
                <w:sz w:val="18"/>
              </w:rPr>
              <w:t>--</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2"/>
              <w:jc w:val="right"/>
              <w:rPr>
                <w:rFonts w:ascii="宋体" w:hAnsi="宋体" w:cs="宋体" w:eastAsia="宋体" w:hint="default"/>
                <w:sz w:val="18"/>
                <w:szCs w:val="18"/>
              </w:rPr>
            </w:pPr>
            <w:r>
              <w:rPr>
                <w:rFonts w:ascii="宋体"/>
                <w:sz w:val="18"/>
              </w:rPr>
              <w:t>--</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X2=S+X1</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207,300,000.00</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5"/>
              <w:jc w:val="right"/>
              <w:rPr>
                <w:rFonts w:ascii="宋体" w:hAnsi="宋体" w:cs="宋体" w:eastAsia="宋体" w:hint="default"/>
                <w:sz w:val="18"/>
                <w:szCs w:val="18"/>
              </w:rPr>
            </w:pPr>
            <w:r>
              <w:rPr>
                <w:rFonts w:ascii="宋体"/>
                <w:spacing w:val="-1"/>
                <w:sz w:val="18"/>
              </w:rPr>
              <w:t>202,800,000.00</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844"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8"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宋体" w:hAnsi="宋体" w:cs="宋体" w:eastAsia="宋体" w:hint="default"/>
                <w:sz w:val="18"/>
                <w:szCs w:val="18"/>
              </w:rPr>
              <w:t>/</w:t>
            </w:r>
            <w:r>
              <w:rPr>
                <w:rFonts w:ascii="宋体" w:hAnsi="宋体" w:cs="宋体" w:eastAsia="宋体" w:hint="default"/>
                <w:sz w:val="18"/>
                <w:szCs w:val="18"/>
              </w:rPr>
              <w:t>股份期权行权而增加的普通股加权数</w:t>
            </w:r>
          </w:p>
        </w:tc>
        <w:tc>
          <w:tcPr>
            <w:tcW w:w="1844"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z w:val="18"/>
              </w:rPr>
              <w:t>--</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28"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844"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EPS0=P0÷S</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0.3753</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6"/>
              <w:jc w:val="right"/>
              <w:rPr>
                <w:rFonts w:ascii="宋体" w:hAnsi="宋体" w:cs="宋体" w:eastAsia="宋体" w:hint="default"/>
                <w:sz w:val="18"/>
                <w:szCs w:val="18"/>
              </w:rPr>
            </w:pPr>
            <w:r>
              <w:rPr>
                <w:rFonts w:ascii="宋体"/>
                <w:spacing w:val="-1"/>
                <w:sz w:val="18"/>
              </w:rPr>
              <w:t>0.2217</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EPS0'=P0'÷S</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0.3387</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6"/>
              <w:jc w:val="right"/>
              <w:rPr>
                <w:rFonts w:ascii="宋体" w:hAnsi="宋体" w:cs="宋体" w:eastAsia="宋体" w:hint="default"/>
                <w:sz w:val="18"/>
                <w:szCs w:val="18"/>
              </w:rPr>
            </w:pPr>
            <w:r>
              <w:rPr>
                <w:rFonts w:ascii="宋体"/>
                <w:spacing w:val="-1"/>
                <w:sz w:val="18"/>
              </w:rPr>
              <w:t>0.2189</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EPS1=P1÷X2</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0.3753</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6"/>
              <w:jc w:val="right"/>
              <w:rPr>
                <w:rFonts w:ascii="宋体" w:hAnsi="宋体" w:cs="宋体" w:eastAsia="宋体" w:hint="default"/>
                <w:sz w:val="18"/>
                <w:szCs w:val="18"/>
              </w:rPr>
            </w:pPr>
            <w:r>
              <w:rPr>
                <w:rFonts w:ascii="宋体"/>
                <w:spacing w:val="-1"/>
                <w:sz w:val="18"/>
              </w:rPr>
              <w:t>0.2217</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EPS1'=P1'÷</w:t>
            </w:r>
            <w:r>
              <w:rPr>
                <w:rFonts w:ascii="宋体" w:hAnsi="宋体" w:cs="宋体" w:eastAsia="宋体" w:hint="default"/>
                <w:sz w:val="18"/>
                <w:szCs w:val="18"/>
              </w:rPr>
              <w:t>X2</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0.3387</w:t>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6"/>
              <w:jc w:val="right"/>
              <w:rPr>
                <w:rFonts w:ascii="宋体" w:hAnsi="宋体" w:cs="宋体" w:eastAsia="宋体" w:hint="default"/>
                <w:sz w:val="18"/>
                <w:szCs w:val="18"/>
              </w:rPr>
            </w:pPr>
            <w:r>
              <w:rPr>
                <w:rFonts w:ascii="宋体"/>
                <w:spacing w:val="-1"/>
                <w:sz w:val="18"/>
              </w:rPr>
              <w:t>0.2189</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123"/>
        <w:jc w:val="left"/>
        <w:rPr>
          <w:b w:val="0"/>
          <w:bCs w:val="0"/>
        </w:rPr>
      </w:pPr>
      <w:r>
        <w:rPr>
          <w:rFonts w:ascii="宋体" w:hAnsi="宋体" w:cs="宋体" w:eastAsia="宋体" w:hint="default"/>
        </w:rPr>
        <w:t>42</w:t>
      </w:r>
      <w:r>
        <w:rPr/>
        <w:t>、现金流量表附注</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）收到的其他与经营活动有关的现金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85"/>
      </w:tblGrid>
      <w:tr>
        <w:trPr>
          <w:trHeight w:val="398"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4,254,987.41</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除税收返还外的其他补贴收入等</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7,944,413.88</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施工、投标等保证金收支净额</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6,419,279.97</w:t>
            </w:r>
          </w:p>
        </w:tc>
      </w:tr>
    </w:tbl>
    <w:p>
      <w:pPr>
        <w:spacing w:after="0" w:line="240" w:lineRule="auto"/>
        <w:jc w:val="right"/>
        <w:rPr>
          <w:rFonts w:ascii="宋体" w:hAnsi="宋体" w:cs="宋体" w:eastAsia="宋体" w:hint="default"/>
          <w:sz w:val="18"/>
          <w:szCs w:val="18"/>
        </w:rPr>
        <w:sectPr>
          <w:pgSz w:w="11910" w:h="16840"/>
          <w:pgMar w:header="877" w:footer="1334" w:top="1100" w:bottom="154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保函及票据保证金收支净额</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8,045,821.59</w:t>
            </w:r>
          </w:p>
        </w:tc>
      </w:tr>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26,664,502.85</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2</w:t>
      </w:r>
      <w:r>
        <w:rPr/>
        <w:t>）支付的其他与经营活动有关的现金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398"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销售、管理费用等</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36,732,071.50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施工、投标、保函等保证金收支净额</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33,030,242.74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保函及票据保证金收支净额</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1,445,450.00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71,207,764.24</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3</w:t>
      </w:r>
      <w:r>
        <w:rPr/>
        <w:t>）收到的其他与投资活动有关的现金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4</w:t>
      </w:r>
      <w:r>
        <w:rPr/>
        <w:t>）支付的其他与投资活动有关的现金</w:t>
      </w:r>
      <w:r>
        <w:rPr>
          <w:b w:val="0"/>
          <w:bCs w:val="0"/>
        </w:rPr>
      </w:r>
    </w:p>
    <w:p>
      <w:pPr>
        <w:spacing w:line="240" w:lineRule="auto" w:before="13"/>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398"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收购中介费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380,000.00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380,000.00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宋体" w:hAnsi="宋体" w:cs="宋体" w:eastAsia="宋体" w:hint="default"/>
        </w:rPr>
        <w:t>5</w:t>
      </w:r>
      <w:r>
        <w:rPr/>
        <w:t>）收到的其他与筹资活动有关的现金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宋体" w:hAnsi="宋体" w:cs="宋体" w:eastAsia="宋体" w:hint="default"/>
        </w:rPr>
        <w:t>6</w:t>
      </w:r>
      <w:r>
        <w:rPr/>
        <w:t>）支付的其他与筹资活动有关的现金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398"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子公司达实信息归还商盈公司借款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1,000,000.00</w:t>
            </w:r>
          </w:p>
        </w:tc>
      </w:tr>
    </w:tbl>
    <w:p>
      <w:pPr>
        <w:spacing w:after="0" w:line="240" w:lineRule="auto"/>
        <w:jc w:val="right"/>
        <w:rPr>
          <w:rFonts w:ascii="宋体" w:hAnsi="宋体" w:cs="宋体" w:eastAsia="宋体" w:hint="default"/>
          <w:sz w:val="18"/>
          <w:szCs w:val="18"/>
        </w:rPr>
        <w:sectPr>
          <w:pgSz w:w="11910" w:h="16840"/>
          <w:pgMar w:header="877" w:footer="1334" w:top="1100" w:bottom="154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限制性股票中介费、上市年费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178,763.35</w:t>
            </w:r>
          </w:p>
        </w:tc>
      </w:tr>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1,178,763.35</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43</w:t>
      </w:r>
      <w:r>
        <w:rPr/>
        <w:t>、现金流量表补充资料</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123"/>
        <w:jc w:val="left"/>
        <w:rPr>
          <w:b w:val="0"/>
          <w:bCs w:val="0"/>
        </w:rPr>
      </w:pPr>
      <w:r>
        <w:rPr/>
        <w:t>（</w:t>
      </w:r>
      <w:r>
        <w:rPr>
          <w:rFonts w:ascii="宋体" w:hAnsi="宋体" w:cs="宋体" w:eastAsia="宋体" w:hint="default"/>
        </w:rPr>
        <w:t>1</w:t>
      </w:r>
      <w:r>
        <w:rPr/>
        <w:t>）现金流量表补充资料</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103,093,493.86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44,974,506.11</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10,252,726.77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6,216,624.77</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18,582,633.64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16,037,286.00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225,090.15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135,993.32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2,089,910.10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207,568.52</w:t>
            </w:r>
          </w:p>
        </w:tc>
      </w:tr>
      <w:tr>
        <w:trPr>
          <w:trHeight w:val="715"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-22,110.21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5,675.39</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2,503.50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62,070.88</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22,800.45</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1,643,849.99</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832,465.44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-399,352.70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-3,420.06</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16,463,314.92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-11,797,434.85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-195,486,774.81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-67,097,257.89</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143,462,566.13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17,886,703.97</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4,794,732.74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48,680.32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104,309,932.62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7,924,913.83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221,681,366.30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284,405,705.97</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298,781,247.03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426,025,826.74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-77,099,880.73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-141,620,120.77</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）本报告期取得或处置子公司及其他营业单位的相关信息</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334" w:top="1100" w:bottom="154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sz w:val="18"/>
              </w:rPr>
              <w:t>--</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3</w:t>
      </w:r>
      <w:r>
        <w:rPr/>
        <w:t>）现金和现金等价物的构成</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221,681,366.30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298,781,247.03</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249,811.13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241,181.49</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221,348,705.17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298,540,065.54</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82,850.00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221,681,366.30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298,781,247.03</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八、关联方及关联交易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3"/>
        <w:gridCol w:w="870"/>
        <w:gridCol w:w="870"/>
        <w:gridCol w:w="869"/>
        <w:gridCol w:w="871"/>
        <w:gridCol w:w="869"/>
        <w:gridCol w:w="871"/>
        <w:gridCol w:w="869"/>
        <w:gridCol w:w="872"/>
        <w:gridCol w:w="869"/>
        <w:gridCol w:w="862"/>
      </w:tblGrid>
      <w:tr>
        <w:trPr>
          <w:trHeight w:val="1334" w:hRule="exact"/>
        </w:trPr>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340"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母公司对 本企业的 持股比例 </w:t>
            </w: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0"/>
              <w:jc w:val="center"/>
              <w:rPr>
                <w:rFonts w:ascii="宋体" w:hAnsi="宋体" w:cs="宋体" w:eastAsia="宋体" w:hint="default"/>
                <w:sz w:val="18"/>
                <w:szCs w:val="18"/>
              </w:rPr>
            </w:pPr>
            <w:r>
              <w:rPr>
                <w:rFonts w:ascii="宋体" w:hAnsi="宋体" w:cs="宋体" w:eastAsia="宋体" w:hint="default"/>
                <w:sz w:val="18"/>
                <w:szCs w:val="18"/>
              </w:rPr>
              <w:t>母公司对 本企业的 表决权比 例</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2905" w:hRule="exact"/>
        </w:trPr>
        <w:tc>
          <w:tcPr>
            <w:tcW w:w="87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2" w:right="118"/>
              <w:jc w:val="both"/>
              <w:rPr>
                <w:rFonts w:ascii="宋体" w:hAnsi="宋体" w:cs="宋体" w:eastAsia="宋体" w:hint="default"/>
                <w:sz w:val="18"/>
                <w:szCs w:val="18"/>
              </w:rPr>
            </w:pPr>
            <w:r>
              <w:rPr>
                <w:rFonts w:ascii="宋体" w:hAnsi="宋体" w:cs="宋体" w:eastAsia="宋体" w:hint="default"/>
                <w:sz w:val="18"/>
                <w:szCs w:val="18"/>
              </w:rPr>
              <w:t>深圳市达 实投资发 展有限公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控股股东</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8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9"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21"/>
              <w:jc w:val="left"/>
              <w:rPr>
                <w:rFonts w:ascii="宋体" w:hAnsi="宋体" w:cs="宋体" w:eastAsia="宋体" w:hint="default"/>
                <w:sz w:val="18"/>
                <w:szCs w:val="18"/>
              </w:rPr>
            </w:pPr>
            <w:r>
              <w:rPr>
                <w:rFonts w:ascii="宋体" w:hAnsi="宋体" w:cs="宋体" w:eastAsia="宋体" w:hint="default"/>
                <w:sz w:val="18"/>
                <w:szCs w:val="18"/>
              </w:rPr>
              <w:t>投资兴办 </w:t>
            </w:r>
            <w:r>
              <w:rPr>
                <w:rFonts w:ascii="宋体" w:hAnsi="宋体" w:cs="宋体" w:eastAsia="宋体" w:hint="default"/>
                <w:spacing w:val="-18"/>
                <w:sz w:val="18"/>
                <w:szCs w:val="18"/>
              </w:rPr>
              <w:t>实业（具体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项目另 </w:t>
            </w:r>
            <w:r>
              <w:rPr>
                <w:rFonts w:ascii="宋体" w:hAnsi="宋体" w:cs="宋体" w:eastAsia="宋体" w:hint="default"/>
                <w:spacing w:val="-19"/>
                <w:sz w:val="18"/>
                <w:szCs w:val="18"/>
              </w:rPr>
              <w:t>报）；国内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商业、物资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供销业；软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件技术开 </w:t>
            </w:r>
            <w:r>
              <w:rPr>
                <w:rFonts w:ascii="宋体" w:hAnsi="宋体" w:cs="宋体" w:eastAsia="宋体" w:hint="default"/>
                <w:spacing w:val="-18"/>
                <w:sz w:val="18"/>
                <w:szCs w:val="18"/>
              </w:rPr>
              <w:t>发、经济信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息咨询</w:t>
            </w:r>
          </w:p>
        </w:tc>
        <w:tc>
          <w:tcPr>
            <w:tcW w:w="8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20,000,00</w:t>
            </w:r>
          </w:p>
          <w:p>
            <w:pPr>
              <w:pStyle w:val="TableParagraph"/>
              <w:spacing w:line="240" w:lineRule="auto" w:before="76"/>
              <w:ind w:right="1"/>
              <w:jc w:val="center"/>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86" w:right="0"/>
              <w:jc w:val="left"/>
              <w:rPr>
                <w:rFonts w:ascii="宋体" w:hAnsi="宋体" w:cs="宋体" w:eastAsia="宋体" w:hint="default"/>
                <w:sz w:val="18"/>
                <w:szCs w:val="18"/>
              </w:rPr>
            </w:pPr>
            <w:r>
              <w:rPr>
                <w:rFonts w:ascii="宋体"/>
                <w:sz w:val="18"/>
              </w:rPr>
              <w:t>29.04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86" w:right="0"/>
              <w:jc w:val="left"/>
              <w:rPr>
                <w:rFonts w:ascii="宋体" w:hAnsi="宋体" w:cs="宋体" w:eastAsia="宋体" w:hint="default"/>
                <w:sz w:val="18"/>
                <w:szCs w:val="18"/>
              </w:rPr>
            </w:pPr>
            <w:r>
              <w:rPr>
                <w:rFonts w:ascii="宋体"/>
                <w:sz w:val="18"/>
              </w:rPr>
              <w:t>29.04</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9"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8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27933775</w:t>
            </w:r>
          </w:p>
          <w:p>
            <w:pPr>
              <w:pStyle w:val="TableParagraph"/>
              <w:spacing w:line="240" w:lineRule="auto" w:before="76"/>
              <w:ind w:left="1" w:right="0"/>
              <w:jc w:val="center"/>
              <w:rPr>
                <w:rFonts w:ascii="宋体" w:hAnsi="宋体" w:cs="宋体" w:eastAsia="宋体" w:hint="default"/>
                <w:sz w:val="18"/>
                <w:szCs w:val="18"/>
              </w:rPr>
            </w:pPr>
            <w:r>
              <w:rPr>
                <w:rFonts w:ascii="宋体"/>
                <w:sz w:val="18"/>
              </w:rPr>
              <w:t>-0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60"/>
        <w:gridCol w:w="958"/>
        <w:gridCol w:w="956"/>
        <w:gridCol w:w="958"/>
        <w:gridCol w:w="955"/>
        <w:gridCol w:w="958"/>
        <w:gridCol w:w="958"/>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38" w:right="110" w:hanging="226"/>
              <w:jc w:val="left"/>
              <w:rPr>
                <w:rFonts w:ascii="宋体" w:hAnsi="宋体" w:cs="宋体" w:eastAsia="宋体" w:hint="default"/>
                <w:sz w:val="18"/>
                <w:szCs w:val="18"/>
              </w:rPr>
            </w:pPr>
            <w:r>
              <w:rPr>
                <w:rFonts w:ascii="宋体" w:hAnsi="宋体" w:cs="宋体" w:eastAsia="宋体" w:hint="default"/>
                <w:sz w:val="18"/>
                <w:szCs w:val="18"/>
              </w:rPr>
              <w:t>持股比例 </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1" w:right="19" w:hanging="315"/>
              <w:jc w:val="left"/>
              <w:rPr>
                <w:rFonts w:ascii="宋体" w:hAnsi="宋体" w:cs="宋体" w:eastAsia="宋体" w:hint="default"/>
                <w:sz w:val="18"/>
                <w:szCs w:val="18"/>
              </w:rPr>
            </w:pPr>
            <w:r>
              <w:rPr>
                <w:rFonts w:ascii="宋体" w:hAnsi="宋体" w:cs="宋体" w:eastAsia="宋体" w:hint="default"/>
                <w:sz w:val="18"/>
                <w:szCs w:val="18"/>
              </w:rPr>
              <w:t>表决权比例 </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bl>
    <w:p>
      <w:pPr>
        <w:spacing w:after="0" w:line="314" w:lineRule="auto"/>
        <w:jc w:val="left"/>
        <w:rPr>
          <w:rFonts w:ascii="宋体" w:hAnsi="宋体" w:cs="宋体" w:eastAsia="宋体" w:hint="default"/>
          <w:sz w:val="18"/>
          <w:szCs w:val="18"/>
        </w:rPr>
        <w:sectPr>
          <w:pgSz w:w="11910" w:h="16840"/>
          <w:pgMar w:header="877" w:footer="1334" w:top="1100" w:bottom="154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60"/>
        <w:gridCol w:w="958"/>
        <w:gridCol w:w="956"/>
        <w:gridCol w:w="958"/>
        <w:gridCol w:w="955"/>
        <w:gridCol w:w="958"/>
        <w:gridCol w:w="958"/>
      </w:tblGrid>
      <w:tr>
        <w:trPr>
          <w:trHeight w:val="2586"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达实自动化</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楼宇自动 化、工业自 动化、办公 自动化系统 的设计、开 发、安装、 调试及维修 服务。</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2,000,000.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90</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63135723-3</w:t>
            </w:r>
          </w:p>
        </w:tc>
      </w:tr>
      <w:tr>
        <w:trPr>
          <w:trHeight w:val="1339"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达实信息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张少华</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安防行业， 智能一卡通 和计算机系 统集成</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sz w:val="18"/>
              </w:rPr>
              <w:t>50,000,000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61890288-2</w:t>
            </w:r>
          </w:p>
        </w:tc>
      </w:tr>
      <w:tr>
        <w:trPr>
          <w:trHeight w:val="1338"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达实德润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沈宏明</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技术咨询服 务；计算机 系统服务及 维修</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2,739,726.</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45</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77765797-6</w:t>
            </w:r>
          </w:p>
        </w:tc>
      </w:tr>
      <w:tr>
        <w:trPr>
          <w:trHeight w:val="1962"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达实联欣</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21"/>
              <w:jc w:val="left"/>
              <w:rPr>
                <w:rFonts w:ascii="宋体" w:hAnsi="宋体" w:cs="宋体" w:eastAsia="宋体" w:hint="default"/>
                <w:sz w:val="18"/>
                <w:szCs w:val="18"/>
              </w:rPr>
            </w:pPr>
            <w:r>
              <w:rPr>
                <w:rFonts w:ascii="宋体" w:hAnsi="宋体" w:cs="宋体" w:eastAsia="宋体" w:hint="default"/>
                <w:sz w:val="18"/>
                <w:szCs w:val="18"/>
              </w:rPr>
              <w:t>建筑智能 化，安防行 业，电气及 设备集成系 统，技术咨 询服务</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40,000,000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7"/>
              <w:jc w:val="right"/>
              <w:rPr>
                <w:rFonts w:ascii="宋体" w:hAnsi="宋体" w:cs="宋体" w:eastAsia="宋体" w:hint="default"/>
                <w:sz w:val="18"/>
                <w:szCs w:val="18"/>
              </w:rPr>
            </w:pPr>
            <w:r>
              <w:rPr>
                <w:rFonts w:ascii="宋体"/>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7"/>
              <w:jc w:val="right"/>
              <w:rPr>
                <w:rFonts w:ascii="宋体" w:hAnsi="宋体" w:cs="宋体" w:eastAsia="宋体" w:hint="default"/>
                <w:sz w:val="18"/>
                <w:szCs w:val="18"/>
              </w:rPr>
            </w:pPr>
            <w:r>
              <w:rPr>
                <w:rFonts w:ascii="宋体"/>
                <w:sz w:val="18"/>
              </w:rPr>
              <w:t>51</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sz w:val="18"/>
              </w:rPr>
              <w:t>13212186-7</w:t>
            </w:r>
          </w:p>
        </w:tc>
      </w:tr>
      <w:tr>
        <w:trPr>
          <w:trHeight w:val="1964"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22"/>
              <w:jc w:val="both"/>
              <w:rPr>
                <w:rFonts w:ascii="宋体" w:hAnsi="宋体" w:cs="宋体" w:eastAsia="宋体" w:hint="default"/>
                <w:sz w:val="18"/>
                <w:szCs w:val="18"/>
              </w:rPr>
            </w:pPr>
            <w:r>
              <w:rPr>
                <w:rFonts w:ascii="宋体" w:hAnsi="宋体" w:cs="宋体" w:eastAsia="宋体" w:hint="default"/>
                <w:sz w:val="18"/>
                <w:szCs w:val="18"/>
              </w:rPr>
              <w:t>上海联欣金 山建筑科技 发展有限公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一人有限责 任</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陆启惠</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建筑智能 化，安防行 业，电气及 设备集成系 统，技术咨 询服务</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10,000,000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7"/>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7"/>
              <w:jc w:val="right"/>
              <w:rPr>
                <w:rFonts w:ascii="宋体" w:hAnsi="宋体" w:cs="宋体" w:eastAsia="宋体" w:hint="default"/>
                <w:sz w:val="18"/>
                <w:szCs w:val="18"/>
              </w:rPr>
            </w:pPr>
            <w:r>
              <w:rPr>
                <w:rFonts w:ascii="宋体"/>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sz w:val="18"/>
              </w:rPr>
              <w:t>59036764-5</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九、股份支付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12,300,500.00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股份支付情况的说明</w:t>
      </w:r>
    </w:p>
    <w:p>
      <w:pPr>
        <w:pStyle w:val="BodyText"/>
        <w:spacing w:line="357" w:lineRule="auto" w:before="72"/>
        <w:ind w:right="1130" w:firstLine="420"/>
        <w:jc w:val="both"/>
      </w:pP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25</w:t>
      </w:r>
      <w:r>
        <w:rPr/>
        <w:t>日，公司召开</w:t>
      </w:r>
      <w:r>
        <w:rPr>
          <w:rFonts w:ascii="宋体" w:hAnsi="宋体" w:cs="宋体" w:eastAsia="宋体" w:hint="default"/>
        </w:rPr>
        <w:t>2012</w:t>
      </w:r>
      <w:r>
        <w:rPr/>
        <w:t>年第一次临时股东大会审议通过了《深圳达实智能股份有限公司限制</w:t>
      </w:r>
      <w:r>
        <w:rPr>
          <w:w w:val="100"/>
        </w:rPr>
        <w:t> </w:t>
      </w:r>
      <w:r>
        <w:rPr/>
        <w:t>性股票激励计划（草案）》，根据股东大会对董事会的授权，公司已于</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28</w:t>
      </w:r>
      <w:r>
        <w:rPr/>
        <w:t>日完成了限制性股票</w:t>
      </w:r>
      <w:r>
        <w:rPr>
          <w:spacing w:val="-24"/>
        </w:rPr>
        <w:t> </w:t>
      </w:r>
      <w:r>
        <w:rPr>
          <w:spacing w:val="-24"/>
        </w:rPr>
      </w:r>
      <w:r>
        <w:rPr/>
        <w:t>的授予工作，具体情况情况如下：</w:t>
      </w:r>
    </w:p>
    <w:p>
      <w:pPr>
        <w:pStyle w:val="BodyText"/>
        <w:spacing w:line="240" w:lineRule="auto"/>
        <w:ind w:left="573" w:right="1123"/>
        <w:jc w:val="left"/>
      </w:pPr>
      <w:r>
        <w:rPr/>
        <w:t>（</w:t>
      </w:r>
      <w:r>
        <w:rPr>
          <w:rFonts w:ascii="宋体" w:hAnsi="宋体" w:cs="宋体" w:eastAsia="宋体" w:hint="default"/>
        </w:rPr>
        <w:t>1</w:t>
      </w:r>
      <w:r>
        <w:rPr/>
        <w:t>）授予日：董事会已确定授予日为</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14</w:t>
      </w:r>
      <w:r>
        <w:rPr/>
        <w:t>日。</w:t>
      </w:r>
    </w:p>
    <w:p>
      <w:pPr>
        <w:pStyle w:val="BodyText"/>
        <w:spacing w:line="240" w:lineRule="auto" w:before="133"/>
        <w:ind w:left="573" w:right="0"/>
        <w:jc w:val="left"/>
      </w:pPr>
      <w:r>
        <w:rPr/>
        <w:t>（</w:t>
      </w:r>
      <w:r>
        <w:rPr>
          <w:rFonts w:ascii="宋体" w:hAnsi="宋体" w:cs="宋体" w:eastAsia="宋体" w:hint="default"/>
        </w:rPr>
        <w:t>2</w:t>
      </w:r>
      <w:r>
        <w:rPr/>
        <w:t>）授予数量：公司本次的授予对象为</w:t>
      </w:r>
      <w:r>
        <w:rPr>
          <w:rFonts w:ascii="宋体" w:hAnsi="宋体" w:cs="宋体" w:eastAsia="宋体" w:hint="default"/>
        </w:rPr>
        <w:t>76</w:t>
      </w:r>
      <w:r>
        <w:rPr/>
        <w:t>人；授予数量为</w:t>
      </w:r>
      <w:r>
        <w:rPr>
          <w:rFonts w:ascii="宋体" w:hAnsi="宋体" w:cs="宋体" w:eastAsia="宋体" w:hint="default"/>
        </w:rPr>
        <w:t>300</w:t>
      </w:r>
      <w:r>
        <w:rPr/>
        <w:t>万股，占公司当前总股本</w:t>
      </w:r>
      <w:r>
        <w:rPr>
          <w:rFonts w:ascii="宋体" w:hAnsi="宋体" w:cs="宋体" w:eastAsia="宋体" w:hint="default"/>
        </w:rPr>
        <w:t>10,140</w:t>
      </w:r>
      <w:r>
        <w:rPr/>
        <w:t>万股的</w:t>
      </w:r>
    </w:p>
    <w:p>
      <w:pPr>
        <w:spacing w:after="0" w:line="240" w:lineRule="auto"/>
        <w:jc w:val="left"/>
        <w:sectPr>
          <w:pgSz w:w="11910" w:h="16840"/>
          <w:pgMar w:header="877" w:footer="1334" w:top="1100" w:bottom="1540" w:left="980" w:right="0"/>
        </w:sectPr>
      </w:pPr>
    </w:p>
    <w:p>
      <w:pPr>
        <w:spacing w:line="240" w:lineRule="auto" w:before="3"/>
        <w:rPr>
          <w:rFonts w:ascii="宋体" w:hAnsi="宋体" w:cs="宋体" w:eastAsia="宋体" w:hint="default"/>
          <w:sz w:val="19"/>
          <w:szCs w:val="19"/>
        </w:rPr>
      </w:pPr>
    </w:p>
    <w:p>
      <w:pPr>
        <w:pStyle w:val="BodyText"/>
        <w:spacing w:line="240" w:lineRule="auto" w:before="36"/>
        <w:ind w:right="1123"/>
        <w:jc w:val="left"/>
      </w:pPr>
      <w:r>
        <w:rPr>
          <w:rFonts w:ascii="宋体" w:hAnsi="宋体" w:cs="宋体" w:eastAsia="宋体" w:hint="default"/>
        </w:rPr>
        <w:t>2.96</w:t>
      </w:r>
      <w:r>
        <w:rPr/>
        <w:t>％。</w:t>
      </w:r>
    </w:p>
    <w:p>
      <w:pPr>
        <w:pStyle w:val="BodyText"/>
        <w:spacing w:line="240" w:lineRule="auto" w:before="133"/>
        <w:ind w:left="573" w:right="1123"/>
        <w:jc w:val="left"/>
      </w:pPr>
      <w:r>
        <w:rPr/>
        <w:t>（</w:t>
      </w:r>
      <w:r>
        <w:rPr>
          <w:rFonts w:ascii="宋体" w:hAnsi="宋体" w:cs="宋体" w:eastAsia="宋体" w:hint="default"/>
        </w:rPr>
        <w:t>3</w:t>
      </w:r>
      <w:r>
        <w:rPr/>
        <w:t>）授予价格：</w:t>
      </w:r>
      <w:r>
        <w:rPr>
          <w:rFonts w:ascii="宋体" w:hAnsi="宋体" w:cs="宋体" w:eastAsia="宋体" w:hint="default"/>
        </w:rPr>
        <w:t>8.51</w:t>
      </w:r>
      <w:r>
        <w:rPr/>
        <w:t>元／股。</w:t>
      </w:r>
    </w:p>
    <w:p>
      <w:pPr>
        <w:pStyle w:val="BodyText"/>
        <w:spacing w:line="240" w:lineRule="auto" w:before="133"/>
        <w:ind w:left="573" w:right="1123"/>
        <w:jc w:val="left"/>
      </w:pPr>
      <w:r>
        <w:rPr/>
        <w:t>（</w:t>
      </w:r>
      <w:r>
        <w:rPr>
          <w:rFonts w:ascii="宋体" w:hAnsi="宋体" w:cs="宋体" w:eastAsia="宋体" w:hint="default"/>
        </w:rPr>
        <w:t>4</w:t>
      </w:r>
      <w:r>
        <w:rPr/>
        <w:t>）股票来源：激励计划授予激励对象的标的股票来源为达实智能向激励对象定向发行新股。</w:t>
      </w:r>
    </w:p>
    <w:p>
      <w:pPr>
        <w:pStyle w:val="BodyText"/>
        <w:spacing w:line="355" w:lineRule="auto" w:before="135"/>
        <w:ind w:right="1126" w:firstLine="420"/>
        <w:jc w:val="both"/>
      </w:pPr>
      <w:r>
        <w:rPr>
          <w:spacing w:val="-2"/>
        </w:rPr>
        <w:t>（</w:t>
      </w:r>
      <w:r>
        <w:rPr>
          <w:rFonts w:ascii="宋体" w:hAnsi="宋体" w:cs="宋体" w:eastAsia="宋体" w:hint="default"/>
          <w:spacing w:val="-2"/>
        </w:rPr>
        <w:t>5</w:t>
      </w:r>
      <w:r>
        <w:rPr>
          <w:spacing w:val="-2"/>
        </w:rPr>
        <w:t>）激励计划的有效期：本计划有效期为</w:t>
      </w:r>
      <w:r>
        <w:rPr>
          <w:rFonts w:ascii="宋体" w:hAnsi="宋体" w:cs="宋体" w:eastAsia="宋体" w:hint="default"/>
          <w:spacing w:val="-2"/>
        </w:rPr>
        <w:t>4</w:t>
      </w:r>
      <w:r>
        <w:rPr>
          <w:spacing w:val="-2"/>
        </w:rPr>
        <w:t>年，其中禁售期为</w:t>
      </w:r>
      <w:r>
        <w:rPr>
          <w:rFonts w:ascii="宋体" w:hAnsi="宋体" w:cs="宋体" w:eastAsia="宋体" w:hint="default"/>
          <w:spacing w:val="-2"/>
        </w:rPr>
        <w:t>12</w:t>
      </w:r>
      <w:r>
        <w:rPr>
          <w:spacing w:val="-2"/>
        </w:rPr>
        <w:t>个月，解锁期为</w:t>
      </w:r>
      <w:r>
        <w:rPr>
          <w:rFonts w:ascii="宋体" w:hAnsi="宋体" w:cs="宋体" w:eastAsia="宋体" w:hint="default"/>
          <w:spacing w:val="-2"/>
        </w:rPr>
        <w:t>36</w:t>
      </w:r>
      <w:r>
        <w:rPr>
          <w:spacing w:val="-2"/>
        </w:rPr>
        <w:t>个月。公司授予激</w:t>
      </w:r>
      <w:r>
        <w:rPr>
          <w:w w:val="100"/>
        </w:rPr>
        <w:t> </w:t>
      </w:r>
      <w:r>
        <w:rPr>
          <w:spacing w:val="-2"/>
        </w:rPr>
        <w:t>励对象的限制性股票自授予之日起</w:t>
      </w:r>
      <w:r>
        <w:rPr>
          <w:rFonts w:ascii="宋体" w:hAnsi="宋体" w:cs="宋体" w:eastAsia="宋体" w:hint="default"/>
          <w:spacing w:val="-2"/>
        </w:rPr>
        <w:t>12</w:t>
      </w:r>
      <w:r>
        <w:rPr>
          <w:spacing w:val="-2"/>
        </w:rPr>
        <w:t>个月为禁售期。禁售期内，激励对象通过本激励计划持有的限制性股</w:t>
      </w:r>
      <w:r>
        <w:rPr>
          <w:spacing w:val="-41"/>
        </w:rPr>
        <w:t> </w:t>
      </w:r>
      <w:r>
        <w:rPr>
          <w:spacing w:val="-41"/>
        </w:rPr>
      </w:r>
      <w:r>
        <w:rPr>
          <w:spacing w:val="-2"/>
        </w:rPr>
        <w:t>票将被锁定不得转让、用于担保或偿还债务；禁售期后</w:t>
      </w:r>
      <w:r>
        <w:rPr>
          <w:rFonts w:ascii="宋体" w:hAnsi="宋体" w:cs="宋体" w:eastAsia="宋体" w:hint="default"/>
          <w:spacing w:val="-2"/>
        </w:rPr>
        <w:t>36</w:t>
      </w:r>
      <w:r>
        <w:rPr>
          <w:spacing w:val="-2"/>
        </w:rPr>
        <w:t>个月为解锁期。在解锁期内，在满足本激励计划</w:t>
      </w:r>
      <w:r>
        <w:rPr>
          <w:spacing w:val="-47"/>
        </w:rPr>
        <w:t> </w:t>
      </w:r>
      <w:r>
        <w:rPr>
          <w:spacing w:val="-47"/>
        </w:rPr>
      </w:r>
      <w:r>
        <w:rPr/>
        <w:t>规定的解锁条件时，激励对象可分三次申请标的股票解锁。解锁安排如表所示：</w:t>
      </w:r>
    </w:p>
    <w:p>
      <w:pPr>
        <w:spacing w:line="240" w:lineRule="auto" w:before="3"/>
        <w:rPr>
          <w:rFonts w:ascii="宋体" w:hAnsi="宋体" w:cs="宋体" w:eastAsia="宋体" w:hint="default"/>
          <w:sz w:val="5"/>
          <w:szCs w:val="5"/>
        </w:rPr>
      </w:pPr>
    </w:p>
    <w:tbl>
      <w:tblPr>
        <w:tblW w:w="0" w:type="auto"/>
        <w:jc w:val="left"/>
        <w:tblInd w:w="758" w:type="dxa"/>
        <w:tblLayout w:type="fixed"/>
        <w:tblCellMar>
          <w:top w:w="0" w:type="dxa"/>
          <w:left w:w="0" w:type="dxa"/>
          <w:bottom w:w="0" w:type="dxa"/>
          <w:right w:w="0" w:type="dxa"/>
        </w:tblCellMar>
        <w:tblLook w:val="01E0"/>
      </w:tblPr>
      <w:tblGrid>
        <w:gridCol w:w="1548"/>
        <w:gridCol w:w="5190"/>
        <w:gridCol w:w="1678"/>
      </w:tblGrid>
      <w:tr>
        <w:trPr>
          <w:trHeight w:val="737" w:hRule="exact"/>
        </w:trPr>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解锁期</w:t>
            </w:r>
          </w:p>
        </w:tc>
        <w:tc>
          <w:tcPr>
            <w:tcW w:w="5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解锁时间安排</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8"/>
              <w:ind w:left="2" w:right="92" w:firstLine="93"/>
              <w:jc w:val="left"/>
              <w:rPr>
                <w:rFonts w:ascii="Times New Roman" w:hAnsi="Times New Roman" w:cs="Times New Roman" w:eastAsia="Times New Roman" w:hint="default"/>
                <w:sz w:val="21"/>
                <w:szCs w:val="21"/>
              </w:rPr>
            </w:pPr>
            <w:r>
              <w:rPr>
                <w:rFonts w:ascii="宋体" w:hAnsi="宋体" w:cs="宋体" w:eastAsia="宋体" w:hint="default"/>
                <w:sz w:val="21"/>
                <w:szCs w:val="21"/>
              </w:rPr>
              <w:t>解锁数量占获授</w:t>
            </w:r>
            <w:r>
              <w:rPr>
                <w:rFonts w:ascii="宋体" w:hAnsi="宋体" w:cs="宋体" w:eastAsia="宋体" w:hint="default"/>
                <w:w w:val="100"/>
                <w:sz w:val="21"/>
                <w:szCs w:val="21"/>
              </w:rPr>
              <w:t> </w:t>
            </w:r>
            <w:r>
              <w:rPr>
                <w:rFonts w:ascii="宋体" w:hAnsi="宋体" w:cs="宋体" w:eastAsia="宋体" w:hint="default"/>
                <w:spacing w:val="-13"/>
                <w:w w:val="100"/>
                <w:sz w:val="21"/>
                <w:szCs w:val="21"/>
              </w:rPr>
              <w:t>股票数量比例（</w:t>
            </w:r>
            <w:r>
              <w:rPr>
                <w:rFonts w:ascii="Times New Roman" w:hAnsi="Times New Roman" w:cs="Times New Roman" w:eastAsia="Times New Roman" w:hint="default"/>
                <w:spacing w:val="-13"/>
                <w:w w:val="100"/>
                <w:sz w:val="21"/>
                <w:szCs w:val="21"/>
              </w:rPr>
              <w:t>%</w:t>
            </w:r>
          </w:p>
        </w:tc>
      </w:tr>
      <w:tr>
        <w:trPr>
          <w:trHeight w:val="740" w:hRule="exact"/>
        </w:trPr>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第一个</w:t>
            </w:r>
          </w:p>
        </w:tc>
        <w:tc>
          <w:tcPr>
            <w:tcW w:w="5190"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before="40"/>
              <w:ind w:left="2" w:right="125"/>
              <w:jc w:val="left"/>
              <w:rPr>
                <w:rFonts w:ascii="宋体" w:hAnsi="宋体" w:cs="宋体" w:eastAsia="宋体" w:hint="default"/>
                <w:sz w:val="21"/>
                <w:szCs w:val="21"/>
              </w:rPr>
            </w:pPr>
            <w:r>
              <w:rPr>
                <w:rFonts w:ascii="宋体" w:hAnsi="宋体" w:cs="宋体" w:eastAsia="宋体" w:hint="default"/>
                <w:spacing w:val="-2"/>
                <w:sz w:val="21"/>
                <w:szCs w:val="21"/>
              </w:rPr>
              <w:t>自授予日起</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个月后的首个交易日起至授予日起</w:t>
            </w:r>
            <w:r>
              <w:rPr>
                <w:rFonts w:ascii="Times New Roman" w:hAnsi="Times New Roman" w:cs="Times New Roman" w:eastAsia="Times New Roman" w:hint="default"/>
                <w:spacing w:val="-2"/>
                <w:sz w:val="21"/>
                <w:szCs w:val="21"/>
              </w:rPr>
              <w:t>24</w:t>
            </w:r>
            <w:r>
              <w:rPr>
                <w:rFonts w:ascii="宋体" w:hAnsi="宋体" w:cs="宋体" w:eastAsia="宋体" w:hint="default"/>
                <w:spacing w:val="-2"/>
                <w:sz w:val="21"/>
                <w:szCs w:val="21"/>
              </w:rPr>
              <w:t>个月</w:t>
            </w:r>
            <w:r>
              <w:rPr>
                <w:rFonts w:ascii="宋体" w:hAnsi="宋体" w:cs="宋体" w:eastAsia="宋体" w:hint="default"/>
                <w:spacing w:val="-55"/>
                <w:sz w:val="21"/>
                <w:szCs w:val="21"/>
              </w:rPr>
              <w:t> </w:t>
            </w:r>
            <w:r>
              <w:rPr>
                <w:rFonts w:ascii="宋体" w:hAnsi="宋体" w:cs="宋体" w:eastAsia="宋体" w:hint="default"/>
                <w:sz w:val="21"/>
                <w:szCs w:val="21"/>
              </w:rPr>
              <w:t>内的最后一个交易日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Times New Roman" w:hAnsi="Times New Roman" w:cs="Times New Roman" w:eastAsia="Times New Roman" w:hint="default"/>
                <w:sz w:val="21"/>
                <w:szCs w:val="21"/>
              </w:rPr>
            </w:pPr>
            <w:r>
              <w:rPr>
                <w:rFonts w:ascii="Times New Roman"/>
                <w:sz w:val="21"/>
              </w:rPr>
              <w:t>30</w:t>
            </w:r>
          </w:p>
        </w:tc>
      </w:tr>
      <w:tr>
        <w:trPr>
          <w:trHeight w:val="739" w:hRule="exact"/>
        </w:trPr>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第二个</w:t>
            </w:r>
          </w:p>
        </w:tc>
        <w:tc>
          <w:tcPr>
            <w:tcW w:w="519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40"/>
              <w:ind w:left="2" w:right="125"/>
              <w:jc w:val="left"/>
              <w:rPr>
                <w:rFonts w:ascii="宋体" w:hAnsi="宋体" w:cs="宋体" w:eastAsia="宋体" w:hint="default"/>
                <w:sz w:val="21"/>
                <w:szCs w:val="21"/>
              </w:rPr>
            </w:pPr>
            <w:r>
              <w:rPr>
                <w:rFonts w:ascii="宋体" w:hAnsi="宋体" w:cs="宋体" w:eastAsia="宋体" w:hint="default"/>
                <w:spacing w:val="-2"/>
                <w:sz w:val="21"/>
                <w:szCs w:val="21"/>
              </w:rPr>
              <w:t>自授予日起</w:t>
            </w:r>
            <w:r>
              <w:rPr>
                <w:rFonts w:ascii="Times New Roman" w:hAnsi="Times New Roman" w:cs="Times New Roman" w:eastAsia="Times New Roman" w:hint="default"/>
                <w:spacing w:val="-2"/>
                <w:sz w:val="21"/>
                <w:szCs w:val="21"/>
              </w:rPr>
              <w:t>24</w:t>
            </w:r>
            <w:r>
              <w:rPr>
                <w:rFonts w:ascii="宋体" w:hAnsi="宋体" w:cs="宋体" w:eastAsia="宋体" w:hint="default"/>
                <w:spacing w:val="-2"/>
                <w:sz w:val="21"/>
                <w:szCs w:val="21"/>
              </w:rPr>
              <w:t>个月后的首个交易日起至授予日起</w:t>
            </w:r>
            <w:r>
              <w:rPr>
                <w:rFonts w:ascii="Times New Roman" w:hAnsi="Times New Roman" w:cs="Times New Roman" w:eastAsia="Times New Roman" w:hint="default"/>
                <w:spacing w:val="-2"/>
                <w:sz w:val="21"/>
                <w:szCs w:val="21"/>
              </w:rPr>
              <w:t>36</w:t>
            </w:r>
            <w:r>
              <w:rPr>
                <w:rFonts w:ascii="宋体" w:hAnsi="宋体" w:cs="宋体" w:eastAsia="宋体" w:hint="default"/>
                <w:spacing w:val="-2"/>
                <w:sz w:val="21"/>
                <w:szCs w:val="21"/>
              </w:rPr>
              <w:t>个月</w:t>
            </w:r>
            <w:r>
              <w:rPr>
                <w:rFonts w:ascii="宋体" w:hAnsi="宋体" w:cs="宋体" w:eastAsia="宋体" w:hint="default"/>
                <w:spacing w:val="-55"/>
                <w:sz w:val="21"/>
                <w:szCs w:val="21"/>
              </w:rPr>
              <w:t> </w:t>
            </w:r>
            <w:r>
              <w:rPr>
                <w:rFonts w:ascii="宋体" w:hAnsi="宋体" w:cs="宋体" w:eastAsia="宋体" w:hint="default"/>
                <w:sz w:val="21"/>
                <w:szCs w:val="21"/>
              </w:rPr>
              <w:t>内的最后一个交易日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Times New Roman" w:hAnsi="Times New Roman" w:cs="Times New Roman" w:eastAsia="Times New Roman" w:hint="default"/>
                <w:sz w:val="21"/>
                <w:szCs w:val="21"/>
              </w:rPr>
            </w:pPr>
            <w:r>
              <w:rPr>
                <w:rFonts w:ascii="Times New Roman"/>
                <w:sz w:val="21"/>
              </w:rPr>
              <w:t>30</w:t>
            </w:r>
          </w:p>
        </w:tc>
      </w:tr>
      <w:tr>
        <w:trPr>
          <w:trHeight w:val="739" w:hRule="exact"/>
        </w:trPr>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第三个</w:t>
            </w:r>
          </w:p>
        </w:tc>
        <w:tc>
          <w:tcPr>
            <w:tcW w:w="519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40"/>
              <w:ind w:left="2" w:right="125"/>
              <w:jc w:val="left"/>
              <w:rPr>
                <w:rFonts w:ascii="宋体" w:hAnsi="宋体" w:cs="宋体" w:eastAsia="宋体" w:hint="default"/>
                <w:sz w:val="21"/>
                <w:szCs w:val="21"/>
              </w:rPr>
            </w:pPr>
            <w:r>
              <w:rPr>
                <w:rFonts w:ascii="宋体" w:hAnsi="宋体" w:cs="宋体" w:eastAsia="宋体" w:hint="default"/>
                <w:spacing w:val="-2"/>
                <w:sz w:val="21"/>
                <w:szCs w:val="21"/>
              </w:rPr>
              <w:t>自授予日起</w:t>
            </w:r>
            <w:r>
              <w:rPr>
                <w:rFonts w:ascii="Times New Roman" w:hAnsi="Times New Roman" w:cs="Times New Roman" w:eastAsia="Times New Roman" w:hint="default"/>
                <w:spacing w:val="-2"/>
                <w:sz w:val="21"/>
                <w:szCs w:val="21"/>
              </w:rPr>
              <w:t>36</w:t>
            </w:r>
            <w:r>
              <w:rPr>
                <w:rFonts w:ascii="宋体" w:hAnsi="宋体" w:cs="宋体" w:eastAsia="宋体" w:hint="default"/>
                <w:spacing w:val="-2"/>
                <w:sz w:val="21"/>
                <w:szCs w:val="21"/>
              </w:rPr>
              <w:t>个月后的首个交易日起至授予日起</w:t>
            </w:r>
            <w:r>
              <w:rPr>
                <w:rFonts w:ascii="Times New Roman" w:hAnsi="Times New Roman" w:cs="Times New Roman" w:eastAsia="Times New Roman" w:hint="default"/>
                <w:spacing w:val="-2"/>
                <w:sz w:val="21"/>
                <w:szCs w:val="21"/>
              </w:rPr>
              <w:t>48</w:t>
            </w:r>
            <w:r>
              <w:rPr>
                <w:rFonts w:ascii="宋体" w:hAnsi="宋体" w:cs="宋体" w:eastAsia="宋体" w:hint="default"/>
                <w:spacing w:val="-2"/>
                <w:sz w:val="21"/>
                <w:szCs w:val="21"/>
              </w:rPr>
              <w:t>个月</w:t>
            </w:r>
            <w:r>
              <w:rPr>
                <w:rFonts w:ascii="宋体" w:hAnsi="宋体" w:cs="宋体" w:eastAsia="宋体" w:hint="default"/>
                <w:spacing w:val="-55"/>
                <w:sz w:val="21"/>
                <w:szCs w:val="21"/>
              </w:rPr>
              <w:t> </w:t>
            </w:r>
            <w:r>
              <w:rPr>
                <w:rFonts w:ascii="宋体" w:hAnsi="宋体" w:cs="宋体" w:eastAsia="宋体" w:hint="default"/>
                <w:sz w:val="21"/>
                <w:szCs w:val="21"/>
              </w:rPr>
              <w:t>内的最后一个交易日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Times New Roman" w:hAnsi="Times New Roman" w:cs="Times New Roman" w:eastAsia="Times New Roman" w:hint="default"/>
                <w:sz w:val="21"/>
                <w:szCs w:val="21"/>
              </w:rPr>
            </w:pPr>
            <w:r>
              <w:rPr>
                <w:rFonts w:ascii="Times New Roman"/>
                <w:sz w:val="21"/>
              </w:rPr>
              <w:t>40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62"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宋体" w:hAnsi="宋体" w:cs="宋体" w:eastAsia="宋体" w:hint="default"/>
                <w:sz w:val="18"/>
                <w:szCs w:val="18"/>
              </w:rPr>
              <w:t>-</w:t>
            </w:r>
            <w:r>
              <w:rPr>
                <w:rFonts w:ascii="宋体" w:hAnsi="宋体" w:cs="宋体" w:eastAsia="宋体" w:hint="default"/>
                <w:sz w:val="18"/>
                <w:szCs w:val="18"/>
              </w:rPr>
              <w:t>舒尔斯期权定价模型</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5,245,309.03</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5,245,309.03</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以权益结算的股份支付的说明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334" w:top="1100" w:bottom="1540" w:left="980" w:right="0"/>
        </w:sectPr>
      </w:pPr>
    </w:p>
    <w:p>
      <w:pPr>
        <w:spacing w:line="240" w:lineRule="auto" w:before="0"/>
        <w:rPr>
          <w:rFonts w:ascii="宋体" w:hAnsi="宋体" w:cs="宋体" w:eastAsia="宋体" w:hint="default"/>
          <w:b/>
          <w:bCs/>
          <w:sz w:val="18"/>
          <w:szCs w:val="18"/>
        </w:rPr>
      </w:pPr>
    </w:p>
    <w:p>
      <w:pPr>
        <w:spacing w:before="161"/>
        <w:ind w:left="152" w:right="-20" w:firstLine="0"/>
        <w:jc w:val="left"/>
        <w:rPr>
          <w:rFonts w:ascii="宋体" w:hAnsi="宋体" w:cs="宋体" w:eastAsia="宋体" w:hint="default"/>
          <w:sz w:val="18"/>
          <w:szCs w:val="18"/>
        </w:rPr>
      </w:pPr>
      <w:r>
        <w:rPr>
          <w:rFonts w:ascii="宋体" w:hAnsi="宋体" w:cs="宋体" w:eastAsia="宋体" w:hint="default"/>
          <w:sz w:val="18"/>
          <w:szCs w:val="18"/>
        </w:rPr>
        <w:t>以现金结算的股份支付的说明</w:t>
      </w:r>
    </w:p>
    <w:p>
      <w:pPr>
        <w:spacing w:line="240" w:lineRule="auto" w:before="0"/>
        <w:rPr>
          <w:rFonts w:ascii="宋体" w:hAnsi="宋体" w:cs="宋体" w:eastAsia="宋体" w:hint="default"/>
          <w:sz w:val="18"/>
          <w:szCs w:val="18"/>
        </w:rPr>
      </w:pPr>
    </w:p>
    <w:p>
      <w:pPr>
        <w:pStyle w:val="Heading3"/>
        <w:spacing w:line="240" w:lineRule="auto" w:before="120"/>
        <w:ind w:right="-20"/>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before="44"/>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980" w:right="0"/>
          <w:cols w:num="2" w:equalWidth="0">
            <w:col w:w="2493" w:space="6336"/>
            <w:col w:w="2101"/>
          </w:cols>
        </w:sectPr>
      </w:pPr>
    </w:p>
    <w:p>
      <w:pPr>
        <w:spacing w:line="240" w:lineRule="auto" w:before="13"/>
        <w:rPr>
          <w:rFonts w:ascii="宋体" w:hAnsi="宋体" w:cs="宋体" w:eastAsia="宋体" w:hint="default"/>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12,300,500.00</w:t>
            </w:r>
          </w:p>
        </w:tc>
      </w:tr>
    </w:tbl>
    <w:p>
      <w:pPr>
        <w:spacing w:after="0" w:line="240" w:lineRule="auto"/>
        <w:jc w:val="right"/>
        <w:rPr>
          <w:rFonts w:ascii="宋体" w:hAnsi="宋体" w:cs="宋体" w:eastAsia="宋体" w:hint="default"/>
          <w:sz w:val="18"/>
          <w:szCs w:val="18"/>
        </w:rPr>
        <w:sectPr>
          <w:type w:val="continuous"/>
          <w:pgSz w:w="11910" w:h="16840"/>
          <w:pgMar w:top="1580" w:bottom="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11"/>
        <w:rPr>
          <w:rFonts w:ascii="宋体" w:hAnsi="宋体" w:cs="宋体" w:eastAsia="宋体" w:hint="default"/>
          <w:b/>
          <w:bCs/>
          <w:sz w:val="22"/>
          <w:szCs w:val="22"/>
        </w:rPr>
      </w:pPr>
    </w:p>
    <w:p>
      <w:pPr>
        <w:spacing w:line="506" w:lineRule="auto" w:before="0"/>
        <w:ind w:left="152" w:right="6104" w:firstLine="0"/>
        <w:jc w:val="left"/>
        <w:rPr>
          <w:rFonts w:ascii="宋体" w:hAnsi="宋体" w:cs="宋体" w:eastAsia="宋体" w:hint="default"/>
          <w:sz w:val="18"/>
          <w:szCs w:val="18"/>
        </w:rPr>
      </w:pPr>
      <w:r>
        <w:rPr>
          <w:rFonts w:ascii="宋体" w:hAnsi="宋体" w:cs="宋体" w:eastAsia="宋体" w:hint="default"/>
          <w:b/>
          <w:bCs/>
          <w:sz w:val="24"/>
          <w:szCs w:val="24"/>
        </w:rPr>
        <w:t>十、或有事项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、未决诉讼或仲裁形成的或有负债及其财务影响</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18"/>
          <w:szCs w:val="18"/>
        </w:rPr>
        <w:t>无</w:t>
      </w:r>
    </w:p>
    <w:p>
      <w:pPr>
        <w:pStyle w:val="Heading3"/>
        <w:spacing w:line="240" w:lineRule="auto" w:before="156"/>
        <w:ind w:right="1123"/>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无 其他或有负债及其财务影响</w:t>
      </w:r>
    </w:p>
    <w:p>
      <w:pPr>
        <w:spacing w:line="240" w:lineRule="auto" w:before="3"/>
        <w:rPr>
          <w:rFonts w:ascii="宋体" w:hAnsi="宋体" w:cs="宋体" w:eastAsia="宋体" w:hint="default"/>
          <w:sz w:val="18"/>
          <w:szCs w:val="18"/>
        </w:rPr>
      </w:pPr>
    </w:p>
    <w:p>
      <w:pPr>
        <w:pStyle w:val="Heading2"/>
        <w:spacing w:line="240" w:lineRule="auto"/>
        <w:ind w:right="1123"/>
        <w:jc w:val="left"/>
        <w:rPr>
          <w:b w:val="0"/>
          <w:bCs w:val="0"/>
        </w:rPr>
      </w:pPr>
      <w:r>
        <w:rPr/>
        <w:t>十一、承诺事项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4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100"/>
          <w:sz w:val="21"/>
          <w:szCs w:val="21"/>
        </w:rPr>
        <w:t> </w:t>
      </w:r>
      <w:r>
        <w:rPr>
          <w:rFonts w:ascii="宋体" w:hAnsi="宋体" w:cs="宋体" w:eastAsia="宋体" w:hint="default"/>
          <w:b/>
          <w:bCs/>
          <w:sz w:val="24"/>
          <w:szCs w:val="24"/>
        </w:rPr>
        <w:t>十二、资产负债表日后事项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、资产负债表日后利润分配情况说明</w:t>
      </w:r>
      <w:r>
        <w:rPr>
          <w:rFonts w:ascii="宋体" w:hAnsi="宋体" w:cs="宋体" w:eastAsia="宋体" w:hint="default"/>
          <w:spacing w:val="-1"/>
          <w:sz w:val="21"/>
          <w:szCs w:val="21"/>
        </w:rPr>
      </w:r>
    </w:p>
    <w:p>
      <w:pPr>
        <w:spacing w:before="10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10,440,000.00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10,440,000.00</w:t>
            </w:r>
          </w:p>
        </w:tc>
      </w:tr>
    </w:tbl>
    <w:p>
      <w:pPr>
        <w:spacing w:line="240" w:lineRule="auto" w:before="1"/>
        <w:rPr>
          <w:rFonts w:ascii="宋体" w:hAnsi="宋体" w:cs="宋体" w:eastAsia="宋体" w:hint="default"/>
          <w:sz w:val="18"/>
          <w:szCs w:val="18"/>
        </w:rPr>
      </w:pPr>
    </w:p>
    <w:p>
      <w:pPr>
        <w:spacing w:line="506" w:lineRule="auto" w:before="26"/>
        <w:ind w:left="152" w:right="8592" w:firstLine="0"/>
        <w:jc w:val="left"/>
        <w:rPr>
          <w:rFonts w:ascii="宋体" w:hAnsi="宋体" w:cs="宋体" w:eastAsia="宋体" w:hint="default"/>
          <w:sz w:val="18"/>
          <w:szCs w:val="18"/>
        </w:rPr>
      </w:pPr>
      <w:r>
        <w:rPr>
          <w:rFonts w:ascii="宋体" w:hAnsi="宋体" w:cs="宋体" w:eastAsia="宋体" w:hint="default"/>
          <w:b/>
          <w:bCs/>
          <w:sz w:val="24"/>
          <w:szCs w:val="24"/>
        </w:rPr>
        <w:t>十三、其他重要事项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3"/>
        <w:spacing w:line="240" w:lineRule="auto" w:before="156"/>
        <w:ind w:right="112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1"/>
        <w:rPr>
          <w:rFonts w:ascii="宋体" w:hAnsi="宋体" w:cs="宋体" w:eastAsia="宋体" w:hint="default"/>
          <w:b/>
          <w:bCs/>
          <w:sz w:val="23"/>
          <w:szCs w:val="23"/>
        </w:rPr>
      </w:pPr>
    </w:p>
    <w:p>
      <w:pPr>
        <w:pStyle w:val="BodyText"/>
        <w:spacing w:line="355" w:lineRule="auto" w:before="0"/>
        <w:ind w:left="573" w:right="1123"/>
        <w:jc w:val="left"/>
      </w:pPr>
      <w:r>
        <w:rPr/>
        <w:t>报告期内，公司收购的两家控股子公司，本期纳入合并报告范围</w:t>
      </w:r>
      <w:r>
        <w:rPr>
          <w:rFonts w:ascii="宋体" w:hAnsi="宋体" w:cs="宋体" w:eastAsia="宋体" w:hint="default"/>
        </w:rPr>
        <w:t>,</w:t>
      </w:r>
      <w:r>
        <w:rPr/>
        <w:t>分别是达实德润、达实联欣。</w:t>
      </w:r>
      <w:r>
        <w:rPr>
          <w:w w:val="100"/>
        </w:rPr>
        <w:t> </w:t>
      </w:r>
      <w:r>
        <w:rPr>
          <w:rFonts w:ascii="宋体" w:hAnsi="宋体" w:cs="宋体" w:eastAsia="宋体" w:hint="default"/>
          <w:spacing w:val="-2"/>
        </w:rPr>
        <w:t>1</w:t>
      </w:r>
      <w:r>
        <w:rPr>
          <w:spacing w:val="-2"/>
        </w:rPr>
        <w:t>、公司持有达实德润</w:t>
      </w:r>
      <w:r>
        <w:rPr>
          <w:rFonts w:ascii="宋体" w:hAnsi="宋体" w:cs="宋体" w:eastAsia="宋体" w:hint="default"/>
          <w:spacing w:val="-2"/>
        </w:rPr>
        <w:t>45%</w:t>
      </w:r>
      <w:r>
        <w:rPr>
          <w:spacing w:val="-2"/>
        </w:rPr>
        <w:t>的股权，是其最大的股东，属于相对控股，该公司于</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6</w:t>
      </w:r>
      <w:r>
        <w:rPr>
          <w:spacing w:val="-2"/>
        </w:rPr>
        <w:t>日完成了工</w:t>
      </w:r>
    </w:p>
    <w:p>
      <w:pPr>
        <w:pStyle w:val="BodyText"/>
        <w:spacing w:line="240" w:lineRule="auto" w:before="32"/>
        <w:ind w:right="1123"/>
        <w:jc w:val="left"/>
      </w:pPr>
      <w:r>
        <w:rPr/>
        <w:t>商登记变更；</w:t>
      </w:r>
    </w:p>
    <w:p>
      <w:pPr>
        <w:pStyle w:val="BodyText"/>
        <w:spacing w:line="240" w:lineRule="auto" w:before="133"/>
        <w:ind w:left="573" w:right="1123"/>
        <w:jc w:val="left"/>
      </w:pPr>
      <w:r>
        <w:rPr>
          <w:rFonts w:ascii="宋体" w:hAnsi="宋体" w:cs="宋体" w:eastAsia="宋体" w:hint="default"/>
        </w:rPr>
        <w:t>2</w:t>
      </w:r>
      <w:r>
        <w:rPr/>
        <w:t>、公司持有达实联欣</w:t>
      </w:r>
      <w:r>
        <w:rPr>
          <w:rFonts w:ascii="宋体" w:hAnsi="宋体" w:cs="宋体" w:eastAsia="宋体" w:hint="default"/>
        </w:rPr>
        <w:t>51%</w:t>
      </w:r>
      <w:r>
        <w:rPr/>
        <w:t>股权，绝对控股，该公司于</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29</w:t>
      </w:r>
      <w:r>
        <w:rPr/>
        <w:t>日完成了工商登记变更。</w:t>
      </w:r>
    </w:p>
    <w:p>
      <w:pPr>
        <w:spacing w:after="0" w:line="240" w:lineRule="auto"/>
        <w:jc w:val="left"/>
        <w:sectPr>
          <w:pgSz w:w="11910" w:h="16840"/>
          <w:pgMar w:header="877" w:footer="1334" w:top="1100" w:bottom="154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2"/>
        <w:rPr>
          <w:rFonts w:ascii="宋体" w:hAnsi="宋体" w:cs="宋体" w:eastAsia="宋体" w:hint="default"/>
          <w:b/>
          <w:bCs/>
          <w:sz w:val="23"/>
          <w:szCs w:val="23"/>
        </w:rPr>
      </w:pPr>
    </w:p>
    <w:p>
      <w:pPr>
        <w:pStyle w:val="BodyText"/>
        <w:spacing w:line="355" w:lineRule="auto" w:before="0"/>
        <w:ind w:right="1123" w:firstLine="420"/>
        <w:jc w:val="left"/>
      </w:pP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25</w:t>
      </w:r>
      <w:r>
        <w:rPr/>
        <w:t>日，公司与全资子公司深圳达实信息技术有限公司签订了办公场地租赁合同，租赁期限</w:t>
      </w:r>
      <w:r>
        <w:rPr>
          <w:w w:val="100"/>
        </w:rPr>
        <w:t> </w:t>
      </w:r>
      <w:r>
        <w:rPr/>
        <w:t>为</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1</w:t>
      </w:r>
      <w:r>
        <w:rPr/>
        <w:t>日至</w:t>
      </w:r>
      <w:r>
        <w:rPr>
          <w:rFonts w:ascii="宋体" w:hAnsi="宋体" w:cs="宋体" w:eastAsia="宋体" w:hint="default"/>
        </w:rPr>
        <w:t>2021</w:t>
      </w:r>
      <w:r>
        <w:rPr/>
        <w:t>年</w:t>
      </w:r>
      <w:r>
        <w:rPr>
          <w:rFonts w:ascii="宋体" w:hAnsi="宋体" w:cs="宋体" w:eastAsia="宋体" w:hint="default"/>
        </w:rPr>
        <w:t>1</w:t>
      </w:r>
      <w:r>
        <w:rPr/>
        <w:t>月</w:t>
      </w:r>
      <w:r>
        <w:rPr>
          <w:rFonts w:ascii="宋体" w:hAnsi="宋体" w:cs="宋体" w:eastAsia="宋体" w:hint="default"/>
        </w:rPr>
        <w:t>31</w:t>
      </w:r>
      <w:r>
        <w:rPr/>
        <w:t>日，年租金为</w:t>
      </w:r>
      <w:r>
        <w:rPr>
          <w:rFonts w:ascii="宋体" w:hAnsi="宋体" w:cs="宋体" w:eastAsia="宋体" w:hint="default"/>
        </w:rPr>
        <w:t>3,334,195.00</w:t>
      </w:r>
      <w:r>
        <w:rPr/>
        <w:t>元。</w:t>
      </w:r>
    </w:p>
    <w:p>
      <w:pPr>
        <w:spacing w:line="240" w:lineRule="auto" w:before="1"/>
        <w:rPr>
          <w:rFonts w:ascii="宋体" w:hAnsi="宋体" w:cs="宋体" w:eastAsia="宋体" w:hint="default"/>
          <w:sz w:val="27"/>
          <w:szCs w:val="27"/>
        </w:rPr>
      </w:pPr>
    </w:p>
    <w:p>
      <w:pPr>
        <w:pStyle w:val="Heading3"/>
        <w:spacing w:line="489" w:lineRule="auto"/>
        <w:ind w:left="573" w:right="6434" w:hanging="421"/>
        <w:jc w:val="left"/>
        <w:rPr>
          <w:rFonts w:ascii="宋体" w:hAnsi="宋体" w:cs="宋体" w:eastAsia="宋体" w:hint="default"/>
          <w:b w:val="0"/>
          <w:bCs w:val="0"/>
        </w:rPr>
      </w:pPr>
      <w:r>
        <w:rPr>
          <w:rFonts w:ascii="Times New Roman" w:hAnsi="Times New Roman" w:cs="Times New Roman" w:eastAsia="Times New Roman" w:hint="default"/>
          <w:spacing w:val="-1"/>
        </w:rPr>
        <w:t>5</w:t>
      </w:r>
      <w:r>
        <w:rPr>
          <w:spacing w:val="-1"/>
        </w:rPr>
        <w:t>、期末发行在外的、可转换为股份的金融工具</w:t>
      </w:r>
      <w:r>
        <w:rPr>
          <w:spacing w:val="-83"/>
        </w:rPr>
        <w:t> </w:t>
      </w:r>
      <w:r>
        <w:rPr>
          <w:spacing w:val="-83"/>
        </w:rPr>
      </w:r>
      <w:r>
        <w:rPr>
          <w:rFonts w:ascii="宋体" w:hAnsi="宋体" w:cs="宋体" w:eastAsia="宋体" w:hint="default"/>
          <w:b w:val="0"/>
          <w:bCs w:val="0"/>
        </w:rPr>
        <w:t>无</w:t>
      </w:r>
    </w:p>
    <w:p>
      <w:pPr>
        <w:spacing w:line="240" w:lineRule="auto" w:before="1"/>
        <w:rPr>
          <w:rFonts w:ascii="宋体" w:hAnsi="宋体" w:cs="宋体" w:eastAsia="宋体" w:hint="default"/>
          <w:sz w:val="18"/>
          <w:szCs w:val="18"/>
        </w:rPr>
      </w:pPr>
    </w:p>
    <w:p>
      <w:pPr>
        <w:pStyle w:val="Heading3"/>
        <w:spacing w:line="240" w:lineRule="auto"/>
        <w:ind w:right="1123"/>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44"/>
        <w:gridCol w:w="1532"/>
        <w:gridCol w:w="1517"/>
        <w:gridCol w:w="1517"/>
        <w:gridCol w:w="1528"/>
        <w:gridCol w:w="1522"/>
      </w:tblGrid>
      <w:tr>
        <w:trPr>
          <w:trHeight w:val="161" w:hRule="exact"/>
        </w:trPr>
        <w:tc>
          <w:tcPr>
            <w:tcW w:w="1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71"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7" w:right="30"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8" w:hRule="exact"/>
        </w:trPr>
        <w:tc>
          <w:tcPr>
            <w:tcW w:w="1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7"/>
                <w:sz w:val="18"/>
                <w:szCs w:val="18"/>
              </w:rPr>
              <w:t>融资产（不含衍生金融资</w:t>
            </w:r>
            <w:r>
              <w:rPr>
                <w:rFonts w:ascii="宋体" w:hAnsi="宋体" w:cs="宋体" w:eastAsia="宋体" w:hint="default"/>
                <w:sz w:val="18"/>
                <w:szCs w:val="18"/>
              </w:rPr>
              <w:t> 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5"/>
              <w:jc w:val="right"/>
              <w:rPr>
                <w:rFonts w:ascii="宋体" w:hAnsi="宋体" w:cs="宋体" w:eastAsia="宋体" w:hint="default"/>
                <w:sz w:val="18"/>
                <w:szCs w:val="18"/>
              </w:rPr>
            </w:pPr>
            <w:r>
              <w:rPr>
                <w:rFonts w:ascii="宋体"/>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-22,800.45</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339,591.58</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5"/>
              <w:jc w:val="right"/>
              <w:rPr>
                <w:rFonts w:ascii="宋体" w:hAnsi="宋体" w:cs="宋体" w:eastAsia="宋体" w:hint="default"/>
                <w:sz w:val="18"/>
                <w:szCs w:val="18"/>
              </w:rPr>
            </w:pPr>
            <w:r>
              <w:rPr>
                <w:rFonts w:ascii="宋体"/>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-22,800.45</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339,591.58</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宋体" w:hAnsi="宋体" w:cs="宋体" w:eastAsia="宋体" w:hint="default"/>
        </w:rPr>
        <w:t>7</w:t>
      </w:r>
      <w:r>
        <w:rPr/>
        <w:t>、外币金融资产和外币金融负债</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3"/>
        <w:gridCol w:w="1531"/>
        <w:gridCol w:w="1511"/>
        <w:gridCol w:w="1511"/>
        <w:gridCol w:w="1523"/>
        <w:gridCol w:w="1517"/>
      </w:tblGrid>
      <w:tr>
        <w:trPr>
          <w:trHeight w:val="161" w:hRule="exact"/>
        </w:trPr>
        <w:tc>
          <w:tcPr>
            <w:tcW w:w="1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5" w:right="27"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2D2D2"/>
          </w:tcPr>
          <w:p>
            <w:pPr/>
          </w:p>
        </w:tc>
        <w:tc>
          <w:tcPr>
            <w:tcW w:w="1511" w:type="dxa"/>
            <w:vMerge/>
            <w:tcBorders>
              <w:left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6"/>
                <w:sz w:val="18"/>
                <w:szCs w:val="18"/>
              </w:rPr>
              <w:t>融资产（不含衍生金融资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宋体" w:hAnsi="宋体" w:cs="宋体" w:eastAsia="宋体" w:hint="default"/>
                <w:sz w:val="18"/>
                <w:szCs w:val="18"/>
              </w:rPr>
            </w:pPr>
            <w:r>
              <w:rPr>
                <w:rFonts w:ascii="宋体"/>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
              <w:jc w:val="right"/>
              <w:rPr>
                <w:rFonts w:ascii="宋体" w:hAnsi="宋体" w:cs="宋体" w:eastAsia="宋体" w:hint="default"/>
                <w:sz w:val="18"/>
                <w:szCs w:val="18"/>
              </w:rPr>
            </w:pPr>
            <w:r>
              <w:rPr>
                <w:rFonts w:ascii="宋体"/>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404"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3"/>
        <w:spacing w:line="518" w:lineRule="auto" w:before="36"/>
        <w:ind w:left="573" w:right="7697" w:hanging="421"/>
        <w:jc w:val="left"/>
        <w:rPr>
          <w:rFonts w:ascii="宋体" w:hAnsi="宋体" w:cs="宋体" w:eastAsia="宋体" w:hint="default"/>
          <w:b w:val="0"/>
          <w:bCs w:val="0"/>
        </w:rPr>
      </w:pPr>
      <w:r>
        <w:rPr>
          <w:rFonts w:ascii="宋体" w:hAnsi="宋体" w:cs="宋体" w:eastAsia="宋体" w:hint="default"/>
        </w:rPr>
        <w:t>8</w:t>
      </w:r>
      <w:r>
        <w:rPr/>
        <w:t>、年金计划主要内容及重大变化</w:t>
      </w:r>
      <w:r>
        <w:rPr>
          <w:w w:val="100"/>
        </w:rPr>
        <w:t> </w:t>
      </w:r>
      <w:r>
        <w:rPr>
          <w:rFonts w:ascii="宋体" w:hAnsi="宋体" w:cs="宋体" w:eastAsia="宋体" w:hint="default"/>
          <w:b w:val="0"/>
          <w:bCs w:val="0"/>
        </w:rPr>
        <w:t>无</w:t>
      </w:r>
    </w:p>
    <w:p>
      <w:pPr>
        <w:spacing w:after="0" w:line="518" w:lineRule="auto"/>
        <w:jc w:val="left"/>
        <w:rPr>
          <w:rFonts w:ascii="宋体" w:hAnsi="宋体" w:cs="宋体" w:eastAsia="宋体" w:hint="default"/>
        </w:rPr>
        <w:sectPr>
          <w:pgSz w:w="11910" w:h="16840"/>
          <w:pgMar w:header="877" w:footer="1334" w:top="1100" w:bottom="154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573" w:right="1123"/>
        <w:jc w:val="left"/>
      </w:pPr>
      <w:r>
        <w:rPr>
          <w:w w:val="100"/>
        </w:rPr>
        <w:t>无</w:t>
      </w:r>
    </w:p>
    <w:p>
      <w:pPr>
        <w:spacing w:line="240" w:lineRule="auto" w:before="0"/>
        <w:rPr>
          <w:rFonts w:ascii="宋体" w:hAnsi="宋体" w:cs="宋体" w:eastAsia="宋体" w:hint="default"/>
          <w:sz w:val="20"/>
          <w:szCs w:val="20"/>
        </w:rPr>
      </w:pPr>
    </w:p>
    <w:p>
      <w:pPr>
        <w:pStyle w:val="Heading2"/>
        <w:spacing w:line="240" w:lineRule="auto" w:before="167"/>
        <w:ind w:right="1123"/>
        <w:jc w:val="left"/>
        <w:rPr>
          <w:b w:val="0"/>
          <w:bCs w:val="0"/>
        </w:rPr>
      </w:pPr>
      <w:r>
        <w:rPr/>
        <w:t>十四、母公司财务报表主要项目注释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82"/>
        <w:gridCol w:w="637"/>
        <w:gridCol w:w="1317"/>
        <w:gridCol w:w="545"/>
        <w:gridCol w:w="1427"/>
        <w:gridCol w:w="526"/>
        <w:gridCol w:w="1239"/>
        <w:gridCol w:w="497"/>
      </w:tblGrid>
      <w:tr>
        <w:trPr>
          <w:trHeight w:val="399" w:hRule="exact"/>
        </w:trPr>
        <w:tc>
          <w:tcPr>
            <w:tcW w:w="2000" w:type="dxa"/>
            <w:vMerge w:val="restart"/>
            <w:tcBorders>
              <w:top w:val="single" w:sz="4" w:space="0" w:color="000000"/>
              <w:left w:val="single" w:sz="4" w:space="0" w:color="000000"/>
              <w:right w:val="single" w:sz="4" w:space="0" w:color="000000"/>
            </w:tcBorders>
            <w:shd w:val="clear" w:color="auto" w:fill="D2D2D2"/>
          </w:tcPr>
          <w:p>
            <w:pPr/>
          </w:p>
        </w:tc>
        <w:tc>
          <w:tcPr>
            <w:tcW w:w="3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20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0"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019" w:type="dxa"/>
            <w:gridSpan w:val="2"/>
            <w:vMerge/>
            <w:tcBorders>
              <w:left w:val="single" w:sz="4" w:space="0" w:color="000000"/>
              <w:bottom w:val="single" w:sz="4" w:space="0" w:color="000000"/>
              <w:right w:val="single" w:sz="4" w:space="0" w:color="000000"/>
            </w:tcBorders>
            <w:shd w:val="clear" w:color="auto" w:fill="D2D2D2"/>
          </w:tcPr>
          <w:p>
            <w:pPr/>
          </w:p>
        </w:tc>
        <w:tc>
          <w:tcPr>
            <w:tcW w:w="1863" w:type="dxa"/>
            <w:gridSpan w:val="2"/>
            <w:vMerge/>
            <w:tcBorders>
              <w:left w:val="single" w:sz="4" w:space="0" w:color="000000"/>
              <w:bottom w:val="single" w:sz="4" w:space="0" w:color="000000"/>
              <w:right w:val="single" w:sz="4" w:space="0" w:color="000000"/>
            </w:tcBorders>
            <w:shd w:val="clear" w:color="auto" w:fill="D2D2D2"/>
          </w:tcPr>
          <w:p>
            <w:pPr/>
          </w:p>
        </w:tc>
        <w:tc>
          <w:tcPr>
            <w:tcW w:w="1953" w:type="dxa"/>
            <w:gridSpan w:val="2"/>
            <w:vMerge/>
            <w:tcBorders>
              <w:left w:val="single" w:sz="4" w:space="0" w:color="000000"/>
              <w:bottom w:val="single" w:sz="4" w:space="0" w:color="000000"/>
              <w:right w:val="single" w:sz="4" w:space="0" w:color="000000"/>
            </w:tcBorders>
            <w:shd w:val="clear" w:color="auto" w:fill="D2D2D2"/>
          </w:tcPr>
          <w:p>
            <w:pPr/>
          </w:p>
        </w:tc>
        <w:tc>
          <w:tcPr>
            <w:tcW w:w="1736" w:type="dxa"/>
            <w:gridSpan w:val="2"/>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2000" w:type="dxa"/>
            <w:vMerge/>
            <w:tcBorders>
              <w:left w:val="single" w:sz="4" w:space="0" w:color="000000"/>
              <w:bottom w:val="single" w:sz="4" w:space="0" w:color="FFFFFF"/>
              <w:right w:val="single" w:sz="4" w:space="0" w:color="000000"/>
            </w:tcBorders>
            <w:shd w:val="clear" w:color="auto" w:fill="D2D2D2"/>
          </w:tcPr>
          <w:p>
            <w:pPr/>
          </w:p>
        </w:tc>
        <w:tc>
          <w:tcPr>
            <w:tcW w:w="138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5" w:right="135"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5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39" w:right="77"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4" w:right="72"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39" w:type="dxa"/>
            <w:tcBorders>
              <w:top w:val="single" w:sz="4" w:space="0" w:color="000000"/>
              <w:left w:val="single" w:sz="4" w:space="0" w:color="000000"/>
              <w:bottom w:val="nil" w:sz="6" w:space="0" w:color="auto"/>
              <w:right w:val="single" w:sz="4" w:space="0" w:color="000000"/>
            </w:tcBorders>
            <w:shd w:val="clear" w:color="auto" w:fill="D2D2D2"/>
          </w:tcPr>
          <w:p>
            <w:pPr/>
          </w:p>
        </w:tc>
        <w:tc>
          <w:tcPr>
            <w:tcW w:w="4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7" w:right="60"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r>
        <w:trPr>
          <w:trHeight w:val="394" w:hRule="exact"/>
        </w:trPr>
        <w:tc>
          <w:tcPr>
            <w:tcW w:w="2000" w:type="dxa"/>
            <w:vMerge w:val="restart"/>
            <w:tcBorders>
              <w:top w:val="single" w:sz="4" w:space="0" w:color="FFFFFF"/>
              <w:left w:val="single" w:sz="4" w:space="0" w:color="000000"/>
              <w:right w:val="single" w:sz="4" w:space="0" w:color="000000"/>
            </w:tcBorders>
            <w:shd w:val="clear" w:color="auto" w:fill="D2D2D2"/>
          </w:tcPr>
          <w:p>
            <w:pPr/>
          </w:p>
        </w:tc>
        <w:tc>
          <w:tcPr>
            <w:tcW w:w="1382"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37" w:type="dxa"/>
            <w:vMerge/>
            <w:tcBorders>
              <w:left w:val="single" w:sz="4" w:space="0" w:color="000000"/>
              <w:right w:val="single" w:sz="4" w:space="0" w:color="000000"/>
            </w:tcBorders>
            <w:shd w:val="clear" w:color="auto" w:fill="D2D2D2"/>
          </w:tcPr>
          <w:p>
            <w:pPr/>
          </w:p>
        </w:tc>
        <w:tc>
          <w:tcPr>
            <w:tcW w:w="13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45" w:type="dxa"/>
            <w:vMerge/>
            <w:tcBorders>
              <w:left w:val="single" w:sz="4" w:space="0" w:color="000000"/>
              <w:right w:val="single" w:sz="4" w:space="0" w:color="000000"/>
            </w:tcBorders>
            <w:shd w:val="clear" w:color="auto" w:fill="D2D2D2"/>
          </w:tcPr>
          <w:p>
            <w:pPr/>
          </w:p>
        </w:tc>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vMerge/>
            <w:tcBorders>
              <w:left w:val="single" w:sz="4" w:space="0" w:color="000000"/>
              <w:right w:val="single" w:sz="4" w:space="0" w:color="000000"/>
            </w:tcBorders>
            <w:shd w:val="clear" w:color="auto" w:fill="D2D2D2"/>
          </w:tcPr>
          <w:p>
            <w:pPr/>
          </w:p>
        </w:tc>
        <w:tc>
          <w:tcPr>
            <w:tcW w:w="12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97" w:type="dxa"/>
            <w:vMerge/>
            <w:tcBorders>
              <w:left w:val="single" w:sz="4" w:space="0" w:color="000000"/>
              <w:right w:val="single" w:sz="4" w:space="0" w:color="000000"/>
            </w:tcBorders>
            <w:shd w:val="clear" w:color="auto" w:fill="D2D2D2"/>
          </w:tcPr>
          <w:p>
            <w:pPr/>
          </w:p>
        </w:tc>
      </w:tr>
      <w:tr>
        <w:trPr>
          <w:trHeight w:val="16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3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 w:type="dxa"/>
            <w:vMerge/>
            <w:tcBorders>
              <w:left w:val="single" w:sz="4" w:space="0" w:color="000000"/>
              <w:bottom w:val="single" w:sz="4" w:space="0" w:color="000000"/>
              <w:right w:val="single" w:sz="4" w:space="0" w:color="000000"/>
            </w:tcBorders>
            <w:shd w:val="clear" w:color="auto" w:fill="D2D2D2"/>
          </w:tcPr>
          <w:p>
            <w:pPr/>
          </w:p>
        </w:tc>
        <w:tc>
          <w:tcPr>
            <w:tcW w:w="1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545" w:type="dxa"/>
            <w:vMerge/>
            <w:tcBorders>
              <w:left w:val="single" w:sz="4" w:space="0" w:color="000000"/>
              <w:bottom w:val="single" w:sz="4" w:space="0" w:color="000000"/>
              <w:right w:val="single" w:sz="4" w:space="0" w:color="000000"/>
            </w:tcBorders>
            <w:shd w:val="clear" w:color="auto" w:fill="D2D2D2"/>
          </w:tcPr>
          <w:p>
            <w:pPr/>
          </w:p>
        </w:tc>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26" w:type="dxa"/>
            <w:vMerge/>
            <w:tcBorders>
              <w:left w:val="single" w:sz="4" w:space="0" w:color="000000"/>
              <w:bottom w:val="single" w:sz="4" w:space="0" w:color="000000"/>
              <w:right w:val="single" w:sz="4" w:space="0" w:color="000000"/>
            </w:tcBorders>
            <w:shd w:val="clear" w:color="auto" w:fill="D2D2D2"/>
          </w:tcPr>
          <w:p>
            <w:pPr/>
          </w:p>
        </w:tc>
        <w:tc>
          <w:tcPr>
            <w:tcW w:w="1239" w:type="dxa"/>
            <w:tcBorders>
              <w:top w:val="nil" w:sz="6" w:space="0" w:color="auto"/>
              <w:left w:val="single" w:sz="4" w:space="0" w:color="000000"/>
              <w:bottom w:val="single" w:sz="4" w:space="0" w:color="000000"/>
              <w:right w:val="single" w:sz="4" w:space="0" w:color="000000"/>
            </w:tcBorders>
            <w:shd w:val="clear" w:color="auto" w:fill="D2D2D2"/>
          </w:tcPr>
          <w:p>
            <w:pPr/>
          </w:p>
        </w:tc>
        <w:tc>
          <w:tcPr>
            <w:tcW w:w="4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382" w:type="dxa"/>
            <w:tcBorders>
              <w:top w:val="single" w:sz="4" w:space="0" w:color="000000"/>
              <w:left w:val="single" w:sz="9" w:space="0" w:color="D2D2D2"/>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10,339,150.85</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5.55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3,101,745.26</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30</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289,574,053.80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99.98</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16,948,793.16</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5.85</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175,385,728.67</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left"/>
              <w:rPr>
                <w:rFonts w:ascii="宋体" w:hAnsi="宋体" w:cs="宋体" w:eastAsia="宋体" w:hint="default"/>
                <w:sz w:val="18"/>
                <w:szCs w:val="18"/>
              </w:rPr>
            </w:pPr>
            <w:r>
              <w:rPr>
                <w:rFonts w:ascii="宋体"/>
                <w:sz w:val="18"/>
              </w:rPr>
              <w:t>94.16</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7,389,938.20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4.21</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289,574,053.80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99.98</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16,948,793.16</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5.85</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175,385,728.67</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left"/>
              <w:rPr>
                <w:rFonts w:ascii="宋体" w:hAnsi="宋体" w:cs="宋体" w:eastAsia="宋体" w:hint="default"/>
                <w:sz w:val="18"/>
                <w:szCs w:val="18"/>
              </w:rPr>
            </w:pPr>
            <w:r>
              <w:rPr>
                <w:rFonts w:ascii="宋体"/>
                <w:sz w:val="18"/>
              </w:rPr>
              <w:t>94.16</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7,389,938.20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4.21</w:t>
            </w:r>
          </w:p>
        </w:tc>
      </w:tr>
      <w:tr>
        <w:trPr>
          <w:trHeight w:val="102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4"/>
              <w:jc w:val="right"/>
              <w:rPr>
                <w:rFonts w:ascii="宋体" w:hAnsi="宋体" w:cs="宋体" w:eastAsia="宋体" w:hint="default"/>
                <w:sz w:val="18"/>
                <w:szCs w:val="18"/>
              </w:rPr>
            </w:pPr>
            <w:r>
              <w:rPr>
                <w:rFonts w:ascii="宋体"/>
                <w:spacing w:val="-1"/>
                <w:sz w:val="18"/>
              </w:rPr>
              <w:t>45,479.49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z w:val="18"/>
              </w:rPr>
              <w:t>0.02</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45,479.49</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7"/>
              <w:jc w:val="right"/>
              <w:rPr>
                <w:rFonts w:ascii="宋体" w:hAnsi="宋体" w:cs="宋体" w:eastAsia="宋体" w:hint="default"/>
                <w:sz w:val="18"/>
                <w:szCs w:val="18"/>
              </w:rPr>
            </w:pPr>
            <w:r>
              <w:rPr>
                <w:rFonts w:ascii="宋体"/>
                <w:sz w:val="18"/>
              </w:rPr>
              <w:t>100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531,610.29</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3"/>
              <w:jc w:val="right"/>
              <w:rPr>
                <w:rFonts w:ascii="宋体" w:hAnsi="宋体" w:cs="宋体" w:eastAsia="宋体" w:hint="default"/>
                <w:sz w:val="18"/>
                <w:szCs w:val="18"/>
              </w:rPr>
            </w:pPr>
            <w:r>
              <w:rPr>
                <w:rFonts w:ascii="宋体"/>
                <w:sz w:val="18"/>
              </w:rPr>
              <w:t>0.29</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531,610.29</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7"/>
              <w:jc w:val="right"/>
              <w:rPr>
                <w:rFonts w:ascii="宋体" w:hAnsi="宋体" w:cs="宋体" w:eastAsia="宋体" w:hint="default"/>
                <w:sz w:val="18"/>
                <w:szCs w:val="18"/>
              </w:rPr>
            </w:pPr>
            <w:r>
              <w:rPr>
                <w:rFonts w:ascii="宋体"/>
                <w:sz w:val="18"/>
              </w:rPr>
              <w:t>100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289,619,533.29</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sz w:val="18"/>
              </w:rPr>
              <w:t>--</w:t>
            </w:r>
          </w:p>
        </w:tc>
        <w:tc>
          <w:tcPr>
            <w:tcW w:w="131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16,994,272.65</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186,256,489.81</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12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11,023,293.75</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pgSz w:w="11910" w:h="16840"/>
          <w:pgMar w:header="877" w:footer="1334" w:top="1100" w:bottom="154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38" w:lineRule="auto" w:before="2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980" w:right="0"/>
          <w:cols w:num="2" w:equalWidth="0">
            <w:col w:w="4113" w:space="471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9"/>
        <w:gridCol w:w="2006"/>
        <w:gridCol w:w="657"/>
        <w:gridCol w:w="1468"/>
        <w:gridCol w:w="2126"/>
        <w:gridCol w:w="654"/>
        <w:gridCol w:w="1588"/>
      </w:tblGrid>
      <w:tr>
        <w:trPr>
          <w:trHeight w:val="403" w:hRule="exact"/>
        </w:trPr>
        <w:tc>
          <w:tcPr>
            <w:tcW w:w="1049" w:type="dxa"/>
            <w:vMerge w:val="restart"/>
            <w:tcBorders>
              <w:top w:val="single" w:sz="4" w:space="0" w:color="000000"/>
              <w:left w:val="single" w:sz="4" w:space="0" w:color="000000"/>
              <w:right w:val="single" w:sz="4" w:space="0" w:color="000000"/>
            </w:tcBorders>
            <w:shd w:val="clear" w:color="auto" w:fill="D2D2D2"/>
          </w:tcPr>
          <w:p>
            <w:pPr/>
          </w:p>
        </w:tc>
        <w:tc>
          <w:tcPr>
            <w:tcW w:w="41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6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8" w:type="dxa"/>
            <w:vMerge w:val="restart"/>
            <w:tcBorders>
              <w:top w:val="single" w:sz="4" w:space="0" w:color="000000"/>
              <w:left w:val="single" w:sz="4" w:space="0" w:color="000000"/>
              <w:right w:val="single" w:sz="4" w:space="0" w:color="000000"/>
            </w:tcBorders>
            <w:shd w:val="clear" w:color="auto" w:fill="D2D2D2"/>
          </w:tcPr>
          <w:p>
            <w:pPr/>
          </w:p>
        </w:tc>
        <w:tc>
          <w:tcPr>
            <w:tcW w:w="27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63" w:type="dxa"/>
            <w:gridSpan w:val="2"/>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780" w:type="dxa"/>
            <w:gridSpan w:val="2"/>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85" w:right="146"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86" w:right="141"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0"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20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1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54" w:type="dxa"/>
            <w:vMerge/>
            <w:tcBorders>
              <w:left w:val="single" w:sz="4" w:space="0" w:color="000000"/>
              <w:right w:val="single" w:sz="4" w:space="0" w:color="000000"/>
            </w:tcBorders>
            <w:shd w:val="clear" w:color="auto" w:fill="D2D2D2"/>
          </w:tcPr>
          <w:p>
            <w:pPr/>
          </w:p>
        </w:tc>
        <w:tc>
          <w:tcPr>
            <w:tcW w:w="158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9" w:type="dxa"/>
            <w:vMerge/>
            <w:tcBorders>
              <w:left w:val="single" w:sz="4" w:space="0" w:color="000000"/>
              <w:right w:val="single" w:sz="4" w:space="0" w:color="000000"/>
            </w:tcBorders>
            <w:shd w:val="clear" w:color="auto" w:fill="D2D2D2"/>
          </w:tcPr>
          <w:p>
            <w:pPr/>
          </w:p>
        </w:tc>
        <w:tc>
          <w:tcPr>
            <w:tcW w:w="2006"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468" w:type="dxa"/>
            <w:vMerge w:val="restart"/>
            <w:tcBorders>
              <w:top w:val="nil" w:sz="6" w:space="0" w:color="auto"/>
              <w:left w:val="single" w:sz="4" w:space="0" w:color="000000"/>
              <w:right w:val="single" w:sz="4" w:space="0" w:color="000000"/>
            </w:tcBorders>
            <w:shd w:val="clear" w:color="auto" w:fill="D2D2D2"/>
          </w:tcPr>
          <w:p>
            <w:pPr/>
          </w:p>
        </w:tc>
        <w:tc>
          <w:tcPr>
            <w:tcW w:w="2126" w:type="dxa"/>
            <w:vMerge/>
            <w:tcBorders>
              <w:left w:val="single" w:sz="4" w:space="0" w:color="000000"/>
              <w:bottom w:val="nil" w:sz="6" w:space="0" w:color="auto"/>
              <w:right w:val="single" w:sz="4" w:space="0" w:color="000000"/>
            </w:tcBorders>
            <w:shd w:val="clear" w:color="auto" w:fill="D2D2D2"/>
          </w:tcPr>
          <w:p>
            <w:pPr/>
          </w:p>
        </w:tc>
        <w:tc>
          <w:tcPr>
            <w:tcW w:w="654" w:type="dxa"/>
            <w:vMerge/>
            <w:tcBorders>
              <w:left w:val="single" w:sz="4" w:space="0" w:color="000000"/>
              <w:right w:val="single" w:sz="4" w:space="0" w:color="000000"/>
            </w:tcBorders>
            <w:shd w:val="clear" w:color="auto" w:fill="D2D2D2"/>
          </w:tcPr>
          <w:p>
            <w:pPr/>
          </w:p>
        </w:tc>
        <w:tc>
          <w:tcPr>
            <w:tcW w:w="1588"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049" w:type="dxa"/>
            <w:vMerge/>
            <w:tcBorders>
              <w:left w:val="single" w:sz="4" w:space="0" w:color="000000"/>
              <w:bottom w:val="single" w:sz="4" w:space="0" w:color="000000"/>
              <w:right w:val="single" w:sz="4" w:space="0" w:color="000000"/>
            </w:tcBorders>
            <w:shd w:val="clear" w:color="auto" w:fill="D2D2D2"/>
          </w:tcPr>
          <w:p>
            <w:pPr/>
          </w:p>
        </w:tc>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7" w:type="dxa"/>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4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r>
      <w:tr>
        <w:trPr>
          <w:trHeight w:val="402"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 w:right="0"/>
              <w:jc w:val="left"/>
              <w:rPr>
                <w:rFonts w:ascii="宋体" w:hAnsi="宋体" w:cs="宋体" w:eastAsia="宋体" w:hint="default"/>
                <w:sz w:val="18"/>
                <w:szCs w:val="18"/>
              </w:rPr>
            </w:pPr>
            <w:r>
              <w:rPr>
                <w:rFonts w:ascii="宋体"/>
                <w:sz w:val="18"/>
              </w:rPr>
              <w:t>--</w:t>
            </w: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 w:right="0"/>
              <w:jc w:val="left"/>
              <w:rPr>
                <w:rFonts w:ascii="宋体" w:hAnsi="宋体" w:cs="宋体" w:eastAsia="宋体" w:hint="default"/>
                <w:sz w:val="18"/>
                <w:szCs w:val="18"/>
              </w:rPr>
            </w:pPr>
            <w:r>
              <w:rPr>
                <w:rFonts w:ascii="宋体"/>
                <w:sz w:val="18"/>
              </w:rPr>
              <w:t>--</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 w:right="0"/>
              <w:jc w:val="left"/>
              <w:rPr>
                <w:rFonts w:ascii="宋体" w:hAnsi="宋体" w:cs="宋体" w:eastAsia="宋体" w:hint="default"/>
                <w:sz w:val="18"/>
                <w:szCs w:val="18"/>
              </w:rPr>
            </w:pPr>
            <w:r>
              <w:rPr>
                <w:rFonts w:ascii="宋体"/>
                <w:sz w:val="18"/>
              </w:rPr>
              <w:t>--</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 w:right="0"/>
              <w:jc w:val="left"/>
              <w:rPr>
                <w:rFonts w:ascii="宋体" w:hAnsi="宋体" w:cs="宋体" w:eastAsia="宋体" w:hint="default"/>
                <w:sz w:val="18"/>
                <w:szCs w:val="18"/>
              </w:rPr>
            </w:pPr>
            <w:r>
              <w:rPr>
                <w:rFonts w:ascii="宋体"/>
                <w:sz w:val="18"/>
              </w:rPr>
              <w:t>--</w:t>
            </w:r>
          </w:p>
        </w:tc>
      </w:tr>
      <w:tr>
        <w:trPr>
          <w:trHeight w:val="715"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 计</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4" w:right="0"/>
              <w:jc w:val="left"/>
              <w:rPr>
                <w:rFonts w:ascii="宋体" w:hAnsi="宋体" w:cs="宋体" w:eastAsia="宋体" w:hint="default"/>
                <w:sz w:val="18"/>
                <w:szCs w:val="18"/>
              </w:rPr>
            </w:pPr>
            <w:r>
              <w:rPr>
                <w:rFonts w:ascii="宋体"/>
                <w:sz w:val="18"/>
              </w:rPr>
              <w:t>232,336,305.73</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sz w:val="18"/>
              </w:rPr>
              <w:t>80.23</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9" w:right="0"/>
              <w:jc w:val="left"/>
              <w:rPr>
                <w:rFonts w:ascii="宋体" w:hAnsi="宋体" w:cs="宋体" w:eastAsia="宋体" w:hint="default"/>
                <w:sz w:val="18"/>
                <w:szCs w:val="18"/>
              </w:rPr>
            </w:pPr>
            <w:r>
              <w:rPr>
                <w:rFonts w:ascii="宋体"/>
                <w:sz w:val="18"/>
              </w:rPr>
              <w:t>6,970,089.17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sz w:val="18"/>
              </w:rPr>
              <w:t>135,155,874.80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4" w:right="0"/>
              <w:jc w:val="left"/>
              <w:rPr>
                <w:rFonts w:ascii="宋体" w:hAnsi="宋体" w:cs="宋体" w:eastAsia="宋体" w:hint="default"/>
                <w:sz w:val="18"/>
                <w:szCs w:val="18"/>
              </w:rPr>
            </w:pPr>
            <w:r>
              <w:rPr>
                <w:rFonts w:ascii="宋体"/>
                <w:sz w:val="18"/>
              </w:rPr>
              <w:t>77.06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sz w:val="18"/>
              </w:rPr>
              <w:t>4,054,676.24</w:t>
            </w:r>
          </w:p>
        </w:tc>
      </w:tr>
    </w:tbl>
    <w:p>
      <w:pPr>
        <w:spacing w:after="0" w:line="240" w:lineRule="auto"/>
        <w:jc w:val="left"/>
        <w:rPr>
          <w:rFonts w:ascii="宋体" w:hAnsi="宋体" w:cs="宋体" w:eastAsia="宋体" w:hint="default"/>
          <w:sz w:val="18"/>
          <w:szCs w:val="18"/>
        </w:rPr>
        <w:sectPr>
          <w:type w:val="continuous"/>
          <w:pgSz w:w="11910" w:h="16840"/>
          <w:pgMar w:top="1580" w:bottom="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5"/>
        <w:gridCol w:w="1995"/>
        <w:gridCol w:w="662"/>
        <w:gridCol w:w="1462"/>
        <w:gridCol w:w="2126"/>
        <w:gridCol w:w="665"/>
        <w:gridCol w:w="1594"/>
      </w:tblGrid>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27,769,436.68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1,388,471.83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29,147,915.72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1,457,395.79</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15,359,808.83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5.3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1,535,980.88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9,215,944.77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921,594.48</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14,108,502.56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7,054,251.28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1,865,993.38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956,271.69</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12,458,947.72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6,229,473.86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1,717,131.31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858,565.66</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1,649,554.84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824,777.42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102,312.07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51,156.03</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46,550.00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46,550.00</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289,574,053.80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16,948,793.16</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5"/>
              <w:jc w:val="right"/>
              <w:rPr>
                <w:rFonts w:ascii="宋体" w:hAnsi="宋体" w:cs="宋体" w:eastAsia="宋体" w:hint="default"/>
                <w:sz w:val="18"/>
                <w:szCs w:val="18"/>
              </w:rPr>
            </w:pPr>
            <w:r>
              <w:rPr>
                <w:rFonts w:ascii="宋体"/>
                <w:spacing w:val="-1"/>
                <w:sz w:val="18"/>
              </w:rPr>
              <w:t>175,385,728.67</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7,389,938.20</w:t>
            </w:r>
          </w:p>
        </w:tc>
      </w:tr>
    </w:tbl>
    <w:p>
      <w:pPr>
        <w:spacing w:after="0" w:line="240" w:lineRule="auto"/>
        <w:jc w:val="right"/>
        <w:rPr>
          <w:rFonts w:ascii="宋体" w:hAnsi="宋体" w:cs="宋体" w:eastAsia="宋体" w:hint="default"/>
          <w:sz w:val="18"/>
          <w:szCs w:val="18"/>
        </w:rPr>
        <w:sectPr>
          <w:pgSz w:w="11910" w:h="16840"/>
          <w:pgMar w:header="877" w:footer="1334" w:top="1100" w:bottom="154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40"/>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1610"/>
        <w:gridCol w:w="1613"/>
        <w:gridCol w:w="1613"/>
        <w:gridCol w:w="1615"/>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港中旅</w:t>
            </w:r>
            <w:r>
              <w:rPr>
                <w:rFonts w:ascii="宋体" w:hAnsi="宋体" w:cs="宋体" w:eastAsia="宋体" w:hint="default"/>
                <w:sz w:val="18"/>
                <w:szCs w:val="18"/>
              </w:rPr>
              <w:t>(</w:t>
            </w:r>
            <w:r>
              <w:rPr>
                <w:rFonts w:ascii="宋体" w:hAnsi="宋体" w:cs="宋体" w:eastAsia="宋体" w:hint="default"/>
                <w:sz w:val="18"/>
                <w:szCs w:val="18"/>
              </w:rPr>
              <w:t>珠海</w:t>
            </w:r>
            <w:r>
              <w:rPr>
                <w:rFonts w:ascii="宋体" w:hAnsi="宋体" w:cs="宋体" w:eastAsia="宋体" w:hint="default"/>
                <w:sz w:val="18"/>
                <w:szCs w:val="18"/>
              </w:rPr>
              <w:t>)</w:t>
            </w:r>
            <w:r>
              <w:rPr>
                <w:rFonts w:ascii="宋体" w:hAnsi="宋体" w:cs="宋体" w:eastAsia="宋体" w:hint="default"/>
                <w:sz w:val="18"/>
                <w:szCs w:val="18"/>
              </w:rPr>
              <w:t>海洋温泉有限公司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27,287.19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27,287.19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100</w:t>
            </w:r>
          </w:p>
        </w:tc>
        <w:tc>
          <w:tcPr>
            <w:tcW w:w="16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广州颐和南湖高尔夫会员住所有限公司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13,342.30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13,342.30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100</w:t>
            </w:r>
          </w:p>
        </w:tc>
        <w:tc>
          <w:tcPr>
            <w:tcW w:w="16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4,850.00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4,850.00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100</w:t>
            </w:r>
          </w:p>
        </w:tc>
        <w:tc>
          <w:tcPr>
            <w:tcW w:w="16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45,479.49</w:t>
            </w:r>
          </w:p>
        </w:tc>
        <w:tc>
          <w:tcPr>
            <w:tcW w:w="161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45,479.49</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）本报告期实际核销的应收账款情况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4"/>
        <w:gridCol w:w="852"/>
        <w:gridCol w:w="1558"/>
        <w:gridCol w:w="1135"/>
        <w:gridCol w:w="2127"/>
        <w:gridCol w:w="1061"/>
      </w:tblGrid>
      <w:tr>
        <w:trPr>
          <w:trHeight w:val="714"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60" w:hanging="180"/>
              <w:jc w:val="left"/>
              <w:rPr>
                <w:rFonts w:ascii="宋体" w:hAnsi="宋体" w:cs="宋体" w:eastAsia="宋体" w:hint="default"/>
                <w:sz w:val="18"/>
                <w:szCs w:val="18"/>
              </w:rPr>
            </w:pPr>
            <w:r>
              <w:rPr>
                <w:rFonts w:ascii="宋体" w:hAnsi="宋体" w:cs="宋体" w:eastAsia="宋体" w:hint="default"/>
                <w:sz w:val="18"/>
                <w:szCs w:val="18"/>
              </w:rPr>
              <w:t>应收账款 性质</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72" w:hanging="89"/>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盐田三期国际集装箱码头有限公司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85,519.77</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鸿富锦精密工业（深圳）有限公司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71,804.01</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账龄时间长已过诉讼时效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深圳庐山置业有限公司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61,961.96</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账龄时间长已过诉讼时效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十堰市恒威科工贸公司</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52,500.00</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账龄时间长已过诉讼时效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昆明嘉义电子有限责任</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30,256.00</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账龄长无法收回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商丘市丰源铝电有限责任公司</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21,260.00</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账龄长无法收回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佛山市达实高科电子科技有限公司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16,335.89</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账龄长无法收回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梅州市塔牌集团蕉岭鑫盛能源发展 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14,419.00</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账龄长无法收回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山东机械设备进出口集团有限公司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10,000.00</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账龄长无法收回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85,983.19</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账龄长无法收回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580" w:bottom="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4"/>
        <w:gridCol w:w="852"/>
        <w:gridCol w:w="1558"/>
        <w:gridCol w:w="1135"/>
        <w:gridCol w:w="2127"/>
        <w:gridCol w:w="1061"/>
      </w:tblGrid>
      <w:tr>
        <w:trPr>
          <w:trHeight w:val="404"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3" w:right="0"/>
              <w:jc w:val="left"/>
              <w:rPr>
                <w:rFonts w:ascii="宋体" w:hAnsi="宋体" w:cs="宋体" w:eastAsia="宋体" w:hint="default"/>
                <w:sz w:val="18"/>
                <w:szCs w:val="18"/>
              </w:rPr>
            </w:pPr>
            <w:r>
              <w:rPr>
                <w:rFonts w:ascii="宋体"/>
                <w:sz w:val="18"/>
              </w:rPr>
              <w:t>450,039.82</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spacing w:line="506" w:lineRule="auto" w:before="118"/>
        <w:ind w:left="573" w:right="288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）本报告期应收账款中持有公司</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100"/>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％）以上表决权股份的股东单位情况。</w:t>
      </w:r>
    </w:p>
    <w:p>
      <w:pPr>
        <w:pStyle w:val="Heading3"/>
        <w:spacing w:line="240" w:lineRule="auto" w:before="104"/>
        <w:ind w:right="1123"/>
        <w:jc w:val="left"/>
        <w:rPr>
          <w:b w:val="0"/>
          <w:bCs w:val="0"/>
        </w:rPr>
      </w:pPr>
      <w:r>
        <w:rPr/>
        <w:t>（</w:t>
      </w:r>
      <w:r>
        <w:rPr>
          <w:rFonts w:ascii="Times New Roman" w:hAnsi="Times New Roman" w:cs="Times New Roman" w:eastAsia="Times New Roman" w:hint="default"/>
        </w:rPr>
        <w:t>4</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6"/>
        <w:gridCol w:w="1649"/>
        <w:gridCol w:w="1649"/>
        <w:gridCol w:w="1636"/>
        <w:gridCol w:w="1662"/>
      </w:tblGrid>
      <w:tr>
        <w:trPr>
          <w:trHeight w:val="71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7" w:right="96" w:hanging="404"/>
              <w:jc w:val="left"/>
              <w:rPr>
                <w:rFonts w:ascii="宋体" w:hAnsi="宋体" w:cs="宋体" w:eastAsia="宋体" w:hint="default"/>
                <w:sz w:val="18"/>
                <w:szCs w:val="18"/>
              </w:rPr>
            </w:pPr>
            <w:r>
              <w:rPr>
                <w:rFonts w:ascii="宋体" w:hAnsi="宋体" w:cs="宋体" w:eastAsia="宋体" w:hint="default"/>
                <w:sz w:val="18"/>
                <w:szCs w:val="18"/>
              </w:rPr>
              <w:t>占应收账款总额的 比例</w:t>
            </w:r>
            <w:r>
              <w:rPr>
                <w:rFonts w:ascii="宋体" w:hAnsi="宋体" w:cs="宋体" w:eastAsia="宋体" w:hint="default"/>
                <w:sz w:val="18"/>
                <w:szCs w:val="18"/>
              </w:rPr>
              <w:t>(%)</w:t>
            </w:r>
          </w:p>
        </w:tc>
      </w:tr>
      <w:tr>
        <w:trPr>
          <w:trHeight w:val="406" w:hRule="exact"/>
        </w:trPr>
        <w:tc>
          <w:tcPr>
            <w:tcW w:w="29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成都地铁有限责任公司</w:t>
            </w:r>
          </w:p>
        </w:tc>
        <w:tc>
          <w:tcPr>
            <w:tcW w:w="164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22,818,488.03</w:t>
            </w:r>
          </w:p>
        </w:tc>
        <w:tc>
          <w:tcPr>
            <w:tcW w:w="16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6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7.88</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64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15,005,535.53</w:t>
            </w:r>
          </w:p>
        </w:tc>
        <w:tc>
          <w:tcPr>
            <w:tcW w:w="16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6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5.18</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64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522,154.88</w:t>
            </w:r>
          </w:p>
        </w:tc>
        <w:tc>
          <w:tcPr>
            <w:tcW w:w="16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6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0.18</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深圳市华为投资控股有限公司</w:t>
            </w:r>
          </w:p>
        </w:tc>
        <w:tc>
          <w:tcPr>
            <w:tcW w:w="164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10,911,134.80</w:t>
            </w:r>
          </w:p>
        </w:tc>
        <w:tc>
          <w:tcPr>
            <w:tcW w:w="16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6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3.77</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世纪互联（佛山）信息技术有限公司</w:t>
            </w:r>
          </w:p>
        </w:tc>
        <w:tc>
          <w:tcPr>
            <w:tcW w:w="164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10,615,427.70</w:t>
            </w:r>
          </w:p>
        </w:tc>
        <w:tc>
          <w:tcPr>
            <w:tcW w:w="16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6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3.67</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石家庄勒泰房地产开发有限公司</w:t>
            </w:r>
          </w:p>
        </w:tc>
        <w:tc>
          <w:tcPr>
            <w:tcW w:w="164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7,731,293.31</w:t>
            </w:r>
          </w:p>
        </w:tc>
        <w:tc>
          <w:tcPr>
            <w:tcW w:w="16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6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2.67</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sz w:val="18"/>
              </w:rPr>
              <w:t>--</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67,604,034.25</w:t>
            </w:r>
          </w:p>
        </w:tc>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23.35</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77"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74"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77"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2" w:right="74"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56,349,648.19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99.74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735,989.33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1.31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76,044,783.67</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99.94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472,543.67</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0.62</w:t>
            </w:r>
          </w:p>
        </w:tc>
      </w:tr>
      <w:tr>
        <w:trPr>
          <w:trHeight w:val="404"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56,349,648.19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99.74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735,989.33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宋体" w:hAnsi="宋体" w:cs="宋体" w:eastAsia="宋体" w:hint="default"/>
                <w:sz w:val="18"/>
                <w:szCs w:val="18"/>
              </w:rPr>
            </w:pPr>
            <w:r>
              <w:rPr>
                <w:rFonts w:ascii="宋体"/>
                <w:sz w:val="18"/>
              </w:rPr>
              <w:t>1.31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pacing w:val="-1"/>
                <w:sz w:val="18"/>
              </w:rPr>
              <w:t>76,044,783.67</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 w:right="0"/>
              <w:jc w:val="left"/>
              <w:rPr>
                <w:rFonts w:ascii="宋体" w:hAnsi="宋体" w:cs="宋体" w:eastAsia="宋体" w:hint="default"/>
                <w:sz w:val="18"/>
                <w:szCs w:val="18"/>
              </w:rPr>
            </w:pPr>
            <w:r>
              <w:rPr>
                <w:rFonts w:ascii="宋体"/>
                <w:sz w:val="18"/>
              </w:rPr>
              <w:t>99.94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472,543.67</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0.62</w:t>
            </w:r>
          </w:p>
        </w:tc>
      </w:tr>
      <w:tr>
        <w:trPr>
          <w:trHeight w:val="1025"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4"/>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148,115.00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0.26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148,115.00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
              <w:jc w:val="right"/>
              <w:rPr>
                <w:rFonts w:ascii="宋体" w:hAnsi="宋体" w:cs="宋体" w:eastAsia="宋体" w:hint="default"/>
                <w:sz w:val="18"/>
                <w:szCs w:val="18"/>
              </w:rPr>
            </w:pPr>
            <w:r>
              <w:rPr>
                <w:rFonts w:ascii="宋体"/>
                <w:sz w:val="18"/>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pacing w:val="-1"/>
                <w:sz w:val="18"/>
              </w:rPr>
              <w:t>48,360.00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6" w:right="0"/>
              <w:jc w:val="left"/>
              <w:rPr>
                <w:rFonts w:ascii="宋体" w:hAnsi="宋体" w:cs="宋体" w:eastAsia="宋体" w:hint="default"/>
                <w:sz w:val="18"/>
                <w:szCs w:val="18"/>
              </w:rPr>
            </w:pPr>
            <w:r>
              <w:rPr>
                <w:rFonts w:ascii="宋体"/>
                <w:sz w:val="18"/>
              </w:rPr>
              <w:t>0.06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48,360.00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100</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56,497,763.19</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884,104.33</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76,093,143.67</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520,903.67</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w:t>
            </w:r>
          </w:p>
        </w:tc>
      </w:tr>
    </w:tbl>
    <w:p>
      <w:pPr>
        <w:spacing w:line="357" w:lineRule="auto" w:before="49"/>
        <w:ind w:left="152" w:right="6614"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before="29"/>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334" w:top="1100" w:bottom="1540" w:left="980" w:right="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1334" w:top="1100" w:bottom="1540" w:left="980" w:right="0"/>
        </w:sectPr>
      </w:pPr>
    </w:p>
    <w:p>
      <w:pPr>
        <w:spacing w:before="44"/>
        <w:ind w:left="152" w:right="-19"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组合中，采用账龄分析法计提坏账准备的其他应收款</w:t>
      </w:r>
    </w:p>
    <w:p>
      <w:pPr>
        <w:spacing w:before="117"/>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980" w:right="0"/>
          <w:cols w:num="2" w:equalWidth="0">
            <w:col w:w="4294" w:space="4536"/>
            <w:col w:w="210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0"/>
        <w:gridCol w:w="1805"/>
        <w:gridCol w:w="651"/>
        <w:gridCol w:w="1601"/>
        <w:gridCol w:w="1867"/>
        <w:gridCol w:w="660"/>
        <w:gridCol w:w="1725"/>
      </w:tblGrid>
      <w:tr>
        <w:trPr>
          <w:trHeight w:val="402" w:hRule="exact"/>
        </w:trPr>
        <w:tc>
          <w:tcPr>
            <w:tcW w:w="1250" w:type="dxa"/>
            <w:vMerge w:val="restart"/>
            <w:tcBorders>
              <w:top w:val="single" w:sz="4" w:space="0" w:color="000000"/>
              <w:left w:val="single" w:sz="4" w:space="0" w:color="000000"/>
              <w:right w:val="single" w:sz="4" w:space="0" w:color="000000"/>
            </w:tcBorders>
            <w:shd w:val="clear" w:color="auto" w:fill="D2D2D2"/>
          </w:tcPr>
          <w:p>
            <w:pPr/>
          </w:p>
        </w:tc>
        <w:tc>
          <w:tcPr>
            <w:tcW w:w="40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2" w:hRule="exact"/>
        </w:trPr>
        <w:tc>
          <w:tcPr>
            <w:tcW w:w="1250" w:type="dxa"/>
            <w:vMerge/>
            <w:tcBorders>
              <w:left w:val="single" w:sz="4" w:space="0" w:color="000000"/>
              <w:bottom w:val="nil" w:sz="6" w:space="0" w:color="auto"/>
              <w:right w:val="single" w:sz="4" w:space="0" w:color="000000"/>
            </w:tcBorders>
            <w:shd w:val="clear" w:color="auto" w:fill="D2D2D2"/>
          </w:tcPr>
          <w:p>
            <w:pPr/>
          </w:p>
        </w:tc>
        <w:tc>
          <w:tcPr>
            <w:tcW w:w="24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1" w:type="dxa"/>
            <w:vMerge w:val="restart"/>
            <w:tcBorders>
              <w:top w:val="single" w:sz="4" w:space="0" w:color="000000"/>
              <w:left w:val="single" w:sz="4" w:space="0" w:color="000000"/>
              <w:right w:val="single" w:sz="4" w:space="0" w:color="000000"/>
            </w:tcBorders>
            <w:shd w:val="clear" w:color="auto" w:fill="D2D2D2"/>
          </w:tcPr>
          <w:p>
            <w:pPr/>
          </w:p>
        </w:tc>
        <w:tc>
          <w:tcPr>
            <w:tcW w:w="2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5" w:type="dxa"/>
            <w:vMerge w:val="restart"/>
            <w:tcBorders>
              <w:top w:val="single" w:sz="4" w:space="0" w:color="000000"/>
              <w:left w:val="single" w:sz="4" w:space="0" w:color="000000"/>
              <w:right w:val="single" w:sz="4" w:space="0" w:color="000000"/>
            </w:tcBorders>
            <w:shd w:val="clear" w:color="auto" w:fill="D2D2D2"/>
          </w:tcPr>
          <w:p>
            <w:pPr/>
          </w:p>
        </w:tc>
      </w:tr>
      <w:tr>
        <w:trPr>
          <w:trHeight w:val="222" w:hRule="exact"/>
        </w:trPr>
        <w:tc>
          <w:tcPr>
            <w:tcW w:w="12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456"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tcBorders>
              <w:left w:val="single" w:sz="4" w:space="0" w:color="000000"/>
              <w:bottom w:val="nil" w:sz="6" w:space="0" w:color="auto"/>
              <w:right w:val="single" w:sz="4" w:space="0" w:color="000000"/>
            </w:tcBorders>
            <w:shd w:val="clear" w:color="auto" w:fill="D2D2D2"/>
          </w:tcPr>
          <w:p>
            <w:pPr/>
          </w:p>
        </w:tc>
        <w:tc>
          <w:tcPr>
            <w:tcW w:w="2527" w:type="dxa"/>
            <w:gridSpan w:val="2"/>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250" w:type="dxa"/>
            <w:vMerge/>
            <w:tcBorders>
              <w:left w:val="single" w:sz="4" w:space="0" w:color="000000"/>
              <w:bottom w:val="single" w:sz="4" w:space="0" w:color="FFFFFF"/>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185" w:right="140"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186" w:right="145"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7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250" w:type="dxa"/>
            <w:vMerge w:val="restart"/>
            <w:tcBorders>
              <w:top w:val="single" w:sz="4" w:space="0" w:color="FFFFFF"/>
              <w:left w:val="single" w:sz="4" w:space="0" w:color="000000"/>
              <w:right w:val="single" w:sz="4" w:space="0" w:color="000000"/>
            </w:tcBorders>
            <w:shd w:val="clear" w:color="auto" w:fill="D2D2D2"/>
          </w:tcPr>
          <w:p>
            <w:pPr/>
          </w:p>
        </w:tc>
        <w:tc>
          <w:tcPr>
            <w:tcW w:w="180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tcBorders>
              <w:left w:val="single" w:sz="4" w:space="0" w:color="000000"/>
              <w:right w:val="single" w:sz="4" w:space="0" w:color="000000"/>
            </w:tcBorders>
            <w:shd w:val="clear" w:color="auto" w:fill="D2D2D2"/>
          </w:tcPr>
          <w:p>
            <w:pPr/>
          </w:p>
        </w:tc>
        <w:tc>
          <w:tcPr>
            <w:tcW w:w="1601" w:type="dxa"/>
            <w:vMerge/>
            <w:tcBorders>
              <w:left w:val="single" w:sz="4" w:space="0" w:color="000000"/>
              <w:bottom w:val="nil" w:sz="6" w:space="0" w:color="auto"/>
              <w:right w:val="single" w:sz="4" w:space="0" w:color="000000"/>
            </w:tcBorders>
            <w:shd w:val="clear" w:color="auto" w:fill="D2D2D2"/>
          </w:tcPr>
          <w:p>
            <w:pPr/>
          </w:p>
        </w:tc>
        <w:tc>
          <w:tcPr>
            <w:tcW w:w="18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250" w:type="dxa"/>
            <w:vMerge/>
            <w:tcBorders>
              <w:left w:val="single" w:sz="4" w:space="0" w:color="000000"/>
              <w:right w:val="single" w:sz="4" w:space="0" w:color="000000"/>
            </w:tcBorders>
            <w:shd w:val="clear" w:color="auto" w:fill="D2D2D2"/>
          </w:tcPr>
          <w:p>
            <w:pPr/>
          </w:p>
        </w:tc>
        <w:tc>
          <w:tcPr>
            <w:tcW w:w="1805" w:type="dxa"/>
            <w:vMerge/>
            <w:tcBorders>
              <w:left w:val="single" w:sz="4" w:space="0" w:color="000000"/>
              <w:bottom w:val="nil" w:sz="6" w:space="0" w:color="auto"/>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
        </w:tc>
        <w:tc>
          <w:tcPr>
            <w:tcW w:w="1867"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725"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25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c>
          <w:tcPr>
            <w:tcW w:w="1601" w:type="dxa"/>
            <w:vMerge/>
            <w:tcBorders>
              <w:left w:val="single" w:sz="4" w:space="0" w:color="000000"/>
              <w:bottom w:val="single" w:sz="4" w:space="0" w:color="000000"/>
              <w:right w:val="single" w:sz="4" w:space="0" w:color="000000"/>
            </w:tcBorders>
            <w:shd w:val="clear" w:color="auto" w:fill="D2D2D2"/>
          </w:tcPr>
          <w:p>
            <w:pPr/>
          </w:p>
        </w:tc>
        <w:tc>
          <w:tcPr>
            <w:tcW w:w="1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r>
      <w:tr>
        <w:trPr>
          <w:trHeight w:val="406"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sz w:val="18"/>
              </w:rPr>
              <w:t>--</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sz w:val="18"/>
              </w:rPr>
              <w:t>--</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sz w:val="18"/>
              </w:rPr>
              <w:t>--</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年以内小计</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12,886,637.16</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22.86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386,599.12</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right"/>
              <w:rPr>
                <w:rFonts w:ascii="宋体" w:hAnsi="宋体" w:cs="宋体" w:eastAsia="宋体" w:hint="default"/>
                <w:sz w:val="18"/>
                <w:szCs w:val="18"/>
              </w:rPr>
            </w:pPr>
            <w:r>
              <w:rPr>
                <w:rFonts w:ascii="宋体"/>
                <w:spacing w:val="-1"/>
                <w:sz w:val="18"/>
              </w:rPr>
              <w:t>74,514,691.28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97.99</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285,440.74</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42,306,271.04</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75.08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115,313.55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1,035,686.13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1.36</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51,784.31</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5"/>
              <w:jc w:val="right"/>
              <w:rPr>
                <w:rFonts w:ascii="宋体" w:hAnsi="宋体" w:cs="宋体" w:eastAsia="宋体" w:hint="default"/>
                <w:sz w:val="18"/>
                <w:szCs w:val="18"/>
              </w:rPr>
            </w:pPr>
            <w:r>
              <w:rPr>
                <w:rFonts w:ascii="宋体"/>
                <w:spacing w:val="-1"/>
                <w:sz w:val="18"/>
              </w:rPr>
              <w:t>860,733.33</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1.53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86,073.33</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right"/>
              <w:rPr>
                <w:rFonts w:ascii="宋体" w:hAnsi="宋体" w:cs="宋体" w:eastAsia="宋体" w:hint="default"/>
                <w:sz w:val="18"/>
                <w:szCs w:val="18"/>
              </w:rPr>
            </w:pPr>
            <w:r>
              <w:rPr>
                <w:rFonts w:ascii="宋体"/>
                <w:spacing w:val="-1"/>
                <w:sz w:val="18"/>
              </w:rPr>
              <w:t>279,711.26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0.37</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27,971.12</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296,006.66</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
              <w:jc w:val="right"/>
              <w:rPr>
                <w:rFonts w:ascii="宋体" w:hAnsi="宋体" w:cs="宋体" w:eastAsia="宋体" w:hint="default"/>
                <w:sz w:val="18"/>
                <w:szCs w:val="18"/>
              </w:rPr>
            </w:pPr>
            <w:r>
              <w:rPr>
                <w:rFonts w:ascii="宋体"/>
                <w:sz w:val="18"/>
              </w:rPr>
              <w:t>0.53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148,003.33</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214,695.00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0.28</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107,347.50</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5"/>
              <w:jc w:val="right"/>
              <w:rPr>
                <w:rFonts w:ascii="宋体" w:hAnsi="宋体" w:cs="宋体" w:eastAsia="宋体" w:hint="default"/>
                <w:sz w:val="18"/>
                <w:szCs w:val="18"/>
              </w:rPr>
            </w:pPr>
            <w:r>
              <w:rPr>
                <w:rFonts w:ascii="宋体"/>
                <w:spacing w:val="-1"/>
                <w:sz w:val="18"/>
              </w:rPr>
              <w:t>184,311.66</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0.33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92,155.83</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right"/>
              <w:rPr>
                <w:rFonts w:ascii="宋体" w:hAnsi="宋体" w:cs="宋体" w:eastAsia="宋体" w:hint="default"/>
                <w:sz w:val="18"/>
                <w:szCs w:val="18"/>
              </w:rPr>
            </w:pPr>
            <w:r>
              <w:rPr>
                <w:rFonts w:ascii="宋体"/>
                <w:spacing w:val="-1"/>
                <w:sz w:val="18"/>
              </w:rPr>
              <w:t>114,695.00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0.15</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57,347.50</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111,695.00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55,847.50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100,000.00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0.13</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50,000.00</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14"/>
              <w:jc w:val="right"/>
              <w:rPr>
                <w:rFonts w:ascii="宋体" w:hAnsi="宋体" w:cs="宋体" w:eastAsia="宋体" w:hint="default"/>
                <w:sz w:val="18"/>
                <w:szCs w:val="18"/>
              </w:rPr>
            </w:pPr>
            <w:r>
              <w:rPr>
                <w:rFonts w:ascii="宋体"/>
                <w:spacing w:val="-1"/>
                <w:sz w:val="18"/>
              </w:rPr>
              <w:t>56,349,648.19</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sz w:val="18"/>
              </w:rPr>
              <w:t>--</w:t>
            </w:r>
          </w:p>
        </w:tc>
        <w:tc>
          <w:tcPr>
            <w:tcW w:w="16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735,989.34</w:t>
            </w:r>
          </w:p>
        </w:tc>
        <w:tc>
          <w:tcPr>
            <w:tcW w:w="186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13"/>
              <w:jc w:val="right"/>
              <w:rPr>
                <w:rFonts w:ascii="宋体" w:hAnsi="宋体" w:cs="宋体" w:eastAsia="宋体" w:hint="default"/>
                <w:sz w:val="18"/>
                <w:szCs w:val="18"/>
              </w:rPr>
            </w:pPr>
            <w:r>
              <w:rPr>
                <w:rFonts w:ascii="宋体"/>
                <w:spacing w:val="-1"/>
                <w:sz w:val="18"/>
              </w:rPr>
              <w:t>76,044,783.67</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17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472,543.67</w:t>
            </w:r>
          </w:p>
        </w:tc>
      </w:tr>
    </w:tbl>
    <w:p>
      <w:pPr>
        <w:spacing w:after="0" w:line="240" w:lineRule="auto"/>
        <w:jc w:val="right"/>
        <w:rPr>
          <w:rFonts w:ascii="宋体" w:hAnsi="宋体" w:cs="宋体" w:eastAsia="宋体" w:hint="default"/>
          <w:sz w:val="18"/>
          <w:szCs w:val="18"/>
        </w:rPr>
        <w:sectPr>
          <w:type w:val="continuous"/>
          <w:pgSz w:w="11910" w:h="16840"/>
          <w:pgMar w:top="1580" w:bottom="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2"/>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980" w:right="0"/>
          <w:cols w:num="2" w:equalWidth="0">
            <w:col w:w="4653" w:space="41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1541"/>
        <w:gridCol w:w="1544"/>
        <w:gridCol w:w="1553"/>
        <w:gridCol w:w="1531"/>
      </w:tblGrid>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6"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华为投资控股有限公司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100,000.00</w:t>
            </w:r>
          </w:p>
        </w:tc>
        <w:tc>
          <w:tcPr>
            <w:tcW w:w="1553"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100</w:t>
            </w:r>
          </w:p>
        </w:tc>
        <w:tc>
          <w:tcPr>
            <w:tcW w:w="153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深圳市政府采购中心</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10,000.00</w:t>
            </w:r>
          </w:p>
        </w:tc>
        <w:tc>
          <w:tcPr>
            <w:tcW w:w="1553"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100</w:t>
            </w:r>
          </w:p>
        </w:tc>
        <w:tc>
          <w:tcPr>
            <w:tcW w:w="153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廊坊开发区中油龙慧自动化工程有限公司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38,115.00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38,115.00</w:t>
            </w:r>
          </w:p>
        </w:tc>
        <w:tc>
          <w:tcPr>
            <w:tcW w:w="1553"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100</w:t>
            </w:r>
          </w:p>
        </w:tc>
        <w:tc>
          <w:tcPr>
            <w:tcW w:w="153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148,115.00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148,115.00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spacing w:line="506" w:lineRule="auto" w:before="36"/>
        <w:ind w:left="573" w:right="267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）本报告期其他应收款中持有公司</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100"/>
          <w:sz w:val="21"/>
          <w:szCs w:val="21"/>
        </w:rPr>
        <w:t> </w:t>
      </w:r>
      <w:r>
        <w:rPr>
          <w:rFonts w:ascii="宋体" w:hAnsi="宋体" w:cs="宋体" w:eastAsia="宋体" w:hint="default"/>
          <w:sz w:val="21"/>
          <w:szCs w:val="21"/>
        </w:rPr>
        <w:t>本报告期其他应收款中无持有公司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％）以上表决权股份的股东单位情况。</w:t>
      </w:r>
    </w:p>
    <w:p>
      <w:pPr>
        <w:pStyle w:val="Heading3"/>
        <w:spacing w:line="240" w:lineRule="auto" w:before="101"/>
        <w:ind w:right="1123"/>
        <w:jc w:val="left"/>
        <w:rPr>
          <w:b w:val="0"/>
          <w:bCs w:val="0"/>
        </w:rPr>
      </w:pPr>
      <w:r>
        <w:rPr/>
        <w:t>（</w:t>
      </w:r>
      <w:r>
        <w:rPr>
          <w:rFonts w:ascii="Times New Roman" w:hAnsi="Times New Roman" w:cs="Times New Roman" w:eastAsia="Times New Roman" w:hint="default"/>
        </w:rPr>
        <w:t>3</w:t>
      </w:r>
      <w:r>
        <w:rPr/>
        <w:t>）金额较大的其他应收款的性质或内容</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1123"/>
        <w:jc w:val="left"/>
      </w:pPr>
      <w:r>
        <w:rPr/>
        <w:t>本报告期末应收子公司达实信息</w:t>
      </w:r>
      <w:r>
        <w:rPr>
          <w:spacing w:val="-53"/>
        </w:rPr>
        <w:t> </w:t>
      </w:r>
      <w:r>
        <w:rPr>
          <w:rFonts w:ascii="宋体" w:hAnsi="宋体" w:cs="宋体" w:eastAsia="宋体" w:hint="default"/>
        </w:rPr>
        <w:t>4000.00</w:t>
      </w:r>
      <w:r>
        <w:rPr>
          <w:rFonts w:ascii="宋体" w:hAnsi="宋体" w:cs="宋体" w:eastAsia="宋体" w:hint="default"/>
          <w:spacing w:val="-55"/>
        </w:rPr>
        <w:t> </w:t>
      </w:r>
      <w:r>
        <w:rPr/>
        <w:t>万元，系向其提供借款余额。</w:t>
      </w:r>
    </w:p>
    <w:p>
      <w:pPr>
        <w:spacing w:after="0" w:line="240" w:lineRule="auto"/>
        <w:jc w:val="left"/>
        <w:sectPr>
          <w:type w:val="continuous"/>
          <w:pgSz w:w="11910" w:h="16840"/>
          <w:pgMar w:top="1580" w:bottom="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20"/>
        <w:gridCol w:w="1610"/>
        <w:gridCol w:w="1625"/>
        <w:gridCol w:w="1591"/>
        <w:gridCol w:w="1626"/>
      </w:tblGrid>
      <w:tr>
        <w:trPr>
          <w:trHeight w:val="710"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79" w:hanging="315"/>
              <w:jc w:val="left"/>
              <w:rPr>
                <w:rFonts w:ascii="宋体" w:hAnsi="宋体" w:cs="宋体" w:eastAsia="宋体" w:hint="default"/>
                <w:sz w:val="18"/>
                <w:szCs w:val="18"/>
              </w:rPr>
            </w:pPr>
            <w:r>
              <w:rPr>
                <w:rFonts w:ascii="宋体" w:hAnsi="宋体" w:cs="宋体" w:eastAsia="宋体" w:hint="default"/>
                <w:sz w:val="18"/>
                <w:szCs w:val="18"/>
              </w:rPr>
              <w:t>占其他应收款总额 的比例</w:t>
            </w:r>
            <w:r>
              <w:rPr>
                <w:rFonts w:ascii="宋体" w:hAnsi="宋体" w:cs="宋体" w:eastAsia="宋体" w:hint="default"/>
                <w:sz w:val="18"/>
                <w:szCs w:val="18"/>
              </w:rPr>
              <w:t>(%)</w:t>
            </w:r>
          </w:p>
        </w:tc>
      </w:tr>
      <w:tr>
        <w:trPr>
          <w:trHeight w:val="406" w:hRule="exact"/>
        </w:trPr>
        <w:tc>
          <w:tcPr>
            <w:tcW w:w="31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c>
          <w:tcPr>
            <w:tcW w:w="16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25"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40,000,000.00</w:t>
            </w:r>
          </w:p>
        </w:tc>
        <w:tc>
          <w:tcPr>
            <w:tcW w:w="15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26"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70.8</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大连机械设备成套公司</w:t>
            </w:r>
          </w:p>
        </w:tc>
        <w:tc>
          <w:tcPr>
            <w:tcW w:w="16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5"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1,400,000.00</w:t>
            </w:r>
          </w:p>
        </w:tc>
        <w:tc>
          <w:tcPr>
            <w:tcW w:w="15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26"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2.48</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中海振兴（成都）物业发展有限公司</w:t>
            </w:r>
          </w:p>
        </w:tc>
        <w:tc>
          <w:tcPr>
            <w:tcW w:w="16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5"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1,200,636.58</w:t>
            </w:r>
          </w:p>
        </w:tc>
        <w:tc>
          <w:tcPr>
            <w:tcW w:w="15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26"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2.13</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中海振兴（成都）物业发展有限公司</w:t>
            </w:r>
          </w:p>
        </w:tc>
        <w:tc>
          <w:tcPr>
            <w:tcW w:w="16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5"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25,000.00</w:t>
            </w:r>
          </w:p>
        </w:tc>
        <w:tc>
          <w:tcPr>
            <w:tcW w:w="15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26"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0.04</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成都市城乡建设委员会</w:t>
            </w:r>
          </w:p>
        </w:tc>
        <w:tc>
          <w:tcPr>
            <w:tcW w:w="16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5"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1,000,000.00</w:t>
            </w:r>
          </w:p>
        </w:tc>
        <w:tc>
          <w:tcPr>
            <w:tcW w:w="15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26"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1.77</w:t>
            </w:r>
          </w:p>
        </w:tc>
      </w:tr>
      <w:tr>
        <w:trPr>
          <w:trHeight w:val="404" w:hRule="exact"/>
        </w:trPr>
        <w:tc>
          <w:tcPr>
            <w:tcW w:w="31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长沙公共资源交易中心</w:t>
            </w:r>
          </w:p>
        </w:tc>
        <w:tc>
          <w:tcPr>
            <w:tcW w:w="16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5"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800,000.00</w:t>
            </w:r>
          </w:p>
        </w:tc>
        <w:tc>
          <w:tcPr>
            <w:tcW w:w="15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26"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1.42</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6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44,425,636.58</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78.64</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）其他应收关联方账款情况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19"/>
        <w:gridCol w:w="2443"/>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9"/>
              <w:jc w:val="right"/>
              <w:rPr>
                <w:rFonts w:ascii="宋体" w:hAnsi="宋体" w:cs="宋体" w:eastAsia="宋体" w:hint="default"/>
                <w:sz w:val="18"/>
                <w:szCs w:val="18"/>
              </w:rPr>
            </w:pPr>
            <w:r>
              <w:rPr>
                <w:rFonts w:ascii="宋体" w:hAnsi="宋体" w:cs="宋体" w:eastAsia="宋体" w:hint="default"/>
                <w:sz w:val="18"/>
                <w:szCs w:val="18"/>
              </w:rPr>
              <w:t>占其他应收款总额的比例</w:t>
            </w:r>
            <w:r>
              <w:rPr>
                <w:rFonts w:ascii="宋体" w:hAnsi="宋体" w:cs="宋体" w:eastAsia="宋体"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达实信息</w:t>
            </w:r>
          </w:p>
        </w:tc>
        <w:tc>
          <w:tcPr>
            <w:tcW w:w="24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43"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49"/>
              <w:ind w:left="1230" w:right="0"/>
              <w:jc w:val="left"/>
              <w:rPr>
                <w:rFonts w:ascii="宋体" w:hAnsi="宋体" w:cs="宋体" w:eastAsia="宋体" w:hint="default"/>
                <w:sz w:val="18"/>
                <w:szCs w:val="18"/>
              </w:rPr>
            </w:pPr>
            <w:r>
              <w:rPr>
                <w:rFonts w:ascii="宋体"/>
                <w:sz w:val="18"/>
              </w:rPr>
              <w:t>40,000,000.00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70.80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850"/>
        <w:gridCol w:w="853"/>
        <w:gridCol w:w="708"/>
        <w:gridCol w:w="708"/>
        <w:gridCol w:w="852"/>
        <w:gridCol w:w="850"/>
        <w:gridCol w:w="566"/>
        <w:gridCol w:w="852"/>
        <w:gridCol w:w="745"/>
        <w:gridCol w:w="799"/>
        <w:gridCol w:w="797"/>
      </w:tblGrid>
      <w:tr>
        <w:trPr>
          <w:trHeight w:val="196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0"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增减变 动</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9" w:right="58"/>
              <w:jc w:val="both"/>
              <w:rPr>
                <w:rFonts w:ascii="宋体" w:hAnsi="宋体" w:cs="宋体" w:eastAsia="宋体" w:hint="default"/>
                <w:sz w:val="18"/>
                <w:szCs w:val="18"/>
              </w:rPr>
            </w:pPr>
            <w:r>
              <w:rPr>
                <w:rFonts w:ascii="宋体" w:hAnsi="宋体" w:cs="宋体" w:eastAsia="宋体" w:hint="default"/>
                <w:sz w:val="18"/>
                <w:szCs w:val="18"/>
              </w:rPr>
              <w:t>在被投资 单位持股 比例</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8" w:firstLine="45"/>
              <w:jc w:val="both"/>
              <w:rPr>
                <w:rFonts w:ascii="宋体" w:hAnsi="宋体" w:cs="宋体" w:eastAsia="宋体" w:hint="default"/>
                <w:sz w:val="18"/>
                <w:szCs w:val="18"/>
              </w:rPr>
            </w:pPr>
            <w:r>
              <w:rPr>
                <w:rFonts w:ascii="宋体" w:hAnsi="宋体" w:cs="宋体" w:eastAsia="宋体" w:hint="default"/>
                <w:sz w:val="18"/>
                <w:szCs w:val="18"/>
              </w:rPr>
              <w:t>在被 投资 单位 表决 权比 例</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0"/>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8" w:right="94"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达实自动化</w:t>
            </w:r>
          </w:p>
        </w:tc>
        <w:tc>
          <w:tcPr>
            <w:tcW w:w="8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sz w:val="18"/>
              </w:rPr>
              <w:t>2,678,14</w:t>
            </w:r>
          </w:p>
          <w:p>
            <w:pPr>
              <w:pStyle w:val="TableParagraph"/>
              <w:spacing w:line="240" w:lineRule="auto" w:before="74"/>
              <w:ind w:left="458" w:right="0"/>
              <w:jc w:val="left"/>
              <w:rPr>
                <w:rFonts w:ascii="宋体" w:hAnsi="宋体" w:cs="宋体" w:eastAsia="宋体" w:hint="default"/>
                <w:sz w:val="18"/>
                <w:szCs w:val="18"/>
              </w:rPr>
            </w:pPr>
            <w:r>
              <w:rPr>
                <w:rFonts w:ascii="宋体"/>
                <w:sz w:val="18"/>
              </w:rPr>
              <w:t>4.91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sz w:val="18"/>
              </w:rPr>
              <w:t>2,678,1</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44.91</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sz w:val="18"/>
              </w:rPr>
              <w:t>2,678,14</w:t>
            </w:r>
          </w:p>
          <w:p>
            <w:pPr>
              <w:pStyle w:val="TableParagraph"/>
              <w:spacing w:line="240" w:lineRule="auto" w:before="74"/>
              <w:ind w:left="458" w:right="0"/>
              <w:jc w:val="left"/>
              <w:rPr>
                <w:rFonts w:ascii="宋体" w:hAnsi="宋体" w:cs="宋体" w:eastAsia="宋体" w:hint="default"/>
                <w:sz w:val="18"/>
                <w:szCs w:val="18"/>
              </w:rPr>
            </w:pPr>
            <w:r>
              <w:rPr>
                <w:rFonts w:ascii="宋体"/>
                <w:sz w:val="18"/>
              </w:rPr>
              <w:t>4.91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90</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达实信息</w:t>
            </w:r>
          </w:p>
        </w:tc>
        <w:tc>
          <w:tcPr>
            <w:tcW w:w="8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68,150,0</w:t>
            </w:r>
          </w:p>
          <w:p>
            <w:pPr>
              <w:pStyle w:val="TableParagraph"/>
              <w:spacing w:line="240" w:lineRule="auto" w:before="77"/>
              <w:ind w:left="367" w:right="0"/>
              <w:jc w:val="left"/>
              <w:rPr>
                <w:rFonts w:ascii="宋体" w:hAnsi="宋体" w:cs="宋体" w:eastAsia="宋体" w:hint="default"/>
                <w:sz w:val="18"/>
                <w:szCs w:val="18"/>
              </w:rPr>
            </w:pPr>
            <w:r>
              <w:rPr>
                <w:rFonts w:ascii="宋体"/>
                <w:sz w:val="18"/>
              </w:rPr>
              <w:t>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68,150,</w:t>
            </w:r>
          </w:p>
          <w:p>
            <w:pPr>
              <w:pStyle w:val="TableParagraph"/>
              <w:spacing w:line="240" w:lineRule="auto" w:before="77"/>
              <w:ind w:left="136" w:right="0"/>
              <w:jc w:val="left"/>
              <w:rPr>
                <w:rFonts w:ascii="宋体" w:hAnsi="宋体" w:cs="宋体" w:eastAsia="宋体" w:hint="default"/>
                <w:sz w:val="18"/>
                <w:szCs w:val="18"/>
              </w:rPr>
            </w:pPr>
            <w:r>
              <w:rPr>
                <w:rFonts w:ascii="宋体"/>
                <w:sz w:val="18"/>
              </w:rPr>
              <w:t>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68,150,0</w:t>
            </w:r>
          </w:p>
          <w:p>
            <w:pPr>
              <w:pStyle w:val="TableParagraph"/>
              <w:spacing w:line="240" w:lineRule="auto" w:before="77"/>
              <w:ind w:left="367" w:right="0"/>
              <w:jc w:val="left"/>
              <w:rPr>
                <w:rFonts w:ascii="宋体" w:hAnsi="宋体" w:cs="宋体" w:eastAsia="宋体" w:hint="default"/>
                <w:sz w:val="18"/>
                <w:szCs w:val="18"/>
              </w:rPr>
            </w:pPr>
            <w:r>
              <w:rPr>
                <w:rFonts w:ascii="宋体"/>
                <w:sz w:val="18"/>
              </w:rPr>
              <w:t>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达实联欣</w:t>
            </w:r>
          </w:p>
        </w:tc>
        <w:tc>
          <w:tcPr>
            <w:tcW w:w="8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center"/>
              <w:rPr>
                <w:rFonts w:ascii="宋体" w:hAnsi="宋体" w:cs="宋体" w:eastAsia="宋体" w:hint="default"/>
                <w:sz w:val="18"/>
                <w:szCs w:val="18"/>
              </w:rPr>
            </w:pPr>
            <w:r>
              <w:rPr>
                <w:rFonts w:ascii="宋体"/>
                <w:sz w:val="18"/>
              </w:rPr>
              <w:t>201,144,</w:t>
            </w:r>
          </w:p>
          <w:p>
            <w:pPr>
              <w:pStyle w:val="TableParagraph"/>
              <w:spacing w:line="240" w:lineRule="auto" w:before="74"/>
              <w:ind w:left="254" w:right="0"/>
              <w:jc w:val="center"/>
              <w:rPr>
                <w:rFonts w:ascii="宋体" w:hAnsi="宋体" w:cs="宋体" w:eastAsia="宋体" w:hint="default"/>
                <w:sz w:val="18"/>
                <w:szCs w:val="18"/>
              </w:rPr>
            </w:pPr>
            <w:r>
              <w:rPr>
                <w:rFonts w:ascii="宋体"/>
                <w:sz w:val="18"/>
              </w:rPr>
              <w:t>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201,144</w:t>
            </w:r>
          </w:p>
          <w:p>
            <w:pPr>
              <w:pStyle w:val="TableParagraph"/>
              <w:spacing w:line="240" w:lineRule="auto" w:before="74"/>
              <w:ind w:left="45" w:right="0"/>
              <w:jc w:val="left"/>
              <w:rPr>
                <w:rFonts w:ascii="宋体" w:hAnsi="宋体" w:cs="宋体" w:eastAsia="宋体" w:hint="default"/>
                <w:sz w:val="18"/>
                <w:szCs w:val="18"/>
              </w:rPr>
            </w:pPr>
            <w:r>
              <w:rPr>
                <w:rFonts w:ascii="宋体"/>
                <w:sz w:val="18"/>
              </w:rPr>
              <w:t>,000.00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center"/>
              <w:rPr>
                <w:rFonts w:ascii="宋体" w:hAnsi="宋体" w:cs="宋体" w:eastAsia="宋体" w:hint="default"/>
                <w:sz w:val="18"/>
                <w:szCs w:val="18"/>
              </w:rPr>
            </w:pPr>
            <w:r>
              <w:rPr>
                <w:rFonts w:ascii="宋体"/>
                <w:sz w:val="18"/>
              </w:rPr>
              <w:t>201,144,</w:t>
            </w:r>
          </w:p>
          <w:p>
            <w:pPr>
              <w:pStyle w:val="TableParagraph"/>
              <w:spacing w:line="240" w:lineRule="auto" w:before="74"/>
              <w:ind w:left="255" w:right="0"/>
              <w:jc w:val="center"/>
              <w:rPr>
                <w:rFonts w:ascii="宋体" w:hAnsi="宋体" w:cs="宋体" w:eastAsia="宋体" w:hint="default"/>
                <w:sz w:val="18"/>
                <w:szCs w:val="18"/>
              </w:rPr>
            </w:pPr>
            <w:r>
              <w:rPr>
                <w:rFonts w:ascii="宋体"/>
                <w:sz w:val="18"/>
              </w:rPr>
              <w:t>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51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51</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达实德润</w:t>
            </w:r>
          </w:p>
        </w:tc>
        <w:tc>
          <w:tcPr>
            <w:tcW w:w="8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13,500,0</w:t>
            </w:r>
          </w:p>
          <w:p>
            <w:pPr>
              <w:pStyle w:val="TableParagraph"/>
              <w:spacing w:line="240" w:lineRule="auto" w:before="76"/>
              <w:ind w:left="367" w:right="0"/>
              <w:jc w:val="left"/>
              <w:rPr>
                <w:rFonts w:ascii="宋体" w:hAnsi="宋体" w:cs="宋体" w:eastAsia="宋体" w:hint="default"/>
                <w:sz w:val="18"/>
                <w:szCs w:val="18"/>
              </w:rPr>
            </w:pPr>
            <w:r>
              <w:rPr>
                <w:rFonts w:ascii="宋体"/>
                <w:sz w:val="18"/>
              </w:rPr>
              <w:t>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13,500,</w:t>
            </w:r>
          </w:p>
          <w:p>
            <w:pPr>
              <w:pStyle w:val="TableParagraph"/>
              <w:spacing w:line="240" w:lineRule="auto" w:before="76"/>
              <w:ind w:left="136" w:right="0"/>
              <w:jc w:val="left"/>
              <w:rPr>
                <w:rFonts w:ascii="宋体" w:hAnsi="宋体" w:cs="宋体" w:eastAsia="宋体" w:hint="default"/>
                <w:sz w:val="18"/>
                <w:szCs w:val="18"/>
              </w:rPr>
            </w:pPr>
            <w:r>
              <w:rPr>
                <w:rFonts w:ascii="宋体"/>
                <w:sz w:val="18"/>
              </w:rPr>
              <w:t>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13,500,0</w:t>
            </w:r>
          </w:p>
          <w:p>
            <w:pPr>
              <w:pStyle w:val="TableParagraph"/>
              <w:spacing w:line="240" w:lineRule="auto" w:before="76"/>
              <w:ind w:left="367" w:right="0"/>
              <w:jc w:val="left"/>
              <w:rPr>
                <w:rFonts w:ascii="宋体" w:hAnsi="宋体" w:cs="宋体" w:eastAsia="宋体" w:hint="default"/>
                <w:sz w:val="18"/>
                <w:szCs w:val="18"/>
              </w:rPr>
            </w:pPr>
            <w:r>
              <w:rPr>
                <w:rFonts w:ascii="宋体"/>
                <w:sz w:val="18"/>
              </w:rPr>
              <w:t>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45</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center"/>
              <w:rPr>
                <w:rFonts w:ascii="宋体" w:hAnsi="宋体" w:cs="宋体" w:eastAsia="宋体" w:hint="default"/>
                <w:sz w:val="18"/>
                <w:szCs w:val="18"/>
              </w:rPr>
            </w:pPr>
            <w:r>
              <w:rPr>
                <w:rFonts w:ascii="宋体"/>
                <w:sz w:val="18"/>
              </w:rPr>
              <w:t>285,472,</w:t>
            </w:r>
          </w:p>
          <w:p>
            <w:pPr>
              <w:pStyle w:val="TableParagraph"/>
              <w:spacing w:line="240" w:lineRule="auto" w:before="74"/>
              <w:ind w:left="254" w:right="0"/>
              <w:jc w:val="center"/>
              <w:rPr>
                <w:rFonts w:ascii="宋体" w:hAnsi="宋体" w:cs="宋体" w:eastAsia="宋体" w:hint="default"/>
                <w:sz w:val="18"/>
                <w:szCs w:val="18"/>
              </w:rPr>
            </w:pPr>
            <w:r>
              <w:rPr>
                <w:rFonts w:ascii="宋体"/>
                <w:sz w:val="18"/>
              </w:rPr>
              <w:t>144.91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70,828,</w:t>
            </w:r>
          </w:p>
          <w:p>
            <w:pPr>
              <w:pStyle w:val="TableParagraph"/>
              <w:spacing w:line="240" w:lineRule="auto" w:before="74"/>
              <w:ind w:left="136" w:right="0"/>
              <w:jc w:val="left"/>
              <w:rPr>
                <w:rFonts w:ascii="宋体" w:hAnsi="宋体" w:cs="宋体" w:eastAsia="宋体" w:hint="default"/>
                <w:sz w:val="18"/>
                <w:szCs w:val="18"/>
              </w:rPr>
            </w:pPr>
            <w:r>
              <w:rPr>
                <w:rFonts w:ascii="宋体"/>
                <w:sz w:val="18"/>
              </w:rPr>
              <w:t>144.91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214,644</w:t>
            </w:r>
          </w:p>
          <w:p>
            <w:pPr>
              <w:pStyle w:val="TableParagraph"/>
              <w:spacing w:line="240" w:lineRule="auto" w:before="74"/>
              <w:ind w:left="45" w:right="0"/>
              <w:jc w:val="left"/>
              <w:rPr>
                <w:rFonts w:ascii="宋体" w:hAnsi="宋体" w:cs="宋体" w:eastAsia="宋体" w:hint="default"/>
                <w:sz w:val="18"/>
                <w:szCs w:val="18"/>
              </w:rPr>
            </w:pPr>
            <w:r>
              <w:rPr>
                <w:rFonts w:ascii="宋体"/>
                <w:sz w:val="18"/>
              </w:rPr>
              <w:t>,000.00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center"/>
              <w:rPr>
                <w:rFonts w:ascii="宋体" w:hAnsi="宋体" w:cs="宋体" w:eastAsia="宋体" w:hint="default"/>
                <w:sz w:val="18"/>
                <w:szCs w:val="18"/>
              </w:rPr>
            </w:pPr>
            <w:r>
              <w:rPr>
                <w:rFonts w:ascii="宋体"/>
                <w:sz w:val="18"/>
              </w:rPr>
              <w:t>285,472,</w:t>
            </w:r>
          </w:p>
          <w:p>
            <w:pPr>
              <w:pStyle w:val="TableParagraph"/>
              <w:spacing w:line="240" w:lineRule="auto" w:before="74"/>
              <w:ind w:left="255" w:right="0"/>
              <w:jc w:val="center"/>
              <w:rPr>
                <w:rFonts w:ascii="宋体" w:hAnsi="宋体" w:cs="宋体" w:eastAsia="宋体" w:hint="default"/>
                <w:sz w:val="18"/>
                <w:szCs w:val="18"/>
              </w:rPr>
            </w:pPr>
            <w:r>
              <w:rPr>
                <w:rFonts w:ascii="宋体"/>
                <w:sz w:val="18"/>
              </w:rPr>
              <w:t>144.91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4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after="0"/>
        <w:jc w:val="left"/>
        <w:rPr>
          <w:rFonts w:ascii="宋体" w:hAnsi="宋体" w:cs="宋体" w:eastAsia="宋体" w:hint="default"/>
          <w:sz w:val="18"/>
          <w:szCs w:val="18"/>
        </w:rPr>
        <w:sectPr>
          <w:pgSz w:w="11910" w:h="16840"/>
          <w:pgMar w:header="877" w:footer="1334" w:top="1100" w:bottom="154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2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560,145,203.70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464,477,945.53</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168,704.75</w:t>
            </w:r>
          </w:p>
        </w:tc>
        <w:tc>
          <w:tcPr>
            <w:tcW w:w="35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560,313,908.45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464,477,945.53</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427,962,661.66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359,135,968.57</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2</w:t>
      </w:r>
      <w:r>
        <w:rPr/>
        <w:t>）主营业务（分行业）</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建筑智能化及建筑节能</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517,623,783.18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398,127,634.57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422,165,169.51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328,788,442.78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工业自动化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41,085,627.32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28,806,933.00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32,555,026.73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23,365,482.85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终端产品及其他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1,435,793.20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992,940.14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9,757,749.29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6,982,042.94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560,145,203.70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427,927,507.71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464,477,945.53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359,135,968.57</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3</w:t>
      </w:r>
      <w:r>
        <w:rPr/>
        <w:t>）主营业务（分产品）</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9" w:right="0"/>
              <w:jc w:val="left"/>
              <w:rPr>
                <w:rFonts w:ascii="宋体" w:hAnsi="宋体" w:cs="宋体" w:eastAsia="宋体" w:hint="default"/>
                <w:sz w:val="18"/>
                <w:szCs w:val="18"/>
              </w:rPr>
            </w:pPr>
            <w:r>
              <w:rPr>
                <w:rFonts w:ascii="宋体"/>
                <w:sz w:val="18"/>
              </w:rPr>
              <w:t>560,145,203.70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8" w:right="0"/>
              <w:jc w:val="left"/>
              <w:rPr>
                <w:rFonts w:ascii="宋体" w:hAnsi="宋体" w:cs="宋体" w:eastAsia="宋体" w:hint="default"/>
                <w:sz w:val="18"/>
                <w:szCs w:val="18"/>
              </w:rPr>
            </w:pPr>
            <w:r>
              <w:rPr>
                <w:rFonts w:ascii="宋体"/>
                <w:sz w:val="18"/>
              </w:rPr>
              <w:t>427,927,507.71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8" w:right="0"/>
              <w:jc w:val="left"/>
              <w:rPr>
                <w:rFonts w:ascii="宋体" w:hAnsi="宋体" w:cs="宋体" w:eastAsia="宋体" w:hint="default"/>
                <w:sz w:val="18"/>
                <w:szCs w:val="18"/>
              </w:rPr>
            </w:pPr>
            <w:r>
              <w:rPr>
                <w:rFonts w:ascii="宋体"/>
                <w:sz w:val="18"/>
              </w:rPr>
              <w:t>464,477,945.53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359,135,968.57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9" w:right="0"/>
              <w:jc w:val="left"/>
              <w:rPr>
                <w:rFonts w:ascii="宋体" w:hAnsi="宋体" w:cs="宋体" w:eastAsia="宋体" w:hint="default"/>
                <w:sz w:val="18"/>
                <w:szCs w:val="18"/>
              </w:rPr>
            </w:pPr>
            <w:r>
              <w:rPr>
                <w:rFonts w:ascii="宋体"/>
                <w:sz w:val="18"/>
              </w:rPr>
              <w:t>560,145,203.70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8" w:right="0"/>
              <w:jc w:val="left"/>
              <w:rPr>
                <w:rFonts w:ascii="宋体" w:hAnsi="宋体" w:cs="宋体" w:eastAsia="宋体" w:hint="default"/>
                <w:sz w:val="18"/>
                <w:szCs w:val="18"/>
              </w:rPr>
            </w:pPr>
            <w:r>
              <w:rPr>
                <w:rFonts w:ascii="宋体"/>
                <w:sz w:val="18"/>
              </w:rPr>
              <w:t>427,927,507.71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8" w:right="0"/>
              <w:jc w:val="left"/>
              <w:rPr>
                <w:rFonts w:ascii="宋体" w:hAnsi="宋体" w:cs="宋体" w:eastAsia="宋体" w:hint="default"/>
                <w:sz w:val="18"/>
                <w:szCs w:val="18"/>
              </w:rPr>
            </w:pPr>
            <w:r>
              <w:rPr>
                <w:rFonts w:ascii="宋体"/>
                <w:sz w:val="18"/>
              </w:rPr>
              <w:t>464,477,945.53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359,135,968.57</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宋体" w:hAnsi="宋体" w:cs="宋体" w:eastAsia="宋体" w:hint="default"/>
        </w:rPr>
        <w:t>4</w:t>
      </w:r>
      <w:r>
        <w:rPr/>
        <w:t>）主营业务（分地区）</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2"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314,364,091.72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237,777,051.51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269,288,312.89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206,815,290.96</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33,926,390.13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27,007,845.45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61,616,497.94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48,118,075.63</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26,400,679.13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19,772,725.20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34,344,493.38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25,829,035.86</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29,802,496.57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24,415,622.78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14,092,516.43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10,428,816.66</w:t>
            </w:r>
          </w:p>
        </w:tc>
      </w:tr>
    </w:tbl>
    <w:p>
      <w:pPr>
        <w:spacing w:after="0" w:line="240" w:lineRule="auto"/>
        <w:jc w:val="right"/>
        <w:rPr>
          <w:rFonts w:ascii="宋体" w:hAnsi="宋体" w:cs="宋体" w:eastAsia="宋体" w:hint="default"/>
          <w:sz w:val="18"/>
          <w:szCs w:val="18"/>
        </w:rPr>
        <w:sectPr>
          <w:pgSz w:w="11910" w:h="16840"/>
          <w:pgMar w:header="877" w:footer="1334" w:top="1100" w:bottom="152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15,784,474.55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10,941,138.20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7,587,677.25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4,996,845.72</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138,788,049.12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107,220,131.45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77,539,457.64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62,942,959.74</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1,079,022.48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792,993.12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8,990.00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4,944.00</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560,145,203.70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427,927,507.71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464,477,945.53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359,135,968.57</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2922"/>
        <w:gridCol w:w="1865"/>
      </w:tblGrid>
      <w:tr>
        <w:trPr>
          <w:trHeight w:val="70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14" w:right="24" w:hanging="586"/>
              <w:jc w:val="left"/>
              <w:rPr>
                <w:rFonts w:ascii="宋体" w:hAnsi="宋体" w:cs="宋体" w:eastAsia="宋体" w:hint="default"/>
                <w:sz w:val="18"/>
                <w:szCs w:val="18"/>
              </w:rPr>
            </w:pPr>
            <w:r>
              <w:rPr>
                <w:rFonts w:ascii="宋体" w:hAnsi="宋体" w:cs="宋体" w:eastAsia="宋体" w:hint="default"/>
                <w:sz w:val="18"/>
                <w:szCs w:val="18"/>
              </w:rPr>
              <w:t>占公司全部营业收入的 比例</w:t>
            </w:r>
            <w:r>
              <w:rPr>
                <w:rFonts w:ascii="宋体" w:hAnsi="宋体" w:cs="宋体" w:eastAsia="宋体" w:hint="default"/>
                <w:sz w:val="18"/>
                <w:szCs w:val="18"/>
              </w:rPr>
              <w:t>(%)</w:t>
            </w:r>
          </w:p>
        </w:tc>
      </w:tr>
      <w:tr>
        <w:trPr>
          <w:trHeight w:val="407"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成都地铁有限责任公司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pacing w:val="-1"/>
                <w:sz w:val="18"/>
              </w:rPr>
              <w:t>44,045,574.06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7.86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世纪互联（佛山）信息技术有限公司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42,646,283.10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7.61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范德兰德物流自动化系统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34,024,364.52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6.07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深圳市水务工程建设管理中心</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31,949,027.40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z w:val="18"/>
              </w:rPr>
              <w:t>5.7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恒大鑫丰（彭山）置业有限公司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15,638,717.03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2.79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168,303,966.11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30.03</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宋体" w:hAnsi="宋体" w:cs="宋体" w:eastAsia="宋体" w:hint="default"/>
        </w:rPr>
        <w:t>5</w:t>
      </w:r>
      <w:r>
        <w:rPr/>
        <w:t>、现金流量表补充资料</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42,269,636.32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33,068,243.54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6,784,219.38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5,992,336.47</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7,524,147.50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7,096,790.67</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225,090.15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135,993.32</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1,098,605.04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161,897.67</w:t>
            </w:r>
          </w:p>
        </w:tc>
      </w:tr>
      <w:tr>
        <w:trPr>
          <w:trHeight w:val="715"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6,197.45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2,503.50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-4,036,481.95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-2,164,472.01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-1,232,273.22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-1,880,368.32</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-12,677,846.19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-1,797,464.28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-94,729,333.44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-69,161,670.66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97,008,183.93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13,305,331.06</w:t>
            </w:r>
          </w:p>
        </w:tc>
      </w:tr>
    </w:tbl>
    <w:p>
      <w:pPr>
        <w:spacing w:after="0" w:line="240" w:lineRule="auto"/>
        <w:jc w:val="right"/>
        <w:rPr>
          <w:rFonts w:ascii="宋体" w:hAnsi="宋体" w:cs="宋体" w:eastAsia="宋体" w:hint="default"/>
          <w:sz w:val="18"/>
          <w:szCs w:val="18"/>
        </w:rPr>
        <w:sectPr>
          <w:pgSz w:w="11910" w:h="16840"/>
          <w:pgMar w:header="877" w:footer="1334" w:top="1100" w:bottom="1520" w:left="980" w:right="0"/>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771712" type="#_x0000_t75" stroked="false">
            <v:imagedata r:id="rId6" o:title=""/>
          </v:shape>
        </w:pict>
      </w: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4,794,732.74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-105,466.69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47,031,183.76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-15,342,651.78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182,892,437.47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280,367,104.90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280,367,104.90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424,154,385.95</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-97,474,667.43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-143,787,281.05</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十五、补充资料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24"/>
          <w:szCs w:val="24"/>
        </w:rPr>
      </w:pPr>
    </w:p>
    <w:p>
      <w:pPr>
        <w:spacing w:before="44"/>
        <w:ind w:left="5492" w:right="4727" w:firstLine="0"/>
        <w:jc w:val="center"/>
        <w:rPr>
          <w:rFonts w:ascii="宋体" w:hAnsi="宋体" w:cs="宋体" w:eastAsia="宋体" w:hint="default"/>
          <w:sz w:val="18"/>
          <w:szCs w:val="18"/>
        </w:rPr>
      </w:pPr>
      <w:r>
        <w:rPr/>
        <w:pict>
          <v:shape style="position:absolute;margin-left:56.400002pt;margin-top:-10.808292pt;width:479.3pt;height:96.6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1"/>
                    <w:gridCol w:w="2177"/>
                    <w:gridCol w:w="1915"/>
                    <w:gridCol w:w="1937"/>
                  </w:tblGrid>
                  <w:tr>
                    <w:trPr>
                      <w:trHeight w:val="206" w:hRule="exact"/>
                    </w:trPr>
                    <w:tc>
                      <w:tcPr>
                        <w:tcW w:w="3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95" w:hRule="exact"/>
                    </w:trPr>
                    <w:tc>
                      <w:tcPr>
                        <w:tcW w:w="3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4"/>
                            <w:sz w:val="18"/>
                            <w:szCs w:val="18"/>
                          </w:rPr>
                          <w:t>加权平均净资产收益率（</w:t>
                        </w:r>
                        <w:r>
                          <w:rPr>
                            <w:rFonts w:ascii="宋体" w:hAnsi="宋体" w:cs="宋体" w:eastAsia="宋体" w:hint="default"/>
                            <w:spacing w:val="-4"/>
                            <w:sz w:val="18"/>
                            <w:szCs w:val="18"/>
                          </w:rPr>
                          <w:t>%</w:t>
                        </w:r>
                      </w:p>
                    </w:tc>
                    <w:tc>
                      <w:tcPr>
                        <w:tcW w:w="3853" w:type="dxa"/>
                        <w:gridSpan w:val="2"/>
                        <w:vMerge/>
                        <w:tcBorders>
                          <w:left w:val="single" w:sz="4" w:space="0" w:color="000000"/>
                          <w:bottom w:val="nil" w:sz="6" w:space="0" w:color="auto"/>
                          <w:right w:val="single" w:sz="4" w:space="0" w:color="000000"/>
                        </w:tcBorders>
                        <w:shd w:val="clear" w:color="auto" w:fill="D2D2D2"/>
                      </w:tcPr>
                      <w:p>
                        <w:pPr/>
                      </w:p>
                    </w:tc>
                  </w:tr>
                  <w:tr>
                    <w:trPr>
                      <w:trHeight w:val="97" w:hRule="exact"/>
                    </w:trPr>
                    <w:tc>
                      <w:tcPr>
                        <w:tcW w:w="3541" w:type="dxa"/>
                        <w:vMerge/>
                        <w:tcBorders>
                          <w:left w:val="single" w:sz="4" w:space="0" w:color="000000"/>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nil" w:sz="6" w:space="0" w:color="auto"/>
                        </w:tcBorders>
                        <w:shd w:val="clear" w:color="auto" w:fill="D2D2D2"/>
                      </w:tcPr>
                      <w:p>
                        <w:pPr/>
                      </w:p>
                    </w:tc>
                    <w:tc>
                      <w:tcPr>
                        <w:tcW w:w="1937" w:type="dxa"/>
                        <w:tcBorders>
                          <w:top w:val="nil" w:sz="6" w:space="0" w:color="auto"/>
                          <w:left w:val="nil" w:sz="6" w:space="0" w:color="auto"/>
                          <w:bottom w:val="single" w:sz="4" w:space="0" w:color="000000"/>
                          <w:right w:val="single" w:sz="4" w:space="0" w:color="000000"/>
                        </w:tcBorders>
                        <w:shd w:val="clear" w:color="auto" w:fill="D2D2D2"/>
                      </w:tcPr>
                      <w:p>
                        <w:pPr/>
                      </w:p>
                    </w:tc>
                  </w:tr>
                  <w:tr>
                    <w:trPr>
                      <w:trHeight w:val="103" w:hRule="exact"/>
                    </w:trPr>
                    <w:tc>
                      <w:tcPr>
                        <w:tcW w:w="3541" w:type="dxa"/>
                        <w:vMerge/>
                        <w:tcBorders>
                          <w:left w:val="single" w:sz="4" w:space="0" w:color="000000"/>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98" w:hRule="exact"/>
                    </w:trPr>
                    <w:tc>
                      <w:tcPr>
                        <w:tcW w:w="3541"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bottom w:val="nil" w:sz="6" w:space="0" w:color="auto"/>
                          <w:right w:val="single" w:sz="4" w:space="0" w:color="000000"/>
                        </w:tcBorders>
                        <w:shd w:val="clear" w:color="auto" w:fill="D2D2D2"/>
                      </w:tcPr>
                      <w:p>
                        <w:pPr/>
                      </w:p>
                    </w:tc>
                    <w:tc>
                      <w:tcPr>
                        <w:tcW w:w="1915" w:type="dxa"/>
                        <w:vMerge w:val="restart"/>
                        <w:tcBorders>
                          <w:top w:val="nil" w:sz="6" w:space="0" w:color="auto"/>
                          <w:left w:val="single" w:sz="4" w:space="0" w:color="000000"/>
                          <w:right w:val="single" w:sz="4" w:space="0" w:color="000000"/>
                        </w:tcBorders>
                        <w:shd w:val="clear" w:color="auto" w:fill="D2D2D2"/>
                      </w:tcPr>
                      <w:p>
                        <w:pPr>
                          <w:pStyle w:val="TableParagraph"/>
                          <w:spacing w:line="191" w:lineRule="exact"/>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tcBorders>
                          <w:left w:val="single" w:sz="4" w:space="0" w:color="000000"/>
                          <w:right w:val="single" w:sz="4" w:space="0" w:color="000000"/>
                        </w:tcBorders>
                        <w:shd w:val="clear" w:color="auto" w:fill="D2D2D2"/>
                      </w:tcPr>
                      <w:p>
                        <w:pPr/>
                      </w:p>
                    </w:tc>
                  </w:tr>
                  <w:tr>
                    <w:trPr>
                      <w:trHeight w:val="205" w:hRule="exact"/>
                    </w:trPr>
                    <w:tc>
                      <w:tcPr>
                        <w:tcW w:w="3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12.05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0.3753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pacing w:val="-1"/>
                            <w:sz w:val="18"/>
                          </w:rPr>
                          <w:t>0.3753</w:t>
                        </w:r>
                      </w:p>
                    </w:tc>
                  </w:tr>
                  <w:tr>
                    <w:trPr>
                      <w:trHeight w:val="715"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0.3387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0.3387</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7"/>
        <w:rPr>
          <w:rFonts w:ascii="宋体" w:hAnsi="宋体" w:cs="宋体" w:eastAsia="宋体" w:hint="default"/>
          <w:b/>
          <w:bCs/>
          <w:sz w:val="25"/>
          <w:szCs w:val="25"/>
        </w:rPr>
      </w:pPr>
    </w:p>
    <w:tbl>
      <w:tblPr>
        <w:tblW w:w="0" w:type="auto"/>
        <w:jc w:val="left"/>
        <w:tblInd w:w="152" w:type="dxa"/>
        <w:tblLayout w:type="fixed"/>
        <w:tblCellMar>
          <w:top w:w="0" w:type="dxa"/>
          <w:left w:w="0" w:type="dxa"/>
          <w:bottom w:w="0" w:type="dxa"/>
          <w:right w:w="0" w:type="dxa"/>
        </w:tblCellMar>
        <w:tblLook w:val="01E0"/>
      </w:tblPr>
      <w:tblGrid>
        <w:gridCol w:w="2508"/>
        <w:gridCol w:w="2158"/>
        <w:gridCol w:w="1055"/>
        <w:gridCol w:w="4648"/>
      </w:tblGrid>
      <w:tr>
        <w:trPr>
          <w:trHeight w:val="348" w:hRule="exact"/>
        </w:trPr>
        <w:tc>
          <w:tcPr>
            <w:tcW w:w="250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58"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215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70" w:right="0"/>
              <w:jc w:val="center"/>
              <w:rPr>
                <w:rFonts w:ascii="宋体" w:hAnsi="宋体" w:cs="宋体" w:eastAsia="宋体" w:hint="default"/>
                <w:sz w:val="18"/>
                <w:szCs w:val="18"/>
              </w:rPr>
            </w:pPr>
            <w:r>
              <w:rPr>
                <w:rFonts w:ascii="宋体" w:hAnsi="宋体" w:cs="宋体" w:eastAsia="宋体" w:hint="default"/>
                <w:sz w:val="18"/>
                <w:szCs w:val="18"/>
              </w:rPr>
              <w:t>变动额</w:t>
            </w:r>
          </w:p>
        </w:tc>
        <w:tc>
          <w:tcPr>
            <w:tcW w:w="105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c>
          <w:tcPr>
            <w:tcW w:w="464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58" w:right="0"/>
              <w:jc w:val="center"/>
              <w:rPr>
                <w:rFonts w:ascii="宋体" w:hAnsi="宋体" w:cs="宋体" w:eastAsia="宋体" w:hint="default"/>
                <w:sz w:val="18"/>
                <w:szCs w:val="18"/>
              </w:rPr>
            </w:pPr>
            <w:r>
              <w:rPr>
                <w:rFonts w:ascii="宋体" w:hAnsi="宋体" w:cs="宋体" w:eastAsia="宋体" w:hint="default"/>
                <w:sz w:val="18"/>
                <w:szCs w:val="18"/>
              </w:rPr>
              <w:t>原因说明</w:t>
            </w:r>
          </w:p>
        </w:tc>
      </w:tr>
      <w:tr>
        <w:trPr>
          <w:trHeight w:val="658" w:hRule="exact"/>
        </w:trPr>
        <w:tc>
          <w:tcPr>
            <w:tcW w:w="2508"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58"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64"/>
              <w:jc w:val="right"/>
              <w:rPr>
                <w:rFonts w:ascii="宋体" w:hAnsi="宋体" w:cs="宋体" w:eastAsia="宋体" w:hint="default"/>
                <w:sz w:val="18"/>
                <w:szCs w:val="18"/>
              </w:rPr>
            </w:pPr>
            <w:r>
              <w:rPr>
                <w:rFonts w:ascii="宋体"/>
                <w:spacing w:val="-1"/>
                <w:sz w:val="18"/>
              </w:rPr>
              <w:t>339,591.58</w:t>
            </w:r>
          </w:p>
        </w:tc>
        <w:tc>
          <w:tcPr>
            <w:tcW w:w="1055"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4648" w:type="dxa"/>
            <w:tcBorders>
              <w:top w:val="single" w:sz="6" w:space="0" w:color="000000"/>
              <w:left w:val="nil" w:sz="6" w:space="0" w:color="auto"/>
              <w:bottom w:val="single" w:sz="6" w:space="0" w:color="000000"/>
              <w:right w:val="nil" w:sz="6" w:space="0" w:color="auto"/>
            </w:tcBorders>
          </w:tcPr>
          <w:p>
            <w:pPr>
              <w:pStyle w:val="TableParagraph"/>
              <w:spacing w:line="316" w:lineRule="auto" w:before="17"/>
              <w:ind w:left="168" w:right="7"/>
              <w:jc w:val="left"/>
              <w:rPr>
                <w:rFonts w:ascii="宋体" w:hAnsi="宋体" w:cs="宋体" w:eastAsia="宋体" w:hint="default"/>
                <w:sz w:val="18"/>
                <w:szCs w:val="18"/>
              </w:rPr>
            </w:pPr>
            <w:r>
              <w:rPr>
                <w:rFonts w:ascii="宋体" w:hAnsi="宋体" w:cs="宋体" w:eastAsia="宋体" w:hint="default"/>
                <w:spacing w:val="6"/>
                <w:sz w:val="18"/>
                <w:szCs w:val="18"/>
              </w:rPr>
              <w:t>主要原因是本报告期纳入合并报表的子公司达实联欣购</w:t>
            </w:r>
            <w:r>
              <w:rPr>
                <w:rFonts w:ascii="宋体" w:hAnsi="宋体" w:cs="宋体" w:eastAsia="宋体" w:hint="default"/>
                <w:sz w:val="18"/>
                <w:szCs w:val="18"/>
              </w:rPr>
              <w:t> 买基金所致。</w:t>
            </w:r>
          </w:p>
        </w:tc>
      </w:tr>
      <w:tr>
        <w:trPr>
          <w:trHeight w:val="348" w:hRule="exact"/>
        </w:trPr>
        <w:tc>
          <w:tcPr>
            <w:tcW w:w="250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5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64"/>
              <w:jc w:val="right"/>
              <w:rPr>
                <w:rFonts w:ascii="宋体" w:hAnsi="宋体" w:cs="宋体" w:eastAsia="宋体" w:hint="default"/>
                <w:sz w:val="18"/>
                <w:szCs w:val="18"/>
              </w:rPr>
            </w:pPr>
            <w:r>
              <w:rPr>
                <w:rFonts w:ascii="宋体"/>
                <w:spacing w:val="-1"/>
                <w:sz w:val="18"/>
              </w:rPr>
              <w:t>-5,730,514.00</w:t>
            </w:r>
          </w:p>
        </w:tc>
        <w:tc>
          <w:tcPr>
            <w:tcW w:w="105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-43.05%</w:t>
            </w:r>
          </w:p>
        </w:tc>
        <w:tc>
          <w:tcPr>
            <w:tcW w:w="464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68" w:right="0"/>
              <w:jc w:val="left"/>
              <w:rPr>
                <w:rFonts w:ascii="宋体" w:hAnsi="宋体" w:cs="宋体" w:eastAsia="宋体" w:hint="default"/>
                <w:sz w:val="18"/>
                <w:szCs w:val="18"/>
              </w:rPr>
            </w:pPr>
            <w:r>
              <w:rPr>
                <w:rFonts w:ascii="宋体" w:hAnsi="宋体" w:cs="宋体" w:eastAsia="宋体" w:hint="default"/>
                <w:sz w:val="18"/>
                <w:szCs w:val="18"/>
              </w:rPr>
              <w:t>主要原因是票据到期收款及背书支付货款所致。</w:t>
            </w:r>
          </w:p>
        </w:tc>
      </w:tr>
      <w:tr>
        <w:trPr>
          <w:trHeight w:val="658" w:hRule="exact"/>
        </w:trPr>
        <w:tc>
          <w:tcPr>
            <w:tcW w:w="2508"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58"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65"/>
              <w:jc w:val="right"/>
              <w:rPr>
                <w:rFonts w:ascii="宋体" w:hAnsi="宋体" w:cs="宋体" w:eastAsia="宋体" w:hint="default"/>
                <w:sz w:val="18"/>
                <w:szCs w:val="18"/>
              </w:rPr>
            </w:pPr>
            <w:r>
              <w:rPr>
                <w:rFonts w:ascii="宋体"/>
                <w:spacing w:val="-1"/>
                <w:sz w:val="18"/>
              </w:rPr>
              <w:t>201,948,757.93</w:t>
            </w:r>
          </w:p>
        </w:tc>
        <w:tc>
          <w:tcPr>
            <w:tcW w:w="1055"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111.89%</w:t>
            </w:r>
          </w:p>
        </w:tc>
        <w:tc>
          <w:tcPr>
            <w:tcW w:w="4648" w:type="dxa"/>
            <w:tcBorders>
              <w:top w:val="single" w:sz="6" w:space="0" w:color="000000"/>
              <w:left w:val="nil" w:sz="6" w:space="0" w:color="auto"/>
              <w:bottom w:val="single" w:sz="6" w:space="0" w:color="000000"/>
              <w:right w:val="nil" w:sz="6" w:space="0" w:color="auto"/>
            </w:tcBorders>
          </w:tcPr>
          <w:p>
            <w:pPr>
              <w:pStyle w:val="TableParagraph"/>
              <w:spacing w:line="316" w:lineRule="auto" w:before="17"/>
              <w:ind w:left="168" w:right="3"/>
              <w:jc w:val="left"/>
              <w:rPr>
                <w:rFonts w:ascii="宋体" w:hAnsi="宋体" w:cs="宋体" w:eastAsia="宋体" w:hint="default"/>
                <w:sz w:val="18"/>
                <w:szCs w:val="18"/>
              </w:rPr>
            </w:pPr>
            <w:r>
              <w:rPr>
                <w:rFonts w:ascii="宋体" w:hAnsi="宋体" w:cs="宋体" w:eastAsia="宋体" w:hint="default"/>
                <w:spacing w:val="2"/>
                <w:sz w:val="18"/>
                <w:szCs w:val="18"/>
              </w:rPr>
              <w:t>主要原因是本报告期收入增长以及新增</w:t>
            </w:r>
            <w:r>
              <w:rPr>
                <w:rFonts w:ascii="宋体" w:hAnsi="宋体" w:cs="宋体" w:eastAsia="宋体" w:hint="default"/>
                <w:spacing w:val="2"/>
                <w:sz w:val="18"/>
                <w:szCs w:val="18"/>
              </w:rPr>
              <w:t>2</w:t>
            </w:r>
            <w:r>
              <w:rPr>
                <w:rFonts w:ascii="宋体" w:hAnsi="宋体" w:cs="宋体" w:eastAsia="宋体" w:hint="default"/>
                <w:spacing w:val="2"/>
                <w:sz w:val="18"/>
                <w:szCs w:val="18"/>
              </w:rPr>
              <w:t>家子公司纳入合</w:t>
            </w:r>
            <w:r>
              <w:rPr>
                <w:rFonts w:ascii="宋体" w:hAnsi="宋体" w:cs="宋体" w:eastAsia="宋体" w:hint="default"/>
                <w:spacing w:val="-87"/>
                <w:sz w:val="18"/>
                <w:szCs w:val="18"/>
              </w:rPr>
              <w:t> </w:t>
            </w:r>
            <w:r>
              <w:rPr>
                <w:rFonts w:ascii="宋体" w:hAnsi="宋体" w:cs="宋体" w:eastAsia="宋体" w:hint="default"/>
                <w:sz w:val="18"/>
                <w:szCs w:val="18"/>
              </w:rPr>
              <w:t>并报表所致。</w:t>
            </w:r>
          </w:p>
        </w:tc>
      </w:tr>
      <w:tr>
        <w:trPr>
          <w:trHeight w:val="660" w:hRule="exact"/>
        </w:trPr>
        <w:tc>
          <w:tcPr>
            <w:tcW w:w="2508"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58"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64"/>
              <w:jc w:val="right"/>
              <w:rPr>
                <w:rFonts w:ascii="宋体" w:hAnsi="宋体" w:cs="宋体" w:eastAsia="宋体" w:hint="default"/>
                <w:sz w:val="18"/>
                <w:szCs w:val="18"/>
              </w:rPr>
            </w:pPr>
            <w:r>
              <w:rPr>
                <w:rFonts w:ascii="宋体"/>
                <w:spacing w:val="-1"/>
                <w:sz w:val="18"/>
              </w:rPr>
              <w:t>-181,005.76</w:t>
            </w:r>
          </w:p>
        </w:tc>
        <w:tc>
          <w:tcPr>
            <w:tcW w:w="1055"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-77.48%</w:t>
            </w:r>
          </w:p>
        </w:tc>
        <w:tc>
          <w:tcPr>
            <w:tcW w:w="4648"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168" w:right="5"/>
              <w:jc w:val="left"/>
              <w:rPr>
                <w:rFonts w:ascii="宋体" w:hAnsi="宋体" w:cs="宋体" w:eastAsia="宋体" w:hint="default"/>
                <w:sz w:val="18"/>
                <w:szCs w:val="18"/>
              </w:rPr>
            </w:pPr>
            <w:r>
              <w:rPr>
                <w:rFonts w:ascii="宋体" w:hAnsi="宋体" w:cs="宋体" w:eastAsia="宋体" w:hint="default"/>
                <w:spacing w:val="2"/>
                <w:sz w:val="18"/>
                <w:szCs w:val="18"/>
              </w:rPr>
              <w:t>主要原因是本报告期支付</w:t>
            </w:r>
            <w:r>
              <w:rPr>
                <w:rFonts w:ascii="宋体" w:hAnsi="宋体" w:cs="宋体" w:eastAsia="宋体" w:hint="default"/>
                <w:spacing w:val="2"/>
                <w:sz w:val="18"/>
                <w:szCs w:val="18"/>
              </w:rPr>
              <w:t>2</w:t>
            </w:r>
            <w:r>
              <w:rPr>
                <w:rFonts w:ascii="宋体" w:hAnsi="宋体" w:cs="宋体" w:eastAsia="宋体" w:hint="default"/>
                <w:spacing w:val="2"/>
                <w:sz w:val="18"/>
                <w:szCs w:val="18"/>
              </w:rPr>
              <w:t>家非全资子公司股权收购款， </w:t>
            </w:r>
            <w:r>
              <w:rPr>
                <w:rFonts w:ascii="宋体" w:hAnsi="宋体" w:cs="宋体" w:eastAsia="宋体" w:hint="default"/>
                <w:sz w:val="18"/>
                <w:szCs w:val="18"/>
              </w:rPr>
              <w:t>银行存款减少所致。</w:t>
            </w:r>
          </w:p>
        </w:tc>
      </w:tr>
      <w:tr>
        <w:trPr>
          <w:trHeight w:val="660" w:hRule="exact"/>
        </w:trPr>
        <w:tc>
          <w:tcPr>
            <w:tcW w:w="2508"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58"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64"/>
              <w:jc w:val="right"/>
              <w:rPr>
                <w:rFonts w:ascii="宋体" w:hAnsi="宋体" w:cs="宋体" w:eastAsia="宋体" w:hint="default"/>
                <w:sz w:val="18"/>
                <w:szCs w:val="18"/>
              </w:rPr>
            </w:pPr>
            <w:r>
              <w:rPr>
                <w:rFonts w:ascii="宋体"/>
                <w:spacing w:val="-1"/>
                <w:sz w:val="18"/>
              </w:rPr>
              <w:t>6,457,916.98</w:t>
            </w:r>
          </w:p>
        </w:tc>
        <w:tc>
          <w:tcPr>
            <w:tcW w:w="1055"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49.27%</w:t>
            </w:r>
          </w:p>
        </w:tc>
        <w:tc>
          <w:tcPr>
            <w:tcW w:w="4648" w:type="dxa"/>
            <w:tcBorders>
              <w:top w:val="single" w:sz="6" w:space="0" w:color="000000"/>
              <w:left w:val="nil" w:sz="6" w:space="0" w:color="auto"/>
              <w:bottom w:val="single" w:sz="6" w:space="0" w:color="000000"/>
              <w:right w:val="nil" w:sz="6" w:space="0" w:color="auto"/>
            </w:tcBorders>
          </w:tcPr>
          <w:p>
            <w:pPr>
              <w:pStyle w:val="TableParagraph"/>
              <w:spacing w:line="316" w:lineRule="auto" w:before="17"/>
              <w:ind w:left="168" w:right="7"/>
              <w:jc w:val="left"/>
              <w:rPr>
                <w:rFonts w:ascii="宋体" w:hAnsi="宋体" w:cs="宋体" w:eastAsia="宋体" w:hint="default"/>
                <w:sz w:val="18"/>
                <w:szCs w:val="18"/>
              </w:rPr>
            </w:pPr>
            <w:r>
              <w:rPr>
                <w:rFonts w:ascii="宋体" w:hAnsi="宋体" w:cs="宋体" w:eastAsia="宋体" w:hint="default"/>
                <w:spacing w:val="6"/>
                <w:sz w:val="18"/>
                <w:szCs w:val="18"/>
              </w:rPr>
              <w:t>主要原因是本报告期投标及实施项目增加导致投标及履</w:t>
            </w:r>
            <w:r>
              <w:rPr>
                <w:rFonts w:ascii="宋体" w:hAnsi="宋体" w:cs="宋体" w:eastAsia="宋体" w:hint="default"/>
                <w:sz w:val="18"/>
                <w:szCs w:val="18"/>
              </w:rPr>
              <w:t> 约保证金增加以及新增</w:t>
            </w:r>
            <w:r>
              <w:rPr>
                <w:rFonts w:ascii="宋体" w:hAnsi="宋体" w:cs="宋体" w:eastAsia="宋体" w:hint="default"/>
                <w:sz w:val="18"/>
                <w:szCs w:val="18"/>
              </w:rPr>
              <w:t>2</w:t>
            </w:r>
            <w:r>
              <w:rPr>
                <w:rFonts w:ascii="宋体" w:hAnsi="宋体" w:cs="宋体" w:eastAsia="宋体" w:hint="default"/>
                <w:sz w:val="18"/>
                <w:szCs w:val="18"/>
              </w:rPr>
              <w:t>家子公司纳入合并报表所致。</w:t>
            </w:r>
          </w:p>
        </w:tc>
      </w:tr>
      <w:tr>
        <w:trPr>
          <w:trHeight w:val="658" w:hRule="exact"/>
        </w:trPr>
        <w:tc>
          <w:tcPr>
            <w:tcW w:w="2508"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58"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65"/>
              <w:jc w:val="right"/>
              <w:rPr>
                <w:rFonts w:ascii="宋体" w:hAnsi="宋体" w:cs="宋体" w:eastAsia="宋体" w:hint="default"/>
                <w:sz w:val="18"/>
                <w:szCs w:val="18"/>
              </w:rPr>
            </w:pPr>
            <w:r>
              <w:rPr>
                <w:rFonts w:ascii="宋体"/>
                <w:spacing w:val="-1"/>
                <w:sz w:val="18"/>
              </w:rPr>
              <w:t>43,135,502.51</w:t>
            </w:r>
          </w:p>
        </w:tc>
        <w:tc>
          <w:tcPr>
            <w:tcW w:w="1055"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41.84%</w:t>
            </w:r>
          </w:p>
        </w:tc>
        <w:tc>
          <w:tcPr>
            <w:tcW w:w="4648" w:type="dxa"/>
            <w:tcBorders>
              <w:top w:val="single" w:sz="6" w:space="0" w:color="000000"/>
              <w:left w:val="nil" w:sz="6" w:space="0" w:color="auto"/>
              <w:bottom w:val="single" w:sz="6" w:space="0" w:color="000000"/>
              <w:right w:val="nil" w:sz="6" w:space="0" w:color="auto"/>
            </w:tcBorders>
          </w:tcPr>
          <w:p>
            <w:pPr>
              <w:pStyle w:val="TableParagraph"/>
              <w:spacing w:line="316" w:lineRule="auto" w:before="18"/>
              <w:ind w:left="168" w:right="7"/>
              <w:jc w:val="left"/>
              <w:rPr>
                <w:rFonts w:ascii="宋体" w:hAnsi="宋体" w:cs="宋体" w:eastAsia="宋体" w:hint="default"/>
                <w:sz w:val="18"/>
                <w:szCs w:val="18"/>
              </w:rPr>
            </w:pPr>
            <w:r>
              <w:rPr>
                <w:rFonts w:ascii="宋体" w:hAnsi="宋体" w:cs="宋体" w:eastAsia="宋体" w:hint="default"/>
                <w:spacing w:val="6"/>
                <w:sz w:val="18"/>
                <w:szCs w:val="18"/>
              </w:rPr>
              <w:t>主要原因是本报告期子公司达实联欣纳入合并报表及母</w:t>
            </w:r>
            <w:r>
              <w:rPr>
                <w:rFonts w:ascii="宋体" w:hAnsi="宋体" w:cs="宋体" w:eastAsia="宋体" w:hint="default"/>
                <w:sz w:val="18"/>
                <w:szCs w:val="18"/>
              </w:rPr>
              <w:t> 公司自用固定资产南油厂房转为出租所致。</w:t>
            </w:r>
          </w:p>
        </w:tc>
      </w:tr>
      <w:tr>
        <w:trPr>
          <w:trHeight w:val="972" w:hRule="exact"/>
        </w:trPr>
        <w:tc>
          <w:tcPr>
            <w:tcW w:w="2508" w:type="dxa"/>
            <w:tcBorders>
              <w:top w:val="single" w:sz="6" w:space="0" w:color="000000"/>
              <w:left w:val="nil" w:sz="6" w:space="0" w:color="auto"/>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58" w:type="dxa"/>
            <w:tcBorders>
              <w:top w:val="single" w:sz="6" w:space="0" w:color="000000"/>
              <w:left w:val="nil" w:sz="6" w:space="0" w:color="auto"/>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64"/>
              <w:jc w:val="right"/>
              <w:rPr>
                <w:rFonts w:ascii="宋体" w:hAnsi="宋体" w:cs="宋体" w:eastAsia="宋体" w:hint="default"/>
                <w:sz w:val="18"/>
                <w:szCs w:val="18"/>
              </w:rPr>
            </w:pPr>
            <w:r>
              <w:rPr>
                <w:rFonts w:ascii="宋体"/>
                <w:spacing w:val="-1"/>
                <w:sz w:val="18"/>
              </w:rPr>
              <w:t>7,608,717.01</w:t>
            </w:r>
          </w:p>
        </w:tc>
        <w:tc>
          <w:tcPr>
            <w:tcW w:w="1055" w:type="dxa"/>
            <w:tcBorders>
              <w:top w:val="single" w:sz="6" w:space="0" w:color="000000"/>
              <w:left w:val="nil" w:sz="6" w:space="0" w:color="auto"/>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73.04%</w:t>
            </w:r>
          </w:p>
        </w:tc>
        <w:tc>
          <w:tcPr>
            <w:tcW w:w="4648"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168" w:right="6"/>
              <w:jc w:val="both"/>
              <w:rPr>
                <w:rFonts w:ascii="宋体" w:hAnsi="宋体" w:cs="宋体" w:eastAsia="宋体" w:hint="default"/>
                <w:sz w:val="18"/>
                <w:szCs w:val="18"/>
              </w:rPr>
            </w:pPr>
            <w:r>
              <w:rPr>
                <w:rFonts w:ascii="宋体" w:hAnsi="宋体" w:cs="宋体" w:eastAsia="宋体" w:hint="default"/>
                <w:spacing w:val="6"/>
                <w:sz w:val="18"/>
                <w:szCs w:val="18"/>
              </w:rPr>
              <w:t>主要原因是公司本期新增长安标致雪铁龙汽车有限公司</w:t>
            </w:r>
            <w:r>
              <w:rPr>
                <w:rFonts w:ascii="宋体" w:hAnsi="宋体" w:cs="宋体" w:eastAsia="宋体" w:hint="default"/>
                <w:sz w:val="18"/>
                <w:szCs w:val="18"/>
              </w:rPr>
              <w:t> </w:t>
            </w:r>
            <w:r>
              <w:rPr>
                <w:rFonts w:ascii="宋体" w:hAnsi="宋体" w:cs="宋体" w:eastAsia="宋体" w:hint="default"/>
                <w:spacing w:val="-2"/>
                <w:sz w:val="18"/>
                <w:szCs w:val="18"/>
              </w:rPr>
              <w:t>水蓄冷节能服务项目及前期深圳市民中心、镇江益华广场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2</w:t>
            </w:r>
            <w:r>
              <w:rPr>
                <w:rFonts w:ascii="宋体" w:hAnsi="宋体" w:cs="宋体" w:eastAsia="宋体" w:hint="default"/>
                <w:sz w:val="18"/>
                <w:szCs w:val="18"/>
              </w:rPr>
              <w:t>个合同能源管理项目期末均未完工所致。</w:t>
            </w:r>
          </w:p>
        </w:tc>
      </w:tr>
      <w:tr>
        <w:trPr>
          <w:trHeight w:val="346" w:hRule="exact"/>
        </w:trPr>
        <w:tc>
          <w:tcPr>
            <w:tcW w:w="2508"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58"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right="164"/>
              <w:jc w:val="right"/>
              <w:rPr>
                <w:rFonts w:ascii="宋体" w:hAnsi="宋体" w:cs="宋体" w:eastAsia="宋体" w:hint="default"/>
                <w:sz w:val="18"/>
                <w:szCs w:val="18"/>
              </w:rPr>
            </w:pPr>
            <w:r>
              <w:rPr>
                <w:rFonts w:ascii="宋体"/>
                <w:spacing w:val="-1"/>
                <w:sz w:val="18"/>
              </w:rPr>
              <w:t>1,752,365.16</w:t>
            </w:r>
          </w:p>
        </w:tc>
        <w:tc>
          <w:tcPr>
            <w:tcW w:w="1055"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475.78%</w:t>
            </w:r>
          </w:p>
        </w:tc>
        <w:tc>
          <w:tcPr>
            <w:tcW w:w="4648"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168" w:right="0"/>
              <w:jc w:val="left"/>
              <w:rPr>
                <w:rFonts w:ascii="宋体" w:hAnsi="宋体" w:cs="宋体" w:eastAsia="宋体" w:hint="default"/>
                <w:sz w:val="18"/>
                <w:szCs w:val="18"/>
              </w:rPr>
            </w:pPr>
            <w:r>
              <w:rPr>
                <w:rFonts w:ascii="宋体" w:hAnsi="宋体" w:cs="宋体" w:eastAsia="宋体" w:hint="default"/>
                <w:sz w:val="18"/>
                <w:szCs w:val="18"/>
              </w:rPr>
              <w:t>主要原因是购买软件及自主研发资本化所致。</w:t>
            </w:r>
          </w:p>
        </w:tc>
      </w:tr>
      <w:tr>
        <w:trPr>
          <w:trHeight w:val="660" w:hRule="exact"/>
        </w:trPr>
        <w:tc>
          <w:tcPr>
            <w:tcW w:w="2508"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58" w:type="dxa"/>
            <w:tcBorders>
              <w:top w:val="single" w:sz="6" w:space="0" w:color="000000"/>
              <w:left w:val="nil" w:sz="6" w:space="0" w:color="auto"/>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67"/>
              <w:jc w:val="right"/>
              <w:rPr>
                <w:rFonts w:ascii="宋体" w:hAnsi="宋体" w:cs="宋体" w:eastAsia="宋体" w:hint="default"/>
                <w:sz w:val="18"/>
                <w:szCs w:val="18"/>
              </w:rPr>
            </w:pPr>
            <w:r>
              <w:rPr>
                <w:rFonts w:ascii="宋体"/>
                <w:spacing w:val="-1"/>
                <w:sz w:val="18"/>
              </w:rPr>
              <w:t>166,026,118.73</w:t>
            </w:r>
          </w:p>
        </w:tc>
        <w:tc>
          <w:tcPr>
            <w:tcW w:w="1055"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4648"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168" w:right="5"/>
              <w:jc w:val="left"/>
              <w:rPr>
                <w:rFonts w:ascii="宋体" w:hAnsi="宋体" w:cs="宋体" w:eastAsia="宋体" w:hint="default"/>
                <w:sz w:val="18"/>
                <w:szCs w:val="18"/>
              </w:rPr>
            </w:pPr>
            <w:r>
              <w:rPr>
                <w:rFonts w:ascii="宋体" w:hAnsi="宋体" w:cs="宋体" w:eastAsia="宋体" w:hint="default"/>
                <w:spacing w:val="2"/>
                <w:sz w:val="18"/>
                <w:szCs w:val="18"/>
              </w:rPr>
              <w:t>主要原因是本报告期收购</w:t>
            </w:r>
            <w:r>
              <w:rPr>
                <w:rFonts w:ascii="宋体" w:hAnsi="宋体" w:cs="宋体" w:eastAsia="宋体" w:hint="default"/>
                <w:spacing w:val="2"/>
                <w:sz w:val="18"/>
                <w:szCs w:val="18"/>
              </w:rPr>
              <w:t>2</w:t>
            </w:r>
            <w:r>
              <w:rPr>
                <w:rFonts w:ascii="宋体" w:hAnsi="宋体" w:cs="宋体" w:eastAsia="宋体" w:hint="default"/>
                <w:spacing w:val="2"/>
                <w:sz w:val="18"/>
                <w:szCs w:val="18"/>
              </w:rPr>
              <w:t>家非全资子公司，合并成本大 </w:t>
            </w:r>
            <w:r>
              <w:rPr>
                <w:rFonts w:ascii="宋体" w:hAnsi="宋体" w:cs="宋体" w:eastAsia="宋体" w:hint="default"/>
                <w:sz w:val="18"/>
                <w:szCs w:val="18"/>
              </w:rPr>
              <w:t>于合并中取得的可辨认净资产公允价值所致。</w:t>
            </w:r>
          </w:p>
        </w:tc>
      </w:tr>
      <w:tr>
        <w:trPr>
          <w:trHeight w:val="348" w:hRule="exact"/>
        </w:trPr>
        <w:tc>
          <w:tcPr>
            <w:tcW w:w="2508"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58"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right="165"/>
              <w:jc w:val="right"/>
              <w:rPr>
                <w:rFonts w:ascii="宋体" w:hAnsi="宋体" w:cs="宋体" w:eastAsia="宋体" w:hint="default"/>
                <w:sz w:val="18"/>
                <w:szCs w:val="18"/>
              </w:rPr>
            </w:pPr>
            <w:r>
              <w:rPr>
                <w:rFonts w:ascii="宋体"/>
                <w:spacing w:val="-1"/>
                <w:sz w:val="18"/>
              </w:rPr>
              <w:t>13,202,775.80</w:t>
            </w:r>
          </w:p>
        </w:tc>
        <w:tc>
          <w:tcPr>
            <w:tcW w:w="1055"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218.45%</w:t>
            </w:r>
          </w:p>
        </w:tc>
        <w:tc>
          <w:tcPr>
            <w:tcW w:w="4648"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168" w:right="0"/>
              <w:jc w:val="left"/>
              <w:rPr>
                <w:rFonts w:ascii="宋体" w:hAnsi="宋体" w:cs="宋体" w:eastAsia="宋体" w:hint="default"/>
                <w:sz w:val="18"/>
                <w:szCs w:val="18"/>
              </w:rPr>
            </w:pPr>
            <w:r>
              <w:rPr>
                <w:rFonts w:ascii="宋体" w:hAnsi="宋体" w:cs="宋体" w:eastAsia="宋体" w:hint="default"/>
                <w:spacing w:val="6"/>
                <w:sz w:val="18"/>
                <w:szCs w:val="18"/>
              </w:rPr>
              <w:t>主要原因是本报告期母公司租赁物业装修费摊销增加以</w:t>
            </w:r>
          </w:p>
        </w:tc>
      </w:tr>
    </w:tbl>
    <w:p>
      <w:pPr>
        <w:spacing w:after="0" w:line="240" w:lineRule="auto"/>
        <w:jc w:val="left"/>
        <w:rPr>
          <w:rFonts w:ascii="宋体" w:hAnsi="宋体" w:cs="宋体" w:eastAsia="宋体" w:hint="default"/>
          <w:sz w:val="18"/>
          <w:szCs w:val="18"/>
        </w:rPr>
        <w:sectPr>
          <w:footerReference w:type="default" r:id="rId28"/>
          <w:pgSz w:w="11910" w:h="16840"/>
          <w:pgMar w:footer="1227" w:header="877" w:top="1100" w:bottom="1420" w:left="980" w:right="0"/>
          <w:pgNumType w:start="138"/>
        </w:sectPr>
      </w:pPr>
    </w:p>
    <w:p>
      <w:pPr>
        <w:spacing w:line="240" w:lineRule="auto" w:before="8"/>
        <w:rPr>
          <w:rFonts w:ascii="宋体" w:hAnsi="宋体" w:cs="宋体" w:eastAsia="宋体" w:hint="default"/>
          <w:b/>
          <w:bCs/>
          <w:sz w:val="24"/>
          <w:szCs w:val="24"/>
        </w:rPr>
      </w:pPr>
    </w:p>
    <w:p>
      <w:pPr>
        <w:spacing w:line="20" w:lineRule="exact"/>
        <w:ind w:left="145" w:right="0" w:firstLine="0"/>
        <w:rPr>
          <w:rFonts w:ascii="宋体" w:hAnsi="宋体" w:cs="宋体" w:eastAsia="宋体" w:hint="default"/>
          <w:sz w:val="2"/>
          <w:szCs w:val="2"/>
        </w:rPr>
      </w:pPr>
      <w:r>
        <w:rPr>
          <w:rFonts w:ascii="宋体" w:hAnsi="宋体" w:cs="宋体" w:eastAsia="宋体" w:hint="default"/>
          <w:sz w:val="2"/>
          <w:szCs w:val="2"/>
        </w:rPr>
        <w:pict>
          <v:group style="width:519.15pt;height:.75pt;mso-position-horizontal-relative:char;mso-position-vertical-relative:line" coordorigin="0,0" coordsize="10383,15">
            <v:group style="position:absolute;left:7;top:7;width:2836;height:2" coordorigin="7,7" coordsize="2836,2">
              <v:shape style="position:absolute;left:7;top:7;width:2836;height:2" coordorigin="7,7" coordsize="2836,0" path="m7,7l2843,7e" filled="false" stroked="true" strokeweight=".72pt" strokecolor="#000000">
                <v:path arrowok="t"/>
              </v:shape>
            </v:group>
            <v:group style="position:absolute;left:2843;top:7;width:15;height:2" coordorigin="2843,7" coordsize="15,2">
              <v:shape style="position:absolute;left:2843;top:7;width:15;height:2" coordorigin="2843,7" coordsize="15,0" path="m2843,7l2857,7e" filled="false" stroked="true" strokeweight=".72pt" strokecolor="#000000">
                <v:path arrowok="t"/>
              </v:shape>
            </v:group>
            <v:group style="position:absolute;left:2857;top:7;width:1659;height:2" coordorigin="2857,7" coordsize="1659,2">
              <v:shape style="position:absolute;left:2857;top:7;width:1659;height:2" coordorigin="2857,7" coordsize="1659,0" path="m2857,7l4515,7e" filled="false" stroked="true" strokeweight=".72pt" strokecolor="#000000">
                <v:path arrowok="t"/>
              </v:shape>
            </v:group>
            <v:group style="position:absolute;left:4515;top:7;width:15;height:2" coordorigin="4515,7" coordsize="15,2">
              <v:shape style="position:absolute;left:4515;top:7;width:15;height:2" coordorigin="4515,7" coordsize="15,0" path="m4515,7l4530,7e" filled="false" stroked="true" strokeweight=".72pt" strokecolor="#000000">
                <v:path arrowok="t"/>
              </v:shape>
            </v:group>
            <v:group style="position:absolute;left:4530;top:7;width:1355;height:2" coordorigin="4530,7" coordsize="1355,2">
              <v:shape style="position:absolute;left:4530;top:7;width:1355;height:2" coordorigin="4530,7" coordsize="1355,0" path="m4530,7l5884,7e" filled="false" stroked="true" strokeweight=".72pt" strokecolor="#000000">
                <v:path arrowok="t"/>
              </v:shape>
            </v:group>
            <v:group style="position:absolute;left:5884;top:7;width:15;height:2" coordorigin="5884,7" coordsize="15,2">
              <v:shape style="position:absolute;left:5884;top:7;width:15;height:2" coordorigin="5884,7" coordsize="15,0" path="m5884,7l5898,7e" filled="false" stroked="true" strokeweight=".72pt" strokecolor="#000000">
                <v:path arrowok="t"/>
              </v:shape>
            </v:group>
            <v:group style="position:absolute;left:5898;top:7;width:4477;height:2" coordorigin="5898,7" coordsize="4477,2">
              <v:shape style="position:absolute;left:5898;top:7;width:4477;height:2" coordorigin="5898,7" coordsize="4477,0" path="m5898,7l10375,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7" w:footer="1227" w:top="1100" w:bottom="1420" w:left="980" w:right="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672" w:lineRule="auto" w:before="122"/>
        <w:ind w:left="164" w:right="-20" w:firstLine="0"/>
        <w:jc w:val="left"/>
        <w:rPr>
          <w:rFonts w:ascii="宋体" w:hAnsi="宋体" w:cs="宋体" w:eastAsia="宋体" w:hint="default"/>
          <w:sz w:val="18"/>
          <w:szCs w:val="18"/>
        </w:rPr>
      </w:pPr>
      <w:r>
        <w:rPr>
          <w:rFonts w:ascii="宋体" w:hAnsi="宋体" w:cs="宋体" w:eastAsia="宋体" w:hint="default"/>
          <w:sz w:val="18"/>
          <w:szCs w:val="18"/>
        </w:rPr>
        <w:t>应付票据 应付账款</w:t>
      </w:r>
    </w:p>
    <w:p>
      <w:pPr>
        <w:spacing w:line="240" w:lineRule="auto" w:before="5"/>
        <w:rPr>
          <w:rFonts w:ascii="宋体" w:hAnsi="宋体" w:cs="宋体" w:eastAsia="宋体" w:hint="default"/>
          <w:sz w:val="19"/>
          <w:szCs w:val="19"/>
        </w:rPr>
      </w:pPr>
    </w:p>
    <w:p>
      <w:pPr>
        <w:spacing w:before="0"/>
        <w:ind w:left="164" w:right="-20" w:firstLine="0"/>
        <w:jc w:val="left"/>
        <w:rPr>
          <w:rFonts w:ascii="宋体" w:hAnsi="宋体" w:cs="宋体" w:eastAsia="宋体" w:hint="default"/>
          <w:sz w:val="18"/>
          <w:szCs w:val="18"/>
        </w:rPr>
      </w:pPr>
      <w:r>
        <w:rPr>
          <w:rFonts w:ascii="宋体" w:hAnsi="宋体" w:cs="宋体" w:eastAsia="宋体" w:hint="default"/>
          <w:sz w:val="18"/>
          <w:szCs w:val="18"/>
        </w:rPr>
        <w:t>预收款项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256" w:right="-19" w:firstLine="0"/>
        <w:jc w:val="left"/>
        <w:rPr>
          <w:rFonts w:ascii="宋体" w:hAnsi="宋体" w:cs="宋体" w:eastAsia="宋体" w:hint="default"/>
          <w:sz w:val="18"/>
          <w:szCs w:val="18"/>
        </w:rPr>
      </w:pPr>
      <w:r>
        <w:rPr>
          <w:rFonts w:ascii="宋体"/>
          <w:sz w:val="18"/>
        </w:rPr>
        <w:t>-8,680,686.98</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spacing w:before="0"/>
        <w:ind w:left="164" w:right="-17" w:firstLine="0"/>
        <w:jc w:val="left"/>
        <w:rPr>
          <w:rFonts w:ascii="宋体" w:hAnsi="宋体" w:cs="宋体" w:eastAsia="宋体" w:hint="default"/>
          <w:sz w:val="18"/>
          <w:szCs w:val="18"/>
        </w:rPr>
      </w:pPr>
      <w:r>
        <w:rPr>
          <w:rFonts w:ascii="宋体"/>
          <w:sz w:val="18"/>
        </w:rPr>
        <w:t>125,305,443.98</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2"/>
        <w:ind w:left="164" w:right="-18" w:firstLine="0"/>
        <w:jc w:val="left"/>
        <w:rPr>
          <w:rFonts w:ascii="宋体" w:hAnsi="宋体" w:cs="宋体" w:eastAsia="宋体" w:hint="default"/>
          <w:sz w:val="18"/>
          <w:szCs w:val="18"/>
        </w:rPr>
      </w:pPr>
      <w:r>
        <w:rPr>
          <w:rFonts w:ascii="宋体"/>
          <w:sz w:val="18"/>
        </w:rPr>
        <w:t>-56.31%</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spacing w:before="0"/>
        <w:ind w:left="210" w:right="-18" w:firstLine="0"/>
        <w:jc w:val="left"/>
        <w:rPr>
          <w:rFonts w:ascii="宋体" w:hAnsi="宋体" w:cs="宋体" w:eastAsia="宋体" w:hint="default"/>
          <w:sz w:val="18"/>
          <w:szCs w:val="18"/>
        </w:rPr>
      </w:pPr>
      <w:r>
        <w:rPr>
          <w:rFonts w:ascii="宋体"/>
          <w:sz w:val="18"/>
        </w:rPr>
        <w:t>92.52%</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spacing w:before="0"/>
        <w:ind w:left="210" w:right="-18" w:firstLine="0"/>
        <w:jc w:val="left"/>
        <w:rPr>
          <w:rFonts w:ascii="宋体" w:hAnsi="宋体" w:cs="宋体" w:eastAsia="宋体" w:hint="default"/>
          <w:sz w:val="18"/>
          <w:szCs w:val="18"/>
        </w:rPr>
      </w:pPr>
      <w:r>
        <w:rPr>
          <w:rFonts w:ascii="宋体"/>
          <w:sz w:val="18"/>
        </w:rPr>
        <w:t>76.56%</w:t>
      </w:r>
    </w:p>
    <w:p>
      <w:pPr>
        <w:spacing w:line="319" w:lineRule="auto" w:before="12"/>
        <w:ind w:left="164" w:right="401"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及子公司达实联欣纳入合并报表，其自有及租赁物业装修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费摊销所致。</w:t>
      </w:r>
    </w:p>
    <w:p>
      <w:pPr>
        <w:spacing w:before="53"/>
        <w:ind w:left="164" w:right="401" w:firstLine="0"/>
        <w:jc w:val="left"/>
        <w:rPr>
          <w:rFonts w:ascii="宋体" w:hAnsi="宋体" w:cs="宋体" w:eastAsia="宋体" w:hint="default"/>
          <w:sz w:val="18"/>
          <w:szCs w:val="18"/>
        </w:rPr>
      </w:pPr>
      <w:r>
        <w:rPr/>
        <w:pict>
          <v:group style="position:absolute;margin-left:56.279999pt;margin-top:1.041748pt;width:519.15pt;height:.75pt;mso-position-horizontal-relative:page;mso-position-vertical-relative:paragraph;z-index:2080" coordorigin="1126,21" coordsize="10383,15">
            <v:group style="position:absolute;left:1133;top:28;width:2836;height:2" coordorigin="1133,28" coordsize="2836,2">
              <v:shape style="position:absolute;left:1133;top:28;width:2836;height:2" coordorigin="1133,28" coordsize="2836,0" path="m1133,28l3968,28e" filled="false" stroked="true" strokeweight=".72pt" strokecolor="#000000">
                <v:path arrowok="t"/>
              </v:shape>
            </v:group>
            <v:group style="position:absolute;left:3968;top:28;width:15;height:2" coordorigin="3968,28" coordsize="15,2">
              <v:shape style="position:absolute;left:3968;top:28;width:15;height:2" coordorigin="3968,28" coordsize="15,0" path="m3968,28l3983,28e" filled="false" stroked="true" strokeweight=".72pt" strokecolor="#000000">
                <v:path arrowok="t"/>
              </v:shape>
            </v:group>
            <v:group style="position:absolute;left:3983;top:28;width:1659;height:2" coordorigin="3983,28" coordsize="1659,2">
              <v:shape style="position:absolute;left:3983;top:28;width:1659;height:2" coordorigin="3983,28" coordsize="1659,0" path="m3983,28l5641,28e" filled="false" stroked="true" strokeweight=".72pt" strokecolor="#000000">
                <v:path arrowok="t"/>
              </v:shape>
            </v:group>
            <v:group style="position:absolute;left:5641;top:28;width:15;height:2" coordorigin="5641,28" coordsize="15,2">
              <v:shape style="position:absolute;left:5641;top:28;width:15;height:2" coordorigin="5641,28" coordsize="15,0" path="m5641,28l5655,28e" filled="false" stroked="true" strokeweight=".72pt" strokecolor="#000000">
                <v:path arrowok="t"/>
              </v:shape>
            </v:group>
            <v:group style="position:absolute;left:5655;top:28;width:1355;height:2" coordorigin="5655,28" coordsize="1355,2">
              <v:shape style="position:absolute;left:5655;top:28;width:1355;height:2" coordorigin="5655,28" coordsize="1355,0" path="m5655,28l7009,28e" filled="false" stroked="true" strokeweight=".72pt" strokecolor="#000000">
                <v:path arrowok="t"/>
              </v:shape>
            </v:group>
            <v:group style="position:absolute;left:7009;top:28;width:15;height:2" coordorigin="7009,28" coordsize="15,2">
              <v:shape style="position:absolute;left:7009;top:28;width:15;height:2" coordorigin="7009,28" coordsize="15,0" path="m7009,28l7024,28e" filled="false" stroked="true" strokeweight=".72pt" strokecolor="#000000">
                <v:path arrowok="t"/>
              </v:shape>
            </v:group>
            <v:group style="position:absolute;left:7024;top:28;width:4477;height:2" coordorigin="7024,28" coordsize="4477,2">
              <v:shape style="position:absolute;left:7024;top:28;width:4477;height:2" coordorigin="7024,28" coordsize="4477,0" path="m7024,28l11501,28e" filled="false" stroked="true" strokeweight=".72pt" strokecolor="#000000">
                <v:path arrowok="t"/>
              </v:shape>
            </v:group>
            <w10:wrap type="none"/>
          </v:group>
        </w:pict>
      </w:r>
      <w:r>
        <w:rPr>
          <w:rFonts w:ascii="宋体" w:hAnsi="宋体" w:cs="宋体" w:eastAsia="宋体" w:hint="default"/>
          <w:sz w:val="18"/>
          <w:szCs w:val="18"/>
        </w:rPr>
        <w:t>主要原因是票据到期解付所致。</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spacing w:line="328" w:lineRule="auto" w:before="0"/>
        <w:ind w:left="164" w:right="401" w:firstLine="0"/>
        <w:jc w:val="left"/>
        <w:rPr>
          <w:rFonts w:ascii="宋体" w:hAnsi="宋体" w:cs="宋体" w:eastAsia="宋体" w:hint="default"/>
          <w:sz w:val="18"/>
          <w:szCs w:val="18"/>
        </w:rPr>
      </w:pPr>
      <w:r>
        <w:rPr/>
        <w:pict>
          <v:group style="position:absolute;margin-left:56.279999pt;margin-top:-1.728252pt;width:519.15pt;height:.75pt;mso-position-horizontal-relative:page;mso-position-vertical-relative:paragraph;z-index:-771520" coordorigin="1126,-35" coordsize="10383,15">
            <v:group style="position:absolute;left:1133;top:-27;width:2836;height:2" coordorigin="1133,-27" coordsize="2836,2">
              <v:shape style="position:absolute;left:1133;top:-27;width:2836;height:2" coordorigin="1133,-27" coordsize="2836,0" path="m1133,-27l3968,-27e" filled="false" stroked="true" strokeweight=".72pt" strokecolor="#000000">
                <v:path arrowok="t"/>
              </v:shape>
            </v:group>
            <v:group style="position:absolute;left:3968;top:-27;width:15;height:2" coordorigin="3968,-27" coordsize="15,2">
              <v:shape style="position:absolute;left:3968;top:-27;width:15;height:2" coordorigin="3968,-27" coordsize="15,0" path="m3968,-27l3983,-27e" filled="false" stroked="true" strokeweight=".72pt" strokecolor="#000000">
                <v:path arrowok="t"/>
              </v:shape>
            </v:group>
            <v:group style="position:absolute;left:3983;top:-27;width:1659;height:2" coordorigin="3983,-27" coordsize="1659,2">
              <v:shape style="position:absolute;left:3983;top:-27;width:1659;height:2" coordorigin="3983,-27" coordsize="1659,0" path="m3983,-27l5641,-27e" filled="false" stroked="true" strokeweight=".72pt" strokecolor="#000000">
                <v:path arrowok="t"/>
              </v:shape>
            </v:group>
            <v:group style="position:absolute;left:5641;top:-27;width:15;height:2" coordorigin="5641,-27" coordsize="15,2">
              <v:shape style="position:absolute;left:5641;top:-27;width:15;height:2" coordorigin="5641,-27" coordsize="15,0" path="m5641,-27l5655,-27e" filled="false" stroked="true" strokeweight=".72pt" strokecolor="#000000">
                <v:path arrowok="t"/>
              </v:shape>
            </v:group>
            <v:group style="position:absolute;left:5655;top:-27;width:1355;height:2" coordorigin="5655,-27" coordsize="1355,2">
              <v:shape style="position:absolute;left:5655;top:-27;width:1355;height:2" coordorigin="5655,-27" coordsize="1355,0" path="m5655,-27l7009,-27e" filled="false" stroked="true" strokeweight=".72pt" strokecolor="#000000">
                <v:path arrowok="t"/>
              </v:shape>
            </v:group>
            <v:group style="position:absolute;left:7009;top:-27;width:15;height:2" coordorigin="7009,-27" coordsize="15,2">
              <v:shape style="position:absolute;left:7009;top:-27;width:15;height:2" coordorigin="7009,-27" coordsize="15,0" path="m7009,-27l7024,-27e" filled="false" stroked="true" strokeweight=".72pt" strokecolor="#000000">
                <v:path arrowok="t"/>
              </v:shape>
            </v:group>
            <v:group style="position:absolute;left:7024;top:-27;width:4477;height:2" coordorigin="7024,-27" coordsize="4477,2">
              <v:shape style="position:absolute;left:7024;top:-27;width:4477;height:2" coordorigin="7024,-27" coordsize="4477,0" path="m7024,-27l11501,-27e" filled="false" stroked="true" strokeweight=".72pt" strokecolor="#000000">
                <v:path arrowok="t"/>
              </v:shape>
            </v:group>
            <w10:wrap type="none"/>
          </v:group>
        </w:pict>
      </w:r>
      <w:r>
        <w:rPr/>
        <w:pict>
          <v:group style="position:absolute;margin-left:56.279999pt;margin-top:31.271748pt;width:519.15pt;height:.75pt;mso-position-horizontal-relative:page;mso-position-vertical-relative:paragraph;z-index:-771496" coordorigin="1126,625" coordsize="10383,15">
            <v:group style="position:absolute;left:1133;top:633;width:2836;height:2" coordorigin="1133,633" coordsize="2836,2">
              <v:shape style="position:absolute;left:1133;top:633;width:2836;height:2" coordorigin="1133,633" coordsize="2836,0" path="m1133,633l3968,633e" filled="false" stroked="true" strokeweight=".72pt" strokecolor="#000000">
                <v:path arrowok="t"/>
              </v:shape>
            </v:group>
            <v:group style="position:absolute;left:3968;top:633;width:15;height:2" coordorigin="3968,633" coordsize="15,2">
              <v:shape style="position:absolute;left:3968;top:633;width:15;height:2" coordorigin="3968,633" coordsize="15,0" path="m3968,633l3983,633e" filled="false" stroked="true" strokeweight=".72pt" strokecolor="#000000">
                <v:path arrowok="t"/>
              </v:shape>
            </v:group>
            <v:group style="position:absolute;left:3983;top:633;width:1659;height:2" coordorigin="3983,633" coordsize="1659,2">
              <v:shape style="position:absolute;left:3983;top:633;width:1659;height:2" coordorigin="3983,633" coordsize="1659,0" path="m3983,633l5641,633e" filled="false" stroked="true" strokeweight=".72pt" strokecolor="#000000">
                <v:path arrowok="t"/>
              </v:shape>
            </v:group>
            <v:group style="position:absolute;left:5641;top:633;width:15;height:2" coordorigin="5641,633" coordsize="15,2">
              <v:shape style="position:absolute;left:5641;top:633;width:15;height:2" coordorigin="5641,633" coordsize="15,0" path="m5641,633l5655,633e" filled="false" stroked="true" strokeweight=".72pt" strokecolor="#000000">
                <v:path arrowok="t"/>
              </v:shape>
            </v:group>
            <v:group style="position:absolute;left:5655;top:633;width:1355;height:2" coordorigin="5655,633" coordsize="1355,2">
              <v:shape style="position:absolute;left:5655;top:633;width:1355;height:2" coordorigin="5655,633" coordsize="1355,0" path="m5655,633l7009,633e" filled="false" stroked="true" strokeweight=".72pt" strokecolor="#000000">
                <v:path arrowok="t"/>
              </v:shape>
            </v:group>
            <v:group style="position:absolute;left:7009;top:633;width:15;height:2" coordorigin="7009,633" coordsize="15,2">
              <v:shape style="position:absolute;left:7009;top:633;width:15;height:2" coordorigin="7009,633" coordsize="15,0" path="m7009,633l7024,633e" filled="false" stroked="true" strokeweight=".72pt" strokecolor="#000000">
                <v:path arrowok="t"/>
              </v:shape>
            </v:group>
            <v:group style="position:absolute;left:7024;top:633;width:4477;height:2" coordorigin="7024,633" coordsize="4477,2">
              <v:shape style="position:absolute;left:7024;top:633;width:4477;height:2" coordorigin="7024,633" coordsize="4477,0" path="m7024,633l11501,633e" filled="false" stroked="true" strokeweight=".72pt" strokecolor="#000000">
                <v:path arrowok="t"/>
              </v:shape>
            </v:group>
            <w10:wrap type="none"/>
          </v:group>
        </w:pict>
      </w:r>
      <w:r>
        <w:rPr/>
        <w:pict>
          <v:shape style="position:absolute;margin-left:56.639999pt;margin-top:59.057373pt;width:518.4pt;height:92.3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10"/>
                    <w:gridCol w:w="2477"/>
                    <w:gridCol w:w="5681"/>
                  </w:tblGrid>
                  <w:tr>
                    <w:trPr>
                      <w:trHeight w:val="421" w:hRule="exact"/>
                    </w:trPr>
                    <w:tc>
                      <w:tcPr>
                        <w:tcW w:w="2210" w:type="dxa"/>
                        <w:tcBorders>
                          <w:top w:val="nil" w:sz="6" w:space="0" w:color="auto"/>
                          <w:left w:val="nil" w:sz="6" w:space="0" w:color="auto"/>
                          <w:bottom w:val="single" w:sz="6" w:space="0" w:color="000000"/>
                          <w:right w:val="nil" w:sz="6" w:space="0" w:color="auto"/>
                        </w:tcBorders>
                      </w:tcPr>
                      <w:p>
                        <w:pPr/>
                      </w:p>
                    </w:tc>
                    <w:tc>
                      <w:tcPr>
                        <w:tcW w:w="2477" w:type="dxa"/>
                        <w:tcBorders>
                          <w:top w:val="nil" w:sz="6" w:space="0" w:color="auto"/>
                          <w:left w:val="nil" w:sz="6" w:space="0" w:color="auto"/>
                          <w:bottom w:val="single" w:sz="6" w:space="0" w:color="000000"/>
                          <w:right w:val="nil" w:sz="6" w:space="0" w:color="auto"/>
                        </w:tcBorders>
                      </w:tcPr>
                      <w:p>
                        <w:pPr>
                          <w:pStyle w:val="TableParagraph"/>
                          <w:spacing w:line="180" w:lineRule="exact"/>
                          <w:ind w:right="186"/>
                          <w:jc w:val="right"/>
                          <w:rPr>
                            <w:rFonts w:ascii="宋体" w:hAnsi="宋体" w:cs="宋体" w:eastAsia="宋体" w:hint="default"/>
                            <w:sz w:val="18"/>
                            <w:szCs w:val="18"/>
                          </w:rPr>
                        </w:pPr>
                        <w:r>
                          <w:rPr>
                            <w:rFonts w:ascii="宋体"/>
                            <w:spacing w:val="-1"/>
                            <w:sz w:val="18"/>
                          </w:rPr>
                          <w:t>27,304,064.30</w:t>
                        </w:r>
                      </w:p>
                    </w:tc>
                    <w:tc>
                      <w:tcPr>
                        <w:tcW w:w="5681" w:type="dxa"/>
                        <w:tcBorders>
                          <w:top w:val="nil" w:sz="6" w:space="0" w:color="auto"/>
                          <w:left w:val="nil" w:sz="6" w:space="0" w:color="auto"/>
                          <w:bottom w:val="single" w:sz="6" w:space="0" w:color="000000"/>
                          <w:right w:val="nil" w:sz="6" w:space="0" w:color="auto"/>
                        </w:tcBorders>
                      </w:tcPr>
                      <w:p>
                        <w:pPr>
                          <w:pStyle w:val="TableParagraph"/>
                          <w:spacing w:line="240" w:lineRule="auto" w:before="100"/>
                          <w:ind w:left="1201" w:right="0"/>
                          <w:jc w:val="left"/>
                          <w:rPr>
                            <w:rFonts w:ascii="宋体" w:hAnsi="宋体" w:cs="宋体" w:eastAsia="宋体" w:hint="default"/>
                            <w:sz w:val="18"/>
                            <w:szCs w:val="18"/>
                          </w:rPr>
                        </w:pPr>
                        <w:r>
                          <w:rPr>
                            <w:rFonts w:ascii="宋体" w:hAnsi="宋体" w:cs="宋体" w:eastAsia="宋体" w:hint="default"/>
                            <w:sz w:val="18"/>
                            <w:szCs w:val="18"/>
                          </w:rPr>
                          <w:t>并报表所致。</w:t>
                        </w:r>
                      </w:p>
                    </w:tc>
                  </w:tr>
                  <w:tr>
                    <w:trPr>
                      <w:trHeight w:val="348" w:hRule="exact"/>
                    </w:trPr>
                    <w:tc>
                      <w:tcPr>
                        <w:tcW w:w="2210"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88"/>
                          <w:jc w:val="right"/>
                          <w:rPr>
                            <w:rFonts w:ascii="宋体" w:hAnsi="宋体" w:cs="宋体" w:eastAsia="宋体" w:hint="default"/>
                            <w:sz w:val="18"/>
                            <w:szCs w:val="18"/>
                          </w:rPr>
                        </w:pPr>
                        <w:r>
                          <w:rPr>
                            <w:rFonts w:ascii="宋体"/>
                            <w:spacing w:val="-1"/>
                            <w:sz w:val="18"/>
                          </w:rPr>
                          <w:t>5,468,366.30</w:t>
                        </w:r>
                      </w:p>
                    </w:tc>
                    <w:tc>
                      <w:tcPr>
                        <w:tcW w:w="5681" w:type="dxa"/>
                        <w:tcBorders>
                          <w:top w:val="single" w:sz="6" w:space="0" w:color="000000"/>
                          <w:left w:val="nil" w:sz="6" w:space="0" w:color="auto"/>
                          <w:bottom w:val="single" w:sz="6" w:space="0" w:color="000000"/>
                          <w:right w:val="nil" w:sz="6" w:space="0" w:color="auto"/>
                        </w:tcBorders>
                      </w:tcPr>
                      <w:p>
                        <w:pPr>
                          <w:pStyle w:val="TableParagraph"/>
                          <w:tabs>
                            <w:tab w:pos="1201" w:val="left" w:leader="none"/>
                          </w:tabs>
                          <w:spacing w:line="240" w:lineRule="auto" w:before="20"/>
                          <w:ind w:left="233" w:right="0"/>
                          <w:jc w:val="left"/>
                          <w:rPr>
                            <w:rFonts w:ascii="宋体" w:hAnsi="宋体" w:cs="宋体" w:eastAsia="宋体" w:hint="default"/>
                            <w:sz w:val="18"/>
                            <w:szCs w:val="18"/>
                          </w:rPr>
                        </w:pPr>
                        <w:r>
                          <w:rPr>
                            <w:rFonts w:ascii="宋体" w:hAnsi="宋体" w:cs="宋体" w:eastAsia="宋体" w:hint="default"/>
                            <w:spacing w:val="-1"/>
                            <w:sz w:val="18"/>
                            <w:szCs w:val="18"/>
                          </w:rPr>
                          <w:t>89.77%</w:t>
                          <w:tab/>
                        </w:r>
                        <w:r>
                          <w:rPr>
                            <w:rFonts w:ascii="宋体" w:hAnsi="宋体" w:cs="宋体" w:eastAsia="宋体" w:hint="default"/>
                            <w:spacing w:val="-1"/>
                            <w:sz w:val="18"/>
                            <w:szCs w:val="18"/>
                          </w:rPr>
                          <w:t>主要原因是预提</w:t>
                        </w:r>
                        <w:r>
                          <w:rPr>
                            <w:rFonts w:ascii="宋体" w:hAnsi="宋体" w:cs="宋体" w:eastAsia="宋体" w:hint="default"/>
                            <w:spacing w:val="-1"/>
                            <w:sz w:val="18"/>
                            <w:szCs w:val="18"/>
                          </w:rPr>
                          <w:t>2012</w:t>
                        </w:r>
                        <w:r>
                          <w:rPr>
                            <w:rFonts w:ascii="宋体" w:hAnsi="宋体" w:cs="宋体" w:eastAsia="宋体" w:hint="default"/>
                            <w:spacing w:val="-1"/>
                            <w:sz w:val="18"/>
                            <w:szCs w:val="18"/>
                          </w:rPr>
                          <w:t>年年终奖所致。</w:t>
                        </w:r>
                      </w:p>
                    </w:tc>
                  </w:tr>
                  <w:tr>
                    <w:trPr>
                      <w:trHeight w:val="658" w:hRule="exact"/>
                    </w:trPr>
                    <w:tc>
                      <w:tcPr>
                        <w:tcW w:w="2210"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7"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86"/>
                          <w:jc w:val="right"/>
                          <w:rPr>
                            <w:rFonts w:ascii="宋体" w:hAnsi="宋体" w:cs="宋体" w:eastAsia="宋体" w:hint="default"/>
                            <w:sz w:val="18"/>
                            <w:szCs w:val="18"/>
                          </w:rPr>
                        </w:pPr>
                        <w:r>
                          <w:rPr>
                            <w:rFonts w:ascii="宋体"/>
                            <w:spacing w:val="-1"/>
                            <w:sz w:val="18"/>
                          </w:rPr>
                          <w:t>13,287,149.85</w:t>
                        </w:r>
                      </w:p>
                    </w:tc>
                    <w:tc>
                      <w:tcPr>
                        <w:tcW w:w="5681" w:type="dxa"/>
                        <w:tcBorders>
                          <w:top w:val="single" w:sz="6" w:space="0" w:color="000000"/>
                          <w:left w:val="nil" w:sz="6" w:space="0" w:color="auto"/>
                          <w:bottom w:val="single" w:sz="6" w:space="0" w:color="000000"/>
                          <w:right w:val="nil" w:sz="6" w:space="0" w:color="auto"/>
                        </w:tcBorders>
                      </w:tcPr>
                      <w:p>
                        <w:pPr>
                          <w:pStyle w:val="TableParagraph"/>
                          <w:spacing w:line="196" w:lineRule="exact" w:before="17"/>
                          <w:ind w:left="1201" w:right="0"/>
                          <w:jc w:val="left"/>
                          <w:rPr>
                            <w:rFonts w:ascii="宋体" w:hAnsi="宋体" w:cs="宋体" w:eastAsia="宋体" w:hint="default"/>
                            <w:sz w:val="18"/>
                            <w:szCs w:val="18"/>
                          </w:rPr>
                        </w:pPr>
                        <w:r>
                          <w:rPr>
                            <w:rFonts w:ascii="宋体" w:hAnsi="宋体" w:cs="宋体" w:eastAsia="宋体" w:hint="default"/>
                            <w:spacing w:val="-2"/>
                            <w:sz w:val="18"/>
                            <w:szCs w:val="18"/>
                          </w:rPr>
                          <w:t>主要原因是收入及利润增长，相应应缴流转税及所得税增</w:t>
                        </w:r>
                      </w:p>
                      <w:p>
                        <w:pPr>
                          <w:pStyle w:val="TableParagraph"/>
                          <w:spacing w:line="156" w:lineRule="exact"/>
                          <w:ind w:left="188" w:right="0"/>
                          <w:jc w:val="left"/>
                          <w:rPr>
                            <w:rFonts w:ascii="宋体" w:hAnsi="宋体" w:cs="宋体" w:eastAsia="宋体" w:hint="default"/>
                            <w:sz w:val="18"/>
                            <w:szCs w:val="18"/>
                          </w:rPr>
                        </w:pPr>
                        <w:r>
                          <w:rPr>
                            <w:rFonts w:ascii="宋体"/>
                            <w:sz w:val="18"/>
                          </w:rPr>
                          <w:t>228.69%</w:t>
                        </w:r>
                      </w:p>
                      <w:p>
                        <w:pPr>
                          <w:pStyle w:val="TableParagraph"/>
                          <w:spacing w:line="196" w:lineRule="exact"/>
                          <w:ind w:left="1201" w:right="0"/>
                          <w:jc w:val="left"/>
                          <w:rPr>
                            <w:rFonts w:ascii="宋体" w:hAnsi="宋体" w:cs="宋体" w:eastAsia="宋体" w:hint="default"/>
                            <w:sz w:val="18"/>
                            <w:szCs w:val="18"/>
                          </w:rPr>
                        </w:pPr>
                        <w:r>
                          <w:rPr>
                            <w:rFonts w:ascii="宋体" w:hAnsi="宋体" w:cs="宋体" w:eastAsia="宋体" w:hint="default"/>
                            <w:sz w:val="18"/>
                            <w:szCs w:val="18"/>
                          </w:rPr>
                          <w:t>加以及新增</w:t>
                        </w:r>
                        <w:r>
                          <w:rPr>
                            <w:rFonts w:ascii="宋体" w:hAnsi="宋体" w:cs="宋体" w:eastAsia="宋体" w:hint="default"/>
                            <w:sz w:val="18"/>
                            <w:szCs w:val="18"/>
                          </w:rPr>
                          <w:t>2</w:t>
                        </w:r>
                        <w:r>
                          <w:rPr>
                            <w:rFonts w:ascii="宋体" w:hAnsi="宋体" w:cs="宋体" w:eastAsia="宋体" w:hint="default"/>
                            <w:sz w:val="18"/>
                            <w:szCs w:val="18"/>
                          </w:rPr>
                          <w:t>家子公司纳入合并报表所致。</w:t>
                        </w:r>
                      </w:p>
                    </w:tc>
                  </w:tr>
                  <w:tr>
                    <w:trPr>
                      <w:trHeight w:val="419" w:hRule="exact"/>
                    </w:trPr>
                    <w:tc>
                      <w:tcPr>
                        <w:tcW w:w="2210"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7"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86"/>
                          <w:jc w:val="right"/>
                          <w:rPr>
                            <w:rFonts w:ascii="宋体" w:hAnsi="宋体" w:cs="宋体" w:eastAsia="宋体" w:hint="default"/>
                            <w:sz w:val="18"/>
                            <w:szCs w:val="18"/>
                          </w:rPr>
                        </w:pPr>
                        <w:r>
                          <w:rPr>
                            <w:rFonts w:ascii="宋体"/>
                            <w:spacing w:val="-1"/>
                            <w:sz w:val="18"/>
                          </w:rPr>
                          <w:t>20,535,991.36</w:t>
                        </w:r>
                      </w:p>
                    </w:tc>
                    <w:tc>
                      <w:tcPr>
                        <w:tcW w:w="5681" w:type="dxa"/>
                        <w:tcBorders>
                          <w:top w:val="single" w:sz="6" w:space="0" w:color="000000"/>
                          <w:left w:val="nil" w:sz="6" w:space="0" w:color="auto"/>
                          <w:bottom w:val="nil" w:sz="6" w:space="0" w:color="auto"/>
                          <w:right w:val="nil" w:sz="6" w:space="0" w:color="auto"/>
                        </w:tcBorders>
                      </w:tcPr>
                      <w:p>
                        <w:pPr>
                          <w:pStyle w:val="TableParagraph"/>
                          <w:spacing w:line="196" w:lineRule="exact" w:before="20"/>
                          <w:ind w:left="1201" w:right="0"/>
                          <w:jc w:val="left"/>
                          <w:rPr>
                            <w:rFonts w:ascii="宋体" w:hAnsi="宋体" w:cs="宋体" w:eastAsia="宋体" w:hint="default"/>
                            <w:sz w:val="18"/>
                            <w:szCs w:val="18"/>
                          </w:rPr>
                        </w:pPr>
                        <w:r>
                          <w:rPr>
                            <w:rFonts w:ascii="宋体" w:hAnsi="宋体" w:cs="宋体" w:eastAsia="宋体" w:hint="default"/>
                            <w:spacing w:val="6"/>
                            <w:sz w:val="18"/>
                            <w:szCs w:val="18"/>
                          </w:rPr>
                          <w:t>主要原因是预提未支付的达实联欣第二期股权收购款所</w:t>
                        </w:r>
                      </w:p>
                      <w:p>
                        <w:pPr>
                          <w:pStyle w:val="TableParagraph"/>
                          <w:spacing w:line="196" w:lineRule="exact"/>
                          <w:ind w:left="188" w:right="0"/>
                          <w:jc w:val="left"/>
                          <w:rPr>
                            <w:rFonts w:ascii="宋体" w:hAnsi="宋体" w:cs="宋体" w:eastAsia="宋体" w:hint="default"/>
                            <w:sz w:val="18"/>
                            <w:szCs w:val="18"/>
                          </w:rPr>
                        </w:pPr>
                        <w:r>
                          <w:rPr>
                            <w:rFonts w:ascii="宋体"/>
                            <w:sz w:val="18"/>
                          </w:rPr>
                          <w:t>130.00%</w:t>
                        </w:r>
                      </w:p>
                    </w:tc>
                  </w:tr>
                </w:tbl>
                <w:p>
                  <w:pPr/>
                </w:p>
              </w:txbxContent>
            </v:textbox>
            <w10:wrap type="none"/>
          </v:shape>
        </w:pict>
      </w:r>
      <w:r>
        <w:rPr>
          <w:rFonts w:ascii="宋体" w:hAnsi="宋体" w:cs="宋体" w:eastAsia="宋体" w:hint="default"/>
          <w:spacing w:val="2"/>
          <w:sz w:val="18"/>
          <w:szCs w:val="18"/>
        </w:rPr>
        <w:t>主要原因是工程应付材料款及应付进度款增加以及新增</w:t>
      </w:r>
      <w:r>
        <w:rPr>
          <w:rFonts w:ascii="宋体" w:hAnsi="宋体" w:cs="宋体" w:eastAsia="宋体" w:hint="default"/>
          <w:spacing w:val="2"/>
          <w:sz w:val="18"/>
          <w:szCs w:val="18"/>
        </w:rPr>
        <w:t>2</w:t>
      </w:r>
      <w:r>
        <w:rPr>
          <w:rFonts w:ascii="宋体" w:hAnsi="宋体" w:cs="宋体" w:eastAsia="宋体" w:hint="default"/>
          <w:sz w:val="18"/>
          <w:szCs w:val="18"/>
        </w:rPr>
        <w:t> </w:t>
      </w:r>
      <w:r>
        <w:rPr>
          <w:rFonts w:ascii="宋体" w:hAnsi="宋体" w:cs="宋体" w:eastAsia="宋体" w:hint="default"/>
          <w:sz w:val="18"/>
          <w:szCs w:val="18"/>
        </w:rPr>
        <w:t>家子公司纳入合并报表所致。 </w:t>
      </w:r>
      <w:r>
        <w:rPr>
          <w:rFonts w:ascii="宋体" w:hAnsi="宋体" w:cs="宋体" w:eastAsia="宋体" w:hint="default"/>
          <w:spacing w:val="6"/>
          <w:sz w:val="18"/>
          <w:szCs w:val="18"/>
        </w:rPr>
        <w:t>主要原因是本报告期收到大连地铁工程环境与设备监控</w:t>
      </w:r>
      <w:r>
        <w:rPr>
          <w:rFonts w:ascii="宋体" w:hAnsi="宋体" w:cs="宋体" w:eastAsia="宋体" w:hint="default"/>
          <w:sz w:val="18"/>
          <w:szCs w:val="18"/>
        </w:rPr>
        <w:t> </w:t>
      </w:r>
      <w:r>
        <w:rPr>
          <w:rFonts w:ascii="宋体" w:hAnsi="宋体" w:cs="宋体" w:eastAsia="宋体" w:hint="default"/>
          <w:spacing w:val="-2"/>
          <w:sz w:val="18"/>
          <w:szCs w:val="18"/>
        </w:rPr>
        <w:t>系统（</w:t>
      </w:r>
      <w:r>
        <w:rPr>
          <w:rFonts w:ascii="宋体" w:hAnsi="宋体" w:cs="宋体" w:eastAsia="宋体" w:hint="default"/>
          <w:spacing w:val="-2"/>
          <w:sz w:val="18"/>
          <w:szCs w:val="18"/>
        </w:rPr>
        <w:t>BAS</w:t>
      </w:r>
      <w:r>
        <w:rPr>
          <w:rFonts w:ascii="宋体" w:hAnsi="宋体" w:cs="宋体" w:eastAsia="宋体" w:hint="default"/>
          <w:spacing w:val="-2"/>
          <w:sz w:val="18"/>
          <w:szCs w:val="18"/>
        </w:rPr>
        <w:t>）总承包项目预收款以及新增</w:t>
      </w:r>
      <w:r>
        <w:rPr>
          <w:rFonts w:ascii="宋体" w:hAnsi="宋体" w:cs="宋体" w:eastAsia="宋体" w:hint="default"/>
          <w:spacing w:val="-2"/>
          <w:sz w:val="18"/>
          <w:szCs w:val="18"/>
        </w:rPr>
        <w:t>2</w:t>
      </w:r>
      <w:r>
        <w:rPr>
          <w:rFonts w:ascii="宋体" w:hAnsi="宋体" w:cs="宋体" w:eastAsia="宋体" w:hint="default"/>
          <w:spacing w:val="-2"/>
          <w:sz w:val="18"/>
          <w:szCs w:val="18"/>
        </w:rPr>
        <w:t>家子公司纳入合</w:t>
      </w:r>
    </w:p>
    <w:p>
      <w:pPr>
        <w:spacing w:after="0" w:line="328" w:lineRule="auto"/>
        <w:jc w:val="left"/>
        <w:rPr>
          <w:rFonts w:ascii="宋体" w:hAnsi="宋体" w:cs="宋体" w:eastAsia="宋体" w:hint="default"/>
          <w:sz w:val="18"/>
          <w:szCs w:val="18"/>
        </w:rPr>
        <w:sectPr>
          <w:type w:val="continuous"/>
          <w:pgSz w:w="11910" w:h="16840"/>
          <w:pgMar w:top="1580" w:bottom="0" w:left="980" w:right="0"/>
          <w:cols w:num="4" w:equalWidth="0">
            <w:col w:w="885" w:space="2339"/>
            <w:col w:w="1428" w:space="211"/>
            <w:col w:w="797" w:space="216"/>
            <w:col w:w="505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0" w:left="980" w:right="0"/>
        </w:sect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spacing w:before="0"/>
        <w:ind w:left="164" w:right="0" w:firstLine="0"/>
        <w:jc w:val="left"/>
        <w:rPr>
          <w:rFonts w:ascii="宋体" w:hAnsi="宋体" w:cs="宋体" w:eastAsia="宋体" w:hint="default"/>
          <w:sz w:val="18"/>
          <w:szCs w:val="18"/>
        </w:rPr>
      </w:pPr>
      <w:r>
        <w:rPr/>
        <w:pict>
          <v:group style="position:absolute;margin-left:56.279999pt;margin-top:-9.408283pt;width:519.15pt;height:.75pt;mso-position-horizontal-relative:page;mso-position-vertical-relative:paragraph;z-index:-771472" coordorigin="1126,-188" coordsize="10383,15">
            <v:group style="position:absolute;left:1133;top:-181;width:2836;height:2" coordorigin="1133,-181" coordsize="2836,2">
              <v:shape style="position:absolute;left:1133;top:-181;width:2836;height:2" coordorigin="1133,-181" coordsize="2836,0" path="m1133,-181l3968,-181e" filled="false" stroked="true" strokeweight=".72pt" strokecolor="#000000">
                <v:path arrowok="t"/>
              </v:shape>
            </v:group>
            <v:group style="position:absolute;left:3968;top:-181;width:15;height:2" coordorigin="3968,-181" coordsize="15,2">
              <v:shape style="position:absolute;left:3968;top:-181;width:15;height:2" coordorigin="3968,-181" coordsize="15,0" path="m3968,-181l3983,-181e" filled="false" stroked="true" strokeweight=".72pt" strokecolor="#000000">
                <v:path arrowok="t"/>
              </v:shape>
            </v:group>
            <v:group style="position:absolute;left:3983;top:-181;width:1659;height:2" coordorigin="3983,-181" coordsize="1659,2">
              <v:shape style="position:absolute;left:3983;top:-181;width:1659;height:2" coordorigin="3983,-181" coordsize="1659,0" path="m3983,-181l5641,-181e" filled="false" stroked="true" strokeweight=".72pt" strokecolor="#000000">
                <v:path arrowok="t"/>
              </v:shape>
            </v:group>
            <v:group style="position:absolute;left:5641;top:-181;width:15;height:2" coordorigin="5641,-181" coordsize="15,2">
              <v:shape style="position:absolute;left:5641;top:-181;width:15;height:2" coordorigin="5641,-181" coordsize="15,0" path="m5641,-181l5655,-181e" filled="false" stroked="true" strokeweight=".72pt" strokecolor="#000000">
                <v:path arrowok="t"/>
              </v:shape>
            </v:group>
            <v:group style="position:absolute;left:5655;top:-181;width:1355;height:2" coordorigin="5655,-181" coordsize="1355,2">
              <v:shape style="position:absolute;left:5655;top:-181;width:1355;height:2" coordorigin="5655,-181" coordsize="1355,0" path="m5655,-181l7009,-181e" filled="false" stroked="true" strokeweight=".72pt" strokecolor="#000000">
                <v:path arrowok="t"/>
              </v:shape>
            </v:group>
            <v:group style="position:absolute;left:7009;top:-181;width:15;height:2" coordorigin="7009,-181" coordsize="15,2">
              <v:shape style="position:absolute;left:7009;top:-181;width:15;height:2" coordorigin="7009,-181" coordsize="15,0" path="m7009,-181l7024,-181e" filled="false" stroked="true" strokeweight=".72pt" strokecolor="#000000">
                <v:path arrowok="t"/>
              </v:shape>
            </v:group>
            <v:group style="position:absolute;left:7024;top:-181;width:4477;height:2" coordorigin="7024,-181" coordsize="4477,2">
              <v:shape style="position:absolute;left:7024;top:-181;width:4477;height:2" coordorigin="7024,-181" coordsize="4477,0" path="m7024,-181l11501,-181e" filled="false" stroked="true" strokeweight=".72pt" strokecolor="#000000">
                <v:path arrowok="t"/>
              </v:shape>
            </v:group>
            <w10:wrap type="none"/>
          </v:group>
        </w:pict>
      </w:r>
      <w:r>
        <w:rPr>
          <w:rFonts w:ascii="宋体" w:hAnsi="宋体" w:cs="宋体" w:eastAsia="宋体" w:hint="default"/>
          <w:sz w:val="18"/>
          <w:szCs w:val="18"/>
        </w:rPr>
        <w:t>长期应付款</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64" w:right="0" w:firstLine="0"/>
        <w:jc w:val="left"/>
        <w:rPr>
          <w:rFonts w:ascii="宋体" w:hAnsi="宋体" w:cs="宋体" w:eastAsia="宋体" w:hint="default"/>
          <w:sz w:val="20"/>
          <w:szCs w:val="20"/>
        </w:rPr>
      </w:pPr>
      <w:r>
        <w:rPr>
          <w:rFonts w:ascii="宋体" w:hAnsi="宋体" w:cs="宋体" w:eastAsia="宋体" w:hint="default"/>
          <w:w w:val="95"/>
          <w:sz w:val="20"/>
          <w:szCs w:val="20"/>
        </w:rPr>
        <w:t>递延所得税负债</w:t>
      </w:r>
      <w:r>
        <w:rPr>
          <w:rFonts w:ascii="宋体" w:hAnsi="宋体" w:cs="宋体" w:eastAsia="宋体" w:hint="default"/>
          <w:sz w:val="20"/>
          <w:szCs w:val="20"/>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spacing w:before="0"/>
        <w:ind w:left="164" w:right="-18" w:firstLine="0"/>
        <w:jc w:val="left"/>
        <w:rPr>
          <w:rFonts w:ascii="宋体" w:hAnsi="宋体" w:cs="宋体" w:eastAsia="宋体" w:hint="default"/>
          <w:sz w:val="18"/>
          <w:szCs w:val="18"/>
        </w:rPr>
      </w:pPr>
      <w:r>
        <w:rPr>
          <w:rFonts w:ascii="宋体"/>
          <w:sz w:val="18"/>
        </w:rPr>
        <w:t>45,449,788.00</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spacing w:before="0"/>
        <w:ind w:left="524" w:right="-18" w:firstLine="0"/>
        <w:jc w:val="left"/>
        <w:rPr>
          <w:rFonts w:ascii="宋体" w:hAnsi="宋体" w:cs="宋体" w:eastAsia="宋体" w:hint="default"/>
          <w:sz w:val="18"/>
          <w:szCs w:val="18"/>
        </w:rPr>
      </w:pPr>
      <w:r>
        <w:rPr>
          <w:rFonts w:ascii="宋体"/>
          <w:sz w:val="18"/>
        </w:rPr>
        <w:t>50,938.74</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23"/>
          <w:szCs w:val="23"/>
        </w:rPr>
      </w:pPr>
    </w:p>
    <w:p>
      <w:pPr>
        <w:spacing w:before="0"/>
        <w:ind w:left="164" w:right="-19" w:firstLine="0"/>
        <w:jc w:val="left"/>
        <w:rPr>
          <w:rFonts w:ascii="宋体" w:hAnsi="宋体" w:cs="宋体" w:eastAsia="宋体" w:hint="default"/>
          <w:sz w:val="18"/>
          <w:szCs w:val="18"/>
        </w:rPr>
      </w:pPr>
      <w:r>
        <w:rPr>
          <w:rFonts w:ascii="宋体"/>
          <w:sz w:val="18"/>
        </w:rPr>
        <w:t>100%</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spacing w:before="0"/>
        <w:ind w:left="164" w:right="-19" w:firstLine="0"/>
        <w:jc w:val="left"/>
        <w:rPr>
          <w:rFonts w:ascii="宋体" w:hAnsi="宋体" w:cs="宋体" w:eastAsia="宋体" w:hint="default"/>
          <w:sz w:val="18"/>
          <w:szCs w:val="18"/>
        </w:rPr>
      </w:pPr>
      <w:r>
        <w:rPr>
          <w:rFonts w:ascii="宋体"/>
          <w:sz w:val="18"/>
        </w:rPr>
        <w:t>100%</w:t>
      </w:r>
    </w:p>
    <w:p>
      <w:pPr>
        <w:spacing w:line="336" w:lineRule="auto" w:before="44"/>
        <w:ind w:left="164" w:right="365" w:firstLine="0"/>
        <w:jc w:val="left"/>
        <w:rPr>
          <w:rFonts w:ascii="宋体" w:hAnsi="宋体" w:cs="宋体" w:eastAsia="宋体" w:hint="default"/>
          <w:sz w:val="18"/>
          <w:szCs w:val="18"/>
        </w:rPr>
      </w:pPr>
      <w:r>
        <w:rPr/>
        <w:br w:type="column"/>
      </w:r>
      <w:r>
        <w:rPr>
          <w:rFonts w:ascii="宋体" w:hAnsi="宋体" w:cs="宋体" w:eastAsia="宋体" w:hint="default"/>
          <w:sz w:val="18"/>
          <w:szCs w:val="18"/>
        </w:rPr>
        <w:t>致。 </w:t>
      </w:r>
      <w:r>
        <w:rPr>
          <w:rFonts w:ascii="宋体" w:hAnsi="宋体" w:cs="宋体" w:eastAsia="宋体" w:hint="default"/>
          <w:spacing w:val="-2"/>
          <w:sz w:val="18"/>
          <w:szCs w:val="18"/>
        </w:rPr>
        <w:t>主要原因是预提未支付的达实联欣第三、第四期股权收购</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款所致。 </w:t>
      </w:r>
      <w:r>
        <w:rPr>
          <w:rFonts w:ascii="宋体" w:hAnsi="宋体" w:cs="宋体" w:eastAsia="宋体" w:hint="default"/>
          <w:spacing w:val="6"/>
          <w:sz w:val="18"/>
          <w:szCs w:val="18"/>
        </w:rPr>
        <w:t>主要原因是本报告期纳入合并报表的子公司达实联欣购</w:t>
      </w:r>
      <w:r>
        <w:rPr>
          <w:rFonts w:ascii="宋体" w:hAnsi="宋体" w:cs="宋体" w:eastAsia="宋体" w:hint="default"/>
          <w:sz w:val="18"/>
          <w:szCs w:val="18"/>
        </w:rPr>
        <w:t> 买基金，公允价值变动确认相应的递延所得税负债所致。</w:t>
      </w:r>
    </w:p>
    <w:p>
      <w:pPr>
        <w:spacing w:after="0" w:line="336" w:lineRule="auto"/>
        <w:jc w:val="left"/>
        <w:rPr>
          <w:rFonts w:ascii="宋体" w:hAnsi="宋体" w:cs="宋体" w:eastAsia="宋体" w:hint="default"/>
          <w:sz w:val="18"/>
          <w:szCs w:val="18"/>
        </w:rPr>
        <w:sectPr>
          <w:type w:val="continuous"/>
          <w:pgSz w:w="11910" w:h="16840"/>
          <w:pgMar w:top="1580" w:bottom="0" w:left="980" w:right="0"/>
          <w:cols w:num="4" w:equalWidth="0">
            <w:col w:w="1562" w:space="1754"/>
            <w:col w:w="1337" w:space="348"/>
            <w:col w:w="526" w:space="350"/>
            <w:col w:w="5053"/>
          </w:cols>
        </w:sectPr>
      </w:pPr>
    </w:p>
    <w:p>
      <w:pPr>
        <w:spacing w:line="20" w:lineRule="exact"/>
        <w:ind w:left="145" w:right="0" w:firstLine="0"/>
        <w:rPr>
          <w:rFonts w:ascii="宋体" w:hAnsi="宋体" w:cs="宋体" w:eastAsia="宋体" w:hint="default"/>
          <w:sz w:val="2"/>
          <w:szCs w:val="2"/>
        </w:rPr>
      </w:pPr>
      <w:r>
        <w:rPr/>
        <w:pict>
          <v:group style="position:absolute;margin-left:55.560001pt;margin-top:764.919983pt;width:539.8pt;height:77pt;mso-position-horizontal-relative:page;mso-position-vertical-relative:page;z-index:2200" coordorigin="1111,15298" coordsize="10796,1540">
            <v:group style="position:absolute;left:1118;top:15324;width:2850;height:2" coordorigin="1118,15324" coordsize="2850,2">
              <v:shape style="position:absolute;left:1118;top:15324;width:2850;height:2" coordorigin="1118,15324" coordsize="2850,0" path="m1118,15324l3968,15324e" filled="false" stroked="true" strokeweight=".72pt" strokecolor="#000000">
                <v:path arrowok="t"/>
              </v:shape>
            </v:group>
            <v:group style="position:absolute;left:3954;top:15324;width:15;height:2" coordorigin="3954,15324" coordsize="15,2">
              <v:shape style="position:absolute;left:3954;top:15324;width:15;height:2" coordorigin="3954,15324" coordsize="15,0" path="m3954,15324l3968,15324e" filled="false" stroked="true" strokeweight=".72pt" strokecolor="#000000">
                <v:path arrowok="t"/>
              </v:shape>
            </v:group>
            <v:group style="position:absolute;left:3968;top:15324;width:1673;height:2" coordorigin="3968,15324" coordsize="1673,2">
              <v:shape style="position:absolute;left:3968;top:15324;width:1673;height:2" coordorigin="3968,15324" coordsize="1673,0" path="m3968,15324l5641,15324e" filled="false" stroked="true" strokeweight=".72pt" strokecolor="#000000">
                <v:path arrowok="t"/>
              </v:shape>
            </v:group>
            <v:group style="position:absolute;left:5627;top:15324;width:15;height:2" coordorigin="5627,15324" coordsize="15,2">
              <v:shape style="position:absolute;left:5627;top:15324;width:15;height:2" coordorigin="5627,15324" coordsize="15,0" path="m5627,15324l5641,15324e" filled="false" stroked="true" strokeweight=".72pt" strokecolor="#000000">
                <v:path arrowok="t"/>
              </v:shape>
            </v:group>
            <v:group style="position:absolute;left:5641;top:15324;width:1369;height:2" coordorigin="5641,15324" coordsize="1369,2">
              <v:shape style="position:absolute;left:5641;top:15324;width:1369;height:2" coordorigin="5641,15324" coordsize="1369,0" path="m5641,15324l7009,15324e" filled="false" stroked="true" strokeweight=".72pt" strokecolor="#000000">
                <v:path arrowok="t"/>
              </v:shape>
            </v:group>
            <v:group style="position:absolute;left:6995;top:15324;width:15;height:2" coordorigin="6995,15324" coordsize="15,2">
              <v:shape style="position:absolute;left:6995;top:15324;width:15;height:2" coordorigin="6995,15324" coordsize="15,0" path="m6995,15324l7009,15324e" filled="false" stroked="true" strokeweight=".72pt" strokecolor="#000000">
                <v:path arrowok="t"/>
              </v:shape>
            </v:group>
            <v:group style="position:absolute;left:7009;top:15324;width:4492;height:2" coordorigin="7009,15324" coordsize="4492,2">
              <v:shape style="position:absolute;left:7009;top:15324;width:4492;height:2" coordorigin="7009,15324" coordsize="4492,0" path="m7009,15324l11501,15324e" filled="false" stroked="true" strokeweight=".72pt" strokecolor="#000000">
                <v:path arrowok="t"/>
              </v:shape>
              <v:shape style="position:absolute;left:9206;top:15298;width:2700;height:1540" type="#_x0000_t75" stroked="false">
                <v:imagedata r:id="rId6" o:title=""/>
              </v:shape>
            </v:group>
            <w10:wrap type="none"/>
          </v:group>
        </w:pict>
      </w:r>
      <w:r>
        <w:rPr>
          <w:rFonts w:ascii="宋体" w:hAnsi="宋体" w:cs="宋体" w:eastAsia="宋体" w:hint="default"/>
          <w:sz w:val="2"/>
          <w:szCs w:val="2"/>
        </w:rPr>
        <w:pict>
          <v:group style="width:519.15pt;height:.75pt;mso-position-horizontal-relative:char;mso-position-vertical-relative:line" coordorigin="0,0" coordsize="10383,15">
            <v:group style="position:absolute;left:7;top:7;width:2836;height:2" coordorigin="7,7" coordsize="2836,2">
              <v:shape style="position:absolute;left:7;top:7;width:2836;height:2" coordorigin="7,7" coordsize="2836,0" path="m7,7l2843,7e" filled="false" stroked="true" strokeweight=".72pt" strokecolor="#000000">
                <v:path arrowok="t"/>
              </v:shape>
            </v:group>
            <v:group style="position:absolute;left:2843;top:7;width:15;height:2" coordorigin="2843,7" coordsize="15,2">
              <v:shape style="position:absolute;left:2843;top:7;width:15;height:2" coordorigin="2843,7" coordsize="15,0" path="m2843,7l2857,7e" filled="false" stroked="true" strokeweight=".72pt" strokecolor="#000000">
                <v:path arrowok="t"/>
              </v:shape>
            </v:group>
            <v:group style="position:absolute;left:2857;top:7;width:1659;height:2" coordorigin="2857,7" coordsize="1659,2">
              <v:shape style="position:absolute;left:2857;top:7;width:1659;height:2" coordorigin="2857,7" coordsize="1659,0" path="m2857,7l4515,7e" filled="false" stroked="true" strokeweight=".72pt" strokecolor="#000000">
                <v:path arrowok="t"/>
              </v:shape>
            </v:group>
            <v:group style="position:absolute;left:4515;top:7;width:15;height:2" coordorigin="4515,7" coordsize="15,2">
              <v:shape style="position:absolute;left:4515;top:7;width:15;height:2" coordorigin="4515,7" coordsize="15,0" path="m4515,7l4530,7e" filled="false" stroked="true" strokeweight=".72pt" strokecolor="#000000">
                <v:path arrowok="t"/>
              </v:shape>
            </v:group>
            <v:group style="position:absolute;left:4530;top:7;width:1355;height:2" coordorigin="4530,7" coordsize="1355,2">
              <v:shape style="position:absolute;left:4530;top:7;width:1355;height:2" coordorigin="4530,7" coordsize="1355,0" path="m4530,7l5884,7e" filled="false" stroked="true" strokeweight=".72pt" strokecolor="#000000">
                <v:path arrowok="t"/>
              </v:shape>
            </v:group>
            <v:group style="position:absolute;left:5884;top:7;width:15;height:2" coordorigin="5884,7" coordsize="15,2">
              <v:shape style="position:absolute;left:5884;top:7;width:15;height:2" coordorigin="5884,7" coordsize="15,0" path="m5884,7l5898,7e" filled="false" stroked="true" strokeweight=".72pt" strokecolor="#000000">
                <v:path arrowok="t"/>
              </v:shape>
            </v:group>
            <v:group style="position:absolute;left:5898;top:7;width:4477;height:2" coordorigin="5898,7" coordsize="4477,2">
              <v:shape style="position:absolute;left:5898;top:7;width:4477;height:2" coordorigin="5898,7" coordsize="4477,0" path="m5898,7l10375,7e" filled="false" stroked="true" strokeweight=".72pt" strokecolor="#000000">
                <v:path arrowok="t"/>
              </v:shape>
            </v:group>
          </v:group>
        </w:pict>
      </w:r>
      <w:r>
        <w:rPr>
          <w:rFonts w:ascii="宋体" w:hAnsi="宋体" w:cs="宋体" w:eastAsia="宋体" w:hint="default"/>
          <w:sz w:val="2"/>
          <w:szCs w:val="2"/>
        </w:rPr>
      </w:r>
    </w:p>
    <w:p>
      <w:pPr>
        <w:tabs>
          <w:tab w:pos="3480" w:val="left" w:leader="none"/>
          <w:tab w:pos="4893" w:val="left" w:leader="none"/>
          <w:tab w:pos="6041" w:val="left" w:leader="none"/>
        </w:tabs>
        <w:spacing w:before="20"/>
        <w:ind w:left="164" w:right="0" w:firstLine="0"/>
        <w:jc w:val="left"/>
        <w:rPr>
          <w:rFonts w:ascii="宋体" w:hAnsi="宋体" w:cs="宋体" w:eastAsia="宋体" w:hint="default"/>
          <w:sz w:val="18"/>
          <w:szCs w:val="18"/>
        </w:rPr>
      </w:pPr>
      <w:r>
        <w:rPr/>
        <w:pict>
          <v:group style="position:absolute;margin-left:56.279999pt;margin-top:-33.608295pt;width:519.15pt;height:.75pt;mso-position-horizontal-relative:page;mso-position-vertical-relative:paragraph;z-index:-771448" coordorigin="1126,-672" coordsize="10383,15">
            <v:group style="position:absolute;left:1133;top:-665;width:2836;height:2" coordorigin="1133,-665" coordsize="2836,2">
              <v:shape style="position:absolute;left:1133;top:-665;width:2836;height:2" coordorigin="1133,-665" coordsize="2836,0" path="m1133,-665l3968,-665e" filled="false" stroked="true" strokeweight=".72pt" strokecolor="#000000">
                <v:path arrowok="t"/>
              </v:shape>
            </v:group>
            <v:group style="position:absolute;left:3968;top:-665;width:15;height:2" coordorigin="3968,-665" coordsize="15,2">
              <v:shape style="position:absolute;left:3968;top:-665;width:15;height:2" coordorigin="3968,-665" coordsize="15,0" path="m3968,-665l3983,-665e" filled="false" stroked="true" strokeweight=".72pt" strokecolor="#000000">
                <v:path arrowok="t"/>
              </v:shape>
            </v:group>
            <v:group style="position:absolute;left:3983;top:-665;width:1659;height:2" coordorigin="3983,-665" coordsize="1659,2">
              <v:shape style="position:absolute;left:3983;top:-665;width:1659;height:2" coordorigin="3983,-665" coordsize="1659,0" path="m3983,-665l5641,-665e" filled="false" stroked="true" strokeweight=".72pt" strokecolor="#000000">
                <v:path arrowok="t"/>
              </v:shape>
            </v:group>
            <v:group style="position:absolute;left:5641;top:-665;width:15;height:2" coordorigin="5641,-665" coordsize="15,2">
              <v:shape style="position:absolute;left:5641;top:-665;width:15;height:2" coordorigin="5641,-665" coordsize="15,0" path="m5641,-665l5655,-665e" filled="false" stroked="true" strokeweight=".72pt" strokecolor="#000000">
                <v:path arrowok="t"/>
              </v:shape>
            </v:group>
            <v:group style="position:absolute;left:5655;top:-665;width:1355;height:2" coordorigin="5655,-665" coordsize="1355,2">
              <v:shape style="position:absolute;left:5655;top:-665;width:1355;height:2" coordorigin="5655,-665" coordsize="1355,0" path="m5655,-665l7009,-665e" filled="false" stroked="true" strokeweight=".72pt" strokecolor="#000000">
                <v:path arrowok="t"/>
              </v:shape>
            </v:group>
            <v:group style="position:absolute;left:7009;top:-665;width:15;height:2" coordorigin="7009,-665" coordsize="15,2">
              <v:shape style="position:absolute;left:7009;top:-665;width:15;height:2" coordorigin="7009,-665" coordsize="15,0" path="m7009,-665l7024,-665e" filled="false" stroked="true" strokeweight=".72pt" strokecolor="#000000">
                <v:path arrowok="t"/>
              </v:shape>
            </v:group>
            <v:group style="position:absolute;left:7024;top:-665;width:4477;height:2" coordorigin="7024,-665" coordsize="4477,2">
              <v:shape style="position:absolute;left:7024;top:-665;width:4477;height:2" coordorigin="7024,-665" coordsize="4477,0" path="m7024,-665l11501,-665e" filled="false" stroked="true" strokeweight=".72pt" strokecolor="#000000">
                <v:path arrowok="t"/>
              </v:shape>
            </v:group>
            <w10:wrap type="none"/>
          </v:group>
        </w:pict>
      </w:r>
      <w:r>
        <w:rPr>
          <w:rFonts w:ascii="宋体" w:hAnsi="宋体" w:cs="宋体" w:eastAsia="宋体" w:hint="default"/>
          <w:sz w:val="18"/>
          <w:szCs w:val="18"/>
        </w:rPr>
        <w:t>少数股东权益</w:t>
        <w:tab/>
      </w:r>
      <w:r>
        <w:rPr>
          <w:rFonts w:ascii="宋体" w:hAnsi="宋体" w:cs="宋体" w:eastAsia="宋体" w:hint="default"/>
          <w:spacing w:val="-1"/>
          <w:sz w:val="18"/>
          <w:szCs w:val="18"/>
        </w:rPr>
        <w:t>73,635,793.04</w:t>
        <w:tab/>
        <w:t>15,427.98%</w:t>
        <w:tab/>
      </w:r>
      <w:r>
        <w:rPr>
          <w:rFonts w:ascii="宋体" w:hAnsi="宋体" w:cs="宋体" w:eastAsia="宋体" w:hint="default"/>
          <w:sz w:val="18"/>
          <w:szCs w:val="18"/>
        </w:rPr>
        <w:t>主要是因为本报告期新纳入</w:t>
      </w:r>
      <w:r>
        <w:rPr>
          <w:rFonts w:ascii="宋体" w:hAnsi="宋体" w:cs="宋体" w:eastAsia="宋体" w:hint="default"/>
          <w:sz w:val="18"/>
          <w:szCs w:val="18"/>
        </w:rPr>
        <w:t>2</w:t>
      </w:r>
      <w:r>
        <w:rPr>
          <w:rFonts w:ascii="宋体" w:hAnsi="宋体" w:cs="宋体" w:eastAsia="宋体" w:hint="default"/>
          <w:sz w:val="18"/>
          <w:szCs w:val="18"/>
        </w:rPr>
        <w:t>家非全资子公司所致。</w:t>
      </w:r>
    </w:p>
    <w:p>
      <w:pPr>
        <w:spacing w:line="240" w:lineRule="auto" w:before="12"/>
        <w:rPr>
          <w:rFonts w:ascii="宋体" w:hAnsi="宋体" w:cs="宋体" w:eastAsia="宋体" w:hint="default"/>
          <w:sz w:val="5"/>
          <w:szCs w:val="5"/>
        </w:rPr>
      </w:pPr>
    </w:p>
    <w:p>
      <w:pPr>
        <w:spacing w:line="20" w:lineRule="exact"/>
        <w:ind w:left="145" w:right="0" w:firstLine="0"/>
        <w:rPr>
          <w:rFonts w:ascii="宋体" w:hAnsi="宋体" w:cs="宋体" w:eastAsia="宋体" w:hint="default"/>
          <w:sz w:val="2"/>
          <w:szCs w:val="2"/>
        </w:rPr>
      </w:pPr>
      <w:r>
        <w:rPr>
          <w:rFonts w:ascii="宋体" w:hAnsi="宋体" w:cs="宋体" w:eastAsia="宋体" w:hint="default"/>
          <w:sz w:val="2"/>
          <w:szCs w:val="2"/>
        </w:rPr>
        <w:pict>
          <v:group style="width:519.15pt;height:.75pt;mso-position-horizontal-relative:char;mso-position-vertical-relative:line" coordorigin="0,0" coordsize="10383,15">
            <v:group style="position:absolute;left:7;top:7;width:2836;height:2" coordorigin="7,7" coordsize="2836,2">
              <v:shape style="position:absolute;left:7;top:7;width:2836;height:2" coordorigin="7,7" coordsize="2836,0" path="m7,7l2843,7e" filled="false" stroked="true" strokeweight=".72pt" strokecolor="#000000">
                <v:path arrowok="t"/>
              </v:shape>
            </v:group>
            <v:group style="position:absolute;left:2843;top:7;width:15;height:2" coordorigin="2843,7" coordsize="15,2">
              <v:shape style="position:absolute;left:2843;top:7;width:15;height:2" coordorigin="2843,7" coordsize="15,0" path="m2843,7l2857,7e" filled="false" stroked="true" strokeweight=".72pt" strokecolor="#000000">
                <v:path arrowok="t"/>
              </v:shape>
            </v:group>
            <v:group style="position:absolute;left:2857;top:7;width:1659;height:2" coordorigin="2857,7" coordsize="1659,2">
              <v:shape style="position:absolute;left:2857;top:7;width:1659;height:2" coordorigin="2857,7" coordsize="1659,0" path="m2857,7l4515,7e" filled="false" stroked="true" strokeweight=".72pt" strokecolor="#000000">
                <v:path arrowok="t"/>
              </v:shape>
            </v:group>
            <v:group style="position:absolute;left:4515;top:7;width:15;height:2" coordorigin="4515,7" coordsize="15,2">
              <v:shape style="position:absolute;left:4515;top:7;width:15;height:2" coordorigin="4515,7" coordsize="15,0" path="m4515,7l4530,7e" filled="false" stroked="true" strokeweight=".72pt" strokecolor="#000000">
                <v:path arrowok="t"/>
              </v:shape>
            </v:group>
            <v:group style="position:absolute;left:4530;top:7;width:1355;height:2" coordorigin="4530,7" coordsize="1355,2">
              <v:shape style="position:absolute;left:4530;top:7;width:1355;height:2" coordorigin="4530,7" coordsize="1355,0" path="m4530,7l5884,7e" filled="false" stroked="true" strokeweight=".72pt" strokecolor="#000000">
                <v:path arrowok="t"/>
              </v:shape>
            </v:group>
            <v:group style="position:absolute;left:5884;top:7;width:15;height:2" coordorigin="5884,7" coordsize="15,2">
              <v:shape style="position:absolute;left:5884;top:7;width:15;height:2" coordorigin="5884,7" coordsize="15,0" path="m5884,7l5898,7e" filled="false" stroked="true" strokeweight=".72pt" strokecolor="#000000">
                <v:path arrowok="t"/>
              </v:shape>
            </v:group>
            <v:group style="position:absolute;left:5898;top:7;width:4477;height:2" coordorigin="5898,7" coordsize="4477,2">
              <v:shape style="position:absolute;left:5898;top:7;width:4477;height:2" coordorigin="5898,7" coordsize="4477,0" path="m5898,7l10375,7e" filled="false" stroked="true" strokeweight=".72pt" strokecolor="#000000">
                <v:path arrowok="t"/>
              </v:shape>
            </v:group>
          </v:group>
        </w:pict>
      </w:r>
      <w:r>
        <w:rPr>
          <w:rFonts w:ascii="宋体" w:hAnsi="宋体" w:cs="宋体" w:eastAsia="宋体" w:hint="default"/>
          <w:sz w:val="2"/>
          <w:szCs w:val="2"/>
        </w:rPr>
      </w:r>
    </w:p>
    <w:p>
      <w:pPr>
        <w:spacing w:line="212" w:lineRule="exact" w:before="12"/>
        <w:ind w:left="6041" w:right="0" w:firstLine="0"/>
        <w:jc w:val="left"/>
        <w:rPr>
          <w:rFonts w:ascii="宋体" w:hAnsi="宋体" w:cs="宋体" w:eastAsia="宋体" w:hint="default"/>
          <w:sz w:val="18"/>
          <w:szCs w:val="18"/>
        </w:rPr>
      </w:pPr>
      <w:r>
        <w:rPr>
          <w:rFonts w:ascii="宋体" w:hAnsi="宋体" w:cs="宋体" w:eastAsia="宋体" w:hint="default"/>
          <w:spacing w:val="2"/>
          <w:sz w:val="18"/>
          <w:szCs w:val="18"/>
        </w:rPr>
        <w:t>主要是因为公司业务发展收入增加以及新增</w:t>
      </w:r>
      <w:r>
        <w:rPr>
          <w:rFonts w:ascii="宋体" w:hAnsi="宋体" w:cs="宋体" w:eastAsia="宋体" w:hint="default"/>
          <w:spacing w:val="2"/>
          <w:sz w:val="18"/>
          <w:szCs w:val="18"/>
        </w:rPr>
        <w:t>2</w:t>
      </w:r>
      <w:r>
        <w:rPr>
          <w:rFonts w:ascii="宋体" w:hAnsi="宋体" w:cs="宋体" w:eastAsia="宋体" w:hint="default"/>
          <w:spacing w:val="2"/>
          <w:sz w:val="18"/>
          <w:szCs w:val="18"/>
        </w:rPr>
        <w:t>家子公司纳</w:t>
      </w:r>
      <w:r>
        <w:rPr>
          <w:rFonts w:ascii="宋体" w:hAnsi="宋体" w:cs="宋体" w:eastAsia="宋体" w:hint="default"/>
          <w:sz w:val="18"/>
          <w:szCs w:val="18"/>
        </w:rPr>
      </w:r>
    </w:p>
    <w:p>
      <w:pPr>
        <w:tabs>
          <w:tab w:pos="3391" w:val="left" w:leader="none"/>
          <w:tab w:pos="5073" w:val="left" w:leader="none"/>
        </w:tabs>
        <w:spacing w:line="180" w:lineRule="exact" w:before="0"/>
        <w:ind w:left="164" w:right="1123" w:firstLine="0"/>
        <w:jc w:val="left"/>
        <w:rPr>
          <w:rFonts w:ascii="宋体" w:hAnsi="宋体" w:cs="宋体" w:eastAsia="宋体" w:hint="default"/>
          <w:sz w:val="18"/>
          <w:szCs w:val="18"/>
        </w:rPr>
      </w:pPr>
      <w:r>
        <w:rPr/>
        <w:pict>
          <v:shape style="position:absolute;margin-left:56.639999pt;margin-top:7.8pt;width:518.4pt;height:348.2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5"/>
                    <w:gridCol w:w="1758"/>
                    <w:gridCol w:w="1032"/>
                    <w:gridCol w:w="4693"/>
                  </w:tblGrid>
                  <w:tr>
                    <w:trPr>
                      <w:trHeight w:val="265" w:hRule="exact"/>
                    </w:trPr>
                    <w:tc>
                      <w:tcPr>
                        <w:tcW w:w="5675" w:type="dxa"/>
                        <w:gridSpan w:val="3"/>
                        <w:tcBorders>
                          <w:top w:val="nil" w:sz="6" w:space="0" w:color="auto"/>
                          <w:left w:val="nil" w:sz="6" w:space="0" w:color="auto"/>
                          <w:bottom w:val="single" w:sz="6" w:space="0" w:color="000000"/>
                          <w:right w:val="nil" w:sz="6" w:space="0" w:color="auto"/>
                        </w:tcBorders>
                      </w:tcPr>
                      <w:p>
                        <w:pPr/>
                      </w:p>
                    </w:tc>
                    <w:tc>
                      <w:tcPr>
                        <w:tcW w:w="4693" w:type="dxa"/>
                        <w:tcBorders>
                          <w:top w:val="nil" w:sz="6" w:space="0" w:color="auto"/>
                          <w:left w:val="nil" w:sz="6" w:space="0" w:color="auto"/>
                          <w:bottom w:val="single" w:sz="6" w:space="0" w:color="000000"/>
                          <w:right w:val="nil" w:sz="6" w:space="0" w:color="auto"/>
                        </w:tcBorders>
                      </w:tcPr>
                      <w:p>
                        <w:pPr>
                          <w:pStyle w:val="TableParagraph"/>
                          <w:spacing w:line="180" w:lineRule="exact"/>
                          <w:ind w:left="213" w:right="0"/>
                          <w:jc w:val="left"/>
                          <w:rPr>
                            <w:rFonts w:ascii="宋体" w:hAnsi="宋体" w:cs="宋体" w:eastAsia="宋体" w:hint="default"/>
                            <w:sz w:val="18"/>
                            <w:szCs w:val="18"/>
                          </w:rPr>
                        </w:pPr>
                        <w:r>
                          <w:rPr>
                            <w:rFonts w:ascii="宋体" w:hAnsi="宋体" w:cs="宋体" w:eastAsia="宋体" w:hint="default"/>
                            <w:sz w:val="18"/>
                            <w:szCs w:val="18"/>
                          </w:rPr>
                          <w:t>入合并报表所致。</w:t>
                        </w:r>
                      </w:p>
                    </w:tc>
                  </w:tr>
                  <w:tr>
                    <w:trPr>
                      <w:trHeight w:val="348" w:hRule="exact"/>
                    </w:trPr>
                    <w:tc>
                      <w:tcPr>
                        <w:tcW w:w="288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5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41"/>
                          <w:jc w:val="right"/>
                          <w:rPr>
                            <w:rFonts w:ascii="宋体" w:hAnsi="宋体" w:cs="宋体" w:eastAsia="宋体" w:hint="default"/>
                            <w:sz w:val="18"/>
                            <w:szCs w:val="18"/>
                          </w:rPr>
                        </w:pPr>
                        <w:r>
                          <w:rPr>
                            <w:rFonts w:ascii="宋体"/>
                            <w:spacing w:val="-1"/>
                            <w:sz w:val="18"/>
                          </w:rPr>
                          <w:t>570,537,078.75</w:t>
                        </w:r>
                      </w:p>
                    </w:tc>
                    <w:tc>
                      <w:tcPr>
                        <w:tcW w:w="103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211"/>
                          <w:jc w:val="right"/>
                          <w:rPr>
                            <w:rFonts w:ascii="宋体" w:hAnsi="宋体" w:cs="宋体" w:eastAsia="宋体" w:hint="default"/>
                            <w:sz w:val="18"/>
                            <w:szCs w:val="18"/>
                          </w:rPr>
                        </w:pPr>
                        <w:r>
                          <w:rPr>
                            <w:rFonts w:ascii="宋体"/>
                            <w:spacing w:val="-1"/>
                            <w:sz w:val="18"/>
                          </w:rPr>
                          <w:t>46.55%</w:t>
                        </w:r>
                      </w:p>
                    </w:tc>
                    <w:tc>
                      <w:tcPr>
                        <w:tcW w:w="469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213" w:right="0"/>
                          <w:jc w:val="left"/>
                          <w:rPr>
                            <w:rFonts w:ascii="宋体" w:hAnsi="宋体" w:cs="宋体" w:eastAsia="宋体" w:hint="default"/>
                            <w:sz w:val="18"/>
                            <w:szCs w:val="18"/>
                          </w:rPr>
                        </w:pPr>
                        <w:r>
                          <w:rPr>
                            <w:rFonts w:ascii="宋体" w:hAnsi="宋体" w:cs="宋体" w:eastAsia="宋体" w:hint="default"/>
                            <w:sz w:val="18"/>
                            <w:szCs w:val="18"/>
                          </w:rPr>
                          <w:t>主要是因为收入增加成本相应增加</w:t>
                        </w:r>
                      </w:p>
                    </w:tc>
                  </w:tr>
                  <w:tr>
                    <w:trPr>
                      <w:trHeight w:val="348" w:hRule="exact"/>
                    </w:trPr>
                    <w:tc>
                      <w:tcPr>
                        <w:tcW w:w="2885" w:type="dxa"/>
                        <w:tcBorders>
                          <w:top w:val="single" w:sz="6" w:space="0" w:color="000000"/>
                          <w:left w:val="nil" w:sz="6" w:space="0" w:color="auto"/>
                          <w:bottom w:val="single" w:sz="6" w:space="0" w:color="000000"/>
                          <w:right w:val="nil" w:sz="6" w:space="0" w:color="auto"/>
                        </w:tcBorders>
                      </w:tcPr>
                      <w:p>
                        <w:pPr>
                          <w:pStyle w:val="TableParagraph"/>
                          <w:spacing w:line="240" w:lineRule="auto" w:before="18"/>
                          <w:ind w:left="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758" w:type="dxa"/>
                        <w:tcBorders>
                          <w:top w:val="single" w:sz="6" w:space="0" w:color="000000"/>
                          <w:left w:val="nil" w:sz="6" w:space="0" w:color="auto"/>
                          <w:bottom w:val="single" w:sz="6" w:space="0" w:color="000000"/>
                          <w:right w:val="nil" w:sz="6" w:space="0" w:color="auto"/>
                        </w:tcBorders>
                      </w:tcPr>
                      <w:p>
                        <w:pPr>
                          <w:pStyle w:val="TableParagraph"/>
                          <w:spacing w:line="240" w:lineRule="auto" w:before="18"/>
                          <w:ind w:right="142"/>
                          <w:jc w:val="right"/>
                          <w:rPr>
                            <w:rFonts w:ascii="宋体" w:hAnsi="宋体" w:cs="宋体" w:eastAsia="宋体" w:hint="default"/>
                            <w:sz w:val="18"/>
                            <w:szCs w:val="18"/>
                          </w:rPr>
                        </w:pPr>
                        <w:r>
                          <w:rPr>
                            <w:rFonts w:ascii="宋体"/>
                            <w:spacing w:val="-1"/>
                            <w:sz w:val="18"/>
                          </w:rPr>
                          <w:t>8,428,062.83</w:t>
                        </w:r>
                      </w:p>
                    </w:tc>
                    <w:tc>
                      <w:tcPr>
                        <w:tcW w:w="1032" w:type="dxa"/>
                        <w:tcBorders>
                          <w:top w:val="single" w:sz="6" w:space="0" w:color="000000"/>
                          <w:left w:val="nil" w:sz="6" w:space="0" w:color="auto"/>
                          <w:bottom w:val="single" w:sz="6" w:space="0" w:color="000000"/>
                          <w:right w:val="nil" w:sz="6" w:space="0" w:color="auto"/>
                        </w:tcBorders>
                      </w:tcPr>
                      <w:p>
                        <w:pPr>
                          <w:pStyle w:val="TableParagraph"/>
                          <w:spacing w:line="240" w:lineRule="auto" w:before="18"/>
                          <w:ind w:right="211"/>
                          <w:jc w:val="right"/>
                          <w:rPr>
                            <w:rFonts w:ascii="宋体" w:hAnsi="宋体" w:cs="宋体" w:eastAsia="宋体" w:hint="default"/>
                            <w:sz w:val="18"/>
                            <w:szCs w:val="18"/>
                          </w:rPr>
                        </w:pPr>
                        <w:r>
                          <w:rPr>
                            <w:rFonts w:ascii="宋体"/>
                            <w:spacing w:val="-1"/>
                            <w:sz w:val="18"/>
                          </w:rPr>
                          <w:t>56.46%</w:t>
                        </w:r>
                      </w:p>
                    </w:tc>
                    <w:tc>
                      <w:tcPr>
                        <w:tcW w:w="4693" w:type="dxa"/>
                        <w:tcBorders>
                          <w:top w:val="single" w:sz="6" w:space="0" w:color="000000"/>
                          <w:left w:val="nil" w:sz="6" w:space="0" w:color="auto"/>
                          <w:bottom w:val="single" w:sz="6" w:space="0" w:color="000000"/>
                          <w:right w:val="nil" w:sz="6" w:space="0" w:color="auto"/>
                        </w:tcBorders>
                      </w:tcPr>
                      <w:p>
                        <w:pPr>
                          <w:pStyle w:val="TableParagraph"/>
                          <w:spacing w:line="240" w:lineRule="auto" w:before="18"/>
                          <w:ind w:left="213" w:right="0"/>
                          <w:jc w:val="left"/>
                          <w:rPr>
                            <w:rFonts w:ascii="宋体" w:hAnsi="宋体" w:cs="宋体" w:eastAsia="宋体" w:hint="default"/>
                            <w:sz w:val="18"/>
                            <w:szCs w:val="18"/>
                          </w:rPr>
                        </w:pPr>
                        <w:r>
                          <w:rPr>
                            <w:rFonts w:ascii="宋体" w:hAnsi="宋体" w:cs="宋体" w:eastAsia="宋体" w:hint="default"/>
                            <w:sz w:val="18"/>
                            <w:szCs w:val="18"/>
                          </w:rPr>
                          <w:t>主要原因是收入增加，相应计提的税金增加所致。</w:t>
                        </w:r>
                      </w:p>
                    </w:tc>
                  </w:tr>
                  <w:tr>
                    <w:trPr>
                      <w:trHeight w:val="987" w:hRule="exact"/>
                    </w:trPr>
                    <w:tc>
                      <w:tcPr>
                        <w:tcW w:w="10368" w:type="dxa"/>
                        <w:gridSpan w:val="4"/>
                        <w:tcBorders>
                          <w:top w:val="nil" w:sz="6" w:space="0" w:color="auto"/>
                          <w:left w:val="nil" w:sz="6" w:space="0" w:color="auto"/>
                          <w:bottom w:val="nil" w:sz="6" w:space="0" w:color="auto"/>
                          <w:right w:val="nil" w:sz="6" w:space="0" w:color="auto"/>
                        </w:tcBorders>
                      </w:tcPr>
                      <w:p>
                        <w:pPr>
                          <w:pStyle w:val="TableParagraph"/>
                          <w:spacing w:line="196" w:lineRule="exact" w:before="25"/>
                          <w:ind w:left="5888" w:right="0"/>
                          <w:jc w:val="left"/>
                          <w:rPr>
                            <w:rFonts w:ascii="宋体" w:hAnsi="宋体" w:cs="宋体" w:eastAsia="宋体" w:hint="default"/>
                            <w:sz w:val="18"/>
                            <w:szCs w:val="18"/>
                          </w:rPr>
                        </w:pPr>
                        <w:r>
                          <w:rPr>
                            <w:rFonts w:ascii="宋体" w:hAnsi="宋体" w:cs="宋体" w:eastAsia="宋体" w:hint="default"/>
                            <w:spacing w:val="2"/>
                            <w:sz w:val="18"/>
                            <w:szCs w:val="18"/>
                          </w:rPr>
                          <w:t>主要是因为本期薪酬增加以及本报告期新增</w:t>
                        </w:r>
                        <w:r>
                          <w:rPr>
                            <w:rFonts w:ascii="宋体" w:hAnsi="宋体" w:cs="宋体" w:eastAsia="宋体" w:hint="default"/>
                            <w:spacing w:val="2"/>
                            <w:sz w:val="18"/>
                            <w:szCs w:val="18"/>
                          </w:rPr>
                          <w:t>2</w:t>
                        </w:r>
                        <w:r>
                          <w:rPr>
                            <w:rFonts w:ascii="宋体" w:hAnsi="宋体" w:cs="宋体" w:eastAsia="宋体" w:hint="default"/>
                            <w:spacing w:val="2"/>
                            <w:sz w:val="18"/>
                            <w:szCs w:val="18"/>
                          </w:rPr>
                          <w:t>家子公司纳</w:t>
                        </w:r>
                        <w:r>
                          <w:rPr>
                            <w:rFonts w:ascii="宋体" w:hAnsi="宋体" w:cs="宋体" w:eastAsia="宋体" w:hint="default"/>
                            <w:sz w:val="18"/>
                            <w:szCs w:val="18"/>
                          </w:rPr>
                        </w:r>
                      </w:p>
                      <w:p>
                        <w:pPr>
                          <w:pStyle w:val="TableParagraph"/>
                          <w:tabs>
                            <w:tab w:pos="3327" w:val="left" w:leader="none"/>
                            <w:tab w:pos="4920" w:val="left" w:leader="none"/>
                          </w:tabs>
                          <w:spacing w:line="156" w:lineRule="exact"/>
                          <w:ind w:left="12" w:right="0"/>
                          <w:jc w:val="left"/>
                          <w:rPr>
                            <w:rFonts w:ascii="宋体" w:hAnsi="宋体" w:cs="宋体" w:eastAsia="宋体" w:hint="default"/>
                            <w:sz w:val="18"/>
                            <w:szCs w:val="18"/>
                          </w:rPr>
                        </w:pPr>
                        <w:r>
                          <w:rPr>
                            <w:rFonts w:ascii="宋体" w:hAnsi="宋体" w:cs="宋体" w:eastAsia="宋体" w:hint="default"/>
                            <w:sz w:val="18"/>
                            <w:szCs w:val="18"/>
                          </w:rPr>
                          <w:t>销售费用</w:t>
                          <w:tab/>
                        </w:r>
                        <w:r>
                          <w:rPr>
                            <w:rFonts w:ascii="宋体" w:hAnsi="宋体" w:cs="宋体" w:eastAsia="宋体" w:hint="default"/>
                            <w:spacing w:val="-1"/>
                            <w:sz w:val="18"/>
                            <w:szCs w:val="18"/>
                          </w:rPr>
                          <w:t>13,050,203.03</w:t>
                          <w:tab/>
                          <w:t>30.06%</w:t>
                        </w:r>
                      </w:p>
                      <w:p>
                        <w:pPr>
                          <w:pStyle w:val="TableParagraph"/>
                          <w:spacing w:line="196" w:lineRule="exact"/>
                          <w:ind w:left="5888" w:right="0"/>
                          <w:jc w:val="left"/>
                          <w:rPr>
                            <w:rFonts w:ascii="宋体" w:hAnsi="宋体" w:cs="宋体" w:eastAsia="宋体" w:hint="default"/>
                            <w:sz w:val="18"/>
                            <w:szCs w:val="18"/>
                          </w:rPr>
                        </w:pPr>
                        <w:r>
                          <w:rPr>
                            <w:rFonts w:ascii="宋体" w:hAnsi="宋体" w:cs="宋体" w:eastAsia="宋体" w:hint="default"/>
                            <w:sz w:val="18"/>
                            <w:szCs w:val="18"/>
                          </w:rPr>
                          <w:t>入合并报表所致所致。</w:t>
                        </w:r>
                      </w:p>
                      <w:p>
                        <w:pPr>
                          <w:pStyle w:val="TableParagraph"/>
                          <w:spacing w:line="240" w:lineRule="auto" w:before="112"/>
                          <w:ind w:left="5888" w:right="0"/>
                          <w:jc w:val="left"/>
                          <w:rPr>
                            <w:rFonts w:ascii="宋体" w:hAnsi="宋体" w:cs="宋体" w:eastAsia="宋体" w:hint="default"/>
                            <w:sz w:val="18"/>
                            <w:szCs w:val="18"/>
                          </w:rPr>
                        </w:pPr>
                        <w:r>
                          <w:rPr>
                            <w:rFonts w:ascii="宋体" w:hAnsi="宋体" w:cs="宋体" w:eastAsia="宋体" w:hint="default"/>
                            <w:spacing w:val="-2"/>
                            <w:sz w:val="18"/>
                            <w:szCs w:val="18"/>
                          </w:rPr>
                          <w:t>主要原因是本期薪酬、固定资产折旧等较上期增加、限制</w:t>
                        </w:r>
                      </w:p>
                    </w:tc>
                  </w:tr>
                  <w:tr>
                    <w:trPr>
                      <w:trHeight w:val="643" w:hRule="exact"/>
                    </w:trPr>
                    <w:tc>
                      <w:tcPr>
                        <w:tcW w:w="2885"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58"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142"/>
                          <w:jc w:val="right"/>
                          <w:rPr>
                            <w:rFonts w:ascii="宋体" w:hAnsi="宋体" w:cs="宋体" w:eastAsia="宋体" w:hint="default"/>
                            <w:sz w:val="18"/>
                            <w:szCs w:val="18"/>
                          </w:rPr>
                        </w:pPr>
                        <w:r>
                          <w:rPr>
                            <w:rFonts w:ascii="宋体"/>
                            <w:spacing w:val="-1"/>
                            <w:sz w:val="18"/>
                          </w:rPr>
                          <w:t>22,208,203.43</w:t>
                        </w:r>
                      </w:p>
                    </w:tc>
                    <w:tc>
                      <w:tcPr>
                        <w:tcW w:w="5725" w:type="dxa"/>
                        <w:gridSpan w:val="2"/>
                        <w:tcBorders>
                          <w:top w:val="nil" w:sz="6" w:space="0" w:color="auto"/>
                          <w:left w:val="nil" w:sz="6" w:space="0" w:color="auto"/>
                          <w:bottom w:val="single" w:sz="6" w:space="0" w:color="000000"/>
                          <w:right w:val="nil" w:sz="6" w:space="0" w:color="auto"/>
                        </w:tcBorders>
                      </w:tcPr>
                      <w:p>
                        <w:pPr>
                          <w:pStyle w:val="TableParagraph"/>
                          <w:tabs>
                            <w:tab w:pos="1245" w:val="left" w:leader="none"/>
                          </w:tabs>
                          <w:spacing w:line="316" w:lineRule="auto" w:before="10"/>
                          <w:ind w:left="1245" w:right="3" w:hanging="968"/>
                          <w:jc w:val="left"/>
                          <w:rPr>
                            <w:rFonts w:ascii="宋体" w:hAnsi="宋体" w:cs="宋体" w:eastAsia="宋体" w:hint="default"/>
                            <w:sz w:val="18"/>
                            <w:szCs w:val="18"/>
                          </w:rPr>
                        </w:pPr>
                        <w:r>
                          <w:rPr>
                            <w:rFonts w:ascii="宋体" w:hAnsi="宋体" w:cs="宋体" w:eastAsia="宋体" w:hint="default"/>
                            <w:spacing w:val="-1"/>
                            <w:sz w:val="18"/>
                            <w:szCs w:val="18"/>
                          </w:rPr>
                          <w:t>77.40%</w:t>
                          <w:tab/>
                        </w:r>
                        <w:r>
                          <w:rPr>
                            <w:rFonts w:ascii="宋体" w:hAnsi="宋体" w:cs="宋体" w:eastAsia="宋体" w:hint="default"/>
                            <w:spacing w:val="2"/>
                            <w:sz w:val="18"/>
                            <w:szCs w:val="18"/>
                          </w:rPr>
                          <w:t>性股票成本摊销以及本报告期新增</w:t>
                        </w:r>
                        <w:r>
                          <w:rPr>
                            <w:rFonts w:ascii="宋体" w:hAnsi="宋体" w:cs="宋体" w:eastAsia="宋体" w:hint="default"/>
                            <w:spacing w:val="2"/>
                            <w:sz w:val="18"/>
                            <w:szCs w:val="18"/>
                          </w:rPr>
                          <w:t>2</w:t>
                        </w:r>
                        <w:r>
                          <w:rPr>
                            <w:rFonts w:ascii="宋体" w:hAnsi="宋体" w:cs="宋体" w:eastAsia="宋体" w:hint="default"/>
                            <w:spacing w:val="2"/>
                            <w:sz w:val="18"/>
                            <w:szCs w:val="18"/>
                          </w:rPr>
                          <w:t>家子公司纳入合并报</w:t>
                        </w:r>
                        <w:r>
                          <w:rPr>
                            <w:rFonts w:ascii="宋体" w:hAnsi="宋体" w:cs="宋体" w:eastAsia="宋体" w:hint="default"/>
                            <w:spacing w:val="-87"/>
                            <w:sz w:val="18"/>
                            <w:szCs w:val="18"/>
                          </w:rPr>
                          <w:t> </w:t>
                        </w:r>
                        <w:r>
                          <w:rPr>
                            <w:rFonts w:ascii="宋体" w:hAnsi="宋体" w:cs="宋体" w:eastAsia="宋体" w:hint="default"/>
                            <w:sz w:val="18"/>
                            <w:szCs w:val="18"/>
                          </w:rPr>
                          <w:t>表所致所致。</w:t>
                        </w:r>
                      </w:p>
                    </w:tc>
                  </w:tr>
                  <w:tr>
                    <w:trPr>
                      <w:trHeight w:val="658" w:hRule="exact"/>
                    </w:trPr>
                    <w:tc>
                      <w:tcPr>
                        <w:tcW w:w="2885"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758"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42"/>
                          <w:jc w:val="right"/>
                          <w:rPr>
                            <w:rFonts w:ascii="宋体" w:hAnsi="宋体" w:cs="宋体" w:eastAsia="宋体" w:hint="default"/>
                            <w:sz w:val="18"/>
                            <w:szCs w:val="18"/>
                          </w:rPr>
                        </w:pPr>
                        <w:r>
                          <w:rPr>
                            <w:rFonts w:ascii="宋体"/>
                            <w:spacing w:val="-1"/>
                            <w:sz w:val="18"/>
                          </w:rPr>
                          <w:t>4,036,102.00</w:t>
                        </w:r>
                      </w:p>
                    </w:tc>
                    <w:tc>
                      <w:tcPr>
                        <w:tcW w:w="5725" w:type="dxa"/>
                        <w:gridSpan w:val="2"/>
                        <w:tcBorders>
                          <w:top w:val="single" w:sz="6" w:space="0" w:color="000000"/>
                          <w:left w:val="nil" w:sz="6" w:space="0" w:color="auto"/>
                          <w:bottom w:val="single" w:sz="6" w:space="0" w:color="000000"/>
                          <w:right w:val="nil" w:sz="6" w:space="0" w:color="auto"/>
                        </w:tcBorders>
                      </w:tcPr>
                      <w:p>
                        <w:pPr>
                          <w:pStyle w:val="TableParagraph"/>
                          <w:spacing w:line="196" w:lineRule="exact" w:before="17"/>
                          <w:ind w:left="1245" w:right="0"/>
                          <w:jc w:val="left"/>
                          <w:rPr>
                            <w:rFonts w:ascii="宋体" w:hAnsi="宋体" w:cs="宋体" w:eastAsia="宋体" w:hint="default"/>
                            <w:sz w:val="18"/>
                            <w:szCs w:val="18"/>
                          </w:rPr>
                        </w:pPr>
                        <w:r>
                          <w:rPr>
                            <w:rFonts w:ascii="宋体" w:hAnsi="宋体" w:cs="宋体" w:eastAsia="宋体" w:hint="default"/>
                            <w:spacing w:val="2"/>
                            <w:sz w:val="18"/>
                            <w:szCs w:val="18"/>
                          </w:rPr>
                          <w:t>主要原因是坏账准备计提增加以及本报告期新增</w:t>
                        </w:r>
                        <w:r>
                          <w:rPr>
                            <w:rFonts w:ascii="宋体" w:hAnsi="宋体" w:cs="宋体" w:eastAsia="宋体" w:hint="default"/>
                            <w:spacing w:val="2"/>
                            <w:sz w:val="18"/>
                            <w:szCs w:val="18"/>
                          </w:rPr>
                          <w:t>2</w:t>
                        </w:r>
                        <w:r>
                          <w:rPr>
                            <w:rFonts w:ascii="宋体" w:hAnsi="宋体" w:cs="宋体" w:eastAsia="宋体" w:hint="default"/>
                            <w:spacing w:val="2"/>
                            <w:sz w:val="18"/>
                            <w:szCs w:val="18"/>
                          </w:rPr>
                          <w:t>家子公</w:t>
                        </w:r>
                        <w:r>
                          <w:rPr>
                            <w:rFonts w:ascii="宋体" w:hAnsi="宋体" w:cs="宋体" w:eastAsia="宋体" w:hint="default"/>
                            <w:sz w:val="18"/>
                            <w:szCs w:val="18"/>
                          </w:rPr>
                        </w:r>
                      </w:p>
                      <w:p>
                        <w:pPr>
                          <w:pStyle w:val="TableParagraph"/>
                          <w:spacing w:line="156" w:lineRule="exact"/>
                          <w:ind w:left="277" w:right="0"/>
                          <w:jc w:val="left"/>
                          <w:rPr>
                            <w:rFonts w:ascii="宋体" w:hAnsi="宋体" w:cs="宋体" w:eastAsia="宋体" w:hint="default"/>
                            <w:sz w:val="18"/>
                            <w:szCs w:val="18"/>
                          </w:rPr>
                        </w:pPr>
                        <w:r>
                          <w:rPr>
                            <w:rFonts w:ascii="宋体"/>
                            <w:sz w:val="18"/>
                          </w:rPr>
                          <w:t>64.92%</w:t>
                        </w:r>
                      </w:p>
                      <w:p>
                        <w:pPr>
                          <w:pStyle w:val="TableParagraph"/>
                          <w:spacing w:line="196" w:lineRule="exact"/>
                          <w:ind w:left="1245" w:right="0"/>
                          <w:jc w:val="left"/>
                          <w:rPr>
                            <w:rFonts w:ascii="宋体" w:hAnsi="宋体" w:cs="宋体" w:eastAsia="宋体" w:hint="default"/>
                            <w:sz w:val="18"/>
                            <w:szCs w:val="18"/>
                          </w:rPr>
                        </w:pPr>
                        <w:r>
                          <w:rPr>
                            <w:rFonts w:ascii="宋体" w:hAnsi="宋体" w:cs="宋体" w:eastAsia="宋体" w:hint="default"/>
                            <w:sz w:val="18"/>
                            <w:szCs w:val="18"/>
                          </w:rPr>
                          <w:t>司纳入合并报表所致所致。</w:t>
                        </w:r>
                      </w:p>
                    </w:tc>
                  </w:tr>
                  <w:tr>
                    <w:trPr>
                      <w:trHeight w:val="348" w:hRule="exact"/>
                    </w:trPr>
                    <w:tc>
                      <w:tcPr>
                        <w:tcW w:w="288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5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42"/>
                          <w:jc w:val="right"/>
                          <w:rPr>
                            <w:rFonts w:ascii="宋体" w:hAnsi="宋体" w:cs="宋体" w:eastAsia="宋体" w:hint="default"/>
                            <w:sz w:val="18"/>
                            <w:szCs w:val="18"/>
                          </w:rPr>
                        </w:pPr>
                        <w:r>
                          <w:rPr>
                            <w:rFonts w:ascii="宋体"/>
                            <w:spacing w:val="-1"/>
                            <w:sz w:val="18"/>
                          </w:rPr>
                          <w:t>6,507,718.58</w:t>
                        </w:r>
                      </w:p>
                    </w:tc>
                    <w:tc>
                      <w:tcPr>
                        <w:tcW w:w="5725" w:type="dxa"/>
                        <w:gridSpan w:val="2"/>
                        <w:tcBorders>
                          <w:top w:val="single" w:sz="6" w:space="0" w:color="000000"/>
                          <w:left w:val="nil" w:sz="6" w:space="0" w:color="auto"/>
                          <w:bottom w:val="single" w:sz="6" w:space="0" w:color="000000"/>
                          <w:right w:val="nil" w:sz="6" w:space="0" w:color="auto"/>
                        </w:tcBorders>
                      </w:tcPr>
                      <w:p>
                        <w:pPr>
                          <w:pStyle w:val="TableParagraph"/>
                          <w:tabs>
                            <w:tab w:pos="1245" w:val="left" w:leader="none"/>
                          </w:tabs>
                          <w:spacing w:line="240" w:lineRule="auto" w:before="20"/>
                          <w:ind w:left="232" w:right="0"/>
                          <w:jc w:val="left"/>
                          <w:rPr>
                            <w:rFonts w:ascii="宋体" w:hAnsi="宋体" w:cs="宋体" w:eastAsia="宋体" w:hint="default"/>
                            <w:sz w:val="18"/>
                            <w:szCs w:val="18"/>
                          </w:rPr>
                        </w:pPr>
                        <w:r>
                          <w:rPr>
                            <w:rFonts w:ascii="宋体" w:hAnsi="宋体" w:cs="宋体" w:eastAsia="宋体" w:hint="default"/>
                            <w:sz w:val="18"/>
                            <w:szCs w:val="18"/>
                          </w:rPr>
                          <w:t>261.78%</w:t>
                          <w:tab/>
                        </w:r>
                        <w:r>
                          <w:rPr>
                            <w:rFonts w:ascii="宋体" w:hAnsi="宋体" w:cs="宋体" w:eastAsia="宋体" w:hint="default"/>
                            <w:sz w:val="18"/>
                            <w:szCs w:val="18"/>
                          </w:rPr>
                          <w:t>主要原因是本期政府补助增加所致。</w:t>
                        </w:r>
                      </w:p>
                    </w:tc>
                  </w:tr>
                  <w:tr>
                    <w:trPr>
                      <w:trHeight w:val="658" w:hRule="exact"/>
                    </w:trPr>
                    <w:tc>
                      <w:tcPr>
                        <w:tcW w:w="2885"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758"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42"/>
                          <w:jc w:val="right"/>
                          <w:rPr>
                            <w:rFonts w:ascii="宋体" w:hAnsi="宋体" w:cs="宋体" w:eastAsia="宋体" w:hint="default"/>
                            <w:sz w:val="18"/>
                            <w:szCs w:val="18"/>
                          </w:rPr>
                        </w:pPr>
                        <w:r>
                          <w:rPr>
                            <w:rFonts w:ascii="宋体"/>
                            <w:spacing w:val="-1"/>
                            <w:sz w:val="18"/>
                          </w:rPr>
                          <w:t>-1,623,775.78</w:t>
                        </w:r>
                      </w:p>
                    </w:tc>
                    <w:tc>
                      <w:tcPr>
                        <w:tcW w:w="5725" w:type="dxa"/>
                        <w:gridSpan w:val="2"/>
                        <w:tcBorders>
                          <w:top w:val="single" w:sz="6" w:space="0" w:color="000000"/>
                          <w:left w:val="nil" w:sz="6" w:space="0" w:color="auto"/>
                          <w:bottom w:val="single" w:sz="6" w:space="0" w:color="000000"/>
                          <w:right w:val="nil" w:sz="6" w:space="0" w:color="auto"/>
                        </w:tcBorders>
                      </w:tcPr>
                      <w:p>
                        <w:pPr>
                          <w:pStyle w:val="TableParagraph"/>
                          <w:spacing w:line="196" w:lineRule="exact" w:before="17"/>
                          <w:ind w:left="1245" w:right="0"/>
                          <w:jc w:val="left"/>
                          <w:rPr>
                            <w:rFonts w:ascii="宋体" w:hAnsi="宋体" w:cs="宋体" w:eastAsia="宋体" w:hint="default"/>
                            <w:sz w:val="18"/>
                            <w:szCs w:val="18"/>
                          </w:rPr>
                        </w:pPr>
                        <w:r>
                          <w:rPr>
                            <w:rFonts w:ascii="宋体" w:hAnsi="宋体" w:cs="宋体" w:eastAsia="宋体" w:hint="default"/>
                            <w:spacing w:val="5"/>
                            <w:sz w:val="18"/>
                            <w:szCs w:val="18"/>
                          </w:rPr>
                          <w:t>主要原因是上期对外公益性捐赠</w:t>
                        </w:r>
                        <w:r>
                          <w:rPr>
                            <w:rFonts w:ascii="宋体" w:hAnsi="宋体" w:cs="宋体" w:eastAsia="宋体" w:hint="default"/>
                            <w:spacing w:val="5"/>
                            <w:sz w:val="18"/>
                            <w:szCs w:val="18"/>
                          </w:rPr>
                          <w:t>70</w:t>
                        </w:r>
                        <w:r>
                          <w:rPr>
                            <w:rFonts w:ascii="宋体" w:hAnsi="宋体" w:cs="宋体" w:eastAsia="宋体" w:hint="default"/>
                            <w:spacing w:val="5"/>
                            <w:sz w:val="18"/>
                            <w:szCs w:val="18"/>
                          </w:rPr>
                          <w:t>万元及员工补偿费用</w:t>
                        </w:r>
                      </w:p>
                      <w:p>
                        <w:pPr>
                          <w:pStyle w:val="TableParagraph"/>
                          <w:spacing w:line="156" w:lineRule="exact"/>
                          <w:ind w:left="232" w:right="0"/>
                          <w:jc w:val="left"/>
                          <w:rPr>
                            <w:rFonts w:ascii="宋体" w:hAnsi="宋体" w:cs="宋体" w:eastAsia="宋体" w:hint="default"/>
                            <w:sz w:val="18"/>
                            <w:szCs w:val="18"/>
                          </w:rPr>
                        </w:pPr>
                        <w:r>
                          <w:rPr>
                            <w:rFonts w:ascii="宋体"/>
                            <w:sz w:val="18"/>
                          </w:rPr>
                          <w:t>-99.59%</w:t>
                        </w:r>
                      </w:p>
                      <w:p>
                        <w:pPr>
                          <w:pStyle w:val="TableParagraph"/>
                          <w:spacing w:line="196" w:lineRule="exact"/>
                          <w:ind w:left="1245" w:right="0"/>
                          <w:jc w:val="left"/>
                          <w:rPr>
                            <w:rFonts w:ascii="宋体" w:hAnsi="宋体" w:cs="宋体" w:eastAsia="宋体" w:hint="default"/>
                            <w:sz w:val="18"/>
                            <w:szCs w:val="18"/>
                          </w:rPr>
                        </w:pPr>
                        <w:r>
                          <w:rPr>
                            <w:rFonts w:ascii="宋体" w:hAnsi="宋体" w:cs="宋体" w:eastAsia="宋体" w:hint="default"/>
                            <w:sz w:val="18"/>
                            <w:szCs w:val="18"/>
                          </w:rPr>
                          <w:t>86</w:t>
                        </w:r>
                        <w:r>
                          <w:rPr>
                            <w:rFonts w:ascii="宋体" w:hAnsi="宋体" w:cs="宋体" w:eastAsia="宋体" w:hint="default"/>
                            <w:sz w:val="18"/>
                            <w:szCs w:val="18"/>
                          </w:rPr>
                          <w:t>万元所致。</w:t>
                        </w:r>
                      </w:p>
                    </w:tc>
                  </w:tr>
                  <w:tr>
                    <w:trPr>
                      <w:trHeight w:val="420" w:hRule="exact"/>
                    </w:trPr>
                    <w:tc>
                      <w:tcPr>
                        <w:tcW w:w="2885"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758"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2"/>
                          <w:jc w:val="right"/>
                          <w:rPr>
                            <w:rFonts w:ascii="宋体" w:hAnsi="宋体" w:cs="宋体" w:eastAsia="宋体" w:hint="default"/>
                            <w:sz w:val="18"/>
                            <w:szCs w:val="18"/>
                          </w:rPr>
                        </w:pPr>
                        <w:r>
                          <w:rPr>
                            <w:rFonts w:ascii="宋体"/>
                            <w:spacing w:val="-1"/>
                            <w:sz w:val="18"/>
                          </w:rPr>
                          <w:t>14,762,313.79</w:t>
                        </w:r>
                      </w:p>
                    </w:tc>
                    <w:tc>
                      <w:tcPr>
                        <w:tcW w:w="5725" w:type="dxa"/>
                        <w:gridSpan w:val="2"/>
                        <w:tcBorders>
                          <w:top w:val="single" w:sz="6" w:space="0" w:color="000000"/>
                          <w:left w:val="nil" w:sz="6" w:space="0" w:color="auto"/>
                          <w:bottom w:val="nil" w:sz="6" w:space="0" w:color="auto"/>
                          <w:right w:val="nil" w:sz="6" w:space="0" w:color="auto"/>
                        </w:tcBorders>
                      </w:tcPr>
                      <w:p>
                        <w:pPr>
                          <w:pStyle w:val="TableParagraph"/>
                          <w:spacing w:line="196" w:lineRule="exact" w:before="20"/>
                          <w:ind w:left="1245" w:right="0"/>
                          <w:jc w:val="left"/>
                          <w:rPr>
                            <w:rFonts w:ascii="宋体" w:hAnsi="宋体" w:cs="宋体" w:eastAsia="宋体" w:hint="default"/>
                            <w:sz w:val="18"/>
                            <w:szCs w:val="18"/>
                          </w:rPr>
                        </w:pPr>
                        <w:r>
                          <w:rPr>
                            <w:rFonts w:ascii="宋体" w:hAnsi="宋体" w:cs="宋体" w:eastAsia="宋体" w:hint="default"/>
                            <w:spacing w:val="2"/>
                            <w:sz w:val="18"/>
                            <w:szCs w:val="18"/>
                          </w:rPr>
                          <w:t>主要原因是公司本期利润增长以及本报告期新增</w:t>
                        </w:r>
                        <w:r>
                          <w:rPr>
                            <w:rFonts w:ascii="宋体" w:hAnsi="宋体" w:cs="宋体" w:eastAsia="宋体" w:hint="default"/>
                            <w:spacing w:val="2"/>
                            <w:sz w:val="18"/>
                            <w:szCs w:val="18"/>
                          </w:rPr>
                          <w:t>2</w:t>
                        </w:r>
                        <w:r>
                          <w:rPr>
                            <w:rFonts w:ascii="宋体" w:hAnsi="宋体" w:cs="宋体" w:eastAsia="宋体" w:hint="default"/>
                            <w:spacing w:val="2"/>
                            <w:sz w:val="18"/>
                            <w:szCs w:val="18"/>
                          </w:rPr>
                          <w:t>家子公</w:t>
                        </w:r>
                        <w:r>
                          <w:rPr>
                            <w:rFonts w:ascii="宋体" w:hAnsi="宋体" w:cs="宋体" w:eastAsia="宋体" w:hint="default"/>
                            <w:sz w:val="18"/>
                            <w:szCs w:val="18"/>
                          </w:rPr>
                        </w:r>
                      </w:p>
                      <w:p>
                        <w:pPr>
                          <w:pStyle w:val="TableParagraph"/>
                          <w:spacing w:line="196" w:lineRule="exact"/>
                          <w:ind w:left="232" w:right="0"/>
                          <w:jc w:val="left"/>
                          <w:rPr>
                            <w:rFonts w:ascii="宋体" w:hAnsi="宋体" w:cs="宋体" w:eastAsia="宋体" w:hint="default"/>
                            <w:sz w:val="18"/>
                            <w:szCs w:val="18"/>
                          </w:rPr>
                        </w:pPr>
                        <w:r>
                          <w:rPr>
                            <w:rFonts w:ascii="宋体"/>
                            <w:sz w:val="18"/>
                          </w:rPr>
                          <w:t>199.75%</w:t>
                        </w:r>
                      </w:p>
                    </w:tc>
                  </w:tr>
                  <w:tr>
                    <w:trPr>
                      <w:trHeight w:val="568" w:hRule="exact"/>
                    </w:trPr>
                    <w:tc>
                      <w:tcPr>
                        <w:tcW w:w="2885"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
                    </w:tc>
                    <w:tc>
                      <w:tcPr>
                        <w:tcW w:w="4693" w:type="dxa"/>
                        <w:tcBorders>
                          <w:top w:val="nil" w:sz="6" w:space="0" w:color="auto"/>
                          <w:left w:val="nil" w:sz="6" w:space="0" w:color="auto"/>
                          <w:bottom w:val="nil" w:sz="6" w:space="0" w:color="auto"/>
                          <w:right w:val="nil" w:sz="6" w:space="0" w:color="auto"/>
                        </w:tcBorders>
                      </w:tcPr>
                      <w:p>
                        <w:pPr>
                          <w:pStyle w:val="TableParagraph"/>
                          <w:spacing w:line="156" w:lineRule="exact"/>
                          <w:ind w:left="213" w:right="0"/>
                          <w:jc w:val="left"/>
                          <w:rPr>
                            <w:rFonts w:ascii="宋体" w:hAnsi="宋体" w:cs="宋体" w:eastAsia="宋体" w:hint="default"/>
                            <w:sz w:val="18"/>
                            <w:szCs w:val="18"/>
                          </w:rPr>
                        </w:pPr>
                        <w:r>
                          <w:rPr>
                            <w:rFonts w:ascii="宋体" w:hAnsi="宋体" w:cs="宋体" w:eastAsia="宋体" w:hint="default"/>
                            <w:sz w:val="18"/>
                            <w:szCs w:val="18"/>
                          </w:rPr>
                          <w:t>司纳入合并报表所致。</w:t>
                        </w:r>
                      </w:p>
                      <w:p>
                        <w:pPr>
                          <w:pStyle w:val="TableParagraph"/>
                          <w:spacing w:line="240" w:lineRule="auto" w:before="110"/>
                          <w:ind w:left="213" w:right="0"/>
                          <w:jc w:val="left"/>
                          <w:rPr>
                            <w:rFonts w:ascii="宋体" w:hAnsi="宋体" w:cs="宋体" w:eastAsia="宋体" w:hint="default"/>
                            <w:sz w:val="18"/>
                            <w:szCs w:val="18"/>
                          </w:rPr>
                        </w:pPr>
                        <w:r>
                          <w:rPr>
                            <w:rFonts w:ascii="宋体" w:hAnsi="宋体" w:cs="宋体" w:eastAsia="宋体" w:hint="default"/>
                            <w:spacing w:val="-2"/>
                            <w:sz w:val="18"/>
                            <w:szCs w:val="18"/>
                          </w:rPr>
                          <w:t>主要原因是本期营业收入规模比去年同期增长、子公司物</w:t>
                        </w:r>
                      </w:p>
                    </w:tc>
                  </w:tr>
                  <w:tr>
                    <w:trPr>
                      <w:trHeight w:val="645" w:hRule="exact"/>
                    </w:trPr>
                    <w:tc>
                      <w:tcPr>
                        <w:tcW w:w="2885"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758"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142"/>
                          <w:jc w:val="right"/>
                          <w:rPr>
                            <w:rFonts w:ascii="宋体" w:hAnsi="宋体" w:cs="宋体" w:eastAsia="宋体" w:hint="default"/>
                            <w:sz w:val="18"/>
                            <w:szCs w:val="18"/>
                          </w:rPr>
                        </w:pPr>
                        <w:r>
                          <w:rPr>
                            <w:rFonts w:ascii="宋体"/>
                            <w:spacing w:val="-1"/>
                            <w:sz w:val="18"/>
                          </w:rPr>
                          <w:t>169,157,202.87</w:t>
                        </w:r>
                      </w:p>
                    </w:tc>
                    <w:tc>
                      <w:tcPr>
                        <w:tcW w:w="5725" w:type="dxa"/>
                        <w:gridSpan w:val="2"/>
                        <w:tcBorders>
                          <w:top w:val="nil" w:sz="6" w:space="0" w:color="auto"/>
                          <w:left w:val="nil" w:sz="6" w:space="0" w:color="auto"/>
                          <w:bottom w:val="single" w:sz="6" w:space="0" w:color="000000"/>
                          <w:right w:val="nil" w:sz="6" w:space="0" w:color="auto"/>
                        </w:tcBorders>
                      </w:tcPr>
                      <w:p>
                        <w:pPr>
                          <w:pStyle w:val="TableParagraph"/>
                          <w:tabs>
                            <w:tab w:pos="1245" w:val="left" w:leader="none"/>
                          </w:tabs>
                          <w:spacing w:line="316" w:lineRule="auto" w:before="10"/>
                          <w:ind w:left="1245" w:right="3" w:hanging="968"/>
                          <w:jc w:val="left"/>
                          <w:rPr>
                            <w:rFonts w:ascii="宋体" w:hAnsi="宋体" w:cs="宋体" w:eastAsia="宋体" w:hint="default"/>
                            <w:sz w:val="18"/>
                            <w:szCs w:val="18"/>
                          </w:rPr>
                        </w:pPr>
                        <w:r>
                          <w:rPr>
                            <w:rFonts w:ascii="宋体" w:hAnsi="宋体" w:cs="宋体" w:eastAsia="宋体" w:hint="default"/>
                            <w:spacing w:val="-1"/>
                            <w:sz w:val="18"/>
                            <w:szCs w:val="18"/>
                          </w:rPr>
                          <w:t>35.19%</w:t>
                          <w:tab/>
                        </w:r>
                        <w:r>
                          <w:rPr>
                            <w:rFonts w:ascii="宋体" w:hAnsi="宋体" w:cs="宋体" w:eastAsia="宋体" w:hint="default"/>
                            <w:spacing w:val="2"/>
                            <w:sz w:val="18"/>
                            <w:szCs w:val="18"/>
                          </w:rPr>
                          <w:t>业收取租金以及本报告期新增</w:t>
                        </w:r>
                        <w:r>
                          <w:rPr>
                            <w:rFonts w:ascii="宋体" w:hAnsi="宋体" w:cs="宋体" w:eastAsia="宋体" w:hint="default"/>
                            <w:spacing w:val="2"/>
                            <w:sz w:val="18"/>
                            <w:szCs w:val="18"/>
                          </w:rPr>
                          <w:t>2</w:t>
                        </w:r>
                        <w:r>
                          <w:rPr>
                            <w:rFonts w:ascii="宋体" w:hAnsi="宋体" w:cs="宋体" w:eastAsia="宋体" w:hint="default"/>
                            <w:spacing w:val="2"/>
                            <w:sz w:val="18"/>
                            <w:szCs w:val="18"/>
                          </w:rPr>
                          <w:t>家子公司纳入合并报表所</w:t>
                        </w:r>
                        <w:r>
                          <w:rPr>
                            <w:rFonts w:ascii="宋体" w:hAnsi="宋体" w:cs="宋体" w:eastAsia="宋体" w:hint="default"/>
                            <w:spacing w:val="-87"/>
                            <w:sz w:val="18"/>
                            <w:szCs w:val="18"/>
                          </w:rPr>
                          <w:t> </w:t>
                        </w:r>
                        <w:r>
                          <w:rPr>
                            <w:rFonts w:ascii="宋体" w:hAnsi="宋体" w:cs="宋体" w:eastAsia="宋体" w:hint="default"/>
                            <w:sz w:val="18"/>
                            <w:szCs w:val="18"/>
                          </w:rPr>
                          <w:t>致。</w:t>
                        </w:r>
                      </w:p>
                    </w:tc>
                  </w:tr>
                  <w:tr>
                    <w:trPr>
                      <w:trHeight w:val="658" w:hRule="exact"/>
                    </w:trPr>
                    <w:tc>
                      <w:tcPr>
                        <w:tcW w:w="2885"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758"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42"/>
                          <w:jc w:val="right"/>
                          <w:rPr>
                            <w:rFonts w:ascii="宋体" w:hAnsi="宋体" w:cs="宋体" w:eastAsia="宋体" w:hint="default"/>
                            <w:sz w:val="18"/>
                            <w:szCs w:val="18"/>
                          </w:rPr>
                        </w:pPr>
                        <w:r>
                          <w:rPr>
                            <w:rFonts w:ascii="宋体"/>
                            <w:spacing w:val="-1"/>
                            <w:sz w:val="18"/>
                          </w:rPr>
                          <w:t>2,425,522.83</w:t>
                        </w:r>
                      </w:p>
                    </w:tc>
                    <w:tc>
                      <w:tcPr>
                        <w:tcW w:w="5725" w:type="dxa"/>
                        <w:gridSpan w:val="2"/>
                        <w:tcBorders>
                          <w:top w:val="single" w:sz="6" w:space="0" w:color="000000"/>
                          <w:left w:val="nil" w:sz="6" w:space="0" w:color="auto"/>
                          <w:bottom w:val="single" w:sz="6" w:space="0" w:color="000000"/>
                          <w:right w:val="nil" w:sz="6" w:space="0" w:color="auto"/>
                        </w:tcBorders>
                      </w:tcPr>
                      <w:p>
                        <w:pPr>
                          <w:pStyle w:val="TableParagraph"/>
                          <w:spacing w:line="196" w:lineRule="exact" w:before="17"/>
                          <w:ind w:left="1245" w:right="0"/>
                          <w:jc w:val="left"/>
                          <w:rPr>
                            <w:rFonts w:ascii="宋体" w:hAnsi="宋体" w:cs="宋体" w:eastAsia="宋体" w:hint="default"/>
                            <w:sz w:val="18"/>
                            <w:szCs w:val="18"/>
                          </w:rPr>
                        </w:pPr>
                        <w:r>
                          <w:rPr>
                            <w:rFonts w:ascii="宋体" w:hAnsi="宋体" w:cs="宋体" w:eastAsia="宋体" w:hint="default"/>
                            <w:spacing w:val="6"/>
                            <w:sz w:val="18"/>
                            <w:szCs w:val="18"/>
                          </w:rPr>
                          <w:t>主要原因是本报告期子公司达实联欣收到政府财政专项</w:t>
                        </w:r>
                      </w:p>
                      <w:p>
                        <w:pPr>
                          <w:pStyle w:val="TableParagraph"/>
                          <w:spacing w:line="156" w:lineRule="exact"/>
                          <w:ind w:left="143" w:right="0"/>
                          <w:jc w:val="left"/>
                          <w:rPr>
                            <w:rFonts w:ascii="宋体" w:hAnsi="宋体" w:cs="宋体" w:eastAsia="宋体" w:hint="default"/>
                            <w:sz w:val="18"/>
                            <w:szCs w:val="18"/>
                          </w:rPr>
                        </w:pPr>
                        <w:r>
                          <w:rPr>
                            <w:rFonts w:ascii="宋体"/>
                            <w:sz w:val="18"/>
                          </w:rPr>
                          <w:t>5,484.68%</w:t>
                        </w:r>
                      </w:p>
                      <w:p>
                        <w:pPr>
                          <w:pStyle w:val="TableParagraph"/>
                          <w:spacing w:line="196" w:lineRule="exact"/>
                          <w:ind w:left="1245" w:right="0"/>
                          <w:jc w:val="left"/>
                          <w:rPr>
                            <w:rFonts w:ascii="宋体" w:hAnsi="宋体" w:cs="宋体" w:eastAsia="宋体" w:hint="default"/>
                            <w:sz w:val="18"/>
                            <w:szCs w:val="18"/>
                          </w:rPr>
                        </w:pPr>
                        <w:r>
                          <w:rPr>
                            <w:rFonts w:ascii="宋体" w:hAnsi="宋体" w:cs="宋体" w:eastAsia="宋体" w:hint="default"/>
                            <w:sz w:val="18"/>
                            <w:szCs w:val="18"/>
                          </w:rPr>
                          <w:t>扶持资金所致。</w:t>
                        </w:r>
                      </w:p>
                    </w:tc>
                  </w:tr>
                  <w:tr>
                    <w:trPr>
                      <w:trHeight w:val="419" w:hRule="exact"/>
                    </w:trPr>
                    <w:tc>
                      <w:tcPr>
                        <w:tcW w:w="2885"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758"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42"/>
                          <w:jc w:val="right"/>
                          <w:rPr>
                            <w:rFonts w:ascii="宋体" w:hAnsi="宋体" w:cs="宋体" w:eastAsia="宋体" w:hint="default"/>
                            <w:sz w:val="18"/>
                            <w:szCs w:val="18"/>
                          </w:rPr>
                        </w:pPr>
                        <w:r>
                          <w:rPr>
                            <w:rFonts w:ascii="宋体"/>
                            <w:spacing w:val="-1"/>
                            <w:sz w:val="18"/>
                          </w:rPr>
                          <w:t>15,940,279.04</w:t>
                        </w:r>
                      </w:p>
                    </w:tc>
                    <w:tc>
                      <w:tcPr>
                        <w:tcW w:w="5725" w:type="dxa"/>
                        <w:gridSpan w:val="2"/>
                        <w:tcBorders>
                          <w:top w:val="single" w:sz="6" w:space="0" w:color="000000"/>
                          <w:left w:val="nil" w:sz="6" w:space="0" w:color="auto"/>
                          <w:bottom w:val="nil" w:sz="6" w:space="0" w:color="auto"/>
                          <w:right w:val="nil" w:sz="6" w:space="0" w:color="auto"/>
                        </w:tcBorders>
                      </w:tcPr>
                      <w:p>
                        <w:pPr>
                          <w:pStyle w:val="TableParagraph"/>
                          <w:spacing w:line="196" w:lineRule="exact" w:before="20"/>
                          <w:ind w:left="1245" w:right="0"/>
                          <w:jc w:val="left"/>
                          <w:rPr>
                            <w:rFonts w:ascii="宋体" w:hAnsi="宋体" w:cs="宋体" w:eastAsia="宋体" w:hint="default"/>
                            <w:sz w:val="18"/>
                            <w:szCs w:val="18"/>
                          </w:rPr>
                        </w:pPr>
                        <w:r>
                          <w:rPr>
                            <w:rFonts w:ascii="宋体" w:hAnsi="宋体" w:cs="宋体" w:eastAsia="宋体" w:hint="default"/>
                            <w:spacing w:val="6"/>
                            <w:sz w:val="18"/>
                            <w:szCs w:val="18"/>
                          </w:rPr>
                          <w:t>主要原因是本报告期公司应纳税所得额增长导致当期所</w:t>
                        </w:r>
                      </w:p>
                      <w:p>
                        <w:pPr>
                          <w:pStyle w:val="TableParagraph"/>
                          <w:spacing w:line="196" w:lineRule="exact"/>
                          <w:ind w:left="277" w:right="0"/>
                          <w:jc w:val="left"/>
                          <w:rPr>
                            <w:rFonts w:ascii="宋体" w:hAnsi="宋体" w:cs="宋体" w:eastAsia="宋体" w:hint="default"/>
                            <w:sz w:val="18"/>
                            <w:szCs w:val="18"/>
                          </w:rPr>
                        </w:pPr>
                        <w:r>
                          <w:rPr>
                            <w:rFonts w:ascii="宋体"/>
                            <w:sz w:val="18"/>
                          </w:rPr>
                          <w:t>58.89%</w:t>
                        </w:r>
                      </w:p>
                    </w:tc>
                  </w:tr>
                </w:tbl>
                <w:p>
                  <w:pPr/>
                </w:p>
              </w:txbxContent>
            </v:textbox>
            <w10:wrap type="none"/>
          </v:shape>
        </w:pict>
      </w:r>
      <w:r>
        <w:rPr>
          <w:rFonts w:ascii="宋体" w:hAnsi="宋体" w:cs="宋体" w:eastAsia="宋体" w:hint="default"/>
          <w:sz w:val="18"/>
          <w:szCs w:val="18"/>
        </w:rPr>
        <w:t>营业收入</w:t>
        <w:tab/>
      </w:r>
      <w:r>
        <w:rPr>
          <w:rFonts w:ascii="宋体" w:hAnsi="宋体" w:cs="宋体" w:eastAsia="宋体" w:hint="default"/>
          <w:spacing w:val="-1"/>
          <w:sz w:val="18"/>
          <w:szCs w:val="18"/>
        </w:rPr>
        <w:t>293,510,222.87</w:t>
        <w:tab/>
        <w:t>55.32%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line="20" w:lineRule="exact"/>
        <w:ind w:left="145" w:right="0" w:firstLine="0"/>
        <w:rPr>
          <w:rFonts w:ascii="宋体" w:hAnsi="宋体" w:cs="宋体" w:eastAsia="宋体" w:hint="default"/>
          <w:sz w:val="2"/>
          <w:szCs w:val="2"/>
        </w:rPr>
      </w:pPr>
      <w:r>
        <w:rPr>
          <w:rFonts w:ascii="宋体" w:hAnsi="宋体" w:cs="宋体" w:eastAsia="宋体" w:hint="default"/>
          <w:sz w:val="2"/>
          <w:szCs w:val="2"/>
        </w:rPr>
        <w:pict>
          <v:group style="width:519.15pt;height:.75pt;mso-position-horizontal-relative:char;mso-position-vertical-relative:line" coordorigin="0,0" coordsize="10383,15">
            <v:group style="position:absolute;left:7;top:7;width:2836;height:2" coordorigin="7,7" coordsize="2836,2">
              <v:shape style="position:absolute;left:7;top:7;width:2836;height:2" coordorigin="7,7" coordsize="2836,0" path="m7,7l2843,7e" filled="false" stroked="true" strokeweight=".72pt" strokecolor="#000000">
                <v:path arrowok="t"/>
              </v:shape>
            </v:group>
            <v:group style="position:absolute;left:2843;top:7;width:15;height:2" coordorigin="2843,7" coordsize="15,2">
              <v:shape style="position:absolute;left:2843;top:7;width:15;height:2" coordorigin="2843,7" coordsize="15,0" path="m2843,7l2857,7e" filled="false" stroked="true" strokeweight=".72pt" strokecolor="#000000">
                <v:path arrowok="t"/>
              </v:shape>
            </v:group>
            <v:group style="position:absolute;left:2857;top:7;width:1659;height:2" coordorigin="2857,7" coordsize="1659,2">
              <v:shape style="position:absolute;left:2857;top:7;width:1659;height:2" coordorigin="2857,7" coordsize="1659,0" path="m2857,7l4515,7e" filled="false" stroked="true" strokeweight=".72pt" strokecolor="#000000">
                <v:path arrowok="t"/>
              </v:shape>
            </v:group>
            <v:group style="position:absolute;left:4515;top:7;width:15;height:2" coordorigin="4515,7" coordsize="15,2">
              <v:shape style="position:absolute;left:4515;top:7;width:15;height:2" coordorigin="4515,7" coordsize="15,0" path="m4515,7l4530,7e" filled="false" stroked="true" strokeweight=".72pt" strokecolor="#000000">
                <v:path arrowok="t"/>
              </v:shape>
            </v:group>
            <v:group style="position:absolute;left:4530;top:7;width:1355;height:2" coordorigin="4530,7" coordsize="1355,2">
              <v:shape style="position:absolute;left:4530;top:7;width:1355;height:2" coordorigin="4530,7" coordsize="1355,0" path="m4530,7l5884,7e" filled="false" stroked="true" strokeweight=".72pt" strokecolor="#000000">
                <v:path arrowok="t"/>
              </v:shape>
            </v:group>
            <v:group style="position:absolute;left:5884;top:7;width:15;height:2" coordorigin="5884,7" coordsize="15,2">
              <v:shape style="position:absolute;left:5884;top:7;width:15;height:2" coordorigin="5884,7" coordsize="15,0" path="m5884,7l5898,7e" filled="false" stroked="true" strokeweight=".72pt" strokecolor="#000000">
                <v:path arrowok="t"/>
              </v:shape>
            </v:group>
            <v:group style="position:absolute;left:5898;top:7;width:4477;height:2" coordorigin="5898,7" coordsize="4477,2">
              <v:shape style="position:absolute;left:5898;top:7;width:4477;height:2" coordorigin="5898,7" coordsize="4477,0" path="m5898,7l1037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p>
      <w:pPr>
        <w:spacing w:line="20" w:lineRule="exact"/>
        <w:ind w:left="145" w:right="0" w:firstLine="0"/>
        <w:rPr>
          <w:rFonts w:ascii="宋体" w:hAnsi="宋体" w:cs="宋体" w:eastAsia="宋体" w:hint="default"/>
          <w:sz w:val="2"/>
          <w:szCs w:val="2"/>
        </w:rPr>
      </w:pPr>
      <w:r>
        <w:rPr>
          <w:rFonts w:ascii="宋体" w:hAnsi="宋体" w:cs="宋体" w:eastAsia="宋体" w:hint="default"/>
          <w:sz w:val="2"/>
          <w:szCs w:val="2"/>
        </w:rPr>
        <w:pict>
          <v:group style="width:519.15pt;height:.75pt;mso-position-horizontal-relative:char;mso-position-vertical-relative:line" coordorigin="0,0" coordsize="10383,15">
            <v:group style="position:absolute;left:7;top:7;width:2836;height:2" coordorigin="7,7" coordsize="2836,2">
              <v:shape style="position:absolute;left:7;top:7;width:2836;height:2" coordorigin="7,7" coordsize="2836,0" path="m7,7l2843,7e" filled="false" stroked="true" strokeweight=".72pt" strokecolor="#000000">
                <v:path arrowok="t"/>
              </v:shape>
            </v:group>
            <v:group style="position:absolute;left:2843;top:7;width:15;height:2" coordorigin="2843,7" coordsize="15,2">
              <v:shape style="position:absolute;left:2843;top:7;width:15;height:2" coordorigin="2843,7" coordsize="15,0" path="m2843,7l2857,7e" filled="false" stroked="true" strokeweight=".72pt" strokecolor="#000000">
                <v:path arrowok="t"/>
              </v:shape>
            </v:group>
            <v:group style="position:absolute;left:2857;top:7;width:1659;height:2" coordorigin="2857,7" coordsize="1659,2">
              <v:shape style="position:absolute;left:2857;top:7;width:1659;height:2" coordorigin="2857,7" coordsize="1659,0" path="m2857,7l4515,7e" filled="false" stroked="true" strokeweight=".72pt" strokecolor="#000000">
                <v:path arrowok="t"/>
              </v:shape>
            </v:group>
            <v:group style="position:absolute;left:4515;top:7;width:15;height:2" coordorigin="4515,7" coordsize="15,2">
              <v:shape style="position:absolute;left:4515;top:7;width:15;height:2" coordorigin="4515,7" coordsize="15,0" path="m4515,7l4530,7e" filled="false" stroked="true" strokeweight=".72pt" strokecolor="#000000">
                <v:path arrowok="t"/>
              </v:shape>
            </v:group>
            <v:group style="position:absolute;left:4530;top:7;width:1355;height:2" coordorigin="4530,7" coordsize="1355,2">
              <v:shape style="position:absolute;left:4530;top:7;width:1355;height:2" coordorigin="4530,7" coordsize="1355,0" path="m4530,7l5884,7e" filled="false" stroked="true" strokeweight=".72pt" strokecolor="#000000">
                <v:path arrowok="t"/>
              </v:shape>
            </v:group>
            <v:group style="position:absolute;left:5884;top:7;width:15;height:2" coordorigin="5884,7" coordsize="15,2">
              <v:shape style="position:absolute;left:5884;top:7;width:15;height:2" coordorigin="5884,7" coordsize="15,0" path="m5884,7l5898,7e" filled="false" stroked="true" strokeweight=".72pt" strokecolor="#000000">
                <v:path arrowok="t"/>
              </v:shape>
            </v:group>
            <v:group style="position:absolute;left:5898;top:7;width:4477;height:2" coordorigin="5898,7" coordsize="4477,2">
              <v:shape style="position:absolute;left:5898;top:7;width:4477;height:2" coordorigin="5898,7" coordsize="4477,0" path="m5898,7l1037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44"/>
        <w:ind w:left="6041" w:right="0" w:firstLine="0"/>
        <w:jc w:val="left"/>
        <w:rPr>
          <w:rFonts w:ascii="宋体" w:hAnsi="宋体" w:cs="宋体" w:eastAsia="宋体" w:hint="default"/>
          <w:sz w:val="18"/>
          <w:szCs w:val="18"/>
        </w:rPr>
      </w:pPr>
      <w:r>
        <w:rPr>
          <w:rFonts w:ascii="宋体" w:hAnsi="宋体" w:cs="宋体" w:eastAsia="宋体" w:hint="default"/>
          <w:sz w:val="18"/>
          <w:szCs w:val="18"/>
        </w:rPr>
        <w:t>得税费用增加以及新增</w:t>
      </w:r>
      <w:r>
        <w:rPr>
          <w:rFonts w:ascii="宋体" w:hAnsi="宋体" w:cs="宋体" w:eastAsia="宋体" w:hint="default"/>
          <w:sz w:val="18"/>
          <w:szCs w:val="18"/>
        </w:rPr>
        <w:t>2</w:t>
      </w:r>
      <w:r>
        <w:rPr>
          <w:rFonts w:ascii="宋体" w:hAnsi="宋体" w:cs="宋体" w:eastAsia="宋体" w:hint="default"/>
          <w:sz w:val="18"/>
          <w:szCs w:val="18"/>
        </w:rPr>
        <w:t>家子公司纳入合并报表所致。</w:t>
      </w:r>
    </w:p>
    <w:p>
      <w:pPr>
        <w:spacing w:after="0"/>
        <w:jc w:val="left"/>
        <w:rPr>
          <w:rFonts w:ascii="宋体" w:hAnsi="宋体" w:cs="宋体" w:eastAsia="宋体" w:hint="default"/>
          <w:sz w:val="18"/>
          <w:szCs w:val="18"/>
        </w:rPr>
        <w:sectPr>
          <w:type w:val="continuous"/>
          <w:pgSz w:w="11910" w:h="16840"/>
          <w:pgMar w:top="1580" w:bottom="0" w:left="980" w:right="0"/>
        </w:sectPr>
      </w:pPr>
    </w:p>
    <w:p>
      <w:pPr>
        <w:spacing w:line="240" w:lineRule="auto" w:before="2"/>
        <w:rPr>
          <w:rFonts w:ascii="Times New Roman" w:hAnsi="Times New Roman" w:cs="Times New Roman" w:eastAsia="Times New Roman" w:hint="default"/>
          <w:sz w:val="3"/>
          <w:szCs w:val="3"/>
        </w:rPr>
      </w:pPr>
      <w:r>
        <w:rPr/>
        <w:pict>
          <v:group style="position:absolute;margin-left:55.200001pt;margin-top:55.559982pt;width:484.9pt;height:.1pt;mso-position-horizontal-relative:page;mso-position-vertical-relative:page;z-index:-7713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460.320007pt;margin-top:764.919983pt;width:135.0pt;height:77pt;mso-position-horizontal-relative:page;mso-position-vertical-relative:page;z-index:2320" type="#_x0000_t75" stroked="false">
            <v:imagedata r:id="rId6" o:title=""/>
          </v:shape>
        </w:pict>
      </w:r>
    </w:p>
    <w:tbl>
      <w:tblPr>
        <w:tblW w:w="0" w:type="auto"/>
        <w:jc w:val="left"/>
        <w:tblInd w:w="152" w:type="dxa"/>
        <w:tblLayout w:type="fixed"/>
        <w:tblCellMar>
          <w:top w:w="0" w:type="dxa"/>
          <w:left w:w="0" w:type="dxa"/>
          <w:bottom w:w="0" w:type="dxa"/>
          <w:right w:w="0" w:type="dxa"/>
        </w:tblCellMar>
        <w:tblLook w:val="01E0"/>
      </w:tblPr>
      <w:tblGrid>
        <w:gridCol w:w="2987"/>
        <w:gridCol w:w="1633"/>
        <w:gridCol w:w="1145"/>
        <w:gridCol w:w="4603"/>
      </w:tblGrid>
      <w:tr>
        <w:trPr>
          <w:trHeight w:val="996" w:hRule="exact"/>
        </w:trPr>
        <w:tc>
          <w:tcPr>
            <w:tcW w:w="2987"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633"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spacing w:val="-1"/>
                <w:sz w:val="18"/>
              </w:rPr>
              <w:t>35,480,045.13</w:t>
            </w:r>
          </w:p>
        </w:tc>
        <w:tc>
          <w:tcPr>
            <w:tcW w:w="1145"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99.31%</w:t>
            </w:r>
          </w:p>
        </w:tc>
        <w:tc>
          <w:tcPr>
            <w:tcW w:w="4603" w:type="dxa"/>
            <w:tcBorders>
              <w:top w:val="single" w:sz="6" w:space="0" w:color="000000"/>
              <w:left w:val="nil" w:sz="6" w:space="0" w:color="auto"/>
              <w:bottom w:val="single" w:sz="6" w:space="0" w:color="000000"/>
              <w:right w:val="nil" w:sz="6" w:space="0" w:color="auto"/>
            </w:tcBorders>
          </w:tcPr>
          <w:p>
            <w:pPr>
              <w:pStyle w:val="TableParagraph"/>
              <w:spacing w:line="319" w:lineRule="auto" w:before="17"/>
              <w:ind w:left="123" w:right="5"/>
              <w:jc w:val="left"/>
              <w:rPr>
                <w:rFonts w:ascii="宋体" w:hAnsi="宋体" w:cs="宋体" w:eastAsia="宋体" w:hint="default"/>
                <w:sz w:val="18"/>
                <w:szCs w:val="18"/>
              </w:rPr>
            </w:pPr>
            <w:r>
              <w:rPr>
                <w:rFonts w:ascii="宋体" w:hAnsi="宋体" w:cs="宋体" w:eastAsia="宋体" w:hint="default"/>
                <w:spacing w:val="2"/>
                <w:sz w:val="18"/>
                <w:szCs w:val="18"/>
              </w:rPr>
              <w:t>主要是因为本报告期投标及履约保证金增加以及新增</w:t>
            </w:r>
            <w:r>
              <w:rPr>
                <w:rFonts w:ascii="宋体" w:hAnsi="宋体" w:cs="宋体" w:eastAsia="宋体" w:hint="default"/>
                <w:spacing w:val="2"/>
                <w:sz w:val="18"/>
                <w:szCs w:val="18"/>
              </w:rPr>
              <w:t>2</w:t>
            </w:r>
            <w:r>
              <w:rPr>
                <w:rFonts w:ascii="宋体" w:hAnsi="宋体" w:cs="宋体" w:eastAsia="宋体" w:hint="default"/>
                <w:spacing w:val="2"/>
                <w:sz w:val="18"/>
                <w:szCs w:val="18"/>
              </w:rPr>
              <w:t>家</w:t>
            </w:r>
            <w:r>
              <w:rPr>
                <w:rFonts w:ascii="宋体" w:hAnsi="宋体" w:cs="宋体" w:eastAsia="宋体" w:hint="default"/>
                <w:sz w:val="18"/>
                <w:szCs w:val="18"/>
              </w:rPr>
              <w:t> 子公司纳入合并报表所致。</w:t>
            </w:r>
          </w:p>
        </w:tc>
      </w:tr>
      <w:tr>
        <w:trPr>
          <w:trHeight w:val="658" w:hRule="exact"/>
        </w:trPr>
        <w:tc>
          <w:tcPr>
            <w:tcW w:w="2987"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1633"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spacing w:val="-1"/>
                <w:sz w:val="18"/>
              </w:rPr>
              <w:t>17,500,000.00</w:t>
            </w:r>
          </w:p>
        </w:tc>
        <w:tc>
          <w:tcPr>
            <w:tcW w:w="1145"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4603" w:type="dxa"/>
            <w:tcBorders>
              <w:top w:val="single" w:sz="6" w:space="0" w:color="000000"/>
              <w:left w:val="nil" w:sz="6" w:space="0" w:color="auto"/>
              <w:bottom w:val="single" w:sz="6" w:space="0" w:color="000000"/>
              <w:right w:val="nil" w:sz="6" w:space="0" w:color="auto"/>
            </w:tcBorders>
          </w:tcPr>
          <w:p>
            <w:pPr>
              <w:pStyle w:val="TableParagraph"/>
              <w:spacing w:line="316" w:lineRule="auto" w:before="17"/>
              <w:ind w:left="123" w:right="7"/>
              <w:jc w:val="left"/>
              <w:rPr>
                <w:rFonts w:ascii="宋体" w:hAnsi="宋体" w:cs="宋体" w:eastAsia="宋体" w:hint="default"/>
                <w:sz w:val="18"/>
                <w:szCs w:val="18"/>
              </w:rPr>
            </w:pPr>
            <w:r>
              <w:rPr>
                <w:rFonts w:ascii="宋体" w:hAnsi="宋体" w:cs="宋体" w:eastAsia="宋体" w:hint="default"/>
                <w:spacing w:val="6"/>
                <w:sz w:val="18"/>
                <w:szCs w:val="18"/>
              </w:rPr>
              <w:t>主要是因为本报告期新纳入合并报表的子公司达实德润</w:t>
            </w:r>
            <w:r>
              <w:rPr>
                <w:rFonts w:ascii="宋体" w:hAnsi="宋体" w:cs="宋体" w:eastAsia="宋体" w:hint="default"/>
                <w:sz w:val="18"/>
                <w:szCs w:val="18"/>
              </w:rPr>
              <w:t> 退回购买银行保本理财产品本金所致。</w:t>
            </w:r>
          </w:p>
        </w:tc>
      </w:tr>
      <w:tr>
        <w:trPr>
          <w:trHeight w:val="660" w:hRule="exact"/>
        </w:trPr>
        <w:tc>
          <w:tcPr>
            <w:tcW w:w="2987"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633"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spacing w:val="-1"/>
                <w:sz w:val="18"/>
              </w:rPr>
              <w:t>80,465.71</w:t>
            </w:r>
          </w:p>
        </w:tc>
        <w:tc>
          <w:tcPr>
            <w:tcW w:w="1145"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4603"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123" w:right="7"/>
              <w:jc w:val="left"/>
              <w:rPr>
                <w:rFonts w:ascii="宋体" w:hAnsi="宋体" w:cs="宋体" w:eastAsia="宋体" w:hint="default"/>
                <w:sz w:val="18"/>
                <w:szCs w:val="18"/>
              </w:rPr>
            </w:pPr>
            <w:r>
              <w:rPr>
                <w:rFonts w:ascii="宋体" w:hAnsi="宋体" w:cs="宋体" w:eastAsia="宋体" w:hint="default"/>
                <w:spacing w:val="6"/>
                <w:sz w:val="18"/>
                <w:szCs w:val="18"/>
              </w:rPr>
              <w:t>主要原因是本报告期新纳入合并报表的子公司达实德润</w:t>
            </w:r>
            <w:r>
              <w:rPr>
                <w:rFonts w:ascii="宋体" w:hAnsi="宋体" w:cs="宋体" w:eastAsia="宋体" w:hint="default"/>
                <w:sz w:val="18"/>
                <w:szCs w:val="18"/>
              </w:rPr>
              <w:t> 购买银行保本理财产品收益所致。</w:t>
            </w:r>
          </w:p>
        </w:tc>
      </w:tr>
      <w:tr>
        <w:trPr>
          <w:trHeight w:val="658" w:hRule="exact"/>
        </w:trPr>
        <w:tc>
          <w:tcPr>
            <w:tcW w:w="2987" w:type="dxa"/>
            <w:tcBorders>
              <w:top w:val="single" w:sz="6" w:space="0" w:color="000000"/>
              <w:left w:val="nil" w:sz="6" w:space="0" w:color="auto"/>
              <w:bottom w:val="single" w:sz="6" w:space="0" w:color="000000"/>
              <w:right w:val="nil" w:sz="6" w:space="0" w:color="auto"/>
            </w:tcBorders>
          </w:tcPr>
          <w:p>
            <w:pPr>
              <w:pStyle w:val="TableParagraph"/>
              <w:spacing w:line="316" w:lineRule="auto" w:before="17"/>
              <w:ind w:left="12" w:right="158"/>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资产收回的现金净额</w:t>
            </w:r>
          </w:p>
        </w:tc>
        <w:tc>
          <w:tcPr>
            <w:tcW w:w="1633"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spacing w:val="-1"/>
                <w:sz w:val="18"/>
              </w:rPr>
              <w:t>978,545.26</w:t>
            </w:r>
          </w:p>
        </w:tc>
        <w:tc>
          <w:tcPr>
            <w:tcW w:w="1145"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17,807.92%</w:t>
            </w:r>
          </w:p>
        </w:tc>
        <w:tc>
          <w:tcPr>
            <w:tcW w:w="4603" w:type="dxa"/>
            <w:tcBorders>
              <w:top w:val="single" w:sz="6" w:space="0" w:color="000000"/>
              <w:left w:val="nil" w:sz="6" w:space="0" w:color="auto"/>
              <w:bottom w:val="single" w:sz="6" w:space="0" w:color="000000"/>
              <w:right w:val="nil" w:sz="6" w:space="0" w:color="auto"/>
            </w:tcBorders>
          </w:tcPr>
          <w:p>
            <w:pPr>
              <w:pStyle w:val="TableParagraph"/>
              <w:spacing w:line="316" w:lineRule="auto" w:before="17"/>
              <w:ind w:left="123" w:right="7"/>
              <w:jc w:val="left"/>
              <w:rPr>
                <w:rFonts w:ascii="宋体" w:hAnsi="宋体" w:cs="宋体" w:eastAsia="宋体" w:hint="default"/>
                <w:sz w:val="18"/>
                <w:szCs w:val="18"/>
              </w:rPr>
            </w:pPr>
            <w:r>
              <w:rPr>
                <w:rFonts w:ascii="宋体" w:hAnsi="宋体" w:cs="宋体" w:eastAsia="宋体" w:hint="default"/>
                <w:spacing w:val="6"/>
                <w:sz w:val="18"/>
                <w:szCs w:val="18"/>
              </w:rPr>
              <w:t>主要原因是本报告期新纳入合并报表的子公司达实联欣</w:t>
            </w:r>
            <w:r>
              <w:rPr>
                <w:rFonts w:ascii="宋体" w:hAnsi="宋体" w:cs="宋体" w:eastAsia="宋体" w:hint="default"/>
                <w:sz w:val="18"/>
                <w:szCs w:val="18"/>
              </w:rPr>
              <w:t> 处置车辆所致。</w:t>
            </w:r>
          </w:p>
        </w:tc>
      </w:tr>
      <w:tr>
        <w:trPr>
          <w:trHeight w:val="348" w:hRule="exact"/>
        </w:trPr>
        <w:tc>
          <w:tcPr>
            <w:tcW w:w="298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63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18"/>
              <w:jc w:val="right"/>
              <w:rPr>
                <w:rFonts w:ascii="宋体" w:hAnsi="宋体" w:cs="宋体" w:eastAsia="宋体" w:hint="default"/>
                <w:sz w:val="18"/>
                <w:szCs w:val="18"/>
              </w:rPr>
            </w:pPr>
            <w:r>
              <w:rPr>
                <w:rFonts w:ascii="宋体"/>
                <w:spacing w:val="-1"/>
                <w:sz w:val="18"/>
              </w:rPr>
              <w:t>-8,000,000.00</w:t>
            </w:r>
          </w:p>
        </w:tc>
        <w:tc>
          <w:tcPr>
            <w:tcW w:w="114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-100.00%</w:t>
            </w:r>
          </w:p>
        </w:tc>
        <w:tc>
          <w:tcPr>
            <w:tcW w:w="460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主要原因是上年同期公司购房预付款退回所致。</w:t>
            </w:r>
          </w:p>
        </w:tc>
      </w:tr>
      <w:tr>
        <w:trPr>
          <w:trHeight w:val="658" w:hRule="exact"/>
        </w:trPr>
        <w:tc>
          <w:tcPr>
            <w:tcW w:w="2987"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633"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spacing w:val="-1"/>
                <w:sz w:val="18"/>
              </w:rPr>
              <w:t>168,544,282.00</w:t>
            </w:r>
          </w:p>
        </w:tc>
        <w:tc>
          <w:tcPr>
            <w:tcW w:w="1145"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4603" w:type="dxa"/>
            <w:tcBorders>
              <w:top w:val="single" w:sz="6" w:space="0" w:color="000000"/>
              <w:left w:val="nil" w:sz="6" w:space="0" w:color="auto"/>
              <w:bottom w:val="single" w:sz="6" w:space="0" w:color="000000"/>
              <w:right w:val="nil" w:sz="6" w:space="0" w:color="auto"/>
            </w:tcBorders>
          </w:tcPr>
          <w:p>
            <w:pPr>
              <w:pStyle w:val="TableParagraph"/>
              <w:spacing w:line="316" w:lineRule="auto" w:before="17"/>
              <w:ind w:left="123" w:right="5"/>
              <w:jc w:val="left"/>
              <w:rPr>
                <w:rFonts w:ascii="宋体" w:hAnsi="宋体" w:cs="宋体" w:eastAsia="宋体" w:hint="default"/>
                <w:sz w:val="18"/>
                <w:szCs w:val="18"/>
              </w:rPr>
            </w:pPr>
            <w:r>
              <w:rPr>
                <w:rFonts w:ascii="宋体" w:hAnsi="宋体" w:cs="宋体" w:eastAsia="宋体" w:hint="default"/>
                <w:spacing w:val="2"/>
                <w:sz w:val="18"/>
                <w:szCs w:val="18"/>
              </w:rPr>
              <w:t>主要是因为母公司支付</w:t>
            </w:r>
            <w:r>
              <w:rPr>
                <w:rFonts w:ascii="宋体" w:hAnsi="宋体" w:cs="宋体" w:eastAsia="宋体" w:hint="default"/>
                <w:spacing w:val="2"/>
                <w:sz w:val="18"/>
                <w:szCs w:val="18"/>
              </w:rPr>
              <w:t>2</w:t>
            </w:r>
            <w:r>
              <w:rPr>
                <w:rFonts w:ascii="宋体" w:hAnsi="宋体" w:cs="宋体" w:eastAsia="宋体" w:hint="default"/>
                <w:spacing w:val="2"/>
                <w:sz w:val="18"/>
                <w:szCs w:val="18"/>
              </w:rPr>
              <w:t>家非全资子公司收购款以及子公 </w:t>
            </w:r>
            <w:r>
              <w:rPr>
                <w:rFonts w:ascii="宋体" w:hAnsi="宋体" w:cs="宋体" w:eastAsia="宋体" w:hint="default"/>
                <w:sz w:val="18"/>
                <w:szCs w:val="18"/>
              </w:rPr>
              <w:t>司达实德润购买银行保本理财产品所致。</w:t>
            </w:r>
          </w:p>
        </w:tc>
      </w:tr>
      <w:tr>
        <w:trPr>
          <w:trHeight w:val="661" w:hRule="exact"/>
        </w:trPr>
        <w:tc>
          <w:tcPr>
            <w:tcW w:w="2987"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633"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spacing w:val="-1"/>
                <w:sz w:val="18"/>
              </w:rPr>
              <w:t>25,530,000.00</w:t>
            </w:r>
          </w:p>
        </w:tc>
        <w:tc>
          <w:tcPr>
            <w:tcW w:w="1145"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4603" w:type="dxa"/>
            <w:tcBorders>
              <w:top w:val="single" w:sz="6" w:space="0" w:color="000000"/>
              <w:left w:val="nil" w:sz="6" w:space="0" w:color="auto"/>
              <w:bottom w:val="single" w:sz="6" w:space="0" w:color="000000"/>
              <w:right w:val="nil" w:sz="6" w:space="0" w:color="auto"/>
            </w:tcBorders>
          </w:tcPr>
          <w:p>
            <w:pPr>
              <w:pStyle w:val="TableParagraph"/>
              <w:spacing w:line="319" w:lineRule="auto" w:before="20"/>
              <w:ind w:left="123" w:right="6"/>
              <w:jc w:val="left"/>
              <w:rPr>
                <w:rFonts w:ascii="宋体" w:hAnsi="宋体" w:cs="宋体" w:eastAsia="宋体" w:hint="default"/>
                <w:sz w:val="18"/>
                <w:szCs w:val="18"/>
              </w:rPr>
            </w:pPr>
            <w:r>
              <w:rPr>
                <w:rFonts w:ascii="宋体" w:hAnsi="宋体" w:cs="宋体" w:eastAsia="宋体" w:hint="default"/>
                <w:spacing w:val="-2"/>
                <w:sz w:val="18"/>
                <w:szCs w:val="18"/>
              </w:rPr>
              <w:t>主要原因是公司本报告期实施了限制性股票激励计划，收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到</w:t>
            </w:r>
            <w:r>
              <w:rPr>
                <w:rFonts w:ascii="宋体" w:hAnsi="宋体" w:cs="宋体" w:eastAsia="宋体" w:hint="default"/>
                <w:sz w:val="18"/>
                <w:szCs w:val="18"/>
              </w:rPr>
              <w:t>76</w:t>
            </w:r>
            <w:r>
              <w:rPr>
                <w:rFonts w:ascii="宋体" w:hAnsi="宋体" w:cs="宋体" w:eastAsia="宋体" w:hint="default"/>
                <w:sz w:val="18"/>
                <w:szCs w:val="18"/>
              </w:rPr>
              <w:t>位激励对象认购的</w:t>
            </w:r>
            <w:r>
              <w:rPr>
                <w:rFonts w:ascii="宋体" w:hAnsi="宋体" w:cs="宋体" w:eastAsia="宋体" w:hint="default"/>
                <w:sz w:val="18"/>
                <w:szCs w:val="18"/>
              </w:rPr>
              <w:t>300</w:t>
            </w:r>
            <w:r>
              <w:rPr>
                <w:rFonts w:ascii="宋体" w:hAnsi="宋体" w:cs="宋体" w:eastAsia="宋体" w:hint="default"/>
                <w:sz w:val="18"/>
                <w:szCs w:val="18"/>
              </w:rPr>
              <w:t>万股股票认购款所致。</w:t>
            </w:r>
          </w:p>
        </w:tc>
      </w:tr>
      <w:tr>
        <w:trPr>
          <w:trHeight w:val="660" w:hRule="exact"/>
        </w:trPr>
        <w:tc>
          <w:tcPr>
            <w:tcW w:w="2987"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633"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spacing w:val="-1"/>
                <w:sz w:val="18"/>
              </w:rPr>
              <w:t>-133,535,446.43</w:t>
            </w:r>
          </w:p>
        </w:tc>
        <w:tc>
          <w:tcPr>
            <w:tcW w:w="1145"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4603" w:type="dxa"/>
            <w:tcBorders>
              <w:top w:val="single" w:sz="6" w:space="0" w:color="000000"/>
              <w:left w:val="nil" w:sz="6" w:space="0" w:color="auto"/>
              <w:bottom w:val="single" w:sz="6" w:space="0" w:color="000000"/>
              <w:right w:val="nil" w:sz="6" w:space="0" w:color="auto"/>
            </w:tcBorders>
          </w:tcPr>
          <w:p>
            <w:pPr>
              <w:pStyle w:val="TableParagraph"/>
              <w:spacing w:line="316" w:lineRule="auto" w:before="17"/>
              <w:ind w:left="123" w:right="3"/>
              <w:jc w:val="left"/>
              <w:rPr>
                <w:rFonts w:ascii="宋体" w:hAnsi="宋体" w:cs="宋体" w:eastAsia="宋体" w:hint="default"/>
                <w:sz w:val="18"/>
                <w:szCs w:val="18"/>
              </w:rPr>
            </w:pPr>
            <w:r>
              <w:rPr>
                <w:rFonts w:ascii="宋体" w:hAnsi="宋体" w:cs="宋体" w:eastAsia="宋体" w:hint="default"/>
                <w:spacing w:val="6"/>
                <w:sz w:val="18"/>
                <w:szCs w:val="18"/>
              </w:rPr>
              <w:t>主要原因是去年同期母公司和子公司深圳达实信息技术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有限公司归还借款、偿还债务所致。</w:t>
            </w:r>
          </w:p>
        </w:tc>
      </w:tr>
      <w:tr>
        <w:trPr>
          <w:trHeight w:val="658" w:hRule="exact"/>
        </w:trPr>
        <w:tc>
          <w:tcPr>
            <w:tcW w:w="2987" w:type="dxa"/>
            <w:tcBorders>
              <w:top w:val="single" w:sz="6" w:space="0" w:color="000000"/>
              <w:left w:val="nil" w:sz="6" w:space="0" w:color="auto"/>
              <w:bottom w:val="single" w:sz="6" w:space="0" w:color="000000"/>
              <w:right w:val="nil" w:sz="6" w:space="0" w:color="auto"/>
            </w:tcBorders>
          </w:tcPr>
          <w:p>
            <w:pPr>
              <w:pStyle w:val="TableParagraph"/>
              <w:spacing w:line="316" w:lineRule="auto" w:before="17"/>
              <w:ind w:left="12" w:right="158"/>
              <w:jc w:val="left"/>
              <w:rPr>
                <w:rFonts w:ascii="宋体" w:hAnsi="宋体" w:cs="宋体" w:eastAsia="宋体" w:hint="default"/>
                <w:sz w:val="18"/>
                <w:szCs w:val="18"/>
              </w:rPr>
            </w:pPr>
            <w:r>
              <w:rPr>
                <w:rFonts w:ascii="宋体" w:hAnsi="宋体" w:cs="宋体" w:eastAsia="宋体" w:hint="default"/>
                <w:spacing w:val="-5"/>
                <w:sz w:val="18"/>
                <w:szCs w:val="18"/>
              </w:rPr>
              <w:t>分配股利、利润或偿付利息支付的现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金</w:t>
            </w:r>
          </w:p>
        </w:tc>
        <w:tc>
          <w:tcPr>
            <w:tcW w:w="1633"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spacing w:val="-1"/>
                <w:sz w:val="18"/>
              </w:rPr>
              <w:t>28,679,285.71</w:t>
            </w:r>
          </w:p>
        </w:tc>
        <w:tc>
          <w:tcPr>
            <w:tcW w:w="1145"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1,744.64%</w:t>
            </w:r>
          </w:p>
        </w:tc>
        <w:tc>
          <w:tcPr>
            <w:tcW w:w="4603" w:type="dxa"/>
            <w:tcBorders>
              <w:top w:val="single" w:sz="6" w:space="0" w:color="000000"/>
              <w:left w:val="nil" w:sz="6" w:space="0" w:color="auto"/>
              <w:bottom w:val="single" w:sz="6" w:space="0" w:color="000000"/>
              <w:right w:val="nil" w:sz="6" w:space="0" w:color="auto"/>
            </w:tcBorders>
          </w:tcPr>
          <w:p>
            <w:pPr>
              <w:pStyle w:val="TableParagraph"/>
              <w:spacing w:line="316" w:lineRule="auto" w:before="17"/>
              <w:ind w:left="123" w:right="4"/>
              <w:jc w:val="left"/>
              <w:rPr>
                <w:rFonts w:ascii="宋体" w:hAnsi="宋体" w:cs="宋体" w:eastAsia="宋体" w:hint="default"/>
                <w:sz w:val="18"/>
                <w:szCs w:val="18"/>
              </w:rPr>
            </w:pPr>
            <w:r>
              <w:rPr>
                <w:rFonts w:ascii="宋体" w:hAnsi="宋体" w:cs="宋体" w:eastAsia="宋体" w:hint="default"/>
                <w:spacing w:val="5"/>
                <w:sz w:val="18"/>
                <w:szCs w:val="18"/>
              </w:rPr>
              <w:t>主要原因是本报告期母公司实施</w:t>
            </w:r>
            <w:r>
              <w:rPr>
                <w:rFonts w:ascii="宋体" w:hAnsi="宋体" w:cs="宋体" w:eastAsia="宋体" w:hint="default"/>
                <w:spacing w:val="5"/>
                <w:sz w:val="18"/>
                <w:szCs w:val="18"/>
              </w:rPr>
              <w:t>2011</w:t>
            </w:r>
            <w:r>
              <w:rPr>
                <w:rFonts w:ascii="宋体" w:hAnsi="宋体" w:cs="宋体" w:eastAsia="宋体" w:hint="default"/>
                <w:spacing w:val="5"/>
                <w:sz w:val="18"/>
                <w:szCs w:val="18"/>
              </w:rPr>
              <w:t>年度权益分派以及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子公司达实联欣对少数股东利润分配所致。</w:t>
            </w:r>
          </w:p>
        </w:tc>
      </w:tr>
      <w:tr>
        <w:trPr>
          <w:trHeight w:val="575" w:hRule="exact"/>
        </w:trPr>
        <w:tc>
          <w:tcPr>
            <w:tcW w:w="2987"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633"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spacing w:val="-1"/>
                <w:sz w:val="18"/>
              </w:rPr>
              <w:t>1,138,563.35</w:t>
            </w:r>
          </w:p>
        </w:tc>
        <w:tc>
          <w:tcPr>
            <w:tcW w:w="1145"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2,832.25%</w:t>
            </w:r>
          </w:p>
        </w:tc>
        <w:tc>
          <w:tcPr>
            <w:tcW w:w="4603"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pacing w:val="9"/>
                <w:sz w:val="18"/>
                <w:szCs w:val="18"/>
              </w:rPr>
              <w:t>主要是因为子公司达实信息归还企业间借款</w:t>
            </w:r>
            <w:r>
              <w:rPr>
                <w:rFonts w:ascii="宋体" w:hAnsi="宋体" w:cs="宋体" w:eastAsia="宋体" w:hint="default"/>
                <w:spacing w:val="9"/>
                <w:sz w:val="18"/>
                <w:szCs w:val="18"/>
              </w:rPr>
              <w:t>100</w:t>
            </w:r>
            <w:r>
              <w:rPr>
                <w:rFonts w:ascii="宋体" w:hAnsi="宋体" w:cs="宋体" w:eastAsia="宋体" w:hint="default"/>
                <w:spacing w:val="9"/>
                <w:sz w:val="18"/>
                <w:szCs w:val="18"/>
              </w:rPr>
              <w:t>万元所</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致。</w:t>
            </w:r>
          </w:p>
        </w:tc>
      </w:tr>
    </w:tbl>
    <w:p>
      <w:pPr>
        <w:spacing w:line="240" w:lineRule="auto" w:before="9"/>
        <w:rPr>
          <w:rFonts w:ascii="Times New Roman" w:hAnsi="Times New Roman" w:cs="Times New Roman" w:eastAsia="Times New Roman" w:hint="default"/>
          <w:sz w:val="6"/>
          <w:szCs w:val="6"/>
        </w:rPr>
      </w:pPr>
    </w:p>
    <w:p>
      <w:pPr>
        <w:spacing w:line="20" w:lineRule="exact"/>
        <w:ind w:left="13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9.85pt;height:.75pt;mso-position-horizontal-relative:char;mso-position-vertical-relative:line" coordorigin="0,0" coordsize="10397,15">
            <v:group style="position:absolute;left:7;top:7;width:2850;height:2" coordorigin="7,7" coordsize="2850,2">
              <v:shape style="position:absolute;left:7;top:7;width:2850;height:2" coordorigin="7,7" coordsize="2850,0" path="m7,7l2857,7e" filled="false" stroked="true" strokeweight=".72pt" strokecolor="#000000">
                <v:path arrowok="t"/>
              </v:shape>
            </v:group>
            <v:group style="position:absolute;left:2843;top:7;width:15;height:2" coordorigin="2843,7" coordsize="15,2">
              <v:shape style="position:absolute;left:2843;top:7;width:15;height:2" coordorigin="2843,7" coordsize="15,0" path="m2843,7l2857,7e" filled="false" stroked="true" strokeweight=".72pt" strokecolor="#000000">
                <v:path arrowok="t"/>
              </v:shape>
            </v:group>
            <v:group style="position:absolute;left:2857;top:7;width:1673;height:2" coordorigin="2857,7" coordsize="1673,2">
              <v:shape style="position:absolute;left:2857;top:7;width:1673;height:2" coordorigin="2857,7" coordsize="1673,0" path="m2857,7l4530,7e" filled="false" stroked="true" strokeweight=".72pt" strokecolor="#000000">
                <v:path arrowok="t"/>
              </v:shape>
            </v:group>
            <v:group style="position:absolute;left:4515;top:7;width:15;height:2" coordorigin="4515,7" coordsize="15,2">
              <v:shape style="position:absolute;left:4515;top:7;width:15;height:2" coordorigin="4515,7" coordsize="15,0" path="m4515,7l4530,7e" filled="false" stroked="true" strokeweight=".72pt" strokecolor="#000000">
                <v:path arrowok="t"/>
              </v:shape>
            </v:group>
            <v:group style="position:absolute;left:4530;top:7;width:1369;height:2" coordorigin="4530,7" coordsize="1369,2">
              <v:shape style="position:absolute;left:4530;top:7;width:1369;height:2" coordorigin="4530,7" coordsize="1369,0" path="m4530,7l5898,7e" filled="false" stroked="true" strokeweight=".72pt" strokecolor="#000000">
                <v:path arrowok="t"/>
              </v:shape>
            </v:group>
            <v:group style="position:absolute;left:5884;top:7;width:15;height:2" coordorigin="5884,7" coordsize="15,2">
              <v:shape style="position:absolute;left:5884;top:7;width:15;height:2" coordorigin="5884,7" coordsize="15,0" path="m5884,7l5898,7e" filled="false" stroked="true" strokeweight=".72pt" strokecolor="#000000">
                <v:path arrowok="t"/>
              </v:shape>
            </v:group>
            <v:group style="position:absolute;left:5898;top:7;width:4492;height:2" coordorigin="5898,7" coordsize="4492,2">
              <v:shape style="position:absolute;left:5898;top:7;width:4492;height:2" coordorigin="5898,7" coordsize="4492,0" path="m5898,7l10390,7e" filled="false" stroked="true" strokeweight=".72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877" w:footer="1227" w:top="1060" w:bottom="142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pStyle w:val="Heading1"/>
        <w:spacing w:line="240" w:lineRule="auto"/>
        <w:ind w:left="3285" w:right="1123"/>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3"/>
        <w:rPr>
          <w:rFonts w:ascii="宋体" w:hAnsi="宋体" w:cs="宋体" w:eastAsia="宋体" w:hint="default"/>
          <w:b/>
          <w:bCs/>
          <w:sz w:val="39"/>
          <w:szCs w:val="39"/>
        </w:rPr>
      </w:pPr>
    </w:p>
    <w:p>
      <w:pPr>
        <w:pStyle w:val="BodyText"/>
        <w:spacing w:line="357" w:lineRule="auto" w:before="0"/>
        <w:ind w:left="573" w:right="1123"/>
        <w:jc w:val="left"/>
      </w:pPr>
      <w:r>
        <w:rPr/>
        <w:t>一、载有董事长刘磅先生签名的</w:t>
      </w:r>
      <w:r>
        <w:rPr>
          <w:rFonts w:ascii="宋体" w:hAnsi="宋体" w:cs="宋体" w:eastAsia="宋体" w:hint="default"/>
        </w:rPr>
        <w:t>2012</w:t>
      </w:r>
      <w:r>
        <w:rPr/>
        <w:t>年度报告全文及摘要。</w:t>
      </w:r>
      <w:r>
        <w:rPr>
          <w:w w:val="100"/>
        </w:rPr>
        <w:t> </w:t>
      </w:r>
      <w:r>
        <w:rPr/>
        <w:t>二、载有公司法定代表人、主管会计工作负责人及会计机构负责人签名并盖章的会计报表。</w:t>
      </w:r>
      <w:r>
        <w:rPr>
          <w:w w:val="100"/>
        </w:rPr>
        <w:t> </w:t>
      </w:r>
      <w:r>
        <w:rPr/>
        <w:t>三、载有会计师事务所、注册会计师任签名并盖章的公司</w:t>
      </w:r>
      <w:r>
        <w:rPr>
          <w:rFonts w:ascii="宋体" w:hAnsi="宋体" w:cs="宋体" w:eastAsia="宋体" w:hint="default"/>
        </w:rPr>
        <w:t>2012</w:t>
      </w:r>
      <w:r>
        <w:rPr/>
        <w:t>年度审计报告原件。</w:t>
      </w:r>
      <w:r>
        <w:rPr>
          <w:w w:val="100"/>
        </w:rPr>
        <w:t> </w:t>
      </w:r>
      <w:r>
        <w:rPr>
          <w:spacing w:val="-2"/>
        </w:rPr>
        <w:t>四、报告期内在中国证监会指定报纸《证券时报》上公开披露过的所有公司文件的正本及公告原稿。</w:t>
      </w:r>
      <w:r>
        <w:rPr>
          <w:spacing w:val="-27"/>
        </w:rPr>
        <w:t> </w:t>
      </w:r>
      <w:r>
        <w:rPr>
          <w:spacing w:val="-27"/>
        </w:rPr>
      </w:r>
      <w:r>
        <w:rPr/>
        <w:t>五、备查文件备置地点：公司证券部。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0"/>
        <w:ind w:left="0" w:right="1131"/>
        <w:jc w:val="right"/>
      </w:pPr>
      <w:r>
        <w:rPr>
          <w:spacing w:val="-2"/>
        </w:rPr>
        <w:t>深圳达实智能股份有限公司</w:t>
      </w:r>
    </w:p>
    <w:p>
      <w:pPr>
        <w:pStyle w:val="BodyText"/>
        <w:spacing w:line="355" w:lineRule="auto" w:before="135"/>
        <w:ind w:left="8427" w:right="1128" w:firstLine="105"/>
        <w:jc w:val="right"/>
      </w:pPr>
      <w:r>
        <w:rPr>
          <w:spacing w:val="-1"/>
        </w:rPr>
        <w:t>董事长：刘磅</w:t>
      </w:r>
      <w:r>
        <w:rPr>
          <w:w w:val="100"/>
        </w:rPr>
        <w:t> </w:t>
      </w:r>
      <w:r>
        <w:rPr>
          <w:rFonts w:ascii="宋体" w:hAnsi="宋体" w:cs="宋体" w:eastAsia="宋体" w:hint="default"/>
          <w:spacing w:val="-1"/>
        </w:rPr>
        <w:t>2013</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23</w:t>
      </w:r>
      <w:r>
        <w:rPr>
          <w:spacing w:val="-1"/>
        </w:rPr>
        <w:t>日</w:t>
      </w:r>
    </w:p>
    <w:sectPr>
      <w:footerReference w:type="default" r:id="rId29"/>
      <w:pgSz w:w="11910" w:h="16840"/>
      <w:pgMar w:footer="1340" w:header="877" w:top="106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72552" type="#_x0000_t75" stroked="false">
          <v:imagedata r:id="rId1" o:title=""/>
        </v:shape>
      </w:pict>
    </w:r>
    <w:r>
      <w:rPr/>
      <w:pict>
        <v:shape style="position:absolute;margin-left:291.089996pt;margin-top:769.573914pt;width:13.15pt;height:11pt;mso-position-horizontal-relative:page;mso-position-vertical-relative:page;z-index:-772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72216" type="#_x0000_t75" stroked="false">
          <v:imagedata r:id="rId1" o:title=""/>
        </v:shape>
      </w:pict>
    </w:r>
    <w:r>
      <w:rPr/>
      <w:pict>
        <v:shape style="position:absolute;margin-left:289.809998pt;margin-top:769.573914pt;width:15.7pt;height:11pt;mso-position-horizontal-relative:page;mso-position-vertical-relative:page;z-index:-7721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72168" type="#_x0000_t75" stroked="false">
          <v:imagedata r:id="rId1" o:title=""/>
        </v:shape>
      </w:pict>
    </w:r>
    <w:r>
      <w:rPr/>
      <w:pict>
        <v:shape style="position:absolute;margin-left:288.809998pt;margin-top:769.573914pt;width:17.7pt;height:11pt;mso-position-horizontal-relative:page;mso-position-vertical-relative:page;z-index:-772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103</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9.573914pt;width:17.7pt;height:11pt;mso-position-horizontal-relative:page;mso-position-vertical-relative:page;z-index:-772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105</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72096" type="#_x0000_t75" stroked="false">
          <v:imagedata r:id="rId1" o:title=""/>
        </v:shape>
      </w:pict>
    </w:r>
    <w:r>
      <w:rPr/>
      <w:pict>
        <v:shape style="position:absolute;margin-left:289.049988pt;margin-top:769.573914pt;width:17.3pt;height:11pt;mso-position-horizontal-relative:page;mso-position-vertical-relative:page;z-index:-772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69.573914pt;width:17.3pt;height:11pt;mso-position-horizontal-relative:page;mso-position-vertical-relative:page;z-index:-772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72024" type="#_x0000_t75" stroked="false">
          <v:imagedata r:id="rId1" o:title=""/>
        </v:shape>
      </w:pict>
    </w:r>
    <w:r>
      <w:rPr/>
      <w:pict>
        <v:shape style="position:absolute;margin-left:289.049988pt;margin-top:769.573914pt;width:17.3pt;height:11pt;mso-position-horizontal-relative:page;mso-position-vertical-relative:page;z-index:-772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71976" type="#_x0000_t75" stroked="false">
          <v:imagedata r:id="rId1" o:title=""/>
        </v:shape>
      </w:pict>
    </w:r>
    <w:r>
      <w:rPr/>
      <w:pict>
        <v:shape style="position:absolute;margin-left:288.809998pt;margin-top:769.573914pt;width:17.7pt;height:11pt;mso-position-horizontal-relative:page;mso-position-vertical-relative:page;z-index:-771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136</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9.573914pt;width:17.7pt;height:11pt;mso-position-horizontal-relative:page;mso-position-vertical-relative:page;z-index:-771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138</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71904" type="#_x0000_t75" stroked="false">
          <v:imagedata r:id="rId1" o:title=""/>
        </v:shape>
      </w:pict>
    </w:r>
    <w:r>
      <w:rPr/>
      <w:pict>
        <v:shape style="position:absolute;margin-left:289.809998pt;margin-top:769.573914pt;width:15.7pt;height:11pt;mso-position-horizontal-relative:page;mso-position-vertical-relative:page;z-index:-7718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141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772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72480" type="#_x0000_t75" stroked="false">
          <v:imagedata r:id="rId1" o:title=""/>
        </v:shape>
      </w:pict>
    </w:r>
    <w:r>
      <w:rPr/>
      <w:pict>
        <v:shape style="position:absolute;margin-left:291.089996pt;margin-top:769.573914pt;width:13.15pt;height:11pt;mso-position-horizontal-relative:page;mso-position-vertical-relative:page;z-index:-772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772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72408" type="#_x0000_t75" stroked="false">
          <v:imagedata r:id="rId1" o:title=""/>
        </v:shape>
      </w:pict>
    </w:r>
    <w:r>
      <w:rPr/>
      <w:pict>
        <v:shape style="position:absolute;margin-left:292.089996pt;margin-top:769.573914pt;width:11.15pt;height:11pt;mso-position-horizontal-relative:page;mso-position-vertical-relative:page;z-index:-7723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772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72336" type="#_x0000_t75" stroked="false">
          <v:imagedata r:id="rId1" o:title=""/>
        </v:shape>
      </w:pict>
    </w:r>
    <w:r>
      <w:rPr/>
      <w:pict>
        <v:shape style="position:absolute;margin-left:291.089996pt;margin-top:769.573914pt;width:13.15pt;height:11pt;mso-position-horizontal-relative:page;mso-position-vertical-relative:page;z-index:-772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772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72264" type="#_x0000_t75" stroked="false">
          <v:imagedata r:id="rId1" o:title=""/>
        </v:shape>
      </w:pict>
    </w:r>
    <w:r>
      <w:rPr/>
      <w:pict>
        <v:shape style="position:absolute;margin-left:291.089996pt;margin-top:769.573914pt;width:13.15pt;height:11pt;mso-position-horizontal-relative:page;mso-position-vertical-relative:page;z-index:-772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726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3.070007pt;margin-top:42.865608pt;width:186.75pt;height:11.5pt;mso-position-horizontal-relative:page;mso-position-vertical-relative:page;z-index:-7725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3"/>
      <w:ind w:left="152"/>
    </w:pPr>
    <w:rPr>
      <w:rFonts w:ascii="宋体" w:hAnsi="宋体" w:eastAsia="宋体"/>
      <w:sz w:val="21"/>
      <w:szCs w:val="21"/>
    </w:rPr>
  </w:style>
  <w:style w:styleId="BodyText" w:type="paragraph">
    <w:name w:val="Body Text"/>
    <w:basedOn w:val="Normal"/>
    <w:uiPriority w:val="1"/>
    <w:qFormat/>
    <w:pPr>
      <w:spacing w:before="30"/>
      <w:ind w:left="152"/>
    </w:pPr>
    <w:rPr>
      <w:rFonts w:ascii="宋体" w:hAnsi="宋体" w:eastAsia="宋体"/>
      <w:sz w:val="21"/>
      <w:szCs w:val="21"/>
    </w:rPr>
  </w:style>
  <w:style w:styleId="Heading1" w:type="paragraph">
    <w:name w:val="Heading 1"/>
    <w:basedOn w:val="Normal"/>
    <w:uiPriority w:val="1"/>
    <w:qFormat/>
    <w:pPr>
      <w:ind w:left="133"/>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chn-das.com/" TargetMode="External"/><Relationship Id="rId10" Type="http://schemas.openxmlformats.org/officeDocument/2006/relationships/hyperlink" Target="mailto:das@chn-das.com"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3.jpe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footer" Target="footer18.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15.xml.rels><?xml version="1.0" encoding="UTF-8" standalone="yes"?>
<Relationships xmlns="http://schemas.openxmlformats.org/package/2006/relationships"><Relationship Id="rId1" Type="http://schemas.openxmlformats.org/officeDocument/2006/relationships/image" Target="media/image2.png"/></Relationships>

</file>

<file path=word/_rels/footer16.xml.rels><?xml version="1.0" encoding="UTF-8" standalone="yes"?>
<Relationships xmlns="http://schemas.openxmlformats.org/package/2006/relationships"><Relationship Id="rId1" Type="http://schemas.openxmlformats.org/officeDocument/2006/relationships/image" Target="media/image2.png"/></Relationships>

</file>

<file path=word/_rels/footer18.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2020-05-04T01:02:12Z</dcterms:created>
  <dcterms:modified xsi:type="dcterms:W3CDTF">2020-05-04T01:02:12Z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2013-04-23T00:00:00Z</vt:filetime>
  </property>
  <property fmtid="{D5CDD505-2E9C-101B-9397-08002B2CF9AE}" pid="3" name="Creator">
    <vt:lpwstr>Microsoft® Office Word 2007</vt:lpwstr>
  </property>
  <property fmtid="{D5CDD505-2E9C-101B-9397-08002B2CF9AE}" pid="4" name="LastSaved">
    <vt:filetime>2020-05-03T00:00:00Z</vt:filetime>
  </property>
</Properties>
</file>