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rPr>
          <w:sz w:val="52"/>
          <w:szCs w:val="52"/>
        </w:rPr>
      </w:pPr>
      <w:r>
        <w:rPr>
          <w:rFonts w:ascii="SimHei" w:eastAsia="SimHei" w:hAnsi="SimHei" w:cs="SimHei"/>
          <w:color w:val="000000"/>
          <w:spacing w:val="0"/>
          <w:w w:val="100"/>
          <w:position w:val="0"/>
          <w:sz w:val="52"/>
          <w:szCs w:val="52"/>
        </w:rPr>
        <w:t>深圳达实智能股份有限公司</w:t>
      </w:r>
    </w:p>
    <w:p>
      <w:pPr>
        <w:pStyle w:val="Style2"/>
        <w:keepNext w:val="0"/>
        <w:keepLines w:val="0"/>
        <w:widowControl w:val="0"/>
        <w:shd w:val="clear" w:color="auto" w:fill="auto"/>
        <w:bidi w:val="0"/>
        <w:spacing w:before="0" w:after="960" w:line="240" w:lineRule="auto"/>
        <w:ind w:left="0" w:right="0" w:firstLine="0"/>
        <w:jc w:val="center"/>
        <w:rPr>
          <w:sz w:val="44"/>
          <w:szCs w:val="44"/>
        </w:rPr>
      </w:pPr>
      <w:r>
        <w:rPr>
          <w:rFonts w:ascii="SimHei" w:eastAsia="SimHei" w:hAnsi="SimHei" w:cs="SimHei"/>
          <w:color w:val="000000"/>
          <w:spacing w:val="0"/>
          <w:w w:val="100"/>
          <w:position w:val="0"/>
          <w:sz w:val="44"/>
          <w:szCs w:val="44"/>
        </w:rPr>
        <w:t>(SHENZHEN DAS INTELLITECH CO., LTD.)</w:t>
      </w:r>
    </w:p>
    <w:p>
      <w:pPr>
        <w:pStyle w:val="Style2"/>
        <w:keepNext w:val="0"/>
        <w:keepLines w:val="0"/>
        <w:widowControl w:val="0"/>
        <w:shd w:val="clear" w:color="auto" w:fill="auto"/>
        <w:bidi w:val="0"/>
        <w:spacing w:before="0" w:after="0" w:line="240" w:lineRule="auto"/>
        <w:ind w:left="0" w:right="0" w:firstLine="0"/>
        <w:jc w:val="center"/>
        <w:rPr>
          <w:sz w:val="56"/>
          <w:szCs w:val="56"/>
        </w:rPr>
      </w:pPr>
      <w:r>
        <w:rPr>
          <w:rFonts w:ascii="SimHei" w:eastAsia="SimHei" w:hAnsi="SimHei" w:cs="SimHei"/>
          <w:i/>
          <w:iCs/>
          <w:color w:val="211C19"/>
          <w:spacing w:val="0"/>
          <w:w w:val="100"/>
          <w:position w:val="0"/>
          <w:sz w:val="56"/>
          <w:szCs w:val="56"/>
        </w:rPr>
        <w:t>达</w:t>
      </w:r>
    </w:p>
    <w:p>
      <w:pPr>
        <w:pStyle w:val="Style2"/>
        <w:keepNext w:val="0"/>
        <w:keepLines w:val="0"/>
        <w:widowControl w:val="0"/>
        <w:shd w:val="clear" w:color="auto" w:fill="auto"/>
        <w:bidi w:val="0"/>
        <w:spacing w:before="0" w:after="860" w:line="240" w:lineRule="auto"/>
        <w:ind w:left="4100" w:right="0" w:firstLine="0"/>
        <w:jc w:val="left"/>
        <w:rPr>
          <w:sz w:val="22"/>
          <w:szCs w:val="22"/>
        </w:rPr>
      </w:pPr>
      <w:r>
        <w:rPr>
          <w:rFonts w:ascii="Arial" w:eastAsia="Arial" w:hAnsi="Arial" w:cs="Arial"/>
          <w:i/>
          <w:iCs/>
          <w:color w:val="211C19"/>
          <w:spacing w:val="0"/>
          <w:w w:val="100"/>
          <w:position w:val="0"/>
          <w:sz w:val="22"/>
          <w:szCs w:val="22"/>
        </w:rPr>
        <w:t>DAS</w:t>
      </w:r>
      <w:r>
        <w:rPr>
          <w:rFonts w:ascii="Arial" w:eastAsia="Arial" w:hAnsi="Arial" w:cs="Arial"/>
          <w:b/>
          <w:bCs/>
          <w:color w:val="211C19"/>
          <w:spacing w:val="0"/>
          <w:w w:val="100"/>
          <w:position w:val="0"/>
          <w:sz w:val="22"/>
          <w:szCs w:val="22"/>
        </w:rPr>
        <w:t xml:space="preserve"> IMTELLTTECH</w:t>
      </w:r>
    </w:p>
    <w:p>
      <w:pPr>
        <w:pStyle w:val="Style2"/>
        <w:keepNext w:val="0"/>
        <w:keepLines w:val="0"/>
        <w:widowControl w:val="0"/>
        <w:shd w:val="clear" w:color="auto" w:fill="auto"/>
        <w:bidi w:val="0"/>
        <w:spacing w:before="0" w:after="6060" w:line="240" w:lineRule="auto"/>
        <w:ind w:left="0" w:right="0" w:firstLine="0"/>
        <w:jc w:val="center"/>
        <w:rPr>
          <w:sz w:val="52"/>
          <w:szCs w:val="52"/>
        </w:rPr>
      </w:pPr>
      <w:r>
        <w:rPr>
          <w:rFonts w:ascii="Arial" w:eastAsia="Arial" w:hAnsi="Arial" w:cs="Arial"/>
          <w:color w:val="000000"/>
          <w:spacing w:val="0"/>
          <w:w w:val="100"/>
          <w:position w:val="0"/>
          <w:sz w:val="44"/>
          <w:szCs w:val="44"/>
        </w:rPr>
        <w:t>2013</w:t>
      </w:r>
      <w:r>
        <w:rPr>
          <w:rFonts w:ascii="SimHei" w:eastAsia="SimHei" w:hAnsi="SimHei" w:cs="SimHei"/>
          <w:color w:val="000000"/>
          <w:spacing w:val="0"/>
          <w:w w:val="100"/>
          <w:position w:val="0"/>
          <w:sz w:val="52"/>
          <w:szCs w:val="52"/>
        </w:rPr>
        <w:t>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461" w:right="1105" w:bottom="3373" w:left="1100" w:header="2033" w:footer="2945"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8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after="14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8"/>
        <w:keepNext w:val="0"/>
        <w:keepLines w:val="0"/>
        <w:widowControl w:val="0"/>
        <w:shd w:val="clear" w:color="auto" w:fill="auto"/>
        <w:bidi w:val="0"/>
        <w:spacing w:before="0" w:after="100" w:line="571" w:lineRule="exact"/>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461" w:right="1105" w:bottom="3373" w:left="1100" w:header="0" w:footer="3" w:gutter="0"/>
          <w:pgNumType w:start="1"/>
          <w:cols w:space="720"/>
          <w:noEndnote/>
          <w:rtlGutter w:val="0"/>
          <w:docGrid w:linePitch="360"/>
        </w:sectPr>
      </w:pPr>
      <w:r>
        <w:rPr>
          <w:color w:val="000000"/>
          <w:spacing w:val="0"/>
          <w:w w:val="100"/>
          <w:position w:val="0"/>
        </w:rPr>
        <w:t>公司负责人刘磅、主管会计工作负责人黄天朗及会计机构负责人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蒋国清声明：保证年度报告中财务报告的真实、准确、完整。</w:t>
      </w:r>
    </w:p>
    <w:p>
      <w:pPr>
        <w:pStyle w:val="Style21"/>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1</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13" w:tooltip="Current Document">
        <w:r>
          <w:rPr>
            <w:color w:val="000000"/>
            <w:spacing w:val="0"/>
            <w:w w:val="100"/>
            <w:position w:val="0"/>
            <w:sz w:val="24"/>
            <w:szCs w:val="24"/>
          </w:rPr>
          <w:t>第二节公司简介</w:t>
        </w:r>
        <w:r>
          <w:rPr>
            <w:color w:val="000000"/>
            <w:spacing w:val="0"/>
            <w:w w:val="100"/>
            <w:position w:val="0"/>
            <w:sz w:val="24"/>
            <w:szCs w:val="24"/>
          </w:rPr>
          <w:tab/>
        </w:r>
        <w:r>
          <w:rPr>
            <w:color w:val="000000"/>
            <w:spacing w:val="0"/>
            <w:w w:val="100"/>
            <w:position w:val="0"/>
            <w:sz w:val="22"/>
            <w:szCs w:val="22"/>
          </w:rPr>
          <w:t>5</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35"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2"/>
            <w:szCs w:val="22"/>
          </w:rPr>
          <w:t>7</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45"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2"/>
            <w:szCs w:val="22"/>
          </w:rPr>
          <w:t>9</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178"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2"/>
            <w:szCs w:val="22"/>
          </w:rPr>
          <w:t>27</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24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2"/>
            <w:szCs w:val="22"/>
          </w:rPr>
          <w:t>32</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288"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2"/>
            <w:szCs w:val="22"/>
          </w:rPr>
          <w:t>37</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339"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2"/>
            <w:szCs w:val="22"/>
          </w:rPr>
          <w:t>46</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396" w:tooltip="Current Document">
        <w:r>
          <w:rPr>
            <w:color w:val="000000"/>
            <w:spacing w:val="0"/>
            <w:w w:val="100"/>
            <w:position w:val="0"/>
            <w:sz w:val="24"/>
            <w:szCs w:val="24"/>
          </w:rPr>
          <w:t>第九节内部控制</w:t>
        </w:r>
        <w:r>
          <w:rPr>
            <w:color w:val="000000"/>
            <w:spacing w:val="0"/>
            <w:w w:val="100"/>
            <w:position w:val="0"/>
            <w:sz w:val="24"/>
            <w:szCs w:val="24"/>
          </w:rPr>
          <w:tab/>
        </w:r>
        <w:r>
          <w:rPr>
            <w:color w:val="000000"/>
            <w:spacing w:val="0"/>
            <w:w w:val="100"/>
            <w:position w:val="0"/>
            <w:sz w:val="22"/>
            <w:szCs w:val="22"/>
          </w:rPr>
          <w:t>51</w:t>
        </w:r>
      </w:hyperlink>
    </w:p>
    <w:p>
      <w:pPr>
        <w:pStyle w:val="Style23"/>
        <w:keepNext w:val="0"/>
        <w:keepLines w:val="0"/>
        <w:widowControl w:val="0"/>
        <w:shd w:val="clear" w:color="auto" w:fill="auto"/>
        <w:tabs>
          <w:tab w:leader="dot" w:pos="9603" w:val="right"/>
        </w:tabs>
        <w:bidi w:val="0"/>
        <w:spacing w:before="0" w:line="240" w:lineRule="auto"/>
        <w:ind w:left="0" w:right="0" w:firstLine="0"/>
        <w:jc w:val="both"/>
        <w:rPr>
          <w:sz w:val="22"/>
          <w:szCs w:val="22"/>
        </w:rPr>
      </w:pPr>
      <w:hyperlink w:anchor="bookmark432"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2"/>
            <w:szCs w:val="22"/>
          </w:rPr>
          <w:t>55</w:t>
        </w:r>
      </w:hyperlink>
    </w:p>
    <w:p>
      <w:pPr>
        <w:pStyle w:val="Style23"/>
        <w:keepNext w:val="0"/>
        <w:keepLines w:val="0"/>
        <w:widowControl w:val="0"/>
        <w:shd w:val="clear" w:color="auto" w:fill="auto"/>
        <w:tabs>
          <w:tab w:leader="dot" w:pos="9603" w:val="right"/>
        </w:tabs>
        <w:bidi w:val="0"/>
        <w:spacing w:before="0" w:after="5560" w:line="240" w:lineRule="auto"/>
        <w:ind w:left="0" w:right="0" w:firstLine="0"/>
        <w:jc w:val="both"/>
        <w:rPr>
          <w:sz w:val="22"/>
          <w:szCs w:val="22"/>
        </w:rPr>
      </w:pPr>
      <w:hyperlink w:anchor="bookmark1453" w:tooltip="Current Document">
        <w:r>
          <w:rPr>
            <w:color w:val="000000"/>
            <w:spacing w:val="0"/>
            <w:w w:val="100"/>
            <w:position w:val="0"/>
            <w:sz w:val="24"/>
            <w:szCs w:val="24"/>
          </w:rPr>
          <w:t>第十一节 备查文件目录</w:t>
        </w:r>
        <w:r>
          <w:rPr>
            <w:color w:val="000000"/>
            <w:spacing w:val="0"/>
            <w:w w:val="100"/>
            <w:position w:val="0"/>
            <w:sz w:val="24"/>
            <w:szCs w:val="24"/>
          </w:rPr>
          <w:tab/>
        </w:r>
        <w:r>
          <w:rPr>
            <w:color w:val="000000"/>
            <w:spacing w:val="0"/>
            <w:w w:val="100"/>
            <w:position w:val="0"/>
            <w:sz w:val="22"/>
            <w:szCs w:val="22"/>
          </w:rPr>
          <w:t>143</w:t>
        </w:r>
      </w:hyperlink>
      <w:r>
        <w:fldChar w:fldCharType="end"/>
      </w:r>
    </w:p>
    <w:p>
      <w:pPr>
        <w:widowControl w:val="0"/>
        <w:jc w:val="center"/>
        <w:rPr>
          <w:sz w:val="2"/>
          <w:szCs w:val="2"/>
        </w:rPr>
        <w:sectPr>
          <w:footnotePr>
            <w:pos w:val="pageBottom"/>
            <w:numFmt w:val="decimal"/>
            <w:numRestart w:val="continuous"/>
          </w:footnotePr>
          <w:pgSz w:w="11900" w:h="16840"/>
          <w:pgMar w:top="2862" w:right="1123" w:bottom="125" w:left="1109" w:header="0" w:footer="3" w:gutter="0"/>
          <w:cols w:space="720"/>
          <w:noEndnote/>
          <w:rtlGutter w:val="0"/>
          <w:docGrid w:linePitch="360"/>
        </w:sectPr>
      </w:pPr>
      <w:r>
        <w:drawing>
          <wp:inline>
            <wp:extent cx="1718945" cy="9817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达实德润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达实联欣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达实自动化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上海达实自动化工程有限公司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8199" w:line="1" w:lineRule="exact"/>
      </w:pPr>
    </w:p>
    <w:p>
      <w:pPr>
        <w:widowControl w:val="0"/>
        <w:jc w:val="center"/>
        <w:rPr>
          <w:sz w:val="2"/>
          <w:szCs w:val="2"/>
        </w:rPr>
        <w:sectPr>
          <w:footnotePr>
            <w:pos w:val="pageBottom"/>
            <w:numFmt w:val="decimal"/>
            <w:numRestart w:val="continuous"/>
          </w:footnotePr>
          <w:pgSz w:w="11900" w:h="16840"/>
          <w:pgMar w:top="2271" w:right="1196" w:bottom="125" w:left="1119" w:header="0" w:footer="3" w:gutter="0"/>
          <w:cols w:space="720"/>
          <w:noEndnote/>
          <w:rtlGutter w:val="0"/>
          <w:docGrid w:linePitch="360"/>
        </w:sectPr>
      </w:pPr>
      <w:r>
        <w:drawing>
          <wp:inline>
            <wp:extent cx="1718945" cy="9817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18"/>
        <w:keepNext w:val="0"/>
        <w:keepLines w:val="0"/>
        <w:widowControl w:val="0"/>
        <w:shd w:val="clear" w:color="auto" w:fill="auto"/>
        <w:bidi w:val="0"/>
        <w:spacing w:before="0" w:after="280" w:line="240" w:lineRule="auto"/>
        <w:ind w:left="0" w:right="0"/>
        <w:jc w:val="left"/>
      </w:pPr>
      <w:r>
        <w:rPr>
          <w:color w:val="000000"/>
          <w:spacing w:val="0"/>
          <w:w w:val="100"/>
          <w:position w:val="0"/>
        </w:rPr>
        <w:t>本报告第四节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中，详细描述了公司可能面对的风险因素及应</w:t>
      </w:r>
    </w:p>
    <w:p>
      <w:pPr>
        <w:pStyle w:val="Style18"/>
        <w:keepNext w:val="0"/>
        <w:keepLines w:val="0"/>
        <w:widowControl w:val="0"/>
        <w:shd w:val="clear" w:color="auto" w:fill="auto"/>
        <w:bidi w:val="0"/>
        <w:spacing w:before="0" w:after="11660" w:line="240" w:lineRule="auto"/>
        <w:ind w:left="0" w:right="0" w:firstLine="0"/>
        <w:jc w:val="left"/>
      </w:pPr>
      <w:r>
        <w:rPr>
          <w:color w:val="000000"/>
          <w:spacing w:val="0"/>
          <w:w w:val="100"/>
          <w:position w:val="0"/>
        </w:rPr>
        <w:t>对措施，敬请投资者关注相关内容。</w:t>
      </w:r>
    </w:p>
    <w:p>
      <w:pPr>
        <w:widowControl w:val="0"/>
        <w:jc w:val="center"/>
        <w:rPr>
          <w:sz w:val="2"/>
          <w:szCs w:val="2"/>
        </w:rPr>
        <w:sectPr>
          <w:footnotePr>
            <w:pos w:val="pageBottom"/>
            <w:numFmt w:val="decimal"/>
            <w:numRestart w:val="continuous"/>
          </w:footnotePr>
          <w:pgSz w:w="11900" w:h="16840"/>
          <w:pgMar w:top="1930" w:right="1109" w:bottom="125" w:left="1104" w:header="0" w:footer="3" w:gutter="0"/>
          <w:cols w:space="720"/>
          <w:noEndnote/>
          <w:rtlGutter w:val="0"/>
          <w:docGrid w:linePitch="360"/>
        </w:sectPr>
      </w:pPr>
      <w:r>
        <w:drawing>
          <wp:inline>
            <wp:extent cx="1718945" cy="9817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7"/>
        <w:keepNext/>
        <w:keepLines/>
        <w:widowControl w:val="0"/>
        <w:shd w:val="clear" w:color="auto" w:fill="auto"/>
        <w:bidi w:val="0"/>
        <w:spacing w:before="0" w:after="320" w:line="240" w:lineRule="auto"/>
        <w:ind w:left="0" w:right="0" w:firstLine="24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DAS INTELLITECH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深圳市南山区高新技术村</w:t>
            </w:r>
            <w:r>
              <w:rPr>
                <w:rFonts w:ascii="Times New Roman" w:eastAsia="Times New Roman" w:hAnsi="Times New Roman" w:cs="Times New Roman"/>
                <w:color w:val="000000"/>
                <w:spacing w:val="0"/>
                <w:w w:val="100"/>
                <w:position w:val="0"/>
                <w:sz w:val="18"/>
                <w:szCs w:val="18"/>
              </w:rPr>
              <w:t>W1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座五楼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深圳市南山区高新技术产业园达实智能大厦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www. chn- </w:t>
            </w:r>
            <w:r>
              <w:rPr>
                <w:rFonts w:ascii="Times New Roman" w:eastAsia="Times New Roman" w:hAnsi="Times New Roman" w:cs="Times New Roman"/>
                <w:color w:val="000000"/>
                <w:spacing w:val="0"/>
                <w:w w:val="100"/>
                <w:position w:val="0"/>
                <w:sz w:val="18"/>
                <w:szCs w:val="18"/>
              </w:rPr>
              <w:t>das.com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2290"/>
        <w:gridCol w:w="3643"/>
        <w:gridCol w:w="365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张红萍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深圳市南山区高新技术产业园达实智能大厦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深圳市南山区高新技术产业园达实智能大厦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1199" w:line="1" w:lineRule="exact"/>
      </w:pPr>
    </w:p>
    <w:p>
      <w:pPr>
        <w:widowControl w:val="0"/>
        <w:jc w:val="center"/>
        <w:rPr>
          <w:sz w:val="2"/>
          <w:szCs w:val="2"/>
        </w:rPr>
        <w:sectPr>
          <w:footnotePr>
            <w:pos w:val="pageBottom"/>
            <w:numFmt w:val="decimal"/>
            <w:numRestart w:val="continuous"/>
          </w:footnotePr>
          <w:pgSz w:w="11900" w:h="16840"/>
          <w:pgMar w:top="1844" w:right="1196" w:bottom="125" w:left="1119" w:header="0" w:footer="3" w:gutter="0"/>
          <w:cols w:space="720"/>
          <w:noEndnote/>
          <w:rtlGutter w:val="0"/>
          <w:docGrid w:linePitch="360"/>
        </w:sectPr>
      </w:pPr>
      <w:r>
        <w:drawing>
          <wp:inline>
            <wp:extent cx="1718945" cy="9817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1718945" cy="981710"/>
                    </a:xfrm>
                    <a:prstGeom prst="rect"/>
                  </pic:spPr>
                </pic:pic>
              </a:graphicData>
            </a:graphic>
          </wp:inline>
        </w:drawing>
      </w:r>
    </w:p>
    <w:p>
      <w:pPr>
        <w:pStyle w:val="Style27"/>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工商外企合粤深字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106429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440301618886181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61888618-1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440301102717424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440301618886181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61888618-1</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北京西直门外大街</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号中糖大厦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潘忠民、龙哲</w:t>
            </w:r>
          </w:p>
        </w:tc>
      </w:tr>
    </w:tbl>
    <w:p>
      <w:pPr>
        <w:pStyle w:val="Style31"/>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6440" w:line="343" w:lineRule="exact"/>
        <w:ind w:left="0" w:right="0" w:firstLine="0"/>
        <w:jc w:val="both"/>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55" w:right="1196" w:bottom="125" w:left="1114" w:header="0" w:footer="3" w:gutter="0"/>
          <w:cols w:space="720"/>
          <w:noEndnote/>
          <w:rtlGutter w:val="0"/>
          <w:docGrid w:linePitch="360"/>
        </w:sect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7"/>
        <w:keepNext/>
        <w:keepLines/>
        <w:widowControl w:val="0"/>
        <w:shd w:val="clear" w:color="auto" w:fill="auto"/>
        <w:bidi w:val="0"/>
        <w:spacing w:before="0" w:after="2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一</w:t>
      </w:r>
      <w:bookmarkEnd w:id="39"/>
      <w:r>
        <w:rPr>
          <w:color w:val="000000"/>
          <w:spacing w:val="0"/>
          <w:w w:val="100"/>
          <w:position w:val="0"/>
        </w:rPr>
        <w:t>、主要会计数据和财务指标</w:t>
      </w:r>
      <w:bookmarkEnd w:id="37"/>
      <w:bookmarkEnd w:id="38"/>
      <w:bookmarkEnd w:id="40"/>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1,011,892,653.89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824,070,264.21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530,560,041.34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77,801,320.40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44,962,647.11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76,919,640.57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70,210,902.63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44,389,704.90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104,309,932.62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7,924,913.83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1,470,609,407.44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1,218,794,869.33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828,941,559.14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773,846,216.08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696,172,890.57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607,876,261.14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240"/>
        <w:jc w:val="both"/>
      </w:pPr>
      <w:bookmarkStart w:id="41" w:name="bookmark41"/>
      <w:bookmarkStart w:id="42" w:name="bookmark42"/>
      <w:bookmarkStart w:id="43" w:name="bookmark43"/>
      <w:r>
        <w:rPr>
          <w:color w:val="000000"/>
          <w:spacing w:val="0"/>
          <w:w w:val="100"/>
          <w:position w:val="0"/>
        </w:rPr>
        <w:t>、非经常性损益项目及金额</w:t>
      </w:r>
      <w:bookmarkEnd w:id="41"/>
      <w:bookmarkEnd w:id="42"/>
      <w:bookmarkEnd w:id="4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723"/>
        <w:gridCol w:w="1733"/>
        <w:gridCol w:w="1738"/>
        <w:gridCol w:w="175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 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 业业务密切相关，按照国家统一 标准定额或定量享受的政府补助 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8,289,137.21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8,629,254.25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2,429,588.50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入</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-860,713.00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除同公司正常经营业务相关的有 效套期保值业务外，持有交易性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926" w:right="1196" w:bottom="1590" w:left="1119" w:header="0" w:footer="3" w:gutter="0"/>
          <w:cols w:space="720"/>
          <w:noEndnote/>
          <w:rtlGutter w:val="0"/>
          <w:docGrid w:linePitch="360"/>
        </w:sectPr>
      </w:pPr>
    </w:p>
    <w:tbl>
      <w:tblPr>
        <w:tblOverlap w:val="never"/>
        <w:jc w:val="center"/>
        <w:tblLayout w:type="fixed"/>
      </w:tblPr>
      <w:tblGrid>
        <w:gridCol w:w="2640"/>
        <w:gridCol w:w="1723"/>
        <w:gridCol w:w="1733"/>
        <w:gridCol w:w="1738"/>
        <w:gridCol w:w="1752"/>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金融资产、交易性金融负债产生 的公允价值变动损益，以及处置 交易性金融资产、交易性金融负 债和可供出售金融资产取得的投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-651,396.49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1,276,003.27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1,354,253.20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275,752.94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1,772,621.96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5,374,569.30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7,590,417.77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572,942.21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89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25" w:left="1104" w:header="0" w:footer="3" w:gutter="0"/>
          <w:cols w:space="720"/>
          <w:noEndnote/>
          <w:rtlGutter w:val="0"/>
          <w:docGrid w:linePitch="360"/>
        </w:sectPr>
      </w:pPr>
      <w:r>
        <w:drawing>
          <wp:inline>
            <wp:extent cx="1718945" cy="9817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stretch/>
                  </pic:blipFill>
                  <pic:spPr>
                    <a:xfrm>
                      <a:ext cx="1718945" cy="981710"/>
                    </a:xfrm>
                    <a:prstGeom prst="rect"/>
                  </pic:spPr>
                </pic:pic>
              </a:graphicData>
            </a:graphic>
          </wp:inline>
        </w:drawing>
      </w:r>
    </w:p>
    <w:p>
      <w:pPr>
        <w:pStyle w:val="Style12"/>
        <w:keepNext/>
        <w:keepLines/>
        <w:widowControl w:val="0"/>
        <w:shd w:val="clear" w:color="auto" w:fill="auto"/>
        <w:bidi w:val="0"/>
        <w:spacing w:before="660" w:line="240" w:lineRule="auto"/>
        <w:ind w:left="0" w:right="0" w:firstLine="0"/>
        <w:jc w:val="center"/>
      </w:pPr>
      <w:bookmarkStart w:id="44" w:name="bookmark44"/>
      <w:bookmarkStart w:id="45" w:name="bookmark45"/>
      <w:bookmarkStart w:id="46" w:name="bookmark46"/>
      <w:r>
        <w:rPr>
          <w:color w:val="000000"/>
          <w:spacing w:val="0"/>
          <w:w w:val="100"/>
          <w:position w:val="0"/>
        </w:rPr>
        <w:t>第四节董事会报告</w:t>
      </w:r>
      <w:bookmarkEnd w:id="44"/>
      <w:bookmarkEnd w:id="45"/>
      <w:bookmarkEnd w:id="46"/>
    </w:p>
    <w:p>
      <w:pPr>
        <w:pStyle w:val="Style27"/>
        <w:keepNext/>
        <w:keepLines/>
        <w:widowControl w:val="0"/>
        <w:shd w:val="clear" w:color="auto" w:fill="auto"/>
        <w:tabs>
          <w:tab w:pos="480" w:val="left"/>
        </w:tabs>
        <w:bidi w:val="0"/>
        <w:spacing w:before="0" w:after="14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w:t>
        <w:tab/>
        <w:t>概述</w:t>
      </w:r>
      <w:bookmarkEnd w:id="47"/>
      <w:bookmarkEnd w:id="48"/>
      <w:bookmarkEnd w:id="50"/>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2013</w:t>
      </w:r>
      <w:r>
        <w:rPr>
          <w:color w:val="000000"/>
          <w:spacing w:val="0"/>
          <w:w w:val="100"/>
          <w:position w:val="0"/>
        </w:rPr>
        <w:t>年“变革”与“创新”成为普遍共识，公司充分认识到宏观经济环境变化所带来的调整压力与产 业转型升级所带来的结构性市场机会，紧扣“智慧、绿色、节能”发展方向，以智能技术创新为支撑， 以商业模式及金融创新为突破，苦练内功，适当放缓了发展速度，为未来几年实现持续增长奠定基础。</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2013</w:t>
      </w:r>
      <w:r>
        <w:rPr>
          <w:color w:val="000000"/>
          <w:spacing w:val="0"/>
          <w:w w:val="100"/>
          <w:position w:val="0"/>
        </w:rPr>
        <w:t>年公司继续专注于建筑智能化、建筑节能业务，同时拓展绿色医疗、数据中心等新兴细分领域， 逐步构建了以“节能”为差异的服务能力。同时，围绕公司战略和三年规划整合外部产业链和内部资源， 加强核心竞争力建设。</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2013</w:t>
      </w:r>
      <w:r>
        <w:rPr>
          <w:color w:val="000000"/>
          <w:spacing w:val="0"/>
          <w:w w:val="100"/>
          <w:position w:val="0"/>
        </w:rPr>
        <w:t>年公司经营业绩稳健增长，营业收入首次突破</w:t>
      </w:r>
      <w:r>
        <w:rPr>
          <w:color w:val="000000"/>
          <w:spacing w:val="0"/>
          <w:w w:val="100"/>
          <w:position w:val="0"/>
        </w:rPr>
        <w:t>10</w:t>
      </w:r>
      <w:r>
        <w:rPr>
          <w:color w:val="000000"/>
          <w:spacing w:val="0"/>
          <w:w w:val="100"/>
          <w:position w:val="0"/>
        </w:rPr>
        <w:t>亿元，达</w:t>
      </w:r>
      <w:r>
        <w:rPr>
          <w:color w:val="000000"/>
          <w:spacing w:val="0"/>
          <w:w w:val="100"/>
          <w:position w:val="0"/>
        </w:rPr>
        <w:t>10.12</w:t>
      </w:r>
      <w:r>
        <w:rPr>
          <w:color w:val="000000"/>
          <w:spacing w:val="0"/>
          <w:w w:val="100"/>
          <w:position w:val="0"/>
        </w:rPr>
        <w:t>亿元，同比增长</w:t>
      </w:r>
      <w:r>
        <w:rPr>
          <w:color w:val="000000"/>
          <w:spacing w:val="0"/>
          <w:w w:val="100"/>
          <w:position w:val="0"/>
        </w:rPr>
        <w:t>22.79%；</w:t>
      </w:r>
      <w:r>
        <w:rPr>
          <w:color w:val="000000"/>
          <w:spacing w:val="0"/>
          <w:w w:val="100"/>
          <w:position w:val="0"/>
        </w:rPr>
        <w:t>归属于 上市公司股东的净利润</w:t>
      </w:r>
      <w:r>
        <w:rPr>
          <w:color w:val="000000"/>
          <w:spacing w:val="0"/>
          <w:w w:val="100"/>
          <w:position w:val="0"/>
        </w:rPr>
        <w:t>8,229.42</w:t>
      </w:r>
      <w:r>
        <w:rPr>
          <w:color w:val="000000"/>
          <w:spacing w:val="0"/>
          <w:w w:val="100"/>
          <w:position w:val="0"/>
        </w:rPr>
        <w:t>万元，同比增长</w:t>
      </w:r>
      <w:r>
        <w:rPr>
          <w:color w:val="000000"/>
          <w:spacing w:val="0"/>
          <w:w w:val="100"/>
          <w:position w:val="0"/>
        </w:rPr>
        <w:t xml:space="preserve">5. </w:t>
      </w:r>
      <w:r>
        <w:rPr>
          <w:color w:val="000000"/>
          <w:spacing w:val="0"/>
          <w:w w:val="100"/>
          <w:position w:val="0"/>
        </w:rPr>
        <w:t>77%；</w:t>
      </w:r>
      <w:r>
        <w:rPr>
          <w:color w:val="000000"/>
          <w:spacing w:val="0"/>
          <w:w w:val="100"/>
          <w:position w:val="0"/>
        </w:rPr>
        <w:t>归属于上市公司股东的扣除非经常性损益的净利 润</w:t>
      </w:r>
      <w:r>
        <w:rPr>
          <w:color w:val="000000"/>
          <w:spacing w:val="0"/>
          <w:w w:val="100"/>
          <w:position w:val="0"/>
        </w:rPr>
        <w:t>7,691.96</w:t>
      </w:r>
      <w:r>
        <w:rPr>
          <w:color w:val="000000"/>
          <w:spacing w:val="0"/>
          <w:w w:val="100"/>
          <w:position w:val="0"/>
        </w:rPr>
        <w:t>万元，同比增长</w:t>
      </w:r>
      <w:r>
        <w:rPr>
          <w:color w:val="000000"/>
          <w:spacing w:val="0"/>
          <w:w w:val="100"/>
          <w:position w:val="0"/>
        </w:rPr>
        <w:t>9.56%；</w:t>
      </w:r>
      <w:r>
        <w:rPr>
          <w:color w:val="000000"/>
          <w:spacing w:val="0"/>
          <w:w w:val="100"/>
          <w:position w:val="0"/>
        </w:rPr>
        <w:t>加权净资产收益率为</w:t>
      </w:r>
      <w:r>
        <w:rPr>
          <w:color w:val="000000"/>
          <w:spacing w:val="0"/>
          <w:w w:val="100"/>
          <w:position w:val="0"/>
        </w:rPr>
        <w:t>11.2%,</w:t>
      </w:r>
      <w:r>
        <w:rPr>
          <w:color w:val="000000"/>
          <w:spacing w:val="0"/>
          <w:w w:val="100"/>
          <w:position w:val="0"/>
        </w:rPr>
        <w:t>较</w:t>
      </w:r>
      <w:r>
        <w:rPr>
          <w:color w:val="000000"/>
          <w:spacing w:val="0"/>
          <w:w w:val="100"/>
          <w:position w:val="0"/>
        </w:rPr>
        <w:t>2012</w:t>
      </w:r>
      <w:r>
        <w:rPr>
          <w:color w:val="000000"/>
          <w:spacing w:val="0"/>
          <w:w w:val="100"/>
          <w:position w:val="0"/>
        </w:rPr>
        <w:t>年度降低</w:t>
      </w:r>
      <w:r>
        <w:rPr>
          <w:color w:val="000000"/>
          <w:spacing w:val="0"/>
          <w:w w:val="100"/>
          <w:position w:val="0"/>
        </w:rPr>
        <w:t>0.85</w:t>
      </w:r>
      <w:r>
        <w:rPr>
          <w:color w:val="000000"/>
          <w:spacing w:val="0"/>
          <w:w w:val="100"/>
          <w:position w:val="0"/>
        </w:rPr>
        <w:t>个百分点。</w:t>
      </w:r>
    </w:p>
    <w:p>
      <w:pPr>
        <w:pStyle w:val="Style36"/>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2013</w:t>
      </w:r>
      <w:r>
        <w:rPr>
          <w:color w:val="000000"/>
          <w:spacing w:val="0"/>
          <w:w w:val="100"/>
          <w:position w:val="0"/>
        </w:rPr>
        <w:t>年公司业绩增速放缓，使公司更清晰地认识到发展所面临的挑战。公司管理层将以技术创新和商 业模式创新提升产品和服务定价，以管理精细化流程化提高劳动生产效率和人均绩效，提高经营能力与管 理水平，确保公司战略和发展规划的落实。</w:t>
      </w:r>
    </w:p>
    <w:p>
      <w:pPr>
        <w:pStyle w:val="Style27"/>
        <w:keepNext/>
        <w:keepLines/>
        <w:widowControl w:val="0"/>
        <w:shd w:val="clear" w:color="auto" w:fill="auto"/>
        <w:tabs>
          <w:tab w:pos="480"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二</w:t>
      </w:r>
      <w:bookmarkEnd w:id="53"/>
      <w:r>
        <w:rPr>
          <w:color w:val="000000"/>
          <w:spacing w:val="0"/>
          <w:w w:val="100"/>
          <w:position w:val="0"/>
        </w:rPr>
        <w:t>、</w:t>
        <w:tab/>
        <w:t>主营业务分析</w:t>
      </w:r>
      <w:bookmarkEnd w:id="51"/>
      <w:bookmarkEnd w:id="52"/>
      <w:bookmarkEnd w:id="54"/>
    </w:p>
    <w:p>
      <w:pPr>
        <w:pStyle w:val="Style39"/>
        <w:keepNext/>
        <w:keepLines/>
        <w:widowControl w:val="0"/>
        <w:shd w:val="clear" w:color="auto" w:fill="auto"/>
        <w:bidi w:val="0"/>
        <w:spacing w:before="0" w:after="0" w:line="43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1</w:t>
      </w:r>
      <w:bookmarkEnd w:id="57"/>
      <w:r>
        <w:rPr>
          <w:color w:val="000000"/>
          <w:spacing w:val="0"/>
          <w:w w:val="100"/>
          <w:position w:val="0"/>
        </w:rPr>
        <w:t>、概述</w:t>
      </w:r>
      <w:bookmarkEnd w:id="55"/>
      <w:bookmarkEnd w:id="56"/>
      <w:bookmarkEnd w:id="58"/>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2013</w:t>
      </w:r>
      <w:r>
        <w:rPr>
          <w:color w:val="000000"/>
          <w:spacing w:val="0"/>
          <w:w w:val="100"/>
          <w:position w:val="0"/>
        </w:rPr>
        <w:t>年公司营业收入较</w:t>
      </w:r>
      <w:r>
        <w:rPr>
          <w:color w:val="000000"/>
          <w:spacing w:val="0"/>
          <w:w w:val="100"/>
          <w:position w:val="0"/>
        </w:rPr>
        <w:t>2012</w:t>
      </w:r>
      <w:r>
        <w:rPr>
          <w:color w:val="000000"/>
          <w:spacing w:val="0"/>
          <w:w w:val="100"/>
          <w:position w:val="0"/>
        </w:rPr>
        <w:t>年增长</w:t>
      </w:r>
      <w:r>
        <w:rPr>
          <w:color w:val="000000"/>
          <w:spacing w:val="0"/>
          <w:w w:val="100"/>
          <w:position w:val="0"/>
        </w:rPr>
        <w:t>22.79%,</w:t>
      </w:r>
      <w:r>
        <w:rPr>
          <w:color w:val="000000"/>
          <w:spacing w:val="0"/>
          <w:w w:val="100"/>
          <w:position w:val="0"/>
        </w:rPr>
        <w:t>营业成本较</w:t>
      </w:r>
      <w:r>
        <w:rPr>
          <w:color w:val="000000"/>
          <w:spacing w:val="0"/>
          <w:w w:val="100"/>
          <w:position w:val="0"/>
        </w:rPr>
        <w:t>2012</w:t>
      </w:r>
      <w:r>
        <w:rPr>
          <w:color w:val="000000"/>
          <w:spacing w:val="0"/>
          <w:w w:val="100"/>
          <w:position w:val="0"/>
        </w:rPr>
        <w:t>年增长</w:t>
      </w:r>
      <w:r>
        <w:rPr>
          <w:color w:val="000000"/>
          <w:spacing w:val="0"/>
          <w:w w:val="100"/>
          <w:position w:val="0"/>
        </w:rPr>
        <w:t>25.01%</w:t>
      </w:r>
      <w:r>
        <w:rPr>
          <w:color w:val="000000"/>
          <w:spacing w:val="0"/>
          <w:w w:val="100"/>
          <w:position w:val="0"/>
        </w:rPr>
        <w:t>，主要原因是：</w:t>
      </w:r>
      <w:r>
        <w:rPr>
          <w:color w:val="000000"/>
          <w:spacing w:val="0"/>
          <w:w w:val="100"/>
          <w:position w:val="0"/>
        </w:rPr>
        <w:t>（1）</w:t>
      </w:r>
      <w:r>
        <w:rPr>
          <w:color w:val="000000"/>
          <w:spacing w:val="0"/>
          <w:w w:val="100"/>
          <w:position w:val="0"/>
        </w:rPr>
        <w:t>公司 以前年度签约实现的销售使收入增加，同时成本相应增加，但由于本期新增签约未达预期，使收入增速放 缓；</w:t>
      </w:r>
      <w:r>
        <w:rPr>
          <w:color w:val="000000"/>
          <w:spacing w:val="0"/>
          <w:w w:val="100"/>
          <w:position w:val="0"/>
        </w:rPr>
        <w:t>（2）</w:t>
      </w:r>
      <w:r>
        <w:rPr>
          <w:color w:val="000000"/>
          <w:spacing w:val="0"/>
          <w:w w:val="100"/>
          <w:position w:val="0"/>
        </w:rPr>
        <w:t>营业收入增长幅度低于营业成本增长幅度，毛利率较上年同期下降</w:t>
      </w:r>
      <w:r>
        <w:rPr>
          <w:color w:val="000000"/>
          <w:spacing w:val="0"/>
          <w:w w:val="100"/>
          <w:position w:val="0"/>
        </w:rPr>
        <w:t>1.25</w:t>
      </w:r>
      <w:r>
        <w:rPr>
          <w:color w:val="000000"/>
          <w:spacing w:val="0"/>
          <w:w w:val="100"/>
          <w:position w:val="0"/>
        </w:rPr>
        <w:t>个百分点，主要原因是 建筑智能化业务因市场竞争原因导致毛利率较上年有所下降。</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2013</w:t>
      </w:r>
      <w:r>
        <w:rPr>
          <w:color w:val="000000"/>
          <w:spacing w:val="0"/>
          <w:w w:val="100"/>
          <w:position w:val="0"/>
        </w:rPr>
        <w:t>年公司期间费用仍有较大增长。其中：销售费用较</w:t>
      </w:r>
      <w:r>
        <w:rPr>
          <w:color w:val="000000"/>
          <w:spacing w:val="0"/>
          <w:w w:val="100"/>
          <w:position w:val="0"/>
        </w:rPr>
        <w:t>2012</w:t>
      </w:r>
      <w:r>
        <w:rPr>
          <w:color w:val="000000"/>
          <w:spacing w:val="0"/>
          <w:w w:val="100"/>
          <w:position w:val="0"/>
        </w:rPr>
        <w:t>年增长</w:t>
      </w:r>
      <w:r>
        <w:rPr>
          <w:color w:val="000000"/>
          <w:spacing w:val="0"/>
          <w:w w:val="100"/>
          <w:position w:val="0"/>
        </w:rPr>
        <w:t>32.63%，</w:t>
      </w:r>
      <w:r>
        <w:rPr>
          <w:color w:val="000000"/>
          <w:spacing w:val="0"/>
          <w:w w:val="100"/>
          <w:position w:val="0"/>
        </w:rPr>
        <w:t>主要原因是本报告期员工 薪酬增加、公司加大区域市场开拓力度以及</w:t>
      </w:r>
      <w:r>
        <w:rPr>
          <w:color w:val="000000"/>
          <w:spacing w:val="0"/>
          <w:w w:val="100"/>
          <w:position w:val="0"/>
        </w:rPr>
        <w:t>2</w:t>
      </w:r>
      <w:r>
        <w:rPr>
          <w:color w:val="000000"/>
          <w:spacing w:val="0"/>
          <w:w w:val="100"/>
          <w:position w:val="0"/>
        </w:rPr>
        <w:t>家子公司因纳入合并报表的期间不同导致本报告期并入的金 额增加所致；管理费用较</w:t>
      </w:r>
      <w:r>
        <w:rPr>
          <w:color w:val="000000"/>
          <w:spacing w:val="0"/>
          <w:w w:val="100"/>
          <w:position w:val="0"/>
        </w:rPr>
        <w:t>2012</w:t>
      </w:r>
      <w:r>
        <w:rPr>
          <w:color w:val="000000"/>
          <w:spacing w:val="0"/>
          <w:w w:val="100"/>
          <w:position w:val="0"/>
        </w:rPr>
        <w:t>年增长</w:t>
      </w:r>
      <w:r>
        <w:rPr>
          <w:color w:val="000000"/>
          <w:spacing w:val="0"/>
          <w:w w:val="100"/>
          <w:position w:val="0"/>
        </w:rPr>
        <w:t>48.61%</w:t>
      </w:r>
      <w:r>
        <w:rPr>
          <w:color w:val="000000"/>
          <w:spacing w:val="0"/>
          <w:w w:val="100"/>
          <w:position w:val="0"/>
        </w:rPr>
        <w:t>，主要原因是本报告期员工薪酬增加以及</w:t>
      </w:r>
      <w:r>
        <w:rPr>
          <w:color w:val="000000"/>
          <w:spacing w:val="0"/>
          <w:w w:val="100"/>
          <w:position w:val="0"/>
        </w:rPr>
        <w:t>2</w:t>
      </w:r>
      <w:r>
        <w:rPr>
          <w:color w:val="000000"/>
          <w:spacing w:val="0"/>
          <w:w w:val="100"/>
          <w:position w:val="0"/>
        </w:rPr>
        <w:t>家子公司因纳入合 并报表的期间不同导致本报告期并入的金额增加所致。报告期内，公司经营活动产生的现金流量净额为</w:t>
      </w:r>
      <w:r>
        <w:rPr>
          <w:color w:val="000000"/>
          <w:spacing w:val="0"/>
          <w:w w:val="100"/>
          <w:position w:val="0"/>
        </w:rPr>
        <w:t xml:space="preserve">452 </w:t>
      </w:r>
      <w:r>
        <w:rPr>
          <w:color w:val="000000"/>
          <w:spacing w:val="0"/>
          <w:w w:val="100"/>
          <w:position w:val="0"/>
        </w:rPr>
        <w:t>万元，较上年度减少</w:t>
      </w:r>
      <w:r>
        <w:rPr>
          <w:color w:val="000000"/>
          <w:spacing w:val="0"/>
          <w:w w:val="100"/>
          <w:position w:val="0"/>
        </w:rPr>
        <w:t>95.67%,</w:t>
      </w:r>
      <w:r>
        <w:rPr>
          <w:color w:val="000000"/>
          <w:spacing w:val="0"/>
          <w:w w:val="100"/>
          <w:position w:val="0"/>
        </w:rPr>
        <w:t>主要原因是受外部经济环境的影响，公司本报告期收款虽然较上期增加，但 与工程项目进度相比滞后，不能按照合同约定收回货款，而公司工程项目付款根据项目进度按照合同约定 付款，收款增幅远小于付款增幅所致。投资活动产生的现金流量净额较上年同期增长</w:t>
      </w:r>
      <w:r>
        <w:rPr>
          <w:color w:val="000000"/>
          <w:spacing w:val="0"/>
          <w:w w:val="100"/>
          <w:position w:val="0"/>
        </w:rPr>
        <w:t>75.72%，</w:t>
      </w:r>
      <w:r>
        <w:rPr>
          <w:color w:val="000000"/>
          <w:spacing w:val="0"/>
          <w:w w:val="100"/>
          <w:position w:val="0"/>
        </w:rPr>
        <w:t>主要原因是 上年同期母公司支付</w:t>
      </w:r>
      <w:r>
        <w:rPr>
          <w:color w:val="000000"/>
          <w:spacing w:val="0"/>
          <w:w w:val="100"/>
          <w:position w:val="0"/>
        </w:rPr>
        <w:t>2</w:t>
      </w:r>
      <w:r>
        <w:rPr>
          <w:color w:val="000000"/>
          <w:spacing w:val="0"/>
          <w:w w:val="100"/>
          <w:position w:val="0"/>
        </w:rPr>
        <w:t>家非全资子公司收购款所致，而本期无大额资本开支。筹资活动产生的现金流量净 额为</w:t>
      </w:r>
      <w:r>
        <w:rPr>
          <w:color w:val="000000"/>
          <w:spacing w:val="0"/>
          <w:w w:val="100"/>
          <w:position w:val="0"/>
        </w:rPr>
        <w:t>3,522.77</w:t>
      </w:r>
      <w:r>
        <w:rPr>
          <w:color w:val="000000"/>
          <w:spacing w:val="0"/>
          <w:w w:val="100"/>
          <w:position w:val="0"/>
        </w:rPr>
        <w:t>万元，较上年度增长</w:t>
      </w:r>
      <w:r>
        <w:rPr>
          <w:color w:val="000000"/>
          <w:spacing w:val="0"/>
          <w:w w:val="100"/>
          <w:position w:val="0"/>
        </w:rPr>
        <w:t>689.89%,</w:t>
      </w:r>
      <w:r>
        <w:rPr>
          <w:color w:val="000000"/>
          <w:spacing w:val="0"/>
          <w:w w:val="100"/>
          <w:position w:val="0"/>
        </w:rPr>
        <w:t xml:space="preserve">主要是因为本报告期母公司及子公司达实信息因流动资金需 </w:t>
      </w:r>
      <w:r>
        <w:rPr>
          <w:color w:val="000000"/>
          <w:spacing w:val="0"/>
          <w:w w:val="100"/>
          <w:position w:val="0"/>
        </w:rPr>
        <w:t>求增加</w:t>
      </w:r>
      <w:r>
        <w:rPr>
          <w:color w:val="000000"/>
          <w:spacing w:val="0"/>
          <w:w w:val="100"/>
          <w:position w:val="0"/>
        </w:rPr>
        <w:t>5,00</w:t>
      </w:r>
      <w:r>
        <w:rPr>
          <w:color w:val="000000"/>
          <w:spacing w:val="0"/>
          <w:w w:val="100"/>
          <w:position w:val="0"/>
        </w:rPr>
        <w:t>。万元银行借款。</w:t>
      </w:r>
    </w:p>
    <w:p>
      <w:pPr>
        <w:pStyle w:val="Style36"/>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公司回顾总结前期披露的发展战略和经营计划在报告期内的进展情况</w:t>
      </w:r>
    </w:p>
    <w:p>
      <w:pPr>
        <w:pStyle w:val="Style36"/>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报告期内，公司的主要经营情况如下：</w:t>
      </w:r>
    </w:p>
    <w:p>
      <w:pPr>
        <w:pStyle w:val="Style36"/>
        <w:keepNext w:val="0"/>
        <w:keepLines w:val="0"/>
        <w:widowControl w:val="0"/>
        <w:shd w:val="clear" w:color="auto" w:fill="auto"/>
        <w:tabs>
          <w:tab w:pos="928" w:val="left"/>
        </w:tabs>
        <w:bidi w:val="0"/>
        <w:spacing w:before="0" w:after="0" w:line="406" w:lineRule="exact"/>
        <w:ind w:left="0" w:right="0" w:firstLine="440"/>
        <w:jc w:val="both"/>
      </w:pPr>
      <w:bookmarkStart w:id="59" w:name="bookmark59"/>
      <w:r>
        <w:rPr>
          <w:color w:val="000000"/>
          <w:spacing w:val="0"/>
          <w:w w:val="100"/>
          <w:position w:val="0"/>
        </w:rPr>
        <w:t>（</w:t>
      </w:r>
      <w:bookmarkEnd w:id="59"/>
      <w:r>
        <w:rPr>
          <w:color w:val="000000"/>
          <w:spacing w:val="0"/>
          <w:w w:val="100"/>
          <w:position w:val="0"/>
        </w:rPr>
        <w:t>1）</w:t>
        <w:tab/>
      </w:r>
      <w:r>
        <w:rPr>
          <w:color w:val="000000"/>
          <w:spacing w:val="0"/>
          <w:w w:val="100"/>
          <w:position w:val="0"/>
        </w:rPr>
        <w:t>技术创新</w:t>
      </w:r>
    </w:p>
    <w:p>
      <w:pPr>
        <w:pStyle w:val="Style36"/>
        <w:keepNext w:val="0"/>
        <w:keepLines w:val="0"/>
        <w:widowControl w:val="0"/>
        <w:shd w:val="clear" w:color="auto" w:fill="auto"/>
        <w:bidi w:val="0"/>
        <w:spacing w:before="0" w:after="0" w:line="406" w:lineRule="exact"/>
        <w:ind w:left="0" w:right="0" w:firstLine="540"/>
        <w:jc w:val="both"/>
      </w:pPr>
      <w:r>
        <w:rPr>
          <w:color w:val="000000"/>
          <w:spacing w:val="0"/>
          <w:w w:val="100"/>
          <w:position w:val="0"/>
        </w:rPr>
        <w:t>专业化创造价值，而技术创新是专业化的支撑。报告期内，公司加大研发投入，侧重提高建筑物全 生命周期节能服务的集成能力，研发和优化了</w:t>
      </w:r>
      <w:r>
        <w:rPr>
          <w:color w:val="000000"/>
          <w:spacing w:val="0"/>
          <w:w w:val="100"/>
          <w:position w:val="0"/>
        </w:rPr>
        <w:t>IBMS 2.0（</w:t>
      </w:r>
      <w:r>
        <w:rPr>
          <w:color w:val="000000"/>
          <w:spacing w:val="0"/>
          <w:w w:val="100"/>
          <w:position w:val="0"/>
        </w:rPr>
        <w:t>智能楼宇管理系统）、</w:t>
      </w:r>
      <w:r>
        <w:rPr>
          <w:color w:val="000000"/>
          <w:spacing w:val="0"/>
          <w:w w:val="100"/>
          <w:position w:val="0"/>
        </w:rPr>
        <w:t xml:space="preserve">CEMP </w:t>
      </w:r>
      <w:r>
        <w:rPr>
          <w:color w:val="000000"/>
          <w:spacing w:val="0"/>
          <w:w w:val="100"/>
          <w:position w:val="0"/>
        </w:rPr>
        <w:t>（城市能源监测管理平 台）、水蓄冷系统等产品。</w:t>
      </w:r>
      <w:r>
        <w:rPr>
          <w:color w:val="000000"/>
          <w:spacing w:val="0"/>
          <w:w w:val="100"/>
          <w:position w:val="0"/>
        </w:rPr>
        <w:t>2013</w:t>
      </w:r>
      <w:r>
        <w:rPr>
          <w:color w:val="000000"/>
          <w:spacing w:val="0"/>
          <w:w w:val="100"/>
          <w:position w:val="0"/>
        </w:rPr>
        <w:t>年，公司获批组建广东省建筑节能与环境控制工程技术研究开发中心。</w:t>
      </w:r>
    </w:p>
    <w:p>
      <w:pPr>
        <w:pStyle w:val="Style36"/>
        <w:keepNext w:val="0"/>
        <w:keepLines w:val="0"/>
        <w:widowControl w:val="0"/>
        <w:shd w:val="clear" w:color="auto" w:fill="auto"/>
        <w:tabs>
          <w:tab w:pos="928" w:val="left"/>
        </w:tabs>
        <w:bidi w:val="0"/>
        <w:spacing w:before="0" w:after="0" w:line="406"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2）</w:t>
        <w:tab/>
      </w:r>
      <w:r>
        <w:rPr>
          <w:color w:val="000000"/>
          <w:spacing w:val="0"/>
          <w:w w:val="100"/>
          <w:position w:val="0"/>
        </w:rPr>
        <w:t>商业模式和金融创新</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以商业模式创新牵引业务发展，充分利用上市公司融资与资本平台的优势，加快技术与金融的结合。 公司以客户和项目的融资需求为出发点，在商业模式和金融创新上着力，有效发挥公司在专业能力和融资 上的优势，形成“工程</w:t>
      </w:r>
      <w:r>
        <w:rPr>
          <w:color w:val="000000"/>
          <w:spacing w:val="0"/>
          <w:w w:val="100"/>
          <w:position w:val="0"/>
        </w:rPr>
        <w:t>+</w:t>
      </w:r>
      <w:r>
        <w:rPr>
          <w:color w:val="000000"/>
          <w:spacing w:val="0"/>
          <w:w w:val="100"/>
          <w:position w:val="0"/>
        </w:rPr>
        <w:t>服务”、"技术</w:t>
      </w:r>
      <w:r>
        <w:rPr>
          <w:color w:val="000000"/>
          <w:spacing w:val="0"/>
          <w:w w:val="100"/>
          <w:position w:val="0"/>
        </w:rPr>
        <w:t>+</w:t>
      </w:r>
      <w:r>
        <w:rPr>
          <w:color w:val="000000"/>
          <w:spacing w:val="0"/>
          <w:w w:val="100"/>
          <w:position w:val="0"/>
        </w:rPr>
        <w:t>金融”的新结构，快速做强做大。</w:t>
      </w:r>
      <w:r>
        <w:rPr>
          <w:color w:val="000000"/>
          <w:spacing w:val="0"/>
          <w:w w:val="100"/>
          <w:position w:val="0"/>
        </w:rPr>
        <w:t>2013</w:t>
      </w:r>
      <w:r>
        <w:rPr>
          <w:color w:val="000000"/>
          <w:spacing w:val="0"/>
          <w:w w:val="100"/>
          <w:position w:val="0"/>
        </w:rPr>
        <w:t xml:space="preserve">年，公司在轨道交通、绿 色医院、绿色数据中心等重点细分领域，在传统的专业工程承包基础上，辅以合同能源管理、买方信贷、 </w:t>
      </w:r>
      <w:r>
        <w:rPr>
          <w:color w:val="000000"/>
          <w:spacing w:val="0"/>
          <w:w w:val="100"/>
          <w:position w:val="0"/>
        </w:rPr>
        <w:t>BT</w:t>
      </w:r>
      <w:r>
        <w:rPr>
          <w:color w:val="000000"/>
          <w:spacing w:val="0"/>
          <w:w w:val="100"/>
          <w:position w:val="0"/>
        </w:rPr>
        <w:t>、</w:t>
      </w:r>
      <w:r>
        <w:rPr>
          <w:color w:val="000000"/>
          <w:spacing w:val="0"/>
          <w:w w:val="100"/>
          <w:position w:val="0"/>
        </w:rPr>
        <w:t>融资租赁的创新商业模式及金融创新，使公司持续服务大客户、大项目的能力得以提高。</w:t>
      </w:r>
    </w:p>
    <w:p>
      <w:pPr>
        <w:pStyle w:val="Style36"/>
        <w:keepNext w:val="0"/>
        <w:keepLines w:val="0"/>
        <w:widowControl w:val="0"/>
        <w:shd w:val="clear" w:color="auto" w:fill="auto"/>
        <w:tabs>
          <w:tab w:pos="928" w:val="left"/>
        </w:tabs>
        <w:bidi w:val="0"/>
        <w:spacing w:before="0" w:after="0" w:line="410"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3）</w:t>
        <w:tab/>
      </w:r>
      <w:r>
        <w:rPr>
          <w:color w:val="000000"/>
          <w:spacing w:val="0"/>
          <w:w w:val="100"/>
          <w:position w:val="0"/>
        </w:rPr>
        <w:t>精细化、流程化管理</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精细化、流程化管理，是公司在规模快速扩张后的必然选择。</w:t>
      </w:r>
      <w:r>
        <w:rPr>
          <w:color w:val="000000"/>
          <w:spacing w:val="0"/>
          <w:w w:val="100"/>
          <w:position w:val="0"/>
        </w:rPr>
        <w:t>2013</w:t>
      </w:r>
      <w:r>
        <w:rPr>
          <w:color w:val="000000"/>
          <w:spacing w:val="0"/>
          <w:w w:val="100"/>
          <w:position w:val="0"/>
        </w:rPr>
        <w:t>年，公司更重视有效益的增长，通 过精细化和流程化的管理，摆脱粗犷式发展。作为提升公司竞争力计划的一部分，公司在财务现金流和应 收款核算与管理、施工工艺和工程审计、核心供应商选择等方面拾遗补漏，做了大量有益的工作。与此同 时，毛利率波动、人员费用增加、应收账款周转率下降等侵蚀盈利因素的不利影响未能如计划解决，尚需 要付出艰苦努力。</w:t>
      </w:r>
    </w:p>
    <w:p>
      <w:pPr>
        <w:pStyle w:val="Style36"/>
        <w:keepNext w:val="0"/>
        <w:keepLines w:val="0"/>
        <w:widowControl w:val="0"/>
        <w:shd w:val="clear" w:color="auto" w:fill="auto"/>
        <w:tabs>
          <w:tab w:pos="928" w:val="left"/>
        </w:tabs>
        <w:bidi w:val="0"/>
        <w:spacing w:before="0" w:after="0" w:line="410"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4）</w:t>
        <w:tab/>
      </w:r>
      <w:r>
        <w:rPr>
          <w:color w:val="000000"/>
          <w:spacing w:val="0"/>
          <w:w w:val="100"/>
          <w:position w:val="0"/>
        </w:rPr>
        <w:t>内部协同</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2013</w:t>
      </w:r>
      <w:r>
        <w:rPr>
          <w:color w:val="000000"/>
          <w:spacing w:val="0"/>
          <w:w w:val="100"/>
          <w:position w:val="0"/>
        </w:rPr>
        <w:t>年，公司加强了并购子公司的业务整合，建立了内部事业部、子公司条块管理的模式。以节能为 差异化竞争核心，推动面向行业客户的整体解决方案，品牌和营销整合，实行交叉销售，取得了一定的成 绩。</w:t>
      </w:r>
    </w:p>
    <w:p>
      <w:pPr>
        <w:pStyle w:val="Style36"/>
        <w:keepNext w:val="0"/>
        <w:keepLines w:val="0"/>
        <w:widowControl w:val="0"/>
        <w:shd w:val="clear" w:color="auto" w:fill="auto"/>
        <w:tabs>
          <w:tab w:pos="928" w:val="left"/>
        </w:tabs>
        <w:bidi w:val="0"/>
        <w:spacing w:before="0" w:after="0" w:line="410" w:lineRule="exact"/>
        <w:ind w:left="0" w:right="0" w:firstLine="440"/>
        <w:jc w:val="both"/>
      </w:pPr>
      <w:bookmarkStart w:id="63" w:name="bookmark63"/>
      <w:r>
        <w:rPr>
          <w:color w:val="000000"/>
          <w:spacing w:val="0"/>
          <w:w w:val="100"/>
          <w:position w:val="0"/>
        </w:rPr>
        <w:t>（</w:t>
      </w:r>
      <w:bookmarkEnd w:id="63"/>
      <w:r>
        <w:rPr>
          <w:color w:val="000000"/>
          <w:spacing w:val="0"/>
          <w:w w:val="100"/>
          <w:position w:val="0"/>
        </w:rPr>
        <w:t>5）</w:t>
        <w:tab/>
      </w:r>
      <w:r>
        <w:rPr>
          <w:color w:val="000000"/>
          <w:spacing w:val="0"/>
          <w:w w:val="100"/>
          <w:position w:val="0"/>
        </w:rPr>
        <w:t>企业资质和荣誉</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2013</w:t>
      </w:r>
      <w:r>
        <w:rPr>
          <w:color w:val="000000"/>
          <w:spacing w:val="0"/>
          <w:w w:val="100"/>
          <w:position w:val="0"/>
        </w:rPr>
        <w:t>年，公司顺利完成信息产业部系统集成壹级资质换证工作，取得机电设备安装专业承包一级资质, 荣获“广东省守合同重信用”称号。企业获授牌“广东省工业旅游示范单位”，通过节能科普教育基地进 行品牌营销和节能科普交易，履行社会责任。</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公司实际经营业绩较曾公开披露过的本年度盈利预测低于或高于</w:t>
      </w:r>
      <w:r>
        <w:rPr>
          <w:color w:val="000000"/>
          <w:spacing w:val="0"/>
          <w:w w:val="100"/>
          <w:position w:val="0"/>
        </w:rPr>
        <w:t>20%</w:t>
      </w:r>
      <w:r>
        <w:rPr>
          <w:color w:val="000000"/>
          <w:spacing w:val="0"/>
          <w:w w:val="100"/>
          <w:position w:val="0"/>
        </w:rPr>
        <w:t>以上的差异原因</w:t>
      </w:r>
    </w:p>
    <w:p>
      <w:pPr>
        <w:pStyle w:val="Style36"/>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after="400" w:line="410" w:lineRule="exact"/>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、收入</w:t>
      </w:r>
      <w:bookmarkEnd w:id="64"/>
      <w:bookmarkEnd w:id="65"/>
      <w:bookmarkEnd w:id="6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
        <w:keepNext w:val="0"/>
        <w:keepLines w:val="0"/>
        <w:widowControl w:val="0"/>
        <w:shd w:val="clear" w:color="auto" w:fill="auto"/>
        <w:bidi w:val="0"/>
        <w:spacing w:before="0" w:after="12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年度，公司实现营业收入</w:t>
      </w:r>
      <w:r>
        <w:rPr>
          <w:rFonts w:ascii="Times New Roman" w:eastAsia="Times New Roman" w:hAnsi="Times New Roman" w:cs="Times New Roman"/>
          <w:color w:val="000000"/>
          <w:spacing w:val="0"/>
          <w:w w:val="100"/>
          <w:position w:val="0"/>
          <w:sz w:val="20"/>
          <w:szCs w:val="20"/>
        </w:rPr>
        <w:t>1,011,892,653.89</w:t>
      </w:r>
      <w:r>
        <w:rPr>
          <w:color w:val="000000"/>
          <w:spacing w:val="0"/>
          <w:w w:val="100"/>
          <w:position w:val="0"/>
          <w:sz w:val="20"/>
          <w:szCs w:val="20"/>
        </w:rPr>
        <w:t>元，较</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年度增长</w:t>
      </w:r>
      <w:r>
        <w:rPr>
          <w:rFonts w:ascii="Times New Roman" w:eastAsia="Times New Roman" w:hAnsi="Times New Roman" w:cs="Times New Roman"/>
          <w:color w:val="000000"/>
          <w:spacing w:val="0"/>
          <w:w w:val="100"/>
          <w:position w:val="0"/>
          <w:sz w:val="20"/>
          <w:szCs w:val="20"/>
        </w:rPr>
        <w:t>22.79%</w:t>
      </w:r>
      <w:r>
        <w:rPr>
          <w:color w:val="000000"/>
          <w:spacing w:val="0"/>
          <w:w w:val="100"/>
          <w:position w:val="0"/>
          <w:sz w:val="20"/>
          <w:szCs w:val="20"/>
        </w:rPr>
        <w:t>。</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42"/>
        <w:gridCol w:w="2064"/>
        <w:gridCol w:w="2064"/>
        <w:gridCol w:w="2160"/>
      </w:tblGrid>
      <w:tr>
        <w:trPr>
          <w:trHeight w:val="5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2012</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本年比上年增减幅度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建筑智能化及建筑节能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748,600,663.03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605,060,107.30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绿色建筑公用工程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167,998,524.25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120,659,422.08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39.23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工业自动化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22,967,056.20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41,085,627.32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终端产品及其他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39,350,388.70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29,926,872.21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32,976,021.71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27,338,235.30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20.62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1,011,892,653.89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824,070,264.21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22.79</w:t>
            </w:r>
          </w:p>
        </w:tc>
      </w:tr>
    </w:tbl>
    <w:p>
      <w:pPr>
        <w:widowControl w:val="0"/>
        <w:spacing w:after="399" w:line="1" w:lineRule="exact"/>
      </w:pP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公司实物销售收入是否大于劳务收入</w:t>
      </w: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公司重大的在手订单情况</w:t>
      </w: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公司报告期内产品或服务发生重大变化或调整有关情况</w:t>
      </w: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公司主要销售客户情况</w:t>
      </w:r>
    </w:p>
    <w:tbl>
      <w:tblPr>
        <w:tblOverlap w:val="never"/>
        <w:jc w:val="center"/>
        <w:tblLayout w:type="fixed"/>
      </w:tblPr>
      <w:tblGrid>
        <w:gridCol w:w="4781"/>
        <w:gridCol w:w="4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205,654,030.86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r>
    </w:tbl>
    <w:p>
      <w:pPr>
        <w:widowControl w:val="0"/>
        <w:spacing w:after="79" w:line="1" w:lineRule="exact"/>
      </w:pPr>
    </w:p>
    <w:p>
      <w:pPr>
        <w:pStyle w:val="Style3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公司前</w:t>
      </w:r>
      <w:r>
        <w:rPr>
          <w:color w:val="000000"/>
          <w:spacing w:val="0"/>
          <w:w w:val="100"/>
          <w:position w:val="0"/>
        </w:rPr>
        <w:t>5</w:t>
      </w:r>
      <w:r>
        <w:rPr>
          <w:color w:val="000000"/>
          <w:spacing w:val="0"/>
          <w:w w:val="100"/>
          <w:position w:val="0"/>
        </w:rPr>
        <w:t>大客户资料</w:t>
      </w:r>
    </w:p>
    <w:p>
      <w:pPr>
        <w:pStyle w:val="Style3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 xml:space="preserve">V </w:t>
      </w:r>
      <w:r>
        <w:rPr>
          <w:color w:val="000000"/>
          <w:spacing w:val="0"/>
          <w:w w:val="100"/>
          <w:position w:val="0"/>
        </w:rPr>
        <w:t>适用 □ 不适用</w:t>
      </w:r>
    </w:p>
    <w:tbl>
      <w:tblPr>
        <w:tblOverlap w:val="never"/>
        <w:jc w:val="center"/>
        <w:tblLayout w:type="fixed"/>
      </w:tblPr>
      <w:tblGrid>
        <w:gridCol w:w="1046"/>
        <w:gridCol w:w="2846"/>
        <w:gridCol w:w="2842"/>
        <w:gridCol w:w="2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89,334,030.86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上海松江万达广场有限公司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40,470,000.00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珠海长隆投资发展有限公司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33,520,000.00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河南升龙置业有限公司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上海古北（集团）有限公司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16,830,000.00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205,654,030.86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3</w:t>
      </w:r>
      <w:bookmarkEnd w:id="70"/>
      <w:r>
        <w:rPr>
          <w:color w:val="000000"/>
          <w:spacing w:val="0"/>
          <w:w w:val="100"/>
          <w:position w:val="0"/>
        </w:rPr>
        <w:t>、成本</w:t>
      </w:r>
      <w:bookmarkEnd w:id="68"/>
      <w:bookmarkEnd w:id="69"/>
      <w:bookmarkEnd w:id="7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建筑智能化及建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560,933,015.91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439,758,498.66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tc>
      </w:tr>
    </w:tbl>
    <w:p>
      <w:pPr>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263" w:right="1048" w:bottom="1479" w:left="1060" w:header="0" w:footer="3" w:gutter="0"/>
          <w:cols w:space="720"/>
          <w:noEndnote/>
          <w:titlePg/>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筑节能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绿色建筑公用工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106,843,650.37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80,130,751.05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工业自动化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16,204,545.23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28,806,933.00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12,431,583.62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9,189,722.68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16,798,060.25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12,651,173.36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713,210,855.38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570,537,078.75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713,210,855.38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570,537,078.75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公司以实施工程业务为主，按行业分类，不区分产品。</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82,324,616.02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2875"/>
        <w:gridCol w:w="2880"/>
        <w:gridCol w:w="288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湖南大一电力科技有限公司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28,363,498.80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深圳市深安视通科技发展有限公司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26,009,271.47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深圳市智安科技发展有限公司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10,721,479.84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上海智金电器有限公司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8,680,253.62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重庆信泛通智能科技有限公司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8,550,112.29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82,324,616.02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4</w:t>
      </w:r>
      <w:bookmarkEnd w:id="74"/>
      <w:r>
        <w:rPr>
          <w:color w:val="000000"/>
          <w:spacing w:val="0"/>
          <w:w w:val="100"/>
          <w:position w:val="0"/>
        </w:rPr>
        <w:t>、费用</w:t>
      </w:r>
      <w:bookmarkEnd w:id="72"/>
      <w:bookmarkEnd w:id="73"/>
      <w:bookmarkEnd w:id="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390"/>
        <w:gridCol w:w="2405"/>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费用项目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2012</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本年比上年增减幅度（%）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74,887,869.12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56,462,601.93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75,644,448.00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50,900,322.79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-1,557,430.59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-3,718,914.03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19,625,612.45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22,152,551.38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r>
    </w:tbl>
    <w:p>
      <w:pPr>
        <w:pStyle w:val="Style31"/>
        <w:keepNext w:val="0"/>
        <w:keepLines w:val="0"/>
        <w:widowControl w:val="0"/>
        <w:shd w:val="clear" w:color="auto" w:fill="auto"/>
        <w:tabs>
          <w:tab w:pos="944" w:val="left"/>
        </w:tabs>
        <w:bidi w:val="0"/>
        <w:spacing w:before="0" w:after="0" w:line="365"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销售费用较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32.63%</w:t>
      </w:r>
      <w:r>
        <w:rPr>
          <w:color w:val="000000"/>
          <w:spacing w:val="0"/>
          <w:w w:val="100"/>
          <w:position w:val="0"/>
        </w:rPr>
        <w:t>，主要原因是本报告期员工薪酬增加、公司加大区域市场开拓力度以及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 因纳入合并报表的期间不同导致本报告期并入的金额增加所致；</w:t>
      </w:r>
    </w:p>
    <w:p>
      <w:pPr>
        <w:pStyle w:val="Style31"/>
        <w:keepNext w:val="0"/>
        <w:keepLines w:val="0"/>
        <w:widowControl w:val="0"/>
        <w:shd w:val="clear" w:color="auto" w:fill="auto"/>
        <w:tabs>
          <w:tab w:pos="958" w:val="left"/>
        </w:tabs>
        <w:bidi w:val="0"/>
        <w:spacing w:before="0" w:after="0" w:line="365" w:lineRule="exact"/>
        <w:ind w:left="0" w:right="0" w:firstLine="44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管理费用较</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48.61%</w:t>
      </w:r>
      <w:r>
        <w:rPr>
          <w:color w:val="000000"/>
          <w:spacing w:val="0"/>
          <w:w w:val="100"/>
          <w:position w:val="0"/>
        </w:rPr>
        <w:t>，主要原因是本期薪酬、社保费增加以及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家子公司因纳入合并报表的期间不同导 致本报告期并入的金额增加所致；</w:t>
      </w:r>
    </w:p>
    <w:p>
      <w:pPr>
        <w:pStyle w:val="Style31"/>
        <w:keepNext w:val="0"/>
        <w:keepLines w:val="0"/>
        <w:widowControl w:val="0"/>
        <w:shd w:val="clear" w:color="auto" w:fill="auto"/>
        <w:tabs>
          <w:tab w:pos="958" w:val="left"/>
        </w:tabs>
        <w:bidi w:val="0"/>
        <w:spacing w:before="0" w:after="460" w:line="365" w:lineRule="exact"/>
        <w:ind w:left="0" w:right="0" w:firstLine="44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财务费用较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58.12%</w:t>
      </w:r>
      <w:r>
        <w:rPr>
          <w:color w:val="000000"/>
          <w:spacing w:val="0"/>
          <w:w w:val="100"/>
          <w:position w:val="0"/>
        </w:rPr>
        <w:t>，主要原因是上年支付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家非全资子公司股权收购款，投资支出使银行存款余额减 少，本期利息收入相应减少所致。</w:t>
      </w:r>
    </w:p>
    <w:p>
      <w:pPr>
        <w:pStyle w:val="Style39"/>
        <w:keepNext/>
        <w:keepLines/>
        <w:widowControl w:val="0"/>
        <w:shd w:val="clear" w:color="auto" w:fill="auto"/>
        <w:bidi w:val="0"/>
        <w:spacing w:before="0" w:after="38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5</w:t>
      </w:r>
      <w:bookmarkEnd w:id="81"/>
      <w:r>
        <w:rPr>
          <w:color w:val="000000"/>
          <w:spacing w:val="0"/>
          <w:w w:val="100"/>
          <w:position w:val="0"/>
        </w:rPr>
        <w:t>、研发支出</w:t>
      </w:r>
      <w:bookmarkEnd w:id="79"/>
      <w:bookmarkEnd w:id="80"/>
      <w:bookmarkEnd w:id="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829"/>
        <w:gridCol w:w="482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4,289.77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101,189.27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期末归属于母公司净资产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77,384.62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占归属于母公司净资产比重（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6</w:t>
      </w:r>
      <w:bookmarkEnd w:id="85"/>
      <w:r>
        <w:rPr>
          <w:color w:val="000000"/>
          <w:spacing w:val="0"/>
          <w:w w:val="100"/>
          <w:position w:val="0"/>
        </w:rPr>
        <w:t>、现金流</w:t>
      </w:r>
      <w:bookmarkEnd w:id="83"/>
      <w:bookmarkEnd w:id="84"/>
      <w:bookmarkEnd w:id="8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931,722,689.69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679,040,721.58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927,201,866.53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574,730,788.96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104,309,932.62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18,564,505.97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43,025,265.43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194,002,420.27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-42,598,883.16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-175,437,914.30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57,637,998.68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22,410,294.34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31,501,899.05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35,227,704.34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-5,971,899.05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-2,850,355.66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-77,099,880.73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w:t>
            </w:r>
          </w:p>
        </w:tc>
      </w:tr>
    </w:tbl>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04" w:val="left"/>
        </w:tabs>
        <w:bidi w:val="0"/>
        <w:spacing w:before="0" w:after="0" w:line="355" w:lineRule="exact"/>
        <w:ind w:left="0" w:right="0" w:firstLine="380"/>
        <w:jc w:val="both"/>
      </w:pPr>
      <w:bookmarkStart w:id="87" w:name="bookmark87"/>
      <w:r>
        <w:rPr>
          <w:rFonts w:ascii="Times New Roman" w:eastAsia="Times New Roman" w:hAnsi="Times New Roman" w:cs="Times New Roman"/>
          <w:color w:val="000000"/>
          <w:spacing w:val="0"/>
          <w:w w:val="100"/>
          <w:position w:val="0"/>
          <w:sz w:val="18"/>
          <w:szCs w:val="18"/>
        </w:rPr>
        <w:t>1</w:t>
      </w:r>
      <w:bookmarkEnd w:id="87"/>
      <w:r>
        <w:rPr>
          <w:color w:val="000000"/>
          <w:spacing w:val="0"/>
          <w:w w:val="100"/>
          <w:position w:val="0"/>
        </w:rPr>
        <w:t>、</w:t>
        <w:tab/>
        <w:t>经营活动产生的现金流量净额较上年同期下降</w:t>
      </w:r>
      <w:r>
        <w:rPr>
          <w:rFonts w:ascii="Times New Roman" w:eastAsia="Times New Roman" w:hAnsi="Times New Roman" w:cs="Times New Roman"/>
          <w:color w:val="000000"/>
          <w:spacing w:val="0"/>
          <w:w w:val="100"/>
          <w:position w:val="0"/>
          <w:sz w:val="18"/>
          <w:szCs w:val="18"/>
        </w:rPr>
        <w:t>95.67%</w:t>
      </w:r>
      <w:r>
        <w:rPr>
          <w:color w:val="000000"/>
          <w:spacing w:val="0"/>
          <w:w w:val="100"/>
          <w:position w:val="0"/>
        </w:rPr>
        <w:t>，主要原因是受外部经济环境的影响，公司本报告期收款虽然 较上期增加，但与工程项目进度相比滞后，不能按照合同约定收回货款，而公司工程项目付款根据项目进度按照合同约定付 款，收款增幅远小于付款增幅所致。</w:t>
      </w:r>
    </w:p>
    <w:p>
      <w:pPr>
        <w:pStyle w:val="Style31"/>
        <w:keepNext w:val="0"/>
        <w:keepLines w:val="0"/>
        <w:widowControl w:val="0"/>
        <w:shd w:val="clear" w:color="auto" w:fill="auto"/>
        <w:tabs>
          <w:tab w:pos="358" w:val="left"/>
        </w:tabs>
        <w:bidi w:val="0"/>
        <w:spacing w:before="0" w:after="0" w:line="355" w:lineRule="exact"/>
        <w:ind w:left="0" w:right="0" w:firstLine="380"/>
        <w:jc w:val="both"/>
      </w:pPr>
      <w:bookmarkStart w:id="88" w:name="bookmark88"/>
      <w:r>
        <w:rPr>
          <w:rFonts w:ascii="Times New Roman" w:eastAsia="Times New Roman" w:hAnsi="Times New Roman" w:cs="Times New Roman"/>
          <w:color w:val="000000"/>
          <w:spacing w:val="0"/>
          <w:w w:val="100"/>
          <w:position w:val="0"/>
          <w:sz w:val="18"/>
          <w:szCs w:val="18"/>
        </w:rPr>
        <w:t>2</w:t>
      </w:r>
      <w:bookmarkEnd w:id="88"/>
      <w:r>
        <w:rPr>
          <w:color w:val="000000"/>
          <w:spacing w:val="0"/>
          <w:w w:val="100"/>
          <w:position w:val="0"/>
        </w:rPr>
        <w:t>、</w:t>
        <w:tab/>
        <w:t>投资活动产生的现金流量净额较上年同期增长</w:t>
      </w:r>
      <w:r>
        <w:rPr>
          <w:rFonts w:ascii="Times New Roman" w:eastAsia="Times New Roman" w:hAnsi="Times New Roman" w:cs="Times New Roman"/>
          <w:color w:val="000000"/>
          <w:spacing w:val="0"/>
          <w:w w:val="100"/>
          <w:position w:val="0"/>
          <w:sz w:val="18"/>
          <w:szCs w:val="18"/>
        </w:rPr>
        <w:t>75.72%</w:t>
      </w:r>
      <w:r>
        <w:rPr>
          <w:color w:val="000000"/>
          <w:spacing w:val="0"/>
          <w:w w:val="100"/>
          <w:position w:val="0"/>
        </w:rPr>
        <w:t>，主要原因是上年同期母公司支付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家非全资子公司收购款所 </w:t>
      </w:r>
      <w:r>
        <w:rPr>
          <w:color w:val="000000"/>
          <w:spacing w:val="0"/>
          <w:w w:val="100"/>
          <w:position w:val="0"/>
        </w:rPr>
        <w:t>致。</w:t>
      </w:r>
    </w:p>
    <w:p>
      <w:pPr>
        <w:pStyle w:val="Style31"/>
        <w:keepNext w:val="0"/>
        <w:keepLines w:val="0"/>
        <w:widowControl w:val="0"/>
        <w:shd w:val="clear" w:color="auto" w:fill="auto"/>
        <w:bidi w:val="0"/>
        <w:spacing w:before="0" w:after="0" w:line="347" w:lineRule="exact"/>
        <w:ind w:left="0" w:right="0" w:firstLine="380"/>
        <w:jc w:val="both"/>
      </w:pPr>
      <w:bookmarkStart w:id="89" w:name="bookmark89"/>
      <w:r>
        <w:rPr>
          <w:rFonts w:ascii="Times New Roman" w:eastAsia="Times New Roman" w:hAnsi="Times New Roman" w:cs="Times New Roman"/>
          <w:color w:val="000000"/>
          <w:spacing w:val="0"/>
          <w:w w:val="100"/>
          <w:position w:val="0"/>
          <w:sz w:val="18"/>
          <w:szCs w:val="18"/>
        </w:rPr>
        <w:t>3</w:t>
      </w:r>
      <w:bookmarkEnd w:id="89"/>
      <w:r>
        <w:rPr>
          <w:color w:val="000000"/>
          <w:spacing w:val="0"/>
          <w:w w:val="100"/>
          <w:position w:val="0"/>
        </w:rPr>
        <w:t>、筹资活动产生的现金流量净额较上年同期增长</w:t>
      </w:r>
      <w:r>
        <w:rPr>
          <w:rFonts w:ascii="Times New Roman" w:eastAsia="Times New Roman" w:hAnsi="Times New Roman" w:cs="Times New Roman"/>
          <w:color w:val="000000"/>
          <w:spacing w:val="0"/>
          <w:w w:val="100"/>
          <w:position w:val="0"/>
          <w:sz w:val="18"/>
          <w:szCs w:val="18"/>
        </w:rPr>
        <w:t>689.89%</w:t>
      </w:r>
      <w:r>
        <w:rPr>
          <w:color w:val="000000"/>
          <w:spacing w:val="0"/>
          <w:w w:val="100"/>
          <w:position w:val="0"/>
        </w:rPr>
        <w:t>,主要原因是本报告期向银行借入短期贷款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万、达实租 赁公司收到少数股东投资款</w:t>
      </w:r>
      <w:r>
        <w:rPr>
          <w:rFonts w:ascii="Times New Roman" w:eastAsia="Times New Roman" w:hAnsi="Times New Roman" w:cs="Times New Roman"/>
          <w:color w:val="000000"/>
          <w:spacing w:val="0"/>
          <w:w w:val="100"/>
          <w:position w:val="0"/>
          <w:sz w:val="18"/>
          <w:szCs w:val="18"/>
        </w:rPr>
        <w:t>764</w:t>
      </w:r>
      <w:r>
        <w:rPr>
          <w:color w:val="000000"/>
          <w:spacing w:val="0"/>
          <w:w w:val="100"/>
          <w:position w:val="0"/>
        </w:rPr>
        <w:t>万、上年同期母公司实施了限制性股票激励计划，收到</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位激励对象认购的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万股股票认购 款</w:t>
      </w:r>
      <w:r>
        <w:rPr>
          <w:rFonts w:ascii="Times New Roman" w:eastAsia="Times New Roman" w:hAnsi="Times New Roman" w:cs="Times New Roman"/>
          <w:color w:val="000000"/>
          <w:spacing w:val="0"/>
          <w:w w:val="100"/>
          <w:position w:val="0"/>
          <w:sz w:val="18"/>
          <w:szCs w:val="18"/>
        </w:rPr>
        <w:t>2,553</w:t>
      </w:r>
      <w:r>
        <w:rPr>
          <w:color w:val="000000"/>
          <w:spacing w:val="0"/>
          <w:w w:val="100"/>
          <w:position w:val="0"/>
        </w:rPr>
        <w:t>万元以及上年同期比本报告期现金分红多支出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万元所致。</w:t>
      </w:r>
    </w:p>
    <w:p>
      <w:pPr>
        <w:pStyle w:val="Style31"/>
        <w:keepNext w:val="0"/>
        <w:keepLines w:val="0"/>
        <w:widowControl w:val="0"/>
        <w:shd w:val="clear" w:color="auto" w:fill="auto"/>
        <w:bidi w:val="0"/>
        <w:spacing w:before="0" w:after="0" w:line="347" w:lineRule="exact"/>
        <w:ind w:left="0" w:right="0" w:firstLine="0"/>
        <w:jc w:val="both"/>
      </w:pPr>
      <w:r>
        <w:rPr>
          <w:color w:val="000000"/>
          <w:spacing w:val="0"/>
          <w:w w:val="100"/>
          <w:position w:val="0"/>
        </w:rPr>
        <w:t xml:space="preserve">报告期内公司经营活动的现金流量与本年度净利润存在重大差异的原因说明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60" w:line="347" w:lineRule="exact"/>
        <w:ind w:left="0" w:right="0" w:firstLine="380"/>
        <w:jc w:val="both"/>
      </w:pPr>
      <w:r>
        <w:rPr>
          <w:color w:val="000000"/>
          <w:spacing w:val="0"/>
          <w:w w:val="100"/>
          <w:position w:val="0"/>
        </w:rPr>
        <w:t>主要原因是本报告期公司根据会计准则按合同约定及工程进度确认收入，但受外部经济环境的影响，不能按照合同约定 收回货款，而公司工程项目付款根据项目进度按照合同约定付款，收款增幅远小于付款增幅所致。</w:t>
      </w:r>
    </w:p>
    <w:p>
      <w:pPr>
        <w:pStyle w:val="Style27"/>
        <w:keepNext/>
        <w:keepLines/>
        <w:widowControl w:val="0"/>
        <w:shd w:val="clear" w:color="auto" w:fill="auto"/>
        <w:bidi w:val="0"/>
        <w:spacing w:before="0" w:after="36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三</w:t>
      </w:r>
      <w:bookmarkEnd w:id="92"/>
      <w:r>
        <w:rPr>
          <w:color w:val="000000"/>
          <w:spacing w:val="0"/>
          <w:w w:val="100"/>
          <w:position w:val="0"/>
        </w:rPr>
        <w:t>、主营业务构成情况</w:t>
      </w:r>
      <w:bookmarkEnd w:id="90"/>
      <w:bookmarkEnd w:id="91"/>
      <w:bookmarkEnd w:id="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277"/>
        <w:gridCol w:w="931"/>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建筑智能化及建筑节能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748,600,663.03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560,933,015.91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绿色建筑公用工程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167,998,524.25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106,843,650.37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工业自动化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22,967,056.20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16,204,545.23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39,350,388.70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12,431,583.62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978,916,632.18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696,412,795.13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314,755,271.25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232,044,330.50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283,954,180.42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173,560,146.70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60,122,305.91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44,243,787.17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54,669,870.76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44,747,952.01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177,729,131.17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138,757,489.13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70,204,058.30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50,588,309.69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17,481,814.37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12,470,779.93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四</w:t>
      </w:r>
      <w:bookmarkEnd w:id="96"/>
      <w:r>
        <w:rPr>
          <w:color w:val="000000"/>
          <w:spacing w:val="0"/>
          <w:w w:val="100"/>
          <w:position w:val="0"/>
        </w:rPr>
        <w:t>、资产、负债状况分析</w:t>
      </w:r>
      <w:bookmarkEnd w:id="94"/>
      <w:bookmarkEnd w:id="95"/>
      <w:bookmarkEnd w:id="97"/>
    </w:p>
    <w:p>
      <w:pPr>
        <w:pStyle w:val="Style39"/>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、资产项目重大变动情况</w:t>
      </w:r>
      <w:bookmarkEnd w:id="101"/>
      <w:bookmarkEnd w:id="98"/>
      <w:bookmarkEnd w:id="9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602"/>
        <w:gridCol w:w="2549"/>
        <w:gridCol w:w="566"/>
        <w:gridCol w:w="2491"/>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263" w:right="1048" w:bottom="1479" w:left="1060" w:header="0" w:footer="3" w:gutter="0"/>
          <w:cols w:space="720"/>
          <w:noEndnote/>
          <w:titlePg/>
          <w:rtlGutter w:val="0"/>
          <w:docGrid w:linePitch="360"/>
        </w:sectPr>
      </w:pPr>
    </w:p>
    <w:tbl>
      <w:tblPr>
        <w:tblOverlap w:val="never"/>
        <w:jc w:val="center"/>
        <w:tblLayout w:type="fixed"/>
      </w:tblPr>
      <w:tblGrid>
        <w:gridCol w:w="1378"/>
        <w:gridCol w:w="1325"/>
        <w:gridCol w:w="1277"/>
        <w:gridCol w:w="1272"/>
        <w:gridCol w:w="1277"/>
        <w:gridCol w:w="566"/>
        <w:gridCol w:w="249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占总资产比例</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224,722,216.54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232,046,262.87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524,318,643.58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382,434,910.18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主要原因是本报告期受结算周 期及资金环境的影响，部分合 同约定的工程款支付时间滞后 于实际工程进度所致。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187,907,336.27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120,555,330.22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141,224,624.90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146,240,343.22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90,547,984.44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79,421,434.08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13,393,610.01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18,026,185.51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、负债项目重大变动情况</w:t>
      </w:r>
      <w:bookmarkEnd w:id="102"/>
      <w:bookmarkEnd w:id="103"/>
      <w:bookmarkEnd w:id="10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主要原因是本报告期母公司及子公 司达实信息向银行借入短期贷款所 致。</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3</w:t>
      </w:r>
      <w:bookmarkEnd w:id="108"/>
      <w:r>
        <w:rPr>
          <w:color w:val="000000"/>
          <w:spacing w:val="0"/>
          <w:w w:val="100"/>
          <w:position w:val="0"/>
        </w:rPr>
        <w:t>、以公允价值计量的资产和负债</w:t>
      </w:r>
      <w:bookmarkEnd w:id="106"/>
      <w:bookmarkEnd w:id="107"/>
      <w:bookmarkEnd w:id="10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200"/>
        <w:gridCol w:w="1195"/>
        <w:gridCol w:w="1373"/>
        <w:gridCol w:w="1018"/>
        <w:gridCol w:w="1195"/>
        <w:gridCol w:w="1195"/>
        <w:gridCol w:w="1205"/>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变动损益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7"/>
        <w:keepNext/>
        <w:keepLines/>
        <w:widowControl w:val="0"/>
        <w:shd w:val="clear" w:color="auto" w:fill="auto"/>
        <w:tabs>
          <w:tab w:pos="485" w:val="left"/>
        </w:tabs>
        <w:bidi w:val="0"/>
        <w:spacing w:before="0" w:after="16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五</w:t>
      </w:r>
      <w:bookmarkEnd w:id="112"/>
      <w:r>
        <w:rPr>
          <w:color w:val="000000"/>
          <w:spacing w:val="0"/>
          <w:w w:val="100"/>
          <w:position w:val="0"/>
        </w:rPr>
        <w:t>、</w:t>
        <w:tab/>
        <w:t>核心竞争力分析</w:t>
      </w:r>
      <w:bookmarkEnd w:id="110"/>
      <w:bookmarkEnd w:id="111"/>
      <w:bookmarkEnd w:id="113"/>
    </w:p>
    <w:p>
      <w:pPr>
        <w:pStyle w:val="Style36"/>
        <w:keepNext w:val="0"/>
        <w:keepLines w:val="0"/>
        <w:widowControl w:val="0"/>
        <w:shd w:val="clear" w:color="auto" w:fill="auto"/>
        <w:tabs>
          <w:tab w:pos="706" w:val="left"/>
        </w:tabs>
        <w:bidi w:val="0"/>
        <w:spacing w:before="0" w:after="0" w:line="407" w:lineRule="exact"/>
        <w:ind w:left="0" w:right="0" w:firstLine="380"/>
        <w:jc w:val="both"/>
      </w:pPr>
      <w:bookmarkStart w:id="114" w:name="bookmark114"/>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牢固的团队凝聚力</w:t>
      </w:r>
    </w:p>
    <w:p>
      <w:pPr>
        <w:pStyle w:val="Style36"/>
        <w:keepNext w:val="0"/>
        <w:keepLines w:val="0"/>
        <w:widowControl w:val="0"/>
        <w:shd w:val="clear" w:color="auto" w:fill="auto"/>
        <w:bidi w:val="0"/>
        <w:spacing w:before="0" w:after="0" w:line="407" w:lineRule="exact"/>
        <w:ind w:left="0" w:right="0" w:firstLine="380"/>
        <w:jc w:val="both"/>
      </w:pPr>
      <w:r>
        <w:rPr>
          <w:color w:val="000000"/>
          <w:spacing w:val="0"/>
          <w:w w:val="100"/>
          <w:position w:val="0"/>
        </w:rPr>
        <w:t>公司现有员工</w:t>
      </w:r>
      <w:r>
        <w:rPr>
          <w:rFonts w:ascii="Times New Roman" w:eastAsia="Times New Roman" w:hAnsi="Times New Roman" w:cs="Times New Roman"/>
          <w:color w:val="000000"/>
          <w:spacing w:val="0"/>
          <w:w w:val="100"/>
          <w:position w:val="0"/>
        </w:rPr>
        <w:t>885</w:t>
      </w:r>
      <w:r>
        <w:rPr>
          <w:color w:val="000000"/>
          <w:spacing w:val="0"/>
          <w:w w:val="100"/>
          <w:position w:val="0"/>
        </w:rPr>
        <w:t>人，本科及以上学历的人数占比为</w:t>
      </w:r>
      <w:r>
        <w:rPr>
          <w:rFonts w:ascii="Times New Roman" w:eastAsia="Times New Roman" w:hAnsi="Times New Roman" w:cs="Times New Roman"/>
          <w:color w:val="000000"/>
          <w:spacing w:val="0"/>
          <w:w w:val="100"/>
          <w:position w:val="0"/>
        </w:rPr>
        <w:t>49.04%</w:t>
      </w:r>
      <w:r>
        <w:rPr>
          <w:color w:val="000000"/>
          <w:spacing w:val="0"/>
          <w:w w:val="100"/>
          <w:position w:val="0"/>
        </w:rPr>
        <w:t>,团队人员素质高，具有行业丰富的从业经 历。</w:t>
      </w:r>
      <w:r>
        <w:rPr>
          <w:rFonts w:ascii="Times New Roman" w:eastAsia="Times New Roman" w:hAnsi="Times New Roman" w:cs="Times New Roman"/>
          <w:color w:val="000000"/>
          <w:spacing w:val="0"/>
          <w:w w:val="100"/>
          <w:position w:val="0"/>
        </w:rPr>
        <w:t>“</w:t>
      </w:r>
      <w:r>
        <w:rPr>
          <w:color w:val="000000"/>
          <w:spacing w:val="0"/>
          <w:w w:val="100"/>
          <w:position w:val="0"/>
        </w:rPr>
        <w:t>分享</w:t>
      </w:r>
      <w:r>
        <w:rPr>
          <w:rFonts w:ascii="Times New Roman" w:eastAsia="Times New Roman" w:hAnsi="Times New Roman" w:cs="Times New Roman"/>
          <w:color w:val="000000"/>
          <w:spacing w:val="0"/>
          <w:w w:val="100"/>
          <w:position w:val="0"/>
        </w:rPr>
        <w:t>''</w:t>
      </w:r>
      <w:r>
        <w:rPr>
          <w:color w:val="000000"/>
          <w:spacing w:val="0"/>
          <w:w w:val="100"/>
          <w:position w:val="0"/>
        </w:rPr>
        <w:t>的理念，让</w:t>
      </w:r>
      <w:r>
        <w:rPr>
          <w:rFonts w:ascii="Times New Roman" w:eastAsia="Times New Roman" w:hAnsi="Times New Roman" w:cs="Times New Roman"/>
          <w:color w:val="000000"/>
          <w:spacing w:val="0"/>
          <w:w w:val="100"/>
          <w:position w:val="0"/>
        </w:rPr>
        <w:t>141</w:t>
      </w:r>
      <w:r>
        <w:rPr>
          <w:color w:val="000000"/>
          <w:spacing w:val="0"/>
          <w:w w:val="100"/>
          <w:position w:val="0"/>
        </w:rPr>
        <w:t xml:space="preserve">名员工持有公司股份，个人利益与公司利益紧密绑定。限制性股票激励计划实施 后，无一名激励对象离职，在激发管理层及核心员工的责任感和创造性的同时，保持了稳定性。公司坚持 </w:t>
      </w:r>
      <w:r>
        <w:rPr>
          <w:rFonts w:ascii="Times New Roman" w:eastAsia="Times New Roman" w:hAnsi="Times New Roman" w:cs="Times New Roman"/>
          <w:color w:val="000000"/>
          <w:spacing w:val="0"/>
          <w:w w:val="100"/>
          <w:position w:val="0"/>
        </w:rPr>
        <w:t>“</w:t>
      </w:r>
      <w:r>
        <w:rPr>
          <w:color w:val="000000"/>
          <w:spacing w:val="0"/>
          <w:w w:val="100"/>
          <w:position w:val="0"/>
        </w:rPr>
        <w:t>达则兼善天下，实则恒心如一</w:t>
      </w:r>
      <w:r>
        <w:rPr>
          <w:rFonts w:ascii="Times New Roman" w:eastAsia="Times New Roman" w:hAnsi="Times New Roman" w:cs="Times New Roman"/>
          <w:color w:val="000000"/>
          <w:spacing w:val="0"/>
          <w:w w:val="100"/>
          <w:position w:val="0"/>
        </w:rPr>
        <w:t>''</w:t>
      </w:r>
      <w:r>
        <w:rPr>
          <w:color w:val="000000"/>
          <w:spacing w:val="0"/>
          <w:w w:val="100"/>
          <w:position w:val="0"/>
        </w:rPr>
        <w:t>的企业文化，有效规划员工个人需求，使之与公司的远景目标相一致，培 养了管理层和核心人员的归属感，营造出牢固的团队凝聚力。</w:t>
      </w:r>
    </w:p>
    <w:p>
      <w:pPr>
        <w:pStyle w:val="Style36"/>
        <w:keepNext w:val="0"/>
        <w:keepLines w:val="0"/>
        <w:widowControl w:val="0"/>
        <w:shd w:val="clear" w:color="auto" w:fill="auto"/>
        <w:tabs>
          <w:tab w:pos="714" w:val="left"/>
        </w:tabs>
        <w:bidi w:val="0"/>
        <w:spacing w:before="0" w:after="0" w:line="407" w:lineRule="exact"/>
        <w:ind w:left="0" w:right="0" w:firstLine="380"/>
        <w:jc w:val="both"/>
      </w:pPr>
      <w:bookmarkStart w:id="115" w:name="bookmark115"/>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优秀的自主创新能力</w:t>
      </w:r>
    </w:p>
    <w:p>
      <w:pPr>
        <w:pStyle w:val="Style36"/>
        <w:keepNext w:val="0"/>
        <w:keepLines w:val="0"/>
        <w:widowControl w:val="0"/>
        <w:shd w:val="clear" w:color="auto" w:fill="auto"/>
        <w:bidi w:val="0"/>
        <w:spacing w:before="0" w:after="0" w:line="407" w:lineRule="exact"/>
        <w:ind w:left="0" w:right="0" w:firstLine="380"/>
        <w:jc w:val="both"/>
      </w:pPr>
      <w:r>
        <w:rPr>
          <w:color w:val="000000"/>
          <w:spacing w:val="0"/>
          <w:w w:val="100"/>
          <w:position w:val="0"/>
        </w:rPr>
        <w:t>公司内设国家博士后科研工作站、深圳市自动化工程技术研究开发中心和解决方案研发中心三级研发 体系，主持起草了四项国家重要节能标准，获得了</w:t>
      </w:r>
      <w:r>
        <w:rPr>
          <w:rFonts w:ascii="Times New Roman" w:eastAsia="Times New Roman" w:hAnsi="Times New Roman" w:cs="Times New Roman"/>
          <w:color w:val="000000"/>
          <w:spacing w:val="0"/>
          <w:w w:val="100"/>
          <w:position w:val="0"/>
        </w:rPr>
        <w:t>“</w:t>
      </w:r>
      <w:r>
        <w:rPr>
          <w:color w:val="000000"/>
          <w:spacing w:val="0"/>
          <w:w w:val="100"/>
          <w:position w:val="0"/>
        </w:rPr>
        <w:t>智能卡一卡一密方法''等多项国家专利及软件著作权。 公司拥有强大的自主创新能力，具备快速研发系统产品的能力和产业化推广的能力。报告期内，公司自主 开发完成的</w:t>
      </w:r>
      <w:r>
        <w:rPr>
          <w:rFonts w:ascii="Times New Roman" w:eastAsia="Times New Roman" w:hAnsi="Times New Roman" w:cs="Times New Roman"/>
          <w:color w:val="000000"/>
          <w:spacing w:val="0"/>
          <w:w w:val="100"/>
          <w:position w:val="0"/>
        </w:rPr>
        <w:t>IBMS</w:t>
      </w:r>
      <w:r>
        <w:rPr>
          <w:color w:val="000000"/>
          <w:spacing w:val="0"/>
          <w:w w:val="100"/>
          <w:position w:val="0"/>
        </w:rPr>
        <w:t>系统应用于多个智能化集成项目中，并完成了水蓄冷系统研究及</w:t>
      </w:r>
      <w:r>
        <w:rPr>
          <w:rFonts w:ascii="Times New Roman" w:eastAsia="Times New Roman" w:hAnsi="Times New Roman" w:cs="Times New Roman"/>
          <w:color w:val="000000"/>
          <w:spacing w:val="0"/>
          <w:w w:val="100"/>
          <w:position w:val="0"/>
        </w:rPr>
        <w:t>Unix</w:t>
      </w:r>
      <w:r>
        <w:rPr>
          <w:color w:val="000000"/>
          <w:spacing w:val="0"/>
          <w:w w:val="100"/>
          <w:position w:val="0"/>
        </w:rPr>
        <w:t>下地铁综合监控系 统调研、云平台搭建。</w:t>
      </w:r>
    </w:p>
    <w:p>
      <w:pPr>
        <w:pStyle w:val="Style36"/>
        <w:keepNext w:val="0"/>
        <w:keepLines w:val="0"/>
        <w:widowControl w:val="0"/>
        <w:shd w:val="clear" w:color="auto" w:fill="auto"/>
        <w:tabs>
          <w:tab w:pos="714" w:val="left"/>
        </w:tabs>
        <w:bidi w:val="0"/>
        <w:spacing w:before="0" w:after="0" w:line="407" w:lineRule="exact"/>
        <w:ind w:left="0" w:right="0" w:firstLine="380"/>
        <w:jc w:val="both"/>
      </w:pPr>
      <w:bookmarkStart w:id="116" w:name="bookmark116"/>
      <w:r>
        <w:rPr>
          <w:rFonts w:ascii="Times New Roman" w:eastAsia="Times New Roman" w:hAnsi="Times New Roman" w:cs="Times New Roman"/>
          <w:color w:val="000000"/>
          <w:spacing w:val="0"/>
          <w:w w:val="100"/>
          <w:position w:val="0"/>
        </w:rPr>
        <w:t>3</w:t>
      </w:r>
      <w:bookmarkEnd w:id="116"/>
      <w:r>
        <w:rPr>
          <w:color w:val="000000"/>
          <w:spacing w:val="0"/>
          <w:w w:val="100"/>
          <w:position w:val="0"/>
        </w:rPr>
        <w:t>、</w:t>
        <w:tab/>
        <w:t>综合的建筑全生命周期服务能力</w:t>
      </w:r>
    </w:p>
    <w:p>
      <w:pPr>
        <w:pStyle w:val="Style36"/>
        <w:keepNext w:val="0"/>
        <w:keepLines w:val="0"/>
        <w:widowControl w:val="0"/>
        <w:shd w:val="clear" w:color="auto" w:fill="auto"/>
        <w:bidi w:val="0"/>
        <w:spacing w:before="0" w:after="0" w:line="407" w:lineRule="exact"/>
        <w:ind w:left="0" w:right="0" w:firstLine="38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让建筑更节能</w:t>
      </w:r>
      <w:r>
        <w:rPr>
          <w:rFonts w:ascii="Times New Roman" w:eastAsia="Times New Roman" w:hAnsi="Times New Roman" w:cs="Times New Roman"/>
          <w:color w:val="000000"/>
          <w:spacing w:val="0"/>
          <w:w w:val="100"/>
          <w:position w:val="0"/>
        </w:rPr>
        <w:t>''</w:t>
      </w:r>
      <w:r>
        <w:rPr>
          <w:color w:val="000000"/>
          <w:spacing w:val="0"/>
          <w:w w:val="100"/>
          <w:position w:val="0"/>
        </w:rPr>
        <w:t>为经营宗旨，以用户需求为中心，以最大幅度的提升建筑形象和功能、降低建 设和日常运营成本为目标，以物联网及智能技术为基础，满足用户全生命周期的建筑机电节能需求。服务 内容包括绿色建筑认证咨询服务，智能化系统专项设计及工程服务，供配电系统专项设计及工程服务，中 央空调系统设计、工程及投资运营服务（合同能源管理），以及智能卡产品等。迄今为止，公司的用户遍 及全国各地，包括深圳市民中心、深圳地铁、华为、长安标致雪铁龙、沃尔玛、大连万达以及恒大地产等。</w:t>
      </w:r>
    </w:p>
    <w:p>
      <w:pPr>
        <w:pStyle w:val="Style36"/>
        <w:keepNext w:val="0"/>
        <w:keepLines w:val="0"/>
        <w:widowControl w:val="0"/>
        <w:shd w:val="clear" w:color="auto" w:fill="auto"/>
        <w:tabs>
          <w:tab w:pos="714" w:val="left"/>
        </w:tabs>
        <w:bidi w:val="0"/>
        <w:spacing w:before="0" w:after="0" w:line="407" w:lineRule="exact"/>
        <w:ind w:left="0" w:right="0" w:firstLine="380"/>
        <w:jc w:val="both"/>
      </w:pPr>
      <w:bookmarkStart w:id="117" w:name="bookmark117"/>
      <w:r>
        <w:rPr>
          <w:rFonts w:ascii="Times New Roman" w:eastAsia="Times New Roman" w:hAnsi="Times New Roman" w:cs="Times New Roman"/>
          <w:color w:val="000000"/>
          <w:spacing w:val="0"/>
          <w:w w:val="100"/>
          <w:position w:val="0"/>
        </w:rPr>
        <w:t>4</w:t>
      </w:r>
      <w:bookmarkEnd w:id="117"/>
      <w:r>
        <w:rPr>
          <w:color w:val="000000"/>
          <w:spacing w:val="0"/>
          <w:w w:val="100"/>
          <w:position w:val="0"/>
        </w:rPr>
        <w:t>、</w:t>
        <w:tab/>
        <w:t>良好的项目管理能力</w:t>
      </w:r>
    </w:p>
    <w:p>
      <w:pPr>
        <w:pStyle w:val="Style36"/>
        <w:keepNext w:val="0"/>
        <w:keepLines w:val="0"/>
        <w:widowControl w:val="0"/>
        <w:shd w:val="clear" w:color="auto" w:fill="auto"/>
        <w:bidi w:val="0"/>
        <w:spacing w:before="0" w:after="500" w:line="407" w:lineRule="exact"/>
        <w:ind w:left="0" w:right="0" w:firstLine="380"/>
        <w:jc w:val="both"/>
      </w:pPr>
      <w:r>
        <w:rPr>
          <w:color w:val="000000"/>
          <w:spacing w:val="0"/>
          <w:w w:val="100"/>
          <w:position w:val="0"/>
        </w:rPr>
        <w:t>公司利用自主开发的项目管理系统，在项目立项阶段开始做好严格的项目质量策划，确保设计过程的 有序、规范；严格挑选供应商，确保采购产品和分包工程质量的可靠；谨慎编制和签订采购、工程施工合 同，加强项目施工现场的监督审核，确保工程项目按进度实施；认真进行系统调试，严格遵守项目竣工验 收标准，从项目立项、合同管理、执行项目、项目采购管理、项目监控等环节实行全面监控，从而保证项 目有序进行。</w:t>
      </w:r>
      <w:r>
        <w:rPr>
          <w:rFonts w:ascii="Times New Roman" w:eastAsia="Times New Roman" w:hAnsi="Times New Roman" w:cs="Times New Roman"/>
          <w:color w:val="000000"/>
          <w:spacing w:val="0"/>
          <w:w w:val="100"/>
          <w:position w:val="0"/>
        </w:rPr>
        <w:t>2013</w:t>
      </w:r>
      <w:r>
        <w:rPr>
          <w:color w:val="000000"/>
          <w:spacing w:val="0"/>
          <w:w w:val="100"/>
          <w:position w:val="0"/>
        </w:rPr>
        <w:t>年度，公司深圳地铁</w:t>
      </w:r>
      <w:r>
        <w:rPr>
          <w:rFonts w:ascii="Times New Roman" w:eastAsia="Times New Roman" w:hAnsi="Times New Roman" w:cs="Times New Roman"/>
          <w:color w:val="000000"/>
          <w:spacing w:val="0"/>
          <w:w w:val="100"/>
          <w:position w:val="0"/>
        </w:rPr>
        <w:t>3</w:t>
      </w:r>
      <w:r>
        <w:rPr>
          <w:color w:val="000000"/>
          <w:spacing w:val="0"/>
          <w:w w:val="100"/>
          <w:position w:val="0"/>
        </w:rPr>
        <w:t>号线自动化总集成项目荣获第十三届中国土木工程詹天佑奖。</w:t>
      </w:r>
    </w:p>
    <w:p>
      <w:pPr>
        <w:pStyle w:val="Style27"/>
        <w:keepNext/>
        <w:keepLines/>
        <w:widowControl w:val="0"/>
        <w:shd w:val="clear" w:color="auto" w:fill="auto"/>
        <w:tabs>
          <w:tab w:pos="485" w:val="left"/>
        </w:tabs>
        <w:bidi w:val="0"/>
        <w:spacing w:before="0" w:after="36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六</w:t>
      </w:r>
      <w:bookmarkEnd w:id="120"/>
      <w:r>
        <w:rPr>
          <w:color w:val="000000"/>
          <w:spacing w:val="0"/>
          <w:w w:val="100"/>
          <w:position w:val="0"/>
        </w:rPr>
        <w:t>、</w:t>
        <w:tab/>
        <w:t>投资状况分析</w:t>
      </w:r>
      <w:bookmarkEnd w:id="118"/>
      <w:bookmarkEnd w:id="119"/>
      <w:bookmarkEnd w:id="121"/>
    </w:p>
    <w:p>
      <w:pPr>
        <w:pStyle w:val="Style36"/>
        <w:keepNext w:val="0"/>
        <w:keepLines w:val="0"/>
        <w:widowControl w:val="0"/>
        <w:shd w:val="clear" w:color="auto" w:fill="auto"/>
        <w:bidi w:val="0"/>
        <w:spacing w:before="0" w:after="160" w:line="425" w:lineRule="auto"/>
        <w:ind w:left="0" w:right="0" w:firstLine="0"/>
        <w:jc w:val="left"/>
      </w:pPr>
      <w:bookmarkStart w:id="122" w:name="bookmark122"/>
      <w:r>
        <w:rPr>
          <w:rFonts w:ascii="Times New Roman" w:eastAsia="Times New Roman" w:hAnsi="Times New Roman" w:cs="Times New Roman"/>
          <w:b/>
          <w:bCs/>
          <w:color w:val="000000"/>
          <w:spacing w:val="0"/>
          <w:w w:val="100"/>
          <w:position w:val="0"/>
        </w:rPr>
        <w:t>1</w:t>
      </w:r>
      <w:bookmarkEnd w:id="122"/>
      <w:r>
        <w:rPr>
          <w:b/>
          <w:bCs/>
          <w:color w:val="000000"/>
          <w:spacing w:val="0"/>
          <w:w w:val="100"/>
          <w:position w:val="0"/>
        </w:rPr>
        <w:t>、对外股权投资情况</w:t>
      </w:r>
    </w:p>
    <w:p>
      <w:pPr>
        <w:pStyle w:val="Style29"/>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）对外投资情况</w:t>
      </w:r>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214,644,000.00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融资租赁业务；租赁业务；向国内外购 买租赁资产；租赁资产的残值处理及维 修；租赁交易咨询和担保。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、委托理财、衍生品投资和委托贷款情况</w:t>
      </w:r>
      <w:bookmarkEnd w:id="123"/>
      <w:bookmarkEnd w:id="124"/>
      <w:bookmarkEnd w:id="126"/>
    </w:p>
    <w:p>
      <w:pPr>
        <w:pStyle w:val="Style39"/>
        <w:keepNext/>
        <w:keepLines/>
        <w:widowControl w:val="0"/>
        <w:shd w:val="clear" w:color="auto" w:fill="auto"/>
        <w:bidi w:val="0"/>
        <w:spacing w:before="0" w:after="340" w:line="240" w:lineRule="auto"/>
        <w:ind w:left="0" w:right="0" w:firstLine="0"/>
        <w:jc w:val="left"/>
      </w:pPr>
      <w:bookmarkStart w:id="123" w:name="bookmark123"/>
      <w:bookmarkStart w:id="124" w:name="bookmark124"/>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23"/>
      <w:bookmarkEnd w:id="124"/>
      <w:bookmarkEnd w:id="1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54"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委托理财审批董事会公告披露日期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63"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委托理财审批股东会公告披露日期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3</w:t>
      </w:r>
      <w:bookmarkEnd w:id="131"/>
      <w:r>
        <w:rPr>
          <w:color w:val="000000"/>
          <w:spacing w:val="0"/>
          <w:w w:val="100"/>
          <w:position w:val="0"/>
        </w:rPr>
        <w:t>、募集资金使用情况</w:t>
      </w:r>
      <w:bookmarkEnd w:id="129"/>
      <w:bookmarkEnd w:id="130"/>
      <w:bookmarkEnd w:id="132"/>
    </w:p>
    <w:p>
      <w:pPr>
        <w:pStyle w:val="Style39"/>
        <w:keepNext/>
        <w:keepLines/>
        <w:widowControl w:val="0"/>
        <w:shd w:val="clear" w:color="auto" w:fill="auto"/>
        <w:bidi w:val="0"/>
        <w:spacing w:before="0" w:after="340" w:line="240" w:lineRule="auto"/>
        <w:ind w:left="0" w:right="0" w:firstLine="0"/>
        <w:jc w:val="left"/>
      </w:pPr>
      <w:bookmarkStart w:id="129" w:name="bookmark129"/>
      <w:bookmarkStart w:id="130" w:name="bookmark130"/>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29"/>
      <w:bookmarkEnd w:id="130"/>
      <w:bookmarkEnd w:id="1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263" w:right="1048" w:bottom="1479" w:left="1060" w:header="0" w:footer="3" w:gutter="0"/>
          <w:cols w:space="720"/>
          <w:noEndnote/>
          <w:rtlGutter w:val="0"/>
          <w:docGrid w:linePitch="360"/>
        </w:sectPr>
      </w:pP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2" w:lineRule="exact"/>
        <w:ind w:left="0" w:right="0" w:firstLine="0"/>
        <w:jc w:val="center"/>
      </w:pPr>
      <w:r>
        <w:rPr>
          <w:color w:val="000000"/>
          <w:spacing w:val="0"/>
          <w:w w:val="100"/>
          <w:position w:val="0"/>
        </w:rPr>
        <w:t>募集资金总体使用情况说明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2" w:lineRule="exact"/>
        <w:ind w:left="0" w:right="0" w:firstLine="380"/>
        <w:jc w:val="both"/>
      </w:pPr>
      <w:r>
        <w:rPr>
          <w:color w:val="000000"/>
          <w:spacing w:val="0"/>
          <w:w w:val="100"/>
          <w:position w:val="0"/>
        </w:rPr>
        <w:t>经中国证券监督管理委员会以《关于核准深圳达实智能股份有限公司首次公开发行股票的批复》(证监许可</w:t>
      </w:r>
      <w:r>
        <w:rPr>
          <w:rFonts w:ascii="Times New Roman" w:eastAsia="Times New Roman" w:hAnsi="Times New Roman" w:cs="Times New Roman"/>
          <w:color w:val="000000"/>
          <w:spacing w:val="0"/>
          <w:w w:val="100"/>
          <w:position w:val="0"/>
          <w:sz w:val="18"/>
          <w:szCs w:val="18"/>
        </w:rPr>
        <w:t xml:space="preserve">[2010]596 </w:t>
      </w:r>
      <w:r>
        <w:rPr>
          <w:color w:val="000000"/>
          <w:spacing w:val="0"/>
          <w:w w:val="100"/>
          <w:position w:val="0"/>
        </w:rPr>
        <w:t>号)核准，公司公开发行人民币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万股普通股股票，发行价格为</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410,000,000</w:t>
      </w:r>
      <w:r>
        <w:rPr>
          <w:color w:val="000000"/>
          <w:spacing w:val="0"/>
          <w:w w:val="100"/>
          <w:position w:val="0"/>
        </w:rPr>
        <w:t>元, 扣除相关费用后，实际募集资金净额为</w:t>
      </w:r>
      <w:r>
        <w:rPr>
          <w:rFonts w:ascii="Times New Roman" w:eastAsia="Times New Roman" w:hAnsi="Times New Roman" w:cs="Times New Roman"/>
          <w:color w:val="000000"/>
          <w:spacing w:val="0"/>
          <w:w w:val="100"/>
          <w:position w:val="0"/>
          <w:sz w:val="18"/>
          <w:szCs w:val="18"/>
        </w:rPr>
        <w:t>389,549,000</w:t>
      </w:r>
      <w:r>
        <w:rPr>
          <w:color w:val="000000"/>
          <w:spacing w:val="0"/>
          <w:w w:val="100"/>
          <w:position w:val="0"/>
        </w:rPr>
        <w:t>元，超募资金为</w:t>
      </w:r>
      <w:r>
        <w:rPr>
          <w:rFonts w:ascii="Times New Roman" w:eastAsia="Times New Roman" w:hAnsi="Times New Roman" w:cs="Times New Roman"/>
          <w:color w:val="000000"/>
          <w:spacing w:val="0"/>
          <w:w w:val="100"/>
          <w:position w:val="0"/>
          <w:sz w:val="18"/>
          <w:szCs w:val="18"/>
        </w:rPr>
        <w:t>233,609,000</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02" w:lineRule="exact"/>
        <w:ind w:left="0" w:right="0" w:firstLine="380"/>
        <w:jc w:val="both"/>
      </w:pPr>
      <w:r>
        <w:rPr>
          <w:color w:val="000000"/>
          <w:spacing w:val="0"/>
          <w:w w:val="100"/>
          <w:position w:val="0"/>
        </w:rPr>
        <w:t>募集资金用于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新建建筑智能化业务营运资金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基于城市能源监测管理平台的建筑节能服务项目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公司研发中心建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，截止至报告期末，公司共使用募集资金</w:t>
      </w:r>
      <w:r>
        <w:rPr>
          <w:rFonts w:ascii="Times New Roman" w:eastAsia="Times New Roman" w:hAnsi="Times New Roman" w:cs="Times New Roman"/>
          <w:color w:val="000000"/>
          <w:spacing w:val="0"/>
          <w:w w:val="100"/>
          <w:position w:val="0"/>
          <w:sz w:val="18"/>
          <w:szCs w:val="18"/>
        </w:rPr>
        <w:t>385,464,558.74</w:t>
      </w:r>
      <w:r>
        <w:rPr>
          <w:color w:val="000000"/>
          <w:spacing w:val="0"/>
          <w:w w:val="100"/>
          <w:position w:val="0"/>
        </w:rPr>
        <w:t>元，募集资金专户余额为</w:t>
      </w:r>
      <w:r>
        <w:rPr>
          <w:rFonts w:ascii="Times New Roman" w:eastAsia="Times New Roman" w:hAnsi="Times New Roman" w:cs="Times New Roman"/>
          <w:color w:val="000000"/>
          <w:spacing w:val="0"/>
          <w:w w:val="100"/>
          <w:position w:val="0"/>
          <w:sz w:val="18"/>
          <w:szCs w:val="18"/>
        </w:rPr>
        <w:t>15,033,097.87</w:t>
      </w:r>
      <w:r>
        <w:rPr>
          <w:color w:val="000000"/>
          <w:spacing w:val="0"/>
          <w:w w:val="100"/>
          <w:position w:val="0"/>
        </w:rPr>
        <w:t>元。</w:t>
      </w:r>
    </w:p>
    <w:p>
      <w:pPr>
        <w:pStyle w:val="Style39"/>
        <w:keepNext/>
        <w:keepLines/>
        <w:widowControl w:val="0"/>
        <w:numPr>
          <w:ilvl w:val="0"/>
          <w:numId w:val="1"/>
        </w:numPr>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募集资金承诺项目情况</w:t>
      </w:r>
      <w:bookmarkEnd w:id="135"/>
      <w:bookmarkEnd w:id="136"/>
      <w:bookmarkEnd w:id="1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6"/>
        <w:gridCol w:w="850"/>
        <w:gridCol w:w="994"/>
        <w:gridCol w:w="850"/>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 超募资金投向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是否已变 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募集资金承 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9"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新增建筑智能化 业务营运资金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基于城市能源监 测管理平台的建 筑节能服务项目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公司研发中心建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对外投资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收购上 海联欣科技发展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权的部分首期款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对外投资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收购北 京启迪德润能源 科技有限公司</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263" w:right="1048" w:bottom="1479" w:left="1060" w:header="0" w:footer="3" w:gutter="0"/>
          <w:cols w:space="720"/>
          <w:noEndnote/>
          <w:rtlGutter w:val="0"/>
          <w:docGrid w:linePitch="360"/>
        </w:sectPr>
      </w:pPr>
    </w:p>
    <w:tbl>
      <w:tblPr>
        <w:tblOverlap w:val="never"/>
        <w:jc w:val="center"/>
        <w:tblLayout w:type="fixed"/>
      </w:tblPr>
      <w:tblGrid>
        <w:gridCol w:w="1426"/>
        <w:gridCol w:w="850"/>
        <w:gridCol w:w="994"/>
        <w:gridCol w:w="850"/>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38,954.67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38,546.46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项目可行性发生 重大变化的情况 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 用途及使用进展 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1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49" w:lineRule="exact"/>
              <w:ind w:left="0" w:right="0" w:firstLine="380"/>
              <w:jc w:val="both"/>
            </w:pPr>
            <w:r>
              <w:rPr>
                <w:color w:val="000000"/>
                <w:spacing w:val="0"/>
                <w:w w:val="100"/>
                <w:position w:val="0"/>
              </w:rPr>
              <w:t>为更好的发挥募集资金的效能，提高现有资金的使用效率，经公司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年第二次临时股东大会审 议通过，公司使用超募资金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万元用于归还银行贷款，使用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万元用于永久性补充流动资金； 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年第一次临时股东大会审议通过，公司使用</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万元用于永久性补充流动资金；经公司第 四届董事会第十四次会议批准，公司使用超募资金</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万元收购北京启迪德润能源科技有限公司</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的股权，使用超募资金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万元用于暂时性补充流动资金，公司已于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 民币全部归还至公司超募资金专用账户；经公司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年第二次临时股东大会审议通过，公司使用超募 资金</w:t>
            </w:r>
            <w:r>
              <w:rPr>
                <w:rFonts w:ascii="Times New Roman" w:eastAsia="Times New Roman" w:hAnsi="Times New Roman" w:cs="Times New Roman"/>
                <w:color w:val="000000"/>
                <w:spacing w:val="0"/>
                <w:w w:val="100"/>
                <w:position w:val="0"/>
                <w:sz w:val="18"/>
                <w:szCs w:val="18"/>
              </w:rPr>
              <w:t>11,010.9</w:t>
            </w:r>
            <w:r>
              <w:rPr>
                <w:color w:val="000000"/>
                <w:spacing w:val="0"/>
                <w:w w:val="100"/>
                <w:position w:val="0"/>
              </w:rPr>
              <w:t>万元支付收购上海联欣科技发展有限公司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的股权的部分首期款。</w:t>
            </w:r>
          </w:p>
          <w:p>
            <w:pPr>
              <w:pStyle w:val="Style2"/>
              <w:keepNext w:val="0"/>
              <w:keepLines w:val="0"/>
              <w:widowControl w:val="0"/>
              <w:shd w:val="clear" w:color="auto" w:fill="auto"/>
              <w:bidi w:val="0"/>
              <w:spacing w:before="0" w:after="0" w:line="349" w:lineRule="exact"/>
              <w:ind w:left="0" w:right="0" w:firstLine="380"/>
              <w:jc w:val="both"/>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日，超募资金全部使用完毕。</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目实施地点变更 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10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624" w:val="left"/>
              </w:tabs>
              <w:bidi w:val="0"/>
              <w:spacing w:before="0" w:after="0" w:line="35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基于城市能源监测管理平台的建筑节能服务项目，实施地点由购买及装修财富大厦第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52E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53B</w:t>
            </w:r>
            <w:r>
              <w:rPr>
                <w:color w:val="000000"/>
                <w:spacing w:val="0"/>
                <w:w w:val="100"/>
                <w:position w:val="0"/>
              </w:rPr>
              <w:t>部分单元变更为租赁高新工业村</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厂房（子公司物业）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层西侧；</w:t>
            </w:r>
          </w:p>
          <w:p>
            <w:pPr>
              <w:pStyle w:val="Style2"/>
              <w:keepNext w:val="0"/>
              <w:keepLines w:val="0"/>
              <w:widowControl w:val="0"/>
              <w:shd w:val="clear" w:color="auto" w:fill="auto"/>
              <w:tabs>
                <w:tab w:pos="634" w:val="left"/>
              </w:tabs>
              <w:bidi w:val="0"/>
              <w:spacing w:before="0" w:after="0" w:line="35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公司研发中心建设项目，实施地点由购买及装修财富大厦第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53B</w:t>
            </w:r>
            <w:r>
              <w:rPr>
                <w:color w:val="000000"/>
                <w:spacing w:val="0"/>
                <w:w w:val="100"/>
                <w:position w:val="0"/>
              </w:rPr>
              <w:t>部分单元变更为租赁高新 工业村</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厂房（子公司物业）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层西侧。</w:t>
            </w:r>
          </w:p>
          <w:p>
            <w:pPr>
              <w:pStyle w:val="Style2"/>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上述事宜已经公司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年第一次临时股东大会审议通过，相关内容刊登于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日《证券 时报》和巨潮资讯网。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目实施方式调整 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目先期投入及置 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 暂时补充流动资 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 集资金结余的金 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76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52" w:lineRule="exact"/>
              <w:ind w:left="0" w:right="0" w:firstLine="380"/>
              <w:jc w:val="both"/>
            </w:pPr>
            <w:r>
              <w:rPr>
                <w:color w:val="000000"/>
                <w:spacing w:val="0"/>
                <w:w w:val="100"/>
                <w:position w:val="0"/>
              </w:rPr>
              <w:t>公司从项目的实际情况出发，本着节约、合理及有效的原则使用募集资金，致使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项目完工后募集资金节余</w:t>
            </w:r>
            <w:r>
              <w:rPr>
                <w:rFonts w:ascii="Times New Roman" w:eastAsia="Times New Roman" w:hAnsi="Times New Roman" w:cs="Times New Roman"/>
                <w:color w:val="000000"/>
                <w:spacing w:val="0"/>
                <w:w w:val="100"/>
                <w:position w:val="0"/>
                <w:sz w:val="18"/>
                <w:szCs w:val="18"/>
              </w:rPr>
              <w:t>4,550,744.20</w:t>
            </w:r>
            <w:r>
              <w:rPr>
                <w:color w:val="000000"/>
                <w:spacing w:val="0"/>
                <w:w w:val="100"/>
                <w:position w:val="0"/>
              </w:rPr>
              <w:t>元。节余资金及其存放该项目资金的银行账户产生的利息全部用 于补充募集资金投资项目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新增建筑智能化业务营运资金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52" w:lineRule="exact"/>
              <w:ind w:left="0" w:right="0" w:firstLine="380"/>
              <w:jc w:val="both"/>
            </w:pPr>
            <w:r>
              <w:rPr>
                <w:color w:val="000000"/>
                <w:spacing w:val="0"/>
                <w:w w:val="100"/>
                <w:position w:val="0"/>
              </w:rPr>
              <w:t>上述事项已经公司第四届董事会第二十三次会议审议通过，相关内容刊登于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日《证 券时报》、《中国证券报》和巨潮资讯网。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以活期存款或定期存单形式存储于经批准的银行募集资金账户中。</w:t>
            </w:r>
          </w:p>
        </w:tc>
      </w:tr>
    </w:tbl>
    <w:p>
      <w:pPr>
        <w:widowControl w:val="0"/>
        <w:spacing w:after="59" w:line="1" w:lineRule="exact"/>
      </w:pPr>
    </w:p>
    <w:p>
      <w:pPr>
        <w:widowControl w:val="0"/>
        <w:jc w:val="center"/>
        <w:rPr>
          <w:sz w:val="2"/>
          <w:szCs w:val="2"/>
        </w:r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41" w:right="1196" w:bottom="125" w:left="1119" w:header="0" w:footer="3" w:gutter="0"/>
          <w:cols w:space="720"/>
          <w:noEndnote/>
          <w:rtlGutter w:val="0"/>
          <w:docGrid w:linePitch="360"/>
        </w:sectPr>
      </w:pPr>
      <w:r>
        <w:drawing>
          <wp:inline>
            <wp:extent cx="1737360" cy="99949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49"/>
                    <a:stretch/>
                  </pic:blipFill>
                  <pic:spPr>
                    <a:xfrm>
                      <a:ext cx="1737360" cy="999490"/>
                    </a:xfrm>
                    <a:prstGeom prst="rect"/>
                  </pic:spPr>
                </pic:pic>
              </a:graphicData>
            </a:graphic>
          </wp:inline>
        </w:drawing>
      </w:r>
    </w:p>
    <w:p>
      <w:pPr>
        <w:widowControl w:val="0"/>
        <w:spacing w:after="159" w:line="1" w:lineRule="exact"/>
      </w:pPr>
    </w:p>
    <w:tbl>
      <w:tblPr>
        <w:tblOverlap w:val="never"/>
        <w:jc w:val="center"/>
        <w:tblLayout w:type="fixed"/>
      </w:tblPr>
      <w:tblGrid>
        <w:gridCol w:w="1426"/>
        <w:gridCol w:w="816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报告期内，不存在此情况。</w:t>
            </w:r>
          </w:p>
        </w:tc>
      </w:tr>
    </w:tbl>
    <w:p>
      <w:pPr>
        <w:widowControl w:val="0"/>
        <w:spacing w:after="319" w:line="1" w:lineRule="exact"/>
      </w:pPr>
    </w:p>
    <w:p>
      <w:pPr>
        <w:pStyle w:val="Style39"/>
        <w:keepNext/>
        <w:keepLines/>
        <w:widowControl w:val="0"/>
        <w:numPr>
          <w:ilvl w:val="0"/>
          <w:numId w:val="1"/>
        </w:numPr>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募集资金变更项目情况</w:t>
      </w:r>
      <w:bookmarkEnd w:id="139"/>
      <w:bookmarkEnd w:id="140"/>
      <w:bookmarkEnd w:id="1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0"/>
        <w:gridCol w:w="965"/>
        <w:gridCol w:w="955"/>
        <w:gridCol w:w="95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0" w:line="353"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新增建筑智 能化业务营 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新增建筑智 能化业务营 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基于城市能 源监测管理 平台的建筑 节能服务项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基于城市能 源监测管理 平台的建筑 节能服务项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976"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638" w:val="left"/>
              </w:tabs>
              <w:bidi w:val="0"/>
              <w:spacing w:before="0" w:after="0" w:line="351"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由于公司收购的全资子公司拥 司现有办公场地相邻，公司将募集资 </w:t>
            </w:r>
            <w:r>
              <w:rPr>
                <w:rFonts w:ascii="Times New Roman" w:eastAsia="Times New Roman" w:hAnsi="Times New Roman" w:cs="Times New Roman"/>
                <w:color w:val="000000"/>
                <w:spacing w:val="0"/>
                <w:w w:val="100"/>
                <w:position w:val="0"/>
                <w:sz w:val="18"/>
                <w:szCs w:val="18"/>
              </w:rPr>
              <w:t>52E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53B</w:t>
            </w:r>
            <w:r>
              <w:rPr>
                <w:color w:val="000000"/>
                <w:spacing w:val="0"/>
                <w:w w:val="100"/>
                <w:position w:val="0"/>
              </w:rPr>
              <w:t>部分单元变更为租赁子公</w:t>
            </w:r>
          </w:p>
          <w:p>
            <w:pPr>
              <w:pStyle w:val="Style2"/>
              <w:keepNext w:val="0"/>
              <w:keepLines w:val="0"/>
              <w:widowControl w:val="0"/>
              <w:numPr>
                <w:ilvl w:val="0"/>
                <w:numId w:val="3"/>
              </w:numPr>
              <w:shd w:val="clear" w:color="auto" w:fill="auto"/>
              <w:tabs>
                <w:tab w:pos="802" w:val="left"/>
              </w:tabs>
              <w:bidi w:val="0"/>
              <w:spacing w:before="0" w:after="0" w:line="351" w:lineRule="exact"/>
              <w:ind w:left="0" w:right="0" w:firstLine="380"/>
              <w:jc w:val="left"/>
            </w:pPr>
            <w:r>
              <w:rPr>
                <w:color w:val="000000"/>
                <w:spacing w:val="0"/>
                <w:w w:val="100"/>
                <w:position w:val="0"/>
              </w:rPr>
              <w:t>基于城市能源监测管理平 赁后，节余的资金</w:t>
            </w:r>
            <w:r>
              <w:rPr>
                <w:rFonts w:ascii="Times New Roman" w:eastAsia="Times New Roman" w:hAnsi="Times New Roman" w:cs="Times New Roman"/>
                <w:color w:val="000000"/>
                <w:spacing w:val="0"/>
                <w:w w:val="100"/>
                <w:position w:val="0"/>
                <w:sz w:val="18"/>
                <w:szCs w:val="18"/>
              </w:rPr>
              <w:t>1,286.65</w:t>
            </w:r>
            <w:r>
              <w:rPr>
                <w:color w:val="000000"/>
                <w:spacing w:val="0"/>
                <w:w w:val="100"/>
                <w:position w:val="0"/>
              </w:rPr>
              <w:t>万元用于 备投资及办公场地改造与装修；</w:t>
            </w:r>
          </w:p>
          <w:p>
            <w:pPr>
              <w:pStyle w:val="Style2"/>
              <w:keepNext w:val="0"/>
              <w:keepLines w:val="0"/>
              <w:widowControl w:val="0"/>
              <w:numPr>
                <w:ilvl w:val="0"/>
                <w:numId w:val="3"/>
              </w:numPr>
              <w:shd w:val="clear" w:color="auto" w:fill="auto"/>
              <w:tabs>
                <w:tab w:pos="811" w:val="left"/>
              </w:tabs>
              <w:bidi w:val="0"/>
              <w:spacing w:before="0" w:after="0" w:line="351" w:lineRule="exact"/>
              <w:ind w:left="0" w:right="0" w:firstLine="380"/>
              <w:jc w:val="left"/>
            </w:pPr>
            <w:r>
              <w:rPr>
                <w:color w:val="000000"/>
                <w:spacing w:val="0"/>
                <w:w w:val="100"/>
                <w:position w:val="0"/>
              </w:rPr>
              <w:t>公司研发中心建设项目实施 加本项目办公场地装修及改造费用</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w:t>
            </w:r>
          </w:p>
          <w:p>
            <w:pPr>
              <w:pStyle w:val="Style2"/>
              <w:keepNext w:val="0"/>
              <w:keepLines w:val="0"/>
              <w:widowControl w:val="0"/>
              <w:numPr>
                <w:ilvl w:val="0"/>
                <w:numId w:val="3"/>
              </w:numPr>
              <w:shd w:val="clear" w:color="auto" w:fill="auto"/>
              <w:tabs>
                <w:tab w:pos="778" w:val="left"/>
              </w:tabs>
              <w:bidi w:val="0"/>
              <w:spacing w:before="0" w:after="0" w:line="351" w:lineRule="exact"/>
              <w:ind w:left="0" w:right="0" w:firstLine="380"/>
              <w:jc w:val="left"/>
            </w:pPr>
            <w:r>
              <w:rPr>
                <w:color w:val="000000"/>
                <w:spacing w:val="0"/>
                <w:w w:val="100"/>
                <w:position w:val="0"/>
              </w:rPr>
              <w:t>新增建筑智能化业务营运资 心建设项目实施场地由购买变更为租</w:t>
            </w:r>
          </w:p>
          <w:p>
            <w:pPr>
              <w:pStyle w:val="Style2"/>
              <w:keepNext w:val="0"/>
              <w:keepLines w:val="0"/>
              <w:widowControl w:val="0"/>
              <w:shd w:val="clear" w:color="auto" w:fill="auto"/>
              <w:bidi w:val="0"/>
              <w:spacing w:before="0" w:after="0" w:line="351" w:lineRule="exact"/>
              <w:ind w:left="0" w:right="0" w:firstLine="380"/>
              <w:jc w:val="left"/>
            </w:pPr>
            <w:r>
              <w:rPr>
                <w:color w:val="000000"/>
                <w:spacing w:val="0"/>
                <w:w w:val="100"/>
                <w:position w:val="0"/>
              </w:rPr>
              <w:t>上述变更情况已经公司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日《证券时报》和巨</w:t>
            </w:r>
          </w:p>
          <w:p>
            <w:pPr>
              <w:pStyle w:val="Style2"/>
              <w:keepNext w:val="0"/>
              <w:keepLines w:val="0"/>
              <w:widowControl w:val="0"/>
              <w:shd w:val="clear" w:color="auto" w:fill="auto"/>
              <w:tabs>
                <w:tab w:pos="586" w:val="left"/>
              </w:tabs>
              <w:bidi w:val="0"/>
              <w:spacing w:before="0" w:after="0" w:line="35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公司从项目的实际情况出发, 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项目完工后募 金的银行账户(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共结余</w:t>
            </w:r>
            <w:r>
              <w:rPr>
                <w:rFonts w:ascii="Times New Roman" w:eastAsia="Times New Roman" w:hAnsi="Times New Roman" w:cs="Times New Roman"/>
                <w:color w:val="000000"/>
                <w:spacing w:val="0"/>
                <w:w w:val="100"/>
                <w:position w:val="0"/>
                <w:sz w:val="18"/>
                <w:szCs w:val="18"/>
              </w:rPr>
              <w:t>6,920,937.91</w:t>
            </w:r>
            <w:r>
              <w:rPr>
                <w:color w:val="000000"/>
                <w:spacing w:val="0"/>
                <w:w w:val="100"/>
                <w:position w:val="0"/>
              </w:rPr>
              <w:t>元，全部用于补充</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2184" w:val="left"/>
              </w:tabs>
              <w:bidi w:val="0"/>
              <w:spacing w:before="0" w:after="0" w:line="350" w:lineRule="exact"/>
              <w:ind w:left="0" w:right="0" w:firstLine="0"/>
              <w:jc w:val="left"/>
            </w:pPr>
            <w:r>
              <w:rPr>
                <w:color w:val="000000"/>
                <w:spacing w:val="0"/>
                <w:w w:val="100"/>
                <w:position w:val="0"/>
              </w:rPr>
              <w:t>用有建筑面积为</w:t>
            </w:r>
            <w:r>
              <w:rPr>
                <w:rFonts w:ascii="Times New Roman" w:eastAsia="Times New Roman" w:hAnsi="Times New Roman" w:cs="Times New Roman"/>
                <w:color w:val="000000"/>
                <w:spacing w:val="0"/>
                <w:w w:val="100"/>
                <w:position w:val="0"/>
                <w:sz w:val="18"/>
                <w:szCs w:val="18"/>
              </w:rPr>
              <w:t>18,627.28</w:t>
              <w:tab/>
            </w:r>
            <w:r>
              <w:rPr>
                <w:color w:val="000000"/>
                <w:spacing w:val="0"/>
                <w:w w:val="100"/>
                <w:position w:val="0"/>
              </w:rPr>
              <w:t>的自有物业，且与公</w:t>
            </w:r>
          </w:p>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•金投资项目的实施地点由购买财富大厦第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 司物业。其中：</w:t>
            </w:r>
          </w:p>
          <w:p>
            <w:pPr>
              <w:pStyle w:val="Style2"/>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台的建筑节能服务项目实施场地由购买变更为租 补充本项目的管理节能系统与节能改造系统的设</w:t>
            </w:r>
          </w:p>
          <w:p>
            <w:pPr>
              <w:pStyle w:val="Style2"/>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施场地由购买变更为租赁后，节余的资金用于追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万元及补充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新增建筑智能化业务营运资</w:t>
            </w:r>
          </w:p>
          <w:p>
            <w:pPr>
              <w:pStyle w:val="Style2"/>
              <w:keepNext w:val="0"/>
              <w:keepLines w:val="0"/>
              <w:widowControl w:val="0"/>
              <w:shd w:val="clear" w:color="auto" w:fill="auto"/>
              <w:bidi w:val="0"/>
              <w:spacing w:before="0" w:after="0" w:line="351" w:lineRule="exact"/>
              <w:ind w:left="0" w:right="0" w:firstLine="0"/>
              <w:jc w:val="left"/>
            </w:pPr>
            <w:r>
              <w:rPr>
                <w:color w:val="000000"/>
                <w:spacing w:val="0"/>
                <w:w w:val="100"/>
                <w:position w:val="0"/>
              </w:rPr>
              <w:t>务金的投资金额增加</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万，是由于公司研发中 ［赁后，节余的资金转入所致。</w:t>
            </w:r>
          </w:p>
          <w:p>
            <w:pPr>
              <w:pStyle w:val="Style2"/>
              <w:keepNext w:val="0"/>
              <w:keepLines w:val="0"/>
              <w:widowControl w:val="0"/>
              <w:shd w:val="clear" w:color="auto" w:fill="auto"/>
              <w:bidi w:val="0"/>
              <w:spacing w:before="0" w:after="0" w:line="351" w:lineRule="exact"/>
              <w:ind w:left="0" w:right="0" w:firstLine="0"/>
              <w:jc w:val="left"/>
            </w:pPr>
            <w:r>
              <w:rPr>
                <w:color w:val="000000"/>
                <w:spacing w:val="0"/>
                <w:w w:val="100"/>
                <w:position w:val="0"/>
              </w:rPr>
              <w:t>翁一次临时股东大会审议通过，相关内容刊登于 潮资讯网。</w:t>
            </w:r>
          </w:p>
          <w:p>
            <w:pPr>
              <w:pStyle w:val="Style2"/>
              <w:keepNext w:val="0"/>
              <w:keepLines w:val="0"/>
              <w:widowControl w:val="0"/>
              <w:shd w:val="clear" w:color="auto" w:fill="auto"/>
              <w:bidi w:val="0"/>
              <w:spacing w:before="0" w:after="340" w:line="351" w:lineRule="exact"/>
              <w:ind w:left="0" w:right="0" w:firstLine="0"/>
              <w:jc w:val="left"/>
            </w:pPr>
            <w:r>
              <w:rPr>
                <w:color w:val="000000"/>
                <w:spacing w:val="0"/>
                <w:w w:val="100"/>
                <w:position w:val="0"/>
              </w:rPr>
              <w:t>本着节约、合理及有效的原则使用募集资金，致 集资金节余</w:t>
            </w:r>
            <w:r>
              <w:rPr>
                <w:rFonts w:ascii="Times New Roman" w:eastAsia="Times New Roman" w:hAnsi="Times New Roman" w:cs="Times New Roman"/>
                <w:color w:val="000000"/>
                <w:spacing w:val="0"/>
                <w:w w:val="100"/>
                <w:position w:val="0"/>
                <w:sz w:val="18"/>
                <w:szCs w:val="18"/>
              </w:rPr>
              <w:t>4,550,744.20</w:t>
            </w:r>
            <w:r>
              <w:rPr>
                <w:color w:val="000000"/>
                <w:spacing w:val="0"/>
                <w:w w:val="100"/>
                <w:position w:val="0"/>
              </w:rPr>
              <w:t>元，加上存放该项目资 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部分超募资金)产生的利息</w:t>
            </w:r>
            <w:r>
              <w:rPr>
                <w:rFonts w:ascii="Times New Roman" w:eastAsia="Times New Roman" w:hAnsi="Times New Roman" w:cs="Times New Roman"/>
                <w:color w:val="000000"/>
                <w:spacing w:val="0"/>
                <w:w w:val="100"/>
                <w:position w:val="0"/>
                <w:sz w:val="18"/>
                <w:szCs w:val="18"/>
              </w:rPr>
              <w:t>2,370,193.71</w:t>
            </w:r>
            <w:r>
              <w:rPr>
                <w:color w:val="000000"/>
                <w:spacing w:val="0"/>
                <w:w w:val="100"/>
                <w:position w:val="0"/>
              </w:rPr>
              <w:t>元， 充募集资金投资项目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新增建筑智能化业务营运资</w:t>
            </w:r>
          </w:p>
        </w:tc>
      </w:tr>
    </w:tbl>
    <w:p>
      <w:pPr>
        <w:spacing w:lineRule="exact" w:line="1"/>
        <w:rPr>
          <w:sz w:val="2"/>
          <w:szCs w:val="2"/>
        </w:rPr>
      </w:pPr>
      <w:r>
        <w:br w:type="page"/>
      </w:r>
    </w:p>
    <w:tbl>
      <w:tblPr>
        <w:tblOverlap w:val="never"/>
        <w:jc w:val="center"/>
        <w:tblLayout w:type="fixed"/>
      </w:tblPr>
      <w:tblGrid>
        <w:gridCol w:w="2880"/>
        <w:gridCol w:w="6710"/>
      </w:tblGrid>
      <w:tr>
        <w:trPr>
          <w:trHeight w:val="10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新增建筑智能化业务营运资金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的投资额增加至</w:t>
            </w:r>
            <w:r>
              <w:rPr>
                <w:rFonts w:ascii="Times New Roman" w:eastAsia="Times New Roman" w:hAnsi="Times New Roman" w:cs="Times New Roman"/>
                <w:color w:val="000000"/>
                <w:spacing w:val="0"/>
                <w:w w:val="100"/>
                <w:position w:val="0"/>
                <w:sz w:val="18"/>
                <w:szCs w:val="18"/>
              </w:rPr>
              <w:t>87,920,937.91</w:t>
            </w:r>
            <w:r>
              <w:rPr>
                <w:color w:val="000000"/>
                <w:spacing w:val="0"/>
                <w:w w:val="100"/>
                <w:position w:val="0"/>
              </w:rPr>
              <w:t>元。</w:t>
            </w:r>
          </w:p>
          <w:p>
            <w:pPr>
              <w:pStyle w:val="Style2"/>
              <w:keepNext w:val="0"/>
              <w:keepLines w:val="0"/>
              <w:widowControl w:val="0"/>
              <w:shd w:val="clear" w:color="auto" w:fill="auto"/>
              <w:bidi w:val="0"/>
              <w:spacing w:before="0" w:after="140" w:line="240" w:lineRule="auto"/>
              <w:ind w:left="0" w:right="0" w:firstLine="380"/>
              <w:jc w:val="both"/>
              <w:rPr>
                <w:sz w:val="18"/>
                <w:szCs w:val="18"/>
              </w:rPr>
            </w:pPr>
            <w:r>
              <w:rPr>
                <w:color w:val="000000"/>
                <w:spacing w:val="0"/>
                <w:w w:val="100"/>
                <w:position w:val="0"/>
                <w:sz w:val="17"/>
                <w:szCs w:val="17"/>
              </w:rPr>
              <w:t>上述事项已经公司第四届董事会第二十三次会议审议通过，相关内容刊登于</w:t>
            </w:r>
            <w:r>
              <w:rPr>
                <w:rFonts w:ascii="Times New Roman" w:eastAsia="Times New Roman" w:hAnsi="Times New Roman" w:cs="Times New Roman"/>
                <w:color w:val="000000"/>
                <w:spacing w:val="0"/>
                <w:w w:val="100"/>
                <w:position w:val="0"/>
                <w:sz w:val="18"/>
                <w:szCs w:val="18"/>
              </w:rPr>
              <w:t>2013</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日《证券时报》、《中国证券报》和巨潮资讯网。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变更后，项目可行性未发生重大变化。</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、主要子公司、参股公司分析</w:t>
      </w:r>
      <w:bookmarkEnd w:id="143"/>
      <w:bookmarkEnd w:id="144"/>
      <w:bookmarkEnd w:id="14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60"/>
        <w:gridCol w:w="955"/>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主要产品或 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达实自动化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建筑智能化 安防行业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pPr>
            <w:r>
              <w:rPr>
                <w:color w:val="000000"/>
                <w:spacing w:val="0"/>
                <w:w w:val="100"/>
                <w:position w:val="0"/>
              </w:rPr>
              <w:t>楼宇自动 化、</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 写设备与终 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9,102,740.6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6,836,954.6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14,825,322.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1,855,666.5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1,509,957.8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建筑智能化 安防行业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 设备与终端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112,160,985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44,864,272.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85,061,336.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27,383,979.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24,820,594.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达实德润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绿色建筑咨 询认证服务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绿色建筑咨 询认证服务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17,466,672.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14,281,458.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11,385,338.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255,453.49</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达实联欣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绿色建筑公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用工程服务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绿色建筑供 电（强电） 系统优化咨 询、工程及 节能服务、 建筑智能化 集成及服 务、建筑节 能工程及节 能服务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224,704,305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134,893,711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221,911,833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57,324,091.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52,468,127.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融资租赁业 务；租赁业 务；向国内 外购买租赁 资产；租赁 资产的残值 处理及维 修；租赁交 易咨询和担 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30,126,503.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30,121,509.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-16,488.70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达实租赁公司系本报告期新成立的子公司，公司持有股权比例</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。本报告期实际接受股东投入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资本金。</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构建合同能源管理的融资平 台，推出不同的融资工具及产 品，打造节能产业链，有利于 节能业务的拓展，衍生灵活多 样的商业模式。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尚未实际开始运作</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、非募集资金投资的重大项目情况</w:t>
      </w:r>
    </w:p>
    <w:p>
      <w:pPr>
        <w:widowControl w:val="0"/>
        <w:spacing w:after="33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投资设立达实租赁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首期出资款到位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临时公告披露的指定网站查询日期（如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临时公告披露的指定网站查询索引（如 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《关联交易暨投资设立融资租赁公司的公告》</w:t>
            </w:r>
          </w:p>
        </w:tc>
      </w:tr>
    </w:tbl>
    <w:p>
      <w:pPr>
        <w:widowControl w:val="0"/>
        <w:spacing w:after="339" w:line="1" w:lineRule="exact"/>
      </w:pPr>
    </w:p>
    <w:p>
      <w:pPr>
        <w:pStyle w:val="Style27"/>
        <w:keepNext/>
        <w:keepLines/>
        <w:widowControl w:val="0"/>
        <w:shd w:val="clear" w:color="auto" w:fill="auto"/>
        <w:bidi w:val="0"/>
        <w:spacing w:before="0" w:after="1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七</w:t>
      </w:r>
      <w:bookmarkEnd w:id="149"/>
      <w:r>
        <w:rPr>
          <w:color w:val="000000"/>
          <w:spacing w:val="0"/>
          <w:w w:val="100"/>
          <w:position w:val="0"/>
        </w:rPr>
        <w:t>、公司未来发展的展望</w:t>
      </w:r>
      <w:bookmarkEnd w:id="147"/>
      <w:bookmarkEnd w:id="148"/>
      <w:bookmarkEnd w:id="150"/>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新型城市化与城镇化，是推动行业下一个十年的驱动力，可持续发展的诉求，将给新型城镇化带来政 策红利，而技术创新，是驱动建筑智能化与节能领域增长的原动力。以物联网、云计算、移动互联网为代 表的信息技术不断革新与融合，为建筑、家庭、社区、城市运行过程中的海量数据的实时采集、传输、受 理、整合和分析提供了技术手段，为提升经济社会各领域智能化水平提供了有效支撑。</w:t>
      </w:r>
      <w:r>
        <w:rPr>
          <w:rFonts w:ascii="Times New Roman" w:eastAsia="Times New Roman" w:hAnsi="Times New Roman" w:cs="Times New Roman"/>
          <w:color w:val="000000"/>
          <w:spacing w:val="0"/>
          <w:w w:val="100"/>
          <w:position w:val="0"/>
        </w:rPr>
        <w:t>2013</w:t>
      </w:r>
      <w:r>
        <w:rPr>
          <w:color w:val="000000"/>
          <w:spacing w:val="0"/>
          <w:w w:val="100"/>
          <w:position w:val="0"/>
        </w:rPr>
        <w:t>是创新与变革 元年，如何借助技术创新与政策红利，抵御投资下行风险，是未来若干年的重大课题。</w:t>
      </w:r>
    </w:p>
    <w:p>
      <w:pPr>
        <w:pStyle w:val="Style36"/>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预计未来市场需求的结构化差异仍将持续。与投资周期相关的传统建筑智能化业务，在竞争加剧的当 下，广阔的市场空间和较低的行业集中度将给有实力的企业带来行业整合、资源聚集的机会，绿色医疗、 数据中心、智慧交通等细分领域也将面临大量机会。而建筑节能需求，随着环境问题成为决策层与社会共 识，将进入持续快速增长阶段，支撑公司未来的发展。</w:t>
      </w:r>
    </w:p>
    <w:p>
      <w:pPr>
        <w:pStyle w:val="Style36"/>
        <w:keepNext w:val="0"/>
        <w:keepLines w:val="0"/>
        <w:widowControl w:val="0"/>
        <w:shd w:val="clear" w:color="auto" w:fill="auto"/>
        <w:bidi w:val="0"/>
        <w:spacing w:before="0" w:after="0" w:line="430" w:lineRule="auto"/>
        <w:ind w:left="0" w:right="0" w:firstLine="440"/>
        <w:jc w:val="both"/>
      </w:pPr>
      <w:bookmarkStart w:id="151" w:name="bookmark151"/>
      <w:r>
        <w:rPr>
          <w:rFonts w:ascii="Times New Roman" w:eastAsia="Times New Roman" w:hAnsi="Times New Roman" w:cs="Times New Roman"/>
          <w:color w:val="000000"/>
          <w:spacing w:val="0"/>
          <w:w w:val="100"/>
          <w:position w:val="0"/>
        </w:rPr>
        <w:t>1</w:t>
      </w:r>
      <w:bookmarkEnd w:id="151"/>
      <w:r>
        <w:rPr>
          <w:color w:val="000000"/>
          <w:spacing w:val="0"/>
          <w:w w:val="100"/>
          <w:position w:val="0"/>
        </w:rPr>
        <w:t>、公司战略规划</w:t>
      </w:r>
    </w:p>
    <w:p>
      <w:pPr>
        <w:pStyle w:val="Style36"/>
        <w:keepNext w:val="0"/>
        <w:keepLines w:val="0"/>
        <w:widowControl w:val="0"/>
        <w:shd w:val="clear" w:color="auto" w:fill="auto"/>
        <w:bidi w:val="0"/>
        <w:spacing w:before="0" w:after="180" w:line="410" w:lineRule="exact"/>
        <w:ind w:left="0" w:right="0" w:firstLine="440"/>
        <w:jc w:val="both"/>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278" w:right="1080" w:bottom="1460" w:left="1076" w:header="0" w:footer="3" w:gutter="0"/>
          <w:cols w:space="720"/>
          <w:noEndnote/>
          <w:rtlGutter w:val="0"/>
          <w:docGrid w:linePitch="360"/>
        </w:sectPr>
      </w:pPr>
      <w:r>
        <w:rPr>
          <w:color w:val="000000"/>
          <w:spacing w:val="0"/>
          <w:w w:val="100"/>
          <w:position w:val="0"/>
        </w:rPr>
        <w:t>秉承</w:t>
      </w:r>
      <w:r>
        <w:rPr>
          <w:rFonts w:ascii="Times New Roman" w:eastAsia="Times New Roman" w:hAnsi="Times New Roman" w:cs="Times New Roman"/>
          <w:color w:val="000000"/>
          <w:spacing w:val="0"/>
          <w:w w:val="100"/>
          <w:position w:val="0"/>
        </w:rPr>
        <w:t>“</w:t>
      </w:r>
      <w:r>
        <w:rPr>
          <w:color w:val="000000"/>
          <w:spacing w:val="0"/>
          <w:w w:val="100"/>
          <w:position w:val="0"/>
        </w:rPr>
        <w:t>让建筑更节能</w:t>
      </w:r>
      <w:r>
        <w:rPr>
          <w:color w:val="000000"/>
          <w:spacing w:val="0"/>
          <w:w w:val="100"/>
          <w:position w:val="0"/>
        </w:rPr>
        <w:t>''</w:t>
      </w:r>
      <w:r>
        <w:rPr>
          <w:color w:val="000000"/>
          <w:spacing w:val="0"/>
          <w:w w:val="100"/>
          <w:position w:val="0"/>
        </w:rPr>
        <w:t>的公司使命和</w:t>
      </w:r>
      <w:r>
        <w:rPr>
          <w:rFonts w:ascii="Times New Roman" w:eastAsia="Times New Roman" w:hAnsi="Times New Roman" w:cs="Times New Roman"/>
          <w:color w:val="000000"/>
          <w:spacing w:val="0"/>
          <w:w w:val="100"/>
          <w:position w:val="0"/>
        </w:rPr>
        <w:t>“</w:t>
      </w:r>
      <w:r>
        <w:rPr>
          <w:color w:val="000000"/>
          <w:spacing w:val="0"/>
          <w:w w:val="100"/>
          <w:position w:val="0"/>
        </w:rPr>
        <w:t xml:space="preserve">成为建筑智能化与建筑节能行业领军企业''的长期愿景，持续跟踪 和把握最先进的智能控制技术，以技术创新为支撑，以商业模式和金融创新为突破，推动智能和节能两大 </w:t>
      </w:r>
    </w:p>
    <w:p>
      <w:pPr>
        <w:pStyle w:val="Style36"/>
        <w:keepNext w:val="0"/>
        <w:keepLines w:val="0"/>
        <w:widowControl w:val="0"/>
        <w:shd w:val="clear" w:color="auto" w:fill="auto"/>
        <w:bidi w:val="0"/>
        <w:spacing w:before="0" w:after="180" w:line="410" w:lineRule="exact"/>
        <w:ind w:left="0" w:right="0" w:firstLine="0"/>
        <w:jc w:val="both"/>
      </w:pPr>
      <w:r>
        <w:rPr>
          <w:color w:val="000000"/>
          <w:spacing w:val="0"/>
          <w:w w:val="100"/>
          <w:position w:val="0"/>
        </w:rPr>
        <w:t>基础业务，构建覆盖建筑全生命周期的集成和服务能力。通过资本实现产业整合，不断扩大公司产品和服 务的差异化竞争优势，逐渐扩大公司市场份额和品牌影响力。</w:t>
      </w:r>
    </w:p>
    <w:p>
      <w:pPr>
        <w:pStyle w:val="Style36"/>
        <w:keepNext w:val="0"/>
        <w:keepLines w:val="0"/>
        <w:widowControl w:val="0"/>
        <w:shd w:val="clear" w:color="auto" w:fill="auto"/>
        <w:tabs>
          <w:tab w:pos="875" w:val="left"/>
        </w:tabs>
        <w:bidi w:val="0"/>
        <w:spacing w:before="0" w:after="0" w:line="430" w:lineRule="auto"/>
        <w:ind w:left="0" w:right="0" w:firstLine="440"/>
        <w:jc w:val="both"/>
      </w:pPr>
      <w:bookmarkStart w:id="152" w:name="bookmark152"/>
      <w:r>
        <w:rPr>
          <w:rFonts w:ascii="Times New Roman" w:eastAsia="Times New Roman" w:hAnsi="Times New Roman" w:cs="Times New Roman"/>
          <w:color w:val="000000"/>
          <w:spacing w:val="0"/>
          <w:w w:val="100"/>
          <w:position w:val="0"/>
        </w:rPr>
        <w:t>2</w:t>
      </w:r>
      <w:bookmarkEnd w:id="15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2014</w:t>
      </w:r>
      <w:r>
        <w:rPr>
          <w:color w:val="000000"/>
          <w:spacing w:val="0"/>
          <w:w w:val="100"/>
          <w:position w:val="0"/>
        </w:rPr>
        <w:t>年将贯彻如下经营方针：聚焦主业，储备未来；精耕行业，布局区域；精细管理，绩效为 先；创新模式，资本助力。</w:t>
      </w:r>
    </w:p>
    <w:p>
      <w:pPr>
        <w:pStyle w:val="Style36"/>
        <w:keepNext w:val="0"/>
        <w:keepLines w:val="0"/>
        <w:widowControl w:val="0"/>
        <w:shd w:val="clear" w:color="auto" w:fill="auto"/>
        <w:tabs>
          <w:tab w:pos="968" w:val="left"/>
        </w:tabs>
        <w:bidi w:val="0"/>
        <w:spacing w:before="0" w:after="0" w:line="412" w:lineRule="exact"/>
        <w:ind w:left="0" w:right="0" w:firstLine="44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w:t>
        <w:tab/>
        <w:t>聚焦主业，储备未来。聚焦是形成竞争优势的主要手段。公司将继续聚焦于建筑智能化与建筑 节能业务，通过聚焦形成在特定细分行业的相对竞争优势，集中力量，以专业化促进规模化。</w:t>
      </w:r>
      <w:r>
        <w:rPr>
          <w:rFonts w:ascii="Times New Roman" w:eastAsia="Times New Roman" w:hAnsi="Times New Roman" w:cs="Times New Roman"/>
          <w:color w:val="000000"/>
          <w:spacing w:val="0"/>
          <w:w w:val="100"/>
          <w:position w:val="0"/>
        </w:rPr>
        <w:t>2014</w:t>
      </w:r>
      <w:r>
        <w:rPr>
          <w:color w:val="000000"/>
          <w:spacing w:val="0"/>
          <w:w w:val="100"/>
          <w:position w:val="0"/>
        </w:rPr>
        <w:t>年，公 司将在不同事业部之间、事业部和专业子公司之间，加强方案、技术、营销融合，依托弱电系统、强电系 统、机电系统的整体集成能力，推动大客户、大项目的深入合作，进一步提高市场份额。同时基于智能技 术和节能的发展趋势，加强研发技术储备和外部合作，在智能控制、物联网和整体节能领域储备技术和产 品，将客户对象适当外延至弱周期行业，以平衡业务结构带来的波动风险，适应行业发展。</w:t>
      </w:r>
    </w:p>
    <w:p>
      <w:pPr>
        <w:pStyle w:val="Style36"/>
        <w:keepNext w:val="0"/>
        <w:keepLines w:val="0"/>
        <w:widowControl w:val="0"/>
        <w:shd w:val="clear" w:color="auto" w:fill="auto"/>
        <w:tabs>
          <w:tab w:pos="968" w:val="left"/>
        </w:tabs>
        <w:bidi w:val="0"/>
        <w:spacing w:before="0" w:after="0" w:line="412" w:lineRule="exact"/>
        <w:ind w:left="0" w:right="0" w:firstLine="44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rPr>
        <w:t>2</w:t>
      </w:r>
      <w:r>
        <w:rPr>
          <w:color w:val="000000"/>
          <w:spacing w:val="0"/>
          <w:w w:val="100"/>
          <w:position w:val="0"/>
        </w:rPr>
        <w:t>）</w:t>
        <w:tab/>
        <w:t>精耕行业，布局区域。公司近年的发展经历是由点到线（区域一点到细分行业），</w:t>
      </w:r>
      <w:r>
        <w:rPr>
          <w:rFonts w:ascii="Times New Roman" w:eastAsia="Times New Roman" w:hAnsi="Times New Roman" w:cs="Times New Roman"/>
          <w:color w:val="000000"/>
          <w:spacing w:val="0"/>
          <w:w w:val="100"/>
          <w:position w:val="0"/>
        </w:rPr>
        <w:t>2014</w:t>
      </w:r>
      <w:r>
        <w:rPr>
          <w:color w:val="000000"/>
          <w:spacing w:val="0"/>
          <w:w w:val="100"/>
          <w:position w:val="0"/>
        </w:rPr>
        <w:t>年将开 始推动由线到面（由行业到区域）的发展。通过聚焦战略和细分行业的精耕细作，以行业解决方案撬动行 业客户，实现可复制发展。组织结构上，继续执行行业事业部制，将孵化成熟的绿色数据中心业务独立为 数据中心事业部，同时对部分条件成熟的事业部实施区域和行业并行的矩阵式管理，使作业系统和成本快 速实现本地化，提升对客户的持续服务能力。行业管理（条）和区域管理（块）结合，实现公司业务走向 全国。</w:t>
      </w:r>
    </w:p>
    <w:p>
      <w:pPr>
        <w:pStyle w:val="Style36"/>
        <w:keepNext w:val="0"/>
        <w:keepLines w:val="0"/>
        <w:widowControl w:val="0"/>
        <w:shd w:val="clear" w:color="auto" w:fill="auto"/>
        <w:tabs>
          <w:tab w:pos="875" w:val="left"/>
        </w:tabs>
        <w:bidi w:val="0"/>
        <w:spacing w:before="0" w:after="0" w:line="412" w:lineRule="exact"/>
        <w:ind w:left="0" w:right="0" w:firstLine="44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rPr>
        <w:t>3</w:t>
      </w:r>
      <w:r>
        <w:rPr>
          <w:color w:val="000000"/>
          <w:spacing w:val="0"/>
          <w:w w:val="100"/>
          <w:position w:val="0"/>
        </w:rPr>
        <w:t>）</w:t>
        <w:tab/>
        <w:t>精细管理，绩效为先</w:t>
      </w:r>
    </w:p>
    <w:p>
      <w:pPr>
        <w:pStyle w:val="Style36"/>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年将继续贯彻精细化和流程化管理，加强内部培训和审计，规范业务流程，提高组织效率，优化 绩效考核指标体系和考核机制。以企业现金流管理为突破口，在市场、人力资源、财务、工程管理、审计 等多个环节着手，实行内部资金成本核算，将项目、组织的目标聚焦在利润，实现精细管理，绩效先导的 目标。</w:t>
      </w:r>
    </w:p>
    <w:p>
      <w:pPr>
        <w:pStyle w:val="Style36"/>
        <w:keepNext w:val="0"/>
        <w:keepLines w:val="0"/>
        <w:widowControl w:val="0"/>
        <w:shd w:val="clear" w:color="auto" w:fill="auto"/>
        <w:tabs>
          <w:tab w:pos="875" w:val="left"/>
        </w:tabs>
        <w:bidi w:val="0"/>
        <w:spacing w:before="0" w:after="0" w:line="412" w:lineRule="exact"/>
        <w:ind w:left="0" w:right="0" w:firstLine="44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4</w:t>
      </w:r>
      <w:r>
        <w:rPr>
          <w:color w:val="000000"/>
          <w:spacing w:val="0"/>
          <w:w w:val="100"/>
          <w:position w:val="0"/>
        </w:rPr>
        <w:t>）</w:t>
        <w:tab/>
        <w:t>创新模式，资本助力</w:t>
      </w:r>
    </w:p>
    <w:p>
      <w:pPr>
        <w:pStyle w:val="Style36"/>
        <w:keepNext w:val="0"/>
        <w:keepLines w:val="0"/>
        <w:widowControl w:val="0"/>
        <w:shd w:val="clear" w:color="auto" w:fill="auto"/>
        <w:bidi w:val="0"/>
        <w:spacing w:before="0" w:after="180" w:line="4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年，公司将继续进行商业模式创新的探索，基于产业价值，将</w:t>
      </w:r>
      <w:r>
        <w:rPr>
          <w:rFonts w:ascii="Times New Roman" w:eastAsia="Times New Roman" w:hAnsi="Times New Roman" w:cs="Times New Roman"/>
          <w:color w:val="000000"/>
          <w:spacing w:val="0"/>
          <w:w w:val="100"/>
          <w:position w:val="0"/>
        </w:rPr>
        <w:t>2013</w:t>
      </w:r>
      <w:r>
        <w:rPr>
          <w:color w:val="000000"/>
          <w:spacing w:val="0"/>
          <w:w w:val="100"/>
          <w:position w:val="0"/>
        </w:rPr>
        <w:t>年打下的良好基础变现，实现 持续的订单与收入。同时，公司将积极利用上市公司平台，通过股权融资解决发展的资金瓶颈，通过产业 并购，解决技术、市场、区域的短板，通过融资租赁，丰富融资渠道，以资本快速壮大，以规模提升整合 能力，实现快速发展。</w:t>
      </w:r>
    </w:p>
    <w:p>
      <w:pPr>
        <w:pStyle w:val="Style36"/>
        <w:keepNext w:val="0"/>
        <w:keepLines w:val="0"/>
        <w:widowControl w:val="0"/>
        <w:shd w:val="clear" w:color="auto" w:fill="auto"/>
        <w:tabs>
          <w:tab w:pos="875" w:val="left"/>
        </w:tabs>
        <w:bidi w:val="0"/>
        <w:spacing w:before="0" w:after="0" w:line="430" w:lineRule="auto"/>
        <w:ind w:left="0" w:right="0" w:firstLine="440"/>
        <w:jc w:val="both"/>
      </w:pPr>
      <w:bookmarkStart w:id="157" w:name="bookmark157"/>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面临的风险</w:t>
      </w:r>
    </w:p>
    <w:p>
      <w:pPr>
        <w:pStyle w:val="Style36"/>
        <w:keepNext w:val="0"/>
        <w:keepLines w:val="0"/>
        <w:widowControl w:val="0"/>
        <w:shd w:val="clear" w:color="auto" w:fill="auto"/>
        <w:bidi w:val="0"/>
        <w:spacing w:before="0" w:after="0" w:line="412" w:lineRule="exact"/>
        <w:ind w:left="0" w:right="0" w:firstLine="440"/>
        <w:jc w:val="both"/>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rPr>
        <w:t>1</w:t>
      </w:r>
      <w:r>
        <w:rPr>
          <w:color w:val="000000"/>
          <w:spacing w:val="0"/>
          <w:w w:val="100"/>
          <w:position w:val="0"/>
        </w:rPr>
        <w:t>）应收账款发生坏账的风险</w:t>
      </w:r>
    </w:p>
    <w:p>
      <w:pPr>
        <w:pStyle w:val="Style36"/>
        <w:keepNext w:val="0"/>
        <w:keepLines w:val="0"/>
        <w:widowControl w:val="0"/>
        <w:shd w:val="clear" w:color="auto" w:fill="auto"/>
        <w:tabs>
          <w:tab w:pos="2597" w:val="left"/>
        </w:tabs>
        <w:bidi w:val="0"/>
        <w:spacing w:before="0" w:after="0" w:line="413"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rPr>
        <w:t>52,431.86</w:t>
      </w:r>
      <w:r>
        <w:rPr>
          <w:color w:val="000000"/>
          <w:spacing w:val="0"/>
          <w:w w:val="100"/>
          <w:position w:val="0"/>
        </w:rPr>
        <w:t>万元，较上年增长</w:t>
      </w:r>
      <w:r>
        <w:rPr>
          <w:rFonts w:ascii="Times New Roman" w:eastAsia="Times New Roman" w:hAnsi="Times New Roman" w:cs="Times New Roman"/>
          <w:color w:val="000000"/>
          <w:spacing w:val="0"/>
          <w:w w:val="100"/>
          <w:position w:val="0"/>
        </w:rPr>
        <w:t>37.10%</w:t>
      </w: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年期内的应 收账款所占比例为</w:t>
      </w:r>
      <w:r>
        <w:rPr>
          <w:rFonts w:ascii="Times New Roman" w:eastAsia="Times New Roman" w:hAnsi="Times New Roman" w:cs="Times New Roman"/>
          <w:color w:val="000000"/>
          <w:spacing w:val="0"/>
          <w:w w:val="100"/>
          <w:position w:val="0"/>
        </w:rPr>
        <w:t>74.81%</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年期内的比例为</w:t>
      </w:r>
      <w:r>
        <w:rPr>
          <w:rFonts w:ascii="Times New Roman" w:eastAsia="Times New Roman" w:hAnsi="Times New Roman" w:cs="Times New Roman"/>
          <w:color w:val="000000"/>
          <w:spacing w:val="0"/>
          <w:w w:val="100"/>
          <w:position w:val="0"/>
        </w:rPr>
        <w:t>20.75%</w:t>
      </w:r>
      <w:r>
        <w:rPr>
          <w:color w:val="000000"/>
          <w:spacing w:val="0"/>
          <w:w w:val="100"/>
          <w:position w:val="0"/>
        </w:rPr>
        <w:t>，</w:t>
      </w:r>
      <w:r>
        <w:rPr>
          <w:rFonts w:ascii="Times New Roman" w:eastAsia="Times New Roman" w:hAnsi="Times New Roman" w:cs="Times New Roman"/>
          <w:color w:val="000000"/>
          <w:spacing w:val="0"/>
          <w:w w:val="100"/>
          <w:position w:val="0"/>
        </w:rPr>
        <w:t>2-3</w:t>
      </w:r>
      <w:r>
        <w:rPr>
          <w:color w:val="000000"/>
          <w:spacing w:val="0"/>
          <w:w w:val="100"/>
          <w:position w:val="0"/>
        </w:rPr>
        <w:t>年期内的比例为</w:t>
      </w:r>
      <w:r>
        <w:rPr>
          <w:rFonts w:ascii="Times New Roman" w:eastAsia="Times New Roman" w:hAnsi="Times New Roman" w:cs="Times New Roman"/>
          <w:color w:val="000000"/>
          <w:spacing w:val="0"/>
          <w:w w:val="100"/>
          <w:position w:val="0"/>
        </w:rPr>
        <w:t>2.61%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年期以上的比例为</w:t>
      </w:r>
    </w:p>
    <w:p>
      <w:pPr>
        <w:pStyle w:val="Style36"/>
        <w:keepNext w:val="0"/>
        <w:keepLines w:val="0"/>
        <w:widowControl w:val="0"/>
        <w:shd w:val="clear" w:color="auto" w:fill="auto"/>
        <w:bidi w:val="0"/>
        <w:spacing w:before="0" w:after="0" w:line="413" w:lineRule="exact"/>
        <w:ind w:left="0" w:right="0" w:firstLine="0"/>
        <w:jc w:val="both"/>
      </w:pPr>
      <w:r>
        <w:rPr>
          <w:rFonts w:ascii="Times New Roman" w:eastAsia="Times New Roman" w:hAnsi="Times New Roman" w:cs="Times New Roman"/>
          <w:color w:val="000000"/>
          <w:spacing w:val="0"/>
          <w:w w:val="100"/>
          <w:position w:val="0"/>
        </w:rPr>
        <w:t>3.66%</w:t>
      </w:r>
      <w:r>
        <w:rPr>
          <w:color w:val="000000"/>
          <w:spacing w:val="0"/>
          <w:w w:val="100"/>
          <w:position w:val="0"/>
        </w:rPr>
        <w:t>。虽然一年期内的应收账款占比较大，且主要客户的资信状况良好，但若宏观经济环境、客户经营 状况等发生重大不利变化，将导致公司面临坏账的风险。公司在</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年，将加强客户的选择和应收账款的 催收，回款与因应收账款导致的资金占用与绩效考核紧密结合，提升应收账款周转率，降低应收账款发生 </w:t>
      </w:r>
      <w:r>
        <w:rPr>
          <w:color w:val="000000"/>
          <w:spacing w:val="0"/>
          <w:w w:val="100"/>
          <w:position w:val="0"/>
        </w:rPr>
        <w:t>坏账的风险。</w:t>
      </w:r>
    </w:p>
    <w:p>
      <w:pPr>
        <w:pStyle w:val="Style36"/>
        <w:keepNext w:val="0"/>
        <w:keepLines w:val="0"/>
        <w:widowControl w:val="0"/>
        <w:shd w:val="clear" w:color="auto" w:fill="auto"/>
        <w:bidi w:val="0"/>
        <w:spacing w:before="0" w:after="0" w:line="411" w:lineRule="exact"/>
        <w:ind w:left="0" w:right="0" w:firstLine="44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rPr>
        <w:t>2</w:t>
      </w:r>
      <w:r>
        <w:rPr>
          <w:color w:val="000000"/>
          <w:spacing w:val="0"/>
          <w:w w:val="100"/>
          <w:position w:val="0"/>
        </w:rPr>
        <w:t>）公司规模扩大引致的管理风险</w:t>
      </w:r>
    </w:p>
    <w:p>
      <w:pPr>
        <w:pStyle w:val="Style36"/>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近年公司业务持续发展。在销售规模、员工人数、组织结构上均上了一个台阶，公司规模扩大客观对 管理提出了更高要求，虽然公司通过实施股权激励及健全的薪酬体系等方式逐渐形成有效的激励机制及内 部管理机制，但如果公司不能及时调整、完善管理体制及做好对子公司的监督和管控以满足规模增长产生 的人员增加和业务整合的需要，将给公司生产经营带来一定的管理风险。</w:t>
      </w:r>
    </w:p>
    <w:p>
      <w:pPr>
        <w:pStyle w:val="Style27"/>
        <w:keepNext/>
        <w:keepLines/>
        <w:widowControl w:val="0"/>
        <w:shd w:val="clear" w:color="auto" w:fill="auto"/>
        <w:tabs>
          <w:tab w:pos="517" w:val="left"/>
        </w:tabs>
        <w:bidi w:val="0"/>
        <w:spacing w:before="0" w:after="16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八</w:t>
      </w:r>
      <w:bookmarkEnd w:id="162"/>
      <w:r>
        <w:rPr>
          <w:color w:val="000000"/>
          <w:spacing w:val="0"/>
          <w:w w:val="100"/>
          <w:position w:val="0"/>
        </w:rPr>
        <w:t>、</w:t>
        <w:tab/>
        <w:t>与上年度财务报告相比，合并报表范围发生变化的情况说明</w:t>
      </w:r>
      <w:bookmarkEnd w:id="160"/>
      <w:bookmarkEnd w:id="161"/>
      <w:bookmarkEnd w:id="163"/>
    </w:p>
    <w:p>
      <w:pPr>
        <w:pStyle w:val="Style36"/>
        <w:keepNext w:val="0"/>
        <w:keepLines w:val="0"/>
        <w:widowControl w:val="0"/>
        <w:shd w:val="clear" w:color="auto" w:fill="auto"/>
        <w:bidi w:val="0"/>
        <w:spacing w:before="0" w:after="800" w:line="403" w:lineRule="exact"/>
        <w:ind w:left="0" w:right="0" w:firstLine="440"/>
        <w:jc w:val="both"/>
      </w:pPr>
      <w:r>
        <w:rPr>
          <w:color w:val="000000"/>
          <w:spacing w:val="0"/>
          <w:w w:val="100"/>
          <w:position w:val="0"/>
        </w:rPr>
        <w:t>报告期内，公司与东兴企业澳门离岸商业服务有限公司组建的深圳达实融资租赁有限公司，本期纳入 合并报表范围。其注册资本为</w:t>
      </w:r>
      <w:r>
        <w:rPr>
          <w:color w:val="000000"/>
          <w:spacing w:val="0"/>
          <w:w w:val="100"/>
          <w:position w:val="0"/>
        </w:rPr>
        <w:t>10,000</w:t>
      </w:r>
      <w:r>
        <w:rPr>
          <w:color w:val="000000"/>
          <w:spacing w:val="0"/>
          <w:w w:val="100"/>
          <w:position w:val="0"/>
        </w:rPr>
        <w:t>万元，公司持股比例为</w:t>
      </w:r>
      <w:r>
        <w:rPr>
          <w:color w:val="000000"/>
          <w:spacing w:val="0"/>
          <w:w w:val="100"/>
          <w:position w:val="0"/>
        </w:rPr>
        <w:t>75%,</w:t>
      </w:r>
      <w:r>
        <w:rPr>
          <w:color w:val="000000"/>
          <w:spacing w:val="0"/>
          <w:w w:val="100"/>
          <w:position w:val="0"/>
        </w:rPr>
        <w:t>股东首期出资比例为</w:t>
      </w:r>
      <w:r>
        <w:rPr>
          <w:color w:val="000000"/>
          <w:spacing w:val="0"/>
          <w:w w:val="100"/>
          <w:position w:val="0"/>
        </w:rPr>
        <w:t>30%</w:t>
      </w:r>
      <w:r>
        <w:rPr>
          <w:color w:val="000000"/>
          <w:spacing w:val="0"/>
          <w:w w:val="100"/>
          <w:position w:val="0"/>
        </w:rPr>
        <w:t>。</w:t>
      </w:r>
    </w:p>
    <w:p>
      <w:pPr>
        <w:pStyle w:val="Style27"/>
        <w:keepNext/>
        <w:keepLines/>
        <w:widowControl w:val="0"/>
        <w:shd w:val="clear" w:color="auto" w:fill="auto"/>
        <w:tabs>
          <w:tab w:pos="517" w:val="left"/>
        </w:tabs>
        <w:bidi w:val="0"/>
        <w:spacing w:before="0" w:after="1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九</w:t>
      </w:r>
      <w:bookmarkEnd w:id="166"/>
      <w:r>
        <w:rPr>
          <w:color w:val="000000"/>
          <w:spacing w:val="0"/>
          <w:w w:val="100"/>
          <w:position w:val="0"/>
        </w:rPr>
        <w:t>、</w:t>
        <w:tab/>
        <w:t>公司利润分配及分红派息情况</w:t>
      </w:r>
      <w:bookmarkEnd w:id="164"/>
      <w:bookmarkEnd w:id="165"/>
      <w:bookmarkEnd w:id="167"/>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报告期内利润分配政策特别是现金分红政策的制定、执行或调整情况</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公司近</w:t>
      </w:r>
      <w:r>
        <w:rPr>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2011</w:t>
      </w:r>
      <w:r>
        <w:rPr>
          <w:color w:val="000000"/>
          <w:spacing w:val="0"/>
          <w:w w:val="100"/>
          <w:position w:val="0"/>
        </w:rPr>
        <w:t>年度的分派方案为：以公司</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101,400,00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w:t>
      </w:r>
      <w:r>
        <w:rPr>
          <w:color w:val="000000"/>
          <w:spacing w:val="0"/>
          <w:w w:val="100"/>
          <w:position w:val="0"/>
        </w:rPr>
        <w:t xml:space="preserve">2 </w:t>
      </w:r>
      <w:r>
        <w:rPr>
          <w:color w:val="000000"/>
          <w:spacing w:val="0"/>
          <w:w w:val="100"/>
          <w:position w:val="0"/>
        </w:rPr>
        <w:t>元人民币现金，共计派发现金</w:t>
      </w:r>
      <w:r>
        <w:rPr>
          <w:color w:val="000000"/>
          <w:spacing w:val="0"/>
          <w:w w:val="100"/>
          <w:position w:val="0"/>
        </w:rPr>
        <w:t>20,280,000</w:t>
      </w:r>
      <w:r>
        <w:rPr>
          <w:color w:val="000000"/>
          <w:spacing w:val="0"/>
          <w:w w:val="100"/>
          <w:position w:val="0"/>
        </w:rPr>
        <w:t>元，剩余未分配利润结转以后年度进行分配。</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 该方案得以实施；</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2012</w:t>
      </w:r>
      <w:r>
        <w:rPr>
          <w:color w:val="000000"/>
          <w:spacing w:val="0"/>
          <w:w w:val="100"/>
          <w:position w:val="0"/>
        </w:rPr>
        <w:t>年半年度的分派方案为：以公司</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日总股本</w:t>
      </w:r>
      <w:r>
        <w:rPr>
          <w:color w:val="000000"/>
          <w:spacing w:val="0"/>
          <w:w w:val="100"/>
          <w:position w:val="0"/>
        </w:rPr>
        <w:t>104,400,000</w:t>
      </w:r>
      <w:r>
        <w:rPr>
          <w:color w:val="000000"/>
          <w:spacing w:val="0"/>
          <w:w w:val="100"/>
          <w:position w:val="0"/>
        </w:rPr>
        <w:t>股为基数，以资本公积金向全 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股，转增后，公司总股本增加至</w:t>
      </w:r>
      <w:r>
        <w:rPr>
          <w:color w:val="000000"/>
          <w:spacing w:val="0"/>
          <w:w w:val="100"/>
          <w:position w:val="0"/>
        </w:rPr>
        <w:t>208, 800, 000</w:t>
      </w:r>
      <w:r>
        <w:rPr>
          <w:color w:val="000000"/>
          <w:spacing w:val="0"/>
          <w:w w:val="100"/>
          <w:position w:val="0"/>
        </w:rPr>
        <w:t>股。</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日，该方案得以实施；</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2012</w:t>
      </w:r>
      <w:r>
        <w:rPr>
          <w:color w:val="000000"/>
          <w:spacing w:val="0"/>
          <w:w w:val="100"/>
          <w:position w:val="0"/>
        </w:rPr>
        <w:t>年度的分派方案为：以公司</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208,800,000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 xml:space="preserve">股派 </w:t>
      </w:r>
      <w:r>
        <w:rPr>
          <w:color w:val="000000"/>
          <w:spacing w:val="0"/>
          <w:w w:val="100"/>
          <w:position w:val="0"/>
        </w:rPr>
        <w:t>0.5</w:t>
      </w:r>
      <w:r>
        <w:rPr>
          <w:color w:val="000000"/>
          <w:spacing w:val="0"/>
          <w:w w:val="100"/>
          <w:position w:val="0"/>
        </w:rPr>
        <w:t>元人民币现金（含税），共计派发现金</w:t>
      </w:r>
      <w:r>
        <w:rPr>
          <w:color w:val="000000"/>
          <w:spacing w:val="0"/>
          <w:w w:val="100"/>
          <w:position w:val="0"/>
        </w:rPr>
        <w:t>10,440,000</w:t>
      </w:r>
      <w:r>
        <w:rPr>
          <w:color w:val="000000"/>
          <w:spacing w:val="0"/>
          <w:w w:val="100"/>
          <w:position w:val="0"/>
        </w:rPr>
        <w:t>元，剩余未分配利润结转以后年度进行分配。</w:t>
      </w:r>
      <w:r>
        <w:rPr>
          <w:color w:val="000000"/>
          <w:spacing w:val="0"/>
          <w:w w:val="100"/>
          <w:position w:val="0"/>
        </w:rPr>
        <w:t xml:space="preserve">2013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日，该方案得以实施。</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2013</w:t>
      </w:r>
      <w:r>
        <w:rPr>
          <w:color w:val="000000"/>
          <w:spacing w:val="0"/>
          <w:w w:val="100"/>
          <w:position w:val="0"/>
        </w:rPr>
        <w:t>年度的分派预案为：以公司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208,800,000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w:t>
      </w:r>
      <w:r>
        <w:rPr>
          <w:color w:val="000000"/>
          <w:spacing w:val="0"/>
          <w:w w:val="100"/>
          <w:position w:val="0"/>
        </w:rPr>
        <w:t xml:space="preserve">1 </w:t>
      </w:r>
      <w:r>
        <w:rPr>
          <w:color w:val="000000"/>
          <w:spacing w:val="0"/>
          <w:w w:val="100"/>
          <w:position w:val="0"/>
        </w:rPr>
        <w:t>元人民币现金（含税）</w:t>
      </w:r>
      <w:r>
        <w:rPr>
          <w:color w:val="000000"/>
          <w:spacing w:val="0"/>
          <w:w w:val="100"/>
          <w:position w:val="0"/>
        </w:rPr>
        <w:t>，</w:t>
      </w:r>
      <w:r>
        <w:rPr>
          <w:color w:val="000000"/>
          <w:spacing w:val="0"/>
          <w:w w:val="100"/>
          <w:position w:val="0"/>
        </w:rPr>
        <w:t>共计派发现金</w:t>
      </w:r>
      <w:r>
        <w:rPr>
          <w:color w:val="000000"/>
          <w:spacing w:val="0"/>
          <w:w w:val="100"/>
          <w:position w:val="0"/>
        </w:rPr>
        <w:t>20,880,000</w:t>
      </w:r>
      <w:r>
        <w:rPr>
          <w:color w:val="000000"/>
          <w:spacing w:val="0"/>
          <w:w w:val="100"/>
          <w:position w:val="0"/>
        </w:rPr>
        <w:t>元，剩余未分配利润结转以后年度进行分配。该方案尚 需股东大会批准。</w:t>
      </w:r>
    </w:p>
    <w:p>
      <w:pPr>
        <w:pStyle w:val="Style36"/>
        <w:keepNext w:val="0"/>
        <w:keepLines w:val="0"/>
        <w:widowControl w:val="0"/>
        <w:shd w:val="clear" w:color="auto" w:fill="auto"/>
        <w:bidi w:val="0"/>
        <w:spacing w:before="0" w:after="220" w:line="412" w:lineRule="exact"/>
        <w:ind w:left="0" w:right="0" w:firstLine="440"/>
        <w:jc w:val="both"/>
      </w:pPr>
      <w:r>
        <w:rPr>
          <w:color w:val="000000"/>
          <w:spacing w:val="0"/>
          <w:w w:val="100"/>
          <w:position w:val="0"/>
        </w:rPr>
        <w:t>公司近三年现金分红情况表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77,801,320.40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44,962,647.11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w:t>
            </w:r>
          </w:p>
        </w:tc>
      </w:tr>
    </w:tbl>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公司报告期内盈利且母公司未分配利润为正但未提出现金红利分配预案</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both"/>
      </w:pPr>
      <w:bookmarkStart w:id="168" w:name="bookmark168"/>
      <w:bookmarkStart w:id="169" w:name="bookmark169"/>
      <w:bookmarkStart w:id="170" w:name="bookmark170"/>
      <w:r>
        <w:rPr>
          <w:color w:val="000000"/>
          <w:spacing w:val="0"/>
          <w:w w:val="100"/>
          <w:position w:val="0"/>
        </w:rPr>
        <w:t>十、本报告期利润分配及资本公积金转增股本预案</w:t>
      </w:r>
      <w:bookmarkEnd w:id="168"/>
      <w:bookmarkEnd w:id="169"/>
      <w:bookmarkEnd w:id="170"/>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165,834,506.17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经中勤万信会计师事务所（特殊普通合伙）审计，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18"/>
                <w:szCs w:val="18"/>
              </w:rPr>
              <w:t>82,294,209.87</w:t>
            </w:r>
            <w:r>
              <w:rPr>
                <w:color w:val="000000"/>
                <w:spacing w:val="0"/>
                <w:w w:val="100"/>
                <w:position w:val="0"/>
              </w:rPr>
              <w:t>元，母公 司净利润为</w:t>
            </w:r>
            <w:r>
              <w:rPr>
                <w:rFonts w:ascii="Times New Roman" w:eastAsia="Times New Roman" w:hAnsi="Times New Roman" w:cs="Times New Roman"/>
                <w:color w:val="000000"/>
                <w:spacing w:val="0"/>
                <w:w w:val="100"/>
                <w:position w:val="0"/>
                <w:sz w:val="18"/>
                <w:szCs w:val="18"/>
              </w:rPr>
              <w:t>47,786,324.25</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年度母公司净利润</w:t>
            </w:r>
            <w:r>
              <w:rPr>
                <w:rFonts w:ascii="Times New Roman" w:eastAsia="Times New Roman" w:hAnsi="Times New Roman" w:cs="Times New Roman"/>
                <w:color w:val="000000"/>
                <w:spacing w:val="0"/>
                <w:w w:val="100"/>
                <w:position w:val="0"/>
                <w:sz w:val="18"/>
                <w:szCs w:val="18"/>
              </w:rPr>
              <w:t>47,786,324.25</w:t>
            </w:r>
            <w:r>
              <w:rPr>
                <w:color w:val="000000"/>
                <w:spacing w:val="0"/>
                <w:w w:val="100"/>
                <w:position w:val="0"/>
              </w:rPr>
              <w:t>元为基数，提取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法定公积金</w:t>
            </w:r>
            <w:r>
              <w:rPr>
                <w:rFonts w:ascii="Times New Roman" w:eastAsia="Times New Roman" w:hAnsi="Times New Roman" w:cs="Times New Roman"/>
                <w:color w:val="000000"/>
                <w:spacing w:val="0"/>
                <w:w w:val="100"/>
                <w:position w:val="0"/>
                <w:sz w:val="18"/>
                <w:szCs w:val="18"/>
              </w:rPr>
              <w:t>4,778,632.43</w:t>
            </w:r>
            <w:r>
              <w:rPr>
                <w:color w:val="000000"/>
                <w:spacing w:val="0"/>
                <w:w w:val="100"/>
                <w:position w:val="0"/>
              </w:rPr>
              <w:t>元， 减去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年度实施了现金分红</w:t>
            </w:r>
            <w:r>
              <w:rPr>
                <w:rFonts w:ascii="Times New Roman" w:eastAsia="Times New Roman" w:hAnsi="Times New Roman" w:cs="Times New Roman"/>
                <w:color w:val="000000"/>
                <w:spacing w:val="0"/>
                <w:w w:val="100"/>
                <w:position w:val="0"/>
                <w:sz w:val="18"/>
                <w:szCs w:val="18"/>
              </w:rPr>
              <w:t>10,440,000</w:t>
            </w:r>
            <w:r>
              <w:rPr>
                <w:color w:val="000000"/>
                <w:spacing w:val="0"/>
                <w:w w:val="100"/>
                <w:position w:val="0"/>
              </w:rPr>
              <w:t>元，加上期初未分配利润</w:t>
            </w:r>
            <w:r>
              <w:rPr>
                <w:rFonts w:ascii="Times New Roman" w:eastAsia="Times New Roman" w:hAnsi="Times New Roman" w:cs="Times New Roman"/>
                <w:color w:val="000000"/>
                <w:spacing w:val="0"/>
                <w:w w:val="100"/>
                <w:position w:val="0"/>
                <w:sz w:val="18"/>
                <w:szCs w:val="18"/>
              </w:rPr>
              <w:t>133,266,814.35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年度可供股东分配的利润为 </w:t>
            </w:r>
            <w:r>
              <w:rPr>
                <w:rFonts w:ascii="Times New Roman" w:eastAsia="Times New Roman" w:hAnsi="Times New Roman" w:cs="Times New Roman"/>
                <w:color w:val="000000"/>
                <w:spacing w:val="0"/>
                <w:w w:val="100"/>
                <w:position w:val="0"/>
                <w:sz w:val="18"/>
                <w:szCs w:val="18"/>
              </w:rPr>
              <w:t>165,834,506.17</w:t>
            </w:r>
            <w:r>
              <w:rPr>
                <w:color w:val="000000"/>
                <w:spacing w:val="0"/>
                <w:w w:val="100"/>
                <w:position w:val="0"/>
              </w:rPr>
              <w:t>元。公司拟按照以下方案实施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208,800,000</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元（含税），共计派发现 金</w:t>
            </w:r>
            <w:r>
              <w:rPr>
                <w:rFonts w:ascii="Times New Roman" w:eastAsia="Times New Roman" w:hAnsi="Times New Roman" w:cs="Times New Roman"/>
                <w:color w:val="000000"/>
                <w:spacing w:val="0"/>
                <w:w w:val="100"/>
                <w:position w:val="0"/>
                <w:sz w:val="18"/>
                <w:szCs w:val="18"/>
              </w:rPr>
              <w:t>20,880,000</w:t>
            </w:r>
            <w:r>
              <w:rPr>
                <w:color w:val="000000"/>
                <w:spacing w:val="0"/>
                <w:w w:val="100"/>
                <w:position w:val="0"/>
              </w:rPr>
              <w:t>元。剩余未分配利润结转以后年度进行分配。</w:t>
            </w:r>
          </w:p>
        </w:tc>
      </w:tr>
    </w:tbl>
    <w:p>
      <w:pPr>
        <w:widowControl w:val="0"/>
        <w:spacing w:after="319" w:line="1" w:lineRule="exact"/>
      </w:pPr>
    </w:p>
    <w:p>
      <w:pPr>
        <w:pStyle w:val="Style27"/>
        <w:keepNext/>
        <w:keepLines/>
        <w:widowControl w:val="0"/>
        <w:shd w:val="clear" w:color="auto" w:fill="auto"/>
        <w:bidi w:val="0"/>
        <w:spacing w:before="0" w:after="140" w:line="240" w:lineRule="auto"/>
        <w:ind w:left="0" w:right="0" w:firstLine="0"/>
        <w:jc w:val="both"/>
      </w:pPr>
      <w:bookmarkStart w:id="171" w:name="bookmark171"/>
      <w:bookmarkStart w:id="172" w:name="bookmark172"/>
      <w:bookmarkStart w:id="173" w:name="bookmark173"/>
      <w:r>
        <w:rPr>
          <w:color w:val="000000"/>
          <w:spacing w:val="0"/>
          <w:w w:val="100"/>
          <w:position w:val="0"/>
        </w:rPr>
        <w:t>十一、社会责任情况</w:t>
      </w:r>
      <w:bookmarkEnd w:id="171"/>
      <w:bookmarkEnd w:id="172"/>
      <w:bookmarkEnd w:id="173"/>
    </w:p>
    <w:p>
      <w:pPr>
        <w:pStyle w:val="Style36"/>
        <w:keepNext w:val="0"/>
        <w:keepLines w:val="0"/>
        <w:widowControl w:val="0"/>
        <w:shd w:val="clear" w:color="auto" w:fill="auto"/>
        <w:bidi w:val="0"/>
        <w:spacing w:before="0" w:after="0" w:line="405" w:lineRule="exact"/>
        <w:ind w:left="0" w:right="0" w:firstLine="440"/>
        <w:jc w:val="left"/>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让建筑更节能</w:t>
      </w:r>
      <w:r>
        <w:rPr>
          <w:rFonts w:ascii="Times New Roman" w:eastAsia="Times New Roman" w:hAnsi="Times New Roman" w:cs="Times New Roman"/>
          <w:color w:val="000000"/>
          <w:spacing w:val="0"/>
          <w:w w:val="100"/>
          <w:position w:val="0"/>
        </w:rPr>
        <w:t>''</w:t>
      </w:r>
      <w:r>
        <w:rPr>
          <w:color w:val="000000"/>
          <w:spacing w:val="0"/>
          <w:w w:val="100"/>
          <w:position w:val="0"/>
        </w:rPr>
        <w:t>的公司使命，为客户提供建筑智能化及建筑节能服务。</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在健全公司治理结构方面，公司建立了科学有效、权责明确、相互制衡、相互协调的治理结构，获得 </w:t>
      </w:r>
      <w:r>
        <w:rPr>
          <w:rFonts w:ascii="Times New Roman" w:eastAsia="Times New Roman" w:hAnsi="Times New Roman" w:cs="Times New Roman"/>
          <w:color w:val="000000"/>
          <w:spacing w:val="0"/>
          <w:w w:val="100"/>
          <w:position w:val="0"/>
        </w:rPr>
        <w:t>—2013</w:t>
      </w:r>
      <w:r>
        <w:rPr>
          <w:color w:val="000000"/>
          <w:spacing w:val="0"/>
          <w:w w:val="100"/>
          <w:position w:val="0"/>
        </w:rPr>
        <w:t>年中国中小板及创业板上市公司最佳董事会</w:t>
      </w:r>
      <w:r>
        <w:rPr>
          <w:rFonts w:ascii="Times New Roman" w:eastAsia="Times New Roman" w:hAnsi="Times New Roman" w:cs="Times New Roman"/>
          <w:color w:val="000000"/>
          <w:spacing w:val="0"/>
          <w:w w:val="100"/>
          <w:position w:val="0"/>
        </w:rPr>
        <w:t>20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在维护投资者权益方面，公司通过</w:t>
      </w:r>
      <w:r>
        <w:rPr>
          <w:rFonts w:ascii="Times New Roman" w:eastAsia="Times New Roman" w:hAnsi="Times New Roman" w:cs="Times New Roman"/>
          <w:color w:val="000000"/>
          <w:spacing w:val="0"/>
          <w:w w:val="100"/>
          <w:position w:val="0"/>
        </w:rPr>
        <w:t>“</w:t>
      </w:r>
      <w:r>
        <w:rPr>
          <w:color w:val="000000"/>
          <w:spacing w:val="0"/>
          <w:w w:val="100"/>
          <w:position w:val="0"/>
        </w:rPr>
        <w:t>投资者接待日</w:t>
      </w:r>
      <w:r>
        <w:rPr>
          <w:rFonts w:ascii="Times New Roman" w:eastAsia="Times New Roman" w:hAnsi="Times New Roman" w:cs="Times New Roman"/>
          <w:color w:val="000000"/>
          <w:spacing w:val="0"/>
          <w:w w:val="100"/>
          <w:position w:val="0"/>
        </w:rPr>
        <w:t>''</w:t>
      </w:r>
      <w:r>
        <w:rPr>
          <w:color w:val="000000"/>
          <w:spacing w:val="0"/>
          <w:w w:val="100"/>
          <w:position w:val="0"/>
        </w:rPr>
        <w:t>、及时回复互动平台问询、接听咨询电话、举办网 上投资者交流会等方式，与投资者进行积极互动；</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在回报股东权益方面，公司实施了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元（含税）现金，自上 市后连续</w:t>
      </w:r>
      <w:r>
        <w:rPr>
          <w:rFonts w:ascii="Times New Roman" w:eastAsia="Times New Roman" w:hAnsi="Times New Roman" w:cs="Times New Roman"/>
          <w:color w:val="000000"/>
          <w:spacing w:val="0"/>
          <w:w w:val="100"/>
          <w:position w:val="0"/>
        </w:rPr>
        <w:t>3</w:t>
      </w:r>
      <w:r>
        <w:rPr>
          <w:color w:val="000000"/>
          <w:spacing w:val="0"/>
          <w:w w:val="100"/>
          <w:position w:val="0"/>
        </w:rPr>
        <w:t>年实施了分派方案；</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在履行信息披露义务方面，公司报告期内共发布</w:t>
      </w:r>
      <w:r>
        <w:rPr>
          <w:rFonts w:ascii="Times New Roman" w:eastAsia="Times New Roman" w:hAnsi="Times New Roman" w:cs="Times New Roman"/>
          <w:color w:val="000000"/>
          <w:spacing w:val="0"/>
          <w:w w:val="100"/>
          <w:position w:val="0"/>
        </w:rPr>
        <w:t>20</w:t>
      </w:r>
      <w:r>
        <w:rPr>
          <w:color w:val="000000"/>
          <w:spacing w:val="0"/>
          <w:w w:val="100"/>
          <w:position w:val="0"/>
        </w:rPr>
        <w:t>次公告，并进行了适当的主动性披露，连续两年信 息披露考核结果为</w:t>
      </w:r>
      <w:r>
        <w:rPr>
          <w:rFonts w:ascii="Times New Roman" w:eastAsia="Times New Roman" w:hAnsi="Times New Roman" w:cs="Times New Roman"/>
          <w:color w:val="000000"/>
          <w:spacing w:val="0"/>
          <w:w w:val="100"/>
          <w:position w:val="0"/>
        </w:rPr>
        <w:t>A</w:t>
      </w:r>
      <w:r>
        <w:rPr>
          <w:color w:val="000000"/>
          <w:spacing w:val="0"/>
          <w:w w:val="100"/>
          <w:position w:val="0"/>
        </w:rPr>
        <w:t>；</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在诚信经营、确保产品与服务质量方面，公司连续十一年被评为</w:t>
      </w:r>
      <w:r>
        <w:rPr>
          <w:rFonts w:ascii="Times New Roman" w:eastAsia="Times New Roman" w:hAnsi="Times New Roman" w:cs="Times New Roman"/>
          <w:color w:val="000000"/>
          <w:spacing w:val="0"/>
          <w:w w:val="100"/>
          <w:position w:val="0"/>
        </w:rPr>
        <w:t>AAA</w:t>
      </w:r>
      <w:r>
        <w:rPr>
          <w:color w:val="000000"/>
          <w:spacing w:val="0"/>
          <w:w w:val="100"/>
          <w:position w:val="0"/>
        </w:rPr>
        <w:t>资信等级，实施的深圳地铁</w:t>
      </w:r>
      <w:r>
        <w:rPr>
          <w:rFonts w:ascii="Times New Roman" w:eastAsia="Times New Roman" w:hAnsi="Times New Roman" w:cs="Times New Roman"/>
          <w:color w:val="000000"/>
          <w:spacing w:val="0"/>
          <w:w w:val="100"/>
          <w:position w:val="0"/>
        </w:rPr>
        <w:t>3</w:t>
      </w:r>
      <w:r>
        <w:rPr>
          <w:color w:val="000000"/>
          <w:spacing w:val="0"/>
          <w:w w:val="100"/>
          <w:position w:val="0"/>
        </w:rPr>
        <w:t>号 线自动化总集成项目荣获第十三届中国土木工程詹天佑奖；</w:t>
      </w:r>
    </w:p>
    <w:p>
      <w:pPr>
        <w:pStyle w:val="Style36"/>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在可持续发展与节约资源方面，公司推出建筑节能与工业节能产品，以合同能源管理（</w:t>
      </w:r>
      <w:r>
        <w:rPr>
          <w:rFonts w:ascii="Times New Roman" w:eastAsia="Times New Roman" w:hAnsi="Times New Roman" w:cs="Times New Roman"/>
          <w:color w:val="000000"/>
          <w:spacing w:val="0"/>
          <w:w w:val="100"/>
          <w:position w:val="0"/>
        </w:rPr>
        <w:t>EPC</w:t>
      </w:r>
      <w:r>
        <w:rPr>
          <w:color w:val="000000"/>
          <w:spacing w:val="0"/>
          <w:w w:val="100"/>
          <w:position w:val="0"/>
        </w:rPr>
        <w:t>）</w:t>
      </w:r>
      <w:r>
        <w:rPr>
          <w:color w:val="000000"/>
          <w:spacing w:val="0"/>
          <w:w w:val="100"/>
          <w:position w:val="0"/>
        </w:rPr>
        <w:t>投资方 式，帮助客户节能减排；</w:t>
      </w:r>
    </w:p>
    <w:p>
      <w:pPr>
        <w:pStyle w:val="Style36"/>
        <w:keepNext w:val="0"/>
        <w:keepLines w:val="0"/>
        <w:widowControl w:val="0"/>
        <w:shd w:val="clear" w:color="auto" w:fill="auto"/>
        <w:bidi w:val="0"/>
        <w:spacing w:before="0" w:after="80" w:line="405" w:lineRule="exact"/>
        <w:ind w:left="0" w:right="0" w:firstLine="440"/>
        <w:jc w:val="left"/>
        <w:sectPr>
          <w:headerReference w:type="default" r:id="rId55"/>
          <w:footerReference w:type="default" r:id="rId56"/>
          <w:headerReference w:type="even" r:id="rId57"/>
          <w:footerReference w:type="even" r:id="rId58"/>
          <w:footnotePr>
            <w:pos w:val="pageBottom"/>
            <w:numFmt w:val="decimal"/>
            <w:numRestart w:val="continuous"/>
          </w:footnotePr>
          <w:type w:val="continuous"/>
          <w:pgSz w:w="11900" w:h="16840"/>
          <w:pgMar w:top="1278" w:right="1080" w:bottom="1460" w:left="1076" w:header="0" w:footer="3" w:gutter="0"/>
          <w:cols w:space="720"/>
          <w:noEndnote/>
          <w:rtlGutter w:val="0"/>
          <w:docGrid w:linePitch="360"/>
        </w:sectPr>
      </w:pPr>
      <w:r>
        <w:rPr>
          <w:color w:val="000000"/>
          <w:spacing w:val="0"/>
          <w:w w:val="100"/>
          <w:position w:val="0"/>
        </w:rPr>
        <w:t>在职工权益保护方面，公司为员工购买</w:t>
      </w:r>
      <w:r>
        <w:rPr>
          <w:rFonts w:ascii="Times New Roman" w:eastAsia="Times New Roman" w:hAnsi="Times New Roman" w:cs="Times New Roman"/>
          <w:color w:val="000000"/>
          <w:spacing w:val="0"/>
          <w:w w:val="100"/>
          <w:position w:val="0"/>
        </w:rPr>
        <w:t>“</w:t>
      </w:r>
      <w:r>
        <w:rPr>
          <w:color w:val="000000"/>
          <w:spacing w:val="0"/>
          <w:w w:val="100"/>
          <w:position w:val="0"/>
        </w:rPr>
        <w:t>五险</w:t>
      </w:r>
      <w:r>
        <w:rPr>
          <w:rFonts w:ascii="Times New Roman" w:eastAsia="Times New Roman" w:hAnsi="Times New Roman" w:cs="Times New Roman"/>
          <w:color w:val="000000"/>
          <w:spacing w:val="0"/>
          <w:w w:val="100"/>
          <w:position w:val="0"/>
        </w:rPr>
        <w:t>''</w:t>
      </w:r>
      <w:r>
        <w:rPr>
          <w:color w:val="000000"/>
          <w:spacing w:val="0"/>
          <w:w w:val="100"/>
          <w:position w:val="0"/>
        </w:rPr>
        <w:t>、商业保险及住房公积金，积极做好劳动安全防护措施;</w:t>
      </w:r>
    </w:p>
    <w:p>
      <w:pPr>
        <w:pStyle w:val="Style36"/>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在节能宣传方面，公司利用自有办公场地建设的展厅，被评为广东省、深圳市的建筑节能科普教育基 地，全年接待</w:t>
      </w:r>
      <w:r>
        <w:rPr>
          <w:rFonts w:ascii="Times New Roman" w:eastAsia="Times New Roman" w:hAnsi="Times New Roman" w:cs="Times New Roman"/>
          <w:color w:val="000000"/>
          <w:spacing w:val="0"/>
          <w:w w:val="100"/>
          <w:position w:val="0"/>
        </w:rPr>
        <w:t>900</w:t>
      </w:r>
      <w:r>
        <w:rPr>
          <w:color w:val="000000"/>
          <w:spacing w:val="0"/>
          <w:w w:val="100"/>
          <w:position w:val="0"/>
        </w:rPr>
        <w:t>余次，累计向</w:t>
      </w:r>
      <w:r>
        <w:rPr>
          <w:rFonts w:ascii="Times New Roman" w:eastAsia="Times New Roman" w:hAnsi="Times New Roman" w:cs="Times New Roman"/>
          <w:color w:val="000000"/>
          <w:spacing w:val="0"/>
          <w:w w:val="100"/>
          <w:position w:val="0"/>
        </w:rPr>
        <w:t>5000</w:t>
      </w:r>
      <w:r>
        <w:rPr>
          <w:color w:val="000000"/>
          <w:spacing w:val="0"/>
          <w:w w:val="100"/>
          <w:position w:val="0"/>
        </w:rPr>
        <w:t>余人宣传了节能科普知识。</w:t>
      </w:r>
    </w:p>
    <w:p>
      <w:pPr>
        <w:pStyle w:val="Style36"/>
        <w:keepNext w:val="0"/>
        <w:keepLines w:val="0"/>
        <w:widowControl w:val="0"/>
        <w:shd w:val="clear" w:color="auto" w:fill="auto"/>
        <w:bidi w:val="0"/>
        <w:spacing w:before="0" w:after="160" w:line="398" w:lineRule="exact"/>
        <w:ind w:left="0" w:right="0" w:firstLine="0"/>
        <w:jc w:val="left"/>
      </w:pPr>
      <w:r>
        <w:rPr>
          <w:color w:val="000000"/>
          <w:spacing w:val="0"/>
          <w:w w:val="100"/>
          <w:position w:val="0"/>
        </w:rPr>
        <w:t>上市公司及其子公司是否属于国家环境保护部门规定的重污染行业</w:t>
      </w:r>
    </w:p>
    <w:p>
      <w:pPr>
        <w:pStyle w:val="Style36"/>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6"/>
        <w:keepNext w:val="0"/>
        <w:keepLines w:val="0"/>
        <w:widowControl w:val="0"/>
        <w:shd w:val="clear" w:color="auto" w:fill="auto"/>
        <w:bidi w:val="0"/>
        <w:spacing w:before="0" w:after="160" w:line="398" w:lineRule="exact"/>
        <w:ind w:left="0" w:right="0" w:firstLine="0"/>
        <w:jc w:val="left"/>
      </w:pPr>
      <w:r>
        <w:rPr>
          <w:color w:val="000000"/>
          <w:spacing w:val="0"/>
          <w:w w:val="100"/>
          <w:position w:val="0"/>
        </w:rPr>
        <w:t>上市公司及其子公司是否存在其他重大社会安全问题</w:t>
      </w:r>
    </w:p>
    <w:p>
      <w:pPr>
        <w:pStyle w:val="Style36"/>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6"/>
        <w:keepNext w:val="0"/>
        <w:keepLines w:val="0"/>
        <w:widowControl w:val="0"/>
        <w:shd w:val="clear" w:color="auto" w:fill="auto"/>
        <w:bidi w:val="0"/>
        <w:spacing w:before="0" w:after="160" w:line="398" w:lineRule="exact"/>
        <w:ind w:left="0" w:right="0" w:firstLine="0"/>
        <w:jc w:val="left"/>
      </w:pPr>
      <w:r>
        <w:rPr>
          <w:color w:val="000000"/>
          <w:spacing w:val="0"/>
          <w:w w:val="100"/>
          <w:position w:val="0"/>
        </w:rPr>
        <w:t>报告期内是否被行政处罚</w:t>
      </w:r>
    </w:p>
    <w:p>
      <w:pPr>
        <w:pStyle w:val="Style36"/>
        <w:keepNext w:val="0"/>
        <w:keepLines w:val="0"/>
        <w:widowControl w:val="0"/>
        <w:shd w:val="clear" w:color="auto" w:fill="auto"/>
        <w:bidi w:val="0"/>
        <w:spacing w:before="0" w:after="300" w:line="41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7"/>
        <w:keepNext/>
        <w:keepLines/>
        <w:widowControl w:val="0"/>
        <w:shd w:val="clear" w:color="auto" w:fill="auto"/>
        <w:bidi w:val="0"/>
        <w:spacing w:before="0" w:after="300" w:line="240" w:lineRule="auto"/>
        <w:ind w:left="0" w:right="0" w:firstLine="0"/>
        <w:jc w:val="left"/>
      </w:pPr>
      <w:bookmarkStart w:id="174" w:name="bookmark174"/>
      <w:bookmarkStart w:id="175" w:name="bookmark175"/>
      <w:bookmarkStart w:id="176" w:name="bookmark176"/>
      <w:r>
        <w:rPr>
          <w:color w:val="000000"/>
          <w:spacing w:val="0"/>
          <w:w w:val="100"/>
          <w:position w:val="0"/>
        </w:rPr>
        <w:t>十二、报告期内接待调研、沟通、采访等活动登记表</w:t>
      </w:r>
      <w:bookmarkEnd w:id="174"/>
      <w:bookmarkEnd w:id="175"/>
      <w:bookmarkEnd w:id="176"/>
    </w:p>
    <w:tbl>
      <w:tblPr>
        <w:tblOverlap w:val="never"/>
        <w:jc w:val="center"/>
        <w:tblLayout w:type="fixed"/>
      </w:tblPr>
      <w:tblGrid>
        <w:gridCol w:w="1502"/>
        <w:gridCol w:w="917"/>
        <w:gridCol w:w="994"/>
        <w:gridCol w:w="850"/>
        <w:gridCol w:w="3686"/>
        <w:gridCol w:w="16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 提供的资料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大成基金、海通证券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公司主营业务情况 及并购规划。</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金鹰基金、融通基金、中金公司、</w:t>
            </w:r>
            <w:r>
              <w:rPr>
                <w:rFonts w:ascii="Times New Roman" w:eastAsia="Times New Roman" w:hAnsi="Times New Roman" w:cs="Times New Roman"/>
                <w:color w:val="000000"/>
                <w:spacing w:val="0"/>
                <w:w w:val="100"/>
                <w:position w:val="0"/>
                <w:sz w:val="18"/>
                <w:szCs w:val="18"/>
              </w:rPr>
              <w:t>Impax Asset Management(Hong Kong)Limited</w:t>
            </w:r>
            <w:r>
              <w:rPr>
                <w:color w:val="000000"/>
                <w:spacing w:val="0"/>
                <w:w w:val="100"/>
                <w:position w:val="0"/>
              </w:rPr>
              <w:t>、深圳市鼎诺 投资管理有限公司、长江证券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公司内部架构设置 及主营业务情况。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景顺长城、中国人寿资产、东方证券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公司主营业务情况 及并购规划。</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南方基金、大华基金、兴业证券、国信证券、 第一创业、景元天成投资顾问有限公司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公司主营业务情况、 政府补助情况及并 购规划。</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平安资产、光大保德信基金、长信基金、中信 证券、广发证券、长江证券、东方证券、中金 公司、第一创业、国金证券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公司主营业务、应收 账款、政府补助情况 及并购规划。</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招商基金、国信证券、华泰证券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公司主营业务情况 及未来发展计划。</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光大证券、广证恒生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公司主营业务情况、 政府补助情况。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诺安基金、宝盈基金、长江证券、东北证券、 东莞证券、中信证券、远策投资、深圳华强鼎 信投资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公司主营业务情况。</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广发基金、达晨创投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公司主营业务情况 及并购规划。</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中国基金、光大证券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公司主营业务情况 及并购规划。</w:t>
            </w:r>
          </w:p>
        </w:tc>
      </w:tr>
    </w:tbl>
    <w:p>
      <w:pPr>
        <w:pStyle w:val="Style12"/>
        <w:keepNext/>
        <w:keepLines/>
        <w:widowControl w:val="0"/>
        <w:shd w:val="clear" w:color="auto" w:fill="auto"/>
        <w:bidi w:val="0"/>
        <w:spacing w:before="0" w:line="240" w:lineRule="auto"/>
        <w:ind w:left="0" w:right="0" w:firstLine="0"/>
        <w:jc w:val="center"/>
      </w:pPr>
      <w:bookmarkStart w:id="177" w:name="bookmark177"/>
      <w:bookmarkStart w:id="178" w:name="bookmark178"/>
      <w:bookmarkStart w:id="179" w:name="bookmark179"/>
      <w:r>
        <w:rPr>
          <w:color w:val="000000"/>
          <w:spacing w:val="0"/>
          <w:w w:val="100"/>
          <w:position w:val="0"/>
        </w:rPr>
        <w:t>第五节重要事项</w:t>
      </w:r>
      <w:bookmarkEnd w:id="177"/>
      <w:bookmarkEnd w:id="178"/>
      <w:bookmarkEnd w:id="179"/>
    </w:p>
    <w:p>
      <w:pPr>
        <w:pStyle w:val="Style27"/>
        <w:keepNext/>
        <w:keepLines/>
        <w:widowControl w:val="0"/>
        <w:shd w:val="clear" w:color="auto" w:fill="auto"/>
        <w:tabs>
          <w:tab w:pos="517" w:val="left"/>
        </w:tabs>
        <w:bidi w:val="0"/>
        <w:spacing w:before="0" w:after="36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一</w:t>
      </w:r>
      <w:bookmarkEnd w:id="182"/>
      <w:r>
        <w:rPr>
          <w:color w:val="000000"/>
          <w:spacing w:val="0"/>
          <w:w w:val="100"/>
          <w:position w:val="0"/>
        </w:rPr>
        <w:t>、</w:t>
        <w:tab/>
        <w:t>重大诉讼仲裁事项</w:t>
      </w:r>
      <w:bookmarkEnd w:id="180"/>
      <w:bookmarkEnd w:id="181"/>
      <w:bookmarkEnd w:id="183"/>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tabs>
          <w:tab w:pos="517" w:val="left"/>
        </w:tabs>
        <w:bidi w:val="0"/>
        <w:spacing w:before="0" w:after="3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二</w:t>
      </w:r>
      <w:bookmarkEnd w:id="186"/>
      <w:r>
        <w:rPr>
          <w:color w:val="000000"/>
          <w:spacing w:val="0"/>
          <w:w w:val="100"/>
          <w:position w:val="0"/>
        </w:rPr>
        <w:t>、</w:t>
        <w:tab/>
        <w:t>媒体质疑情况</w:t>
      </w:r>
      <w:bookmarkEnd w:id="184"/>
      <w:bookmarkEnd w:id="185"/>
      <w:bookmarkEnd w:id="187"/>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7"/>
        <w:keepNext/>
        <w:keepLines/>
        <w:widowControl w:val="0"/>
        <w:shd w:val="clear" w:color="auto" w:fill="auto"/>
        <w:tabs>
          <w:tab w:pos="522" w:val="left"/>
        </w:tabs>
        <w:bidi w:val="0"/>
        <w:spacing w:before="0" w:after="1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三</w:t>
      </w:r>
      <w:bookmarkEnd w:id="190"/>
      <w:r>
        <w:rPr>
          <w:color w:val="000000"/>
          <w:spacing w:val="0"/>
          <w:w w:val="100"/>
          <w:position w:val="0"/>
        </w:rPr>
        <w:t>、</w:t>
        <w:tab/>
        <w:t>公司股权激励的实施情况及其影响</w:t>
      </w:r>
      <w:bookmarkEnd w:id="188"/>
      <w:bookmarkEnd w:id="189"/>
      <w:bookmarkEnd w:id="191"/>
    </w:p>
    <w:p>
      <w:pPr>
        <w:pStyle w:val="Style36"/>
        <w:keepNext w:val="0"/>
        <w:keepLines w:val="0"/>
        <w:widowControl w:val="0"/>
        <w:shd w:val="clear" w:color="auto" w:fill="auto"/>
        <w:bidi w:val="0"/>
        <w:spacing w:before="0" w:after="0" w:line="407" w:lineRule="exact"/>
        <w:ind w:left="0" w:right="0" w:firstLine="500"/>
        <w:jc w:val="both"/>
      </w:pPr>
      <w:r>
        <w:rPr>
          <w:color w:val="000000"/>
          <w:spacing w:val="0"/>
          <w:w w:val="100"/>
          <w:position w:val="0"/>
        </w:rPr>
        <w:t>经公司第四届董事会第二十五次会议审批批准，公司限制性股票激励计划第一个解锁期解锁条件满 足。根据公司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年第一次临时股东大会的授权，董事会已按照激励计划的相关规定办理了第一期限制性 股票的上市流通事宜。第一期解锁的股份数量为</w:t>
      </w:r>
      <w:r>
        <w:rPr>
          <w:rFonts w:ascii="Times New Roman" w:eastAsia="Times New Roman" w:hAnsi="Times New Roman" w:cs="Times New Roman"/>
          <w:color w:val="000000"/>
          <w:spacing w:val="0"/>
          <w:w w:val="100"/>
          <w:position w:val="0"/>
        </w:rPr>
        <w:t>180</w:t>
      </w:r>
      <w:r>
        <w:rPr>
          <w:color w:val="000000"/>
          <w:spacing w:val="0"/>
          <w:w w:val="100"/>
          <w:position w:val="0"/>
        </w:rPr>
        <w:t>万股，因高级管理人员的股份仍需按照深圳证券交易 所的要求锁定，实际上市流通的股份数量为</w:t>
      </w:r>
      <w:r>
        <w:rPr>
          <w:rFonts w:ascii="Times New Roman" w:eastAsia="Times New Roman" w:hAnsi="Times New Roman" w:cs="Times New Roman"/>
          <w:color w:val="000000"/>
          <w:spacing w:val="0"/>
          <w:w w:val="100"/>
          <w:position w:val="0"/>
        </w:rPr>
        <w:t>157.5</w:t>
      </w:r>
      <w:r>
        <w:rPr>
          <w:color w:val="000000"/>
          <w:spacing w:val="0"/>
          <w:w w:val="100"/>
          <w:position w:val="0"/>
        </w:rPr>
        <w:t>万股，已于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日上市流通。上述事宜详见《关于 限制性股票激励计划第一期解锁的公告》及《关于限制性股票激励计划第一期解锁股份上市流通的提示性 公告》，分别刊登于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日《证券时报》、《中国证券报》及巨潮资讯网</w:t>
      </w:r>
    </w:p>
    <w:p>
      <w:pPr>
        <w:pStyle w:val="Style2"/>
        <w:keepNext w:val="0"/>
        <w:keepLines w:val="0"/>
        <w:widowControl w:val="0"/>
        <w:shd w:val="clear" w:color="auto" w:fill="auto"/>
        <w:bidi w:val="0"/>
        <w:spacing w:before="0" w:after="480" w:line="40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htpp: //www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 </w:t>
      </w:r>
      <w:r>
        <w:rPr>
          <w:color w:val="000000"/>
          <w:spacing w:val="0"/>
          <w:w w:val="100"/>
          <w:position w:val="0"/>
          <w:sz w:val="20"/>
          <w:szCs w:val="20"/>
        </w:rPr>
        <w:t>）。</w:t>
      </w:r>
    </w:p>
    <w:p>
      <w:pPr>
        <w:pStyle w:val="Style27"/>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四</w:t>
      </w:r>
      <w:bookmarkEnd w:id="194"/>
      <w:r>
        <w:rPr>
          <w:color w:val="000000"/>
          <w:spacing w:val="0"/>
          <w:w w:val="100"/>
          <w:position w:val="0"/>
        </w:rPr>
        <w:t>、重大关联交易</w:t>
      </w:r>
      <w:bookmarkEnd w:id="192"/>
      <w:bookmarkEnd w:id="193"/>
      <w:bookmarkEnd w:id="195"/>
    </w:p>
    <w:p>
      <w:pPr>
        <w:pStyle w:val="Style39"/>
        <w:keepNext/>
        <w:keepLines/>
        <w:widowControl w:val="0"/>
        <w:shd w:val="clear" w:color="auto" w:fill="auto"/>
        <w:bidi w:val="0"/>
        <w:spacing w:before="0" w:after="30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、与日常经营相关的关联交易</w:t>
      </w:r>
      <w:bookmarkEnd w:id="196"/>
      <w:bookmarkEnd w:id="197"/>
      <w:bookmarkEnd w:id="199"/>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界首市达 实置业有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控股股 东及实 际控制 人有重 大影响 的企业 的全资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投资建设 能源站系 统（供配 电系统）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公开、公 平、公正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每月支付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《经营性 关联交易 公告》</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关联交易的必要性、持续性、选择与关</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本次交易是公司能源站业务（强电系统节能）的有益尝试，对公司完善建筑节能</w:t>
            </w:r>
          </w:p>
        </w:tc>
      </w:tr>
    </w:tbl>
    <w:p>
      <w:pPr>
        <w:spacing w:lineRule="exact" w:line="1"/>
        <w:rPr>
          <w:sz w:val="2"/>
          <w:szCs w:val="2"/>
        </w:rPr>
      </w:pPr>
      <w:r>
        <w:br w:type="page"/>
      </w:r>
    </w:p>
    <w:tbl>
      <w:tblPr>
        <w:tblOverlap w:val="never"/>
        <w:jc w:val="center"/>
        <w:tblLayout w:type="fixed"/>
      </w:tblPr>
      <w:tblGrid>
        <w:gridCol w:w="3202"/>
        <w:gridCol w:w="6389"/>
      </w:tblGrid>
      <w:tr>
        <w:trPr>
          <w:trHeight w:val="67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187" w:val="left"/>
              </w:tabs>
              <w:bidi w:val="0"/>
              <w:spacing w:before="0" w:after="100" w:line="240" w:lineRule="auto"/>
              <w:ind w:left="0" w:right="0" w:firstLine="0"/>
              <w:jc w:val="left"/>
            </w:pPr>
            <w:r>
              <w:rPr>
                <w:color w:val="000000"/>
                <w:spacing w:val="0"/>
                <w:w w:val="100"/>
                <w:position w:val="0"/>
              </w:rPr>
              <w:t>联方（而非市场其他交易方）进行交易</w:t>
              <w:tab/>
              <w:t>的商业模式，开拓异地市场具有积极作用。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不影响上市公司的独立性</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公司对关联方的依赖程度，以及相关解 决措施（如有）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公司对界首市达实置业有限公司不存在依赖关系。</w:t>
            </w:r>
          </w:p>
        </w:tc>
      </w:tr>
    </w:tbl>
    <w:p>
      <w:pPr>
        <w:pStyle w:val="Style29"/>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年第一次临时股东大会批准，公司为界首市达实置业有限公司投资建设能源站系统（供配电系统），项目造 价预估为人民币</w:t>
      </w:r>
      <w:r>
        <w:rPr>
          <w:rFonts w:ascii="Times New Roman" w:eastAsia="Times New Roman" w:hAnsi="Times New Roman" w:cs="Times New Roman"/>
          <w:color w:val="000000"/>
          <w:spacing w:val="0"/>
          <w:w w:val="100"/>
          <w:position w:val="0"/>
          <w:sz w:val="18"/>
          <w:szCs w:val="18"/>
        </w:rPr>
        <w:t>28,508,690.00</w:t>
      </w:r>
      <w:r>
        <w:rPr>
          <w:color w:val="000000"/>
          <w:spacing w:val="0"/>
          <w:w w:val="100"/>
          <w:position w:val="0"/>
        </w:rPr>
        <w:t>元，合同额预估为</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元。截止报告期末，该合同已部分履行，预估合同额为</w:t>
      </w:r>
      <w:r>
        <w:rPr>
          <w:rFonts w:ascii="Tahoma" w:eastAsia="Tahoma" w:hAnsi="Tahoma" w:cs="Tahoma"/>
          <w:color w:val="000000"/>
          <w:spacing w:val="0"/>
          <w:w w:val="100"/>
          <w:position w:val="0"/>
          <w:sz w:val="17"/>
          <w:szCs w:val="17"/>
        </w:rPr>
        <w:t xml:space="preserve">2087.1 </w:t>
      </w:r>
      <w:r>
        <w:rPr>
          <w:color w:val="000000"/>
          <w:spacing w:val="0"/>
          <w:w w:val="100"/>
          <w:position w:val="0"/>
        </w:rPr>
        <w:t>万兀。</w:t>
      </w:r>
    </w:p>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、共同对外投资的重大关联交易</w:t>
      </w:r>
      <w:bookmarkEnd w:id="200"/>
      <w:bookmarkEnd w:id="201"/>
      <w:bookmarkEnd w:id="203"/>
    </w:p>
    <w:tbl>
      <w:tblPr>
        <w:tblOverlap w:val="never"/>
        <w:jc w:val="center"/>
        <w:tblLayout w:type="fixed"/>
      </w:tblPr>
      <w:tblGrid>
        <w:gridCol w:w="1070"/>
        <w:gridCol w:w="1066"/>
        <w:gridCol w:w="1066"/>
        <w:gridCol w:w="1066"/>
        <w:gridCol w:w="1066"/>
        <w:gridCol w:w="1061"/>
        <w:gridCol w:w="1066"/>
        <w:gridCol w:w="1061"/>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 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2"/>
              <w:keepNext w:val="0"/>
              <w:keepLines w:val="0"/>
              <w:widowControl w:val="0"/>
              <w:shd w:val="clear" w:color="auto" w:fill="auto"/>
              <w:bidi w:val="0"/>
              <w:spacing w:before="0" w:after="0" w:line="312" w:lineRule="exact"/>
              <w:ind w:left="0" w:right="340" w:firstLine="0"/>
              <w:jc w:val="right"/>
            </w:pPr>
            <w:r>
              <w:rPr>
                <w:color w:val="000000"/>
                <w:spacing w:val="0"/>
                <w:w w:val="100"/>
                <w:position w:val="0"/>
              </w:rPr>
              <w:t>元）</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东兴企业澳 门离岸商业 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东兴企业澳 门离岸商业 服务有限公 司实际控制 人林步东先 生担任公司 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市场原则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深圳达实融 资租赁有限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融资租赁业 务；租赁业 务；向国内外 购买租赁资 产；租赁资产 的残值处理 及维修；租赁 交易咨询和 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rPr>
        <w:t>五</w:t>
      </w:r>
      <w:bookmarkEnd w:id="206"/>
      <w:r>
        <w:rPr>
          <w:color w:val="000000"/>
          <w:spacing w:val="0"/>
          <w:w w:val="100"/>
          <w:position w:val="0"/>
        </w:rPr>
        <w:t>、重大合同及其履行情况</w:t>
      </w:r>
      <w:bookmarkEnd w:id="204"/>
      <w:bookmarkEnd w:id="205"/>
      <w:bookmarkEnd w:id="207"/>
    </w:p>
    <w:p>
      <w:pPr>
        <w:pStyle w:val="Style39"/>
        <w:keepNext/>
        <w:keepLines/>
        <w:widowControl w:val="0"/>
        <w:shd w:val="clear" w:color="auto" w:fill="auto"/>
        <w:bidi w:val="0"/>
        <w:spacing w:before="0" w:after="38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、托管、承包、租赁事项情况</w:t>
      </w:r>
      <w:bookmarkEnd w:id="208"/>
      <w:bookmarkEnd w:id="209"/>
      <w:bookmarkEnd w:id="211"/>
    </w:p>
    <w:p>
      <w:pPr>
        <w:pStyle w:val="Style39"/>
        <w:keepNext/>
        <w:keepLines/>
        <w:widowControl w:val="0"/>
        <w:shd w:val="clear" w:color="auto" w:fill="auto"/>
        <w:tabs>
          <w:tab w:pos="493" w:val="left"/>
        </w:tabs>
        <w:bidi w:val="0"/>
        <w:spacing w:before="0" w:after="340" w:line="240" w:lineRule="auto"/>
        <w:ind w:left="0" w:right="0" w:firstLine="0"/>
        <w:jc w:val="both"/>
      </w:pPr>
      <w:bookmarkStart w:id="208" w:name="bookmark208"/>
      <w:bookmarkStart w:id="209" w:name="bookmark209"/>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08"/>
      <w:bookmarkEnd w:id="209"/>
      <w:bookmarkEnd w:id="213"/>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托管情况说明</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公司不存在在报告期内发生或以前期间发生但延期到报告期的托管或其他公司托管事项。</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8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14"/>
      <w:bookmarkEnd w:id="215"/>
      <w:bookmarkEnd w:id="21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承包情况说明</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公司不存在在报告期内发生或以前期间发生但延期到报告期的承包或其他公司承包事项。</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340" w:line="240" w:lineRule="auto"/>
        <w:ind w:left="0" w:right="0" w:firstLine="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278" w:right="1080" w:bottom="1460" w:left="107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317" w:lineRule="exact"/>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218"/>
      <w:bookmarkEnd w:id="219"/>
      <w:bookmarkEnd w:id="221"/>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租赁情况说明</w:t>
      </w:r>
    </w:p>
    <w:p>
      <w:pPr>
        <w:pStyle w:val="Style36"/>
        <w:keepNext w:val="0"/>
        <w:keepLines w:val="0"/>
        <w:widowControl w:val="0"/>
        <w:shd w:val="clear" w:color="auto" w:fill="auto"/>
        <w:bidi w:val="0"/>
        <w:spacing w:before="0" w:after="420" w:line="317"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日，公司与全资子公司达实信息签订《房地产租赁合同书》，约定租赁其</w:t>
      </w:r>
      <w:r>
        <w:rPr>
          <w:rFonts w:ascii="Times New Roman" w:eastAsia="Times New Roman" w:hAnsi="Times New Roman" w:cs="Times New Roman"/>
          <w:color w:val="000000"/>
          <w:spacing w:val="0"/>
          <w:w w:val="100"/>
          <w:position w:val="0"/>
        </w:rPr>
        <w:t>3,473.12</w:t>
      </w:r>
      <w:r>
        <w:rPr>
          <w:color w:val="000000"/>
          <w:spacing w:val="0"/>
          <w:w w:val="100"/>
          <w:position w:val="0"/>
        </w:rPr>
        <w:t>平米的 场地用于办公，租赁期限自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317" w:lineRule="exact"/>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、担保情况</w:t>
      </w:r>
      <w:bookmarkEnd w:id="222"/>
      <w:bookmarkEnd w:id="223"/>
      <w:bookmarkEnd w:id="2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792"/>
        <w:gridCol w:w="1358"/>
        <w:gridCol w:w="197"/>
        <w:gridCol w:w="984"/>
        <w:gridCol w:w="1190"/>
        <w:gridCol w:w="917"/>
        <w:gridCol w:w="806"/>
        <w:gridCol w:w="797"/>
      </w:tblGrid>
      <w:tr>
        <w:trPr>
          <w:trHeight w:val="40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实际担保</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实际担保</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深圳达实信息技术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深圳达实信息技术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699"/>
        <w:gridCol w:w="489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六</w:t>
      </w:r>
      <w:bookmarkEnd w:id="228"/>
      <w:r>
        <w:rPr>
          <w:color w:val="000000"/>
          <w:spacing w:val="0"/>
          <w:w w:val="100"/>
          <w:position w:val="0"/>
        </w:rPr>
        <w:t>、承诺事项履行情况</w:t>
      </w:r>
      <w:bookmarkEnd w:id="226"/>
      <w:bookmarkEnd w:id="227"/>
      <w:bookmarkEnd w:id="229"/>
    </w:p>
    <w:p>
      <w:pPr>
        <w:pStyle w:val="Style39"/>
        <w:keepNext/>
        <w:keepLines/>
        <w:widowControl w:val="0"/>
        <w:shd w:val="clear" w:color="auto" w:fill="auto"/>
        <w:bidi w:val="0"/>
        <w:spacing w:before="0" w:after="34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30"/>
      <w:bookmarkEnd w:id="231"/>
      <w:bookmarkEnd w:id="233"/>
    </w:p>
    <w:tbl>
      <w:tblPr>
        <w:tblOverlap w:val="never"/>
        <w:jc w:val="center"/>
        <w:tblLayout w:type="fixed"/>
      </w:tblPr>
      <w:tblGrid>
        <w:gridCol w:w="1992"/>
        <w:gridCol w:w="1843"/>
        <w:gridCol w:w="1920"/>
        <w:gridCol w:w="1483"/>
        <w:gridCol w:w="1416"/>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控股股东深圳市达实 投资发展有限公司、担 任公司董事、高级管理 人员的股东程朋胜先 生、苏俊锋先生、吕枫 先生、黄天朗先生、林 木青先生、毛振宇先生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股份流通限制和自愿锁 定的承诺：自公司首次 公开发行的股票在证券 交易所上市之日起三十 六个月内，不转让或者 委托他人管理其已持有 的公司股份，也不由公 司回购该部分股份。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控股股东深圳市达实 投资发展有限公司、实 际控制人刘磅先生、担 任公司董事、高级管理 人员的股东程朋胜先 生、苏俊锋先生、吕枫 先生、黄天朗先生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避免同业竞争的承诺： 不直接或间接从事与公 司经营范围相同或相类 似的业务。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深圳市达实投资 发展有限公司作 为公司控股股东、 刘磅先生作为实 际控制人期间及 程朋胜先生、苏俊 锋先生、吕枫先 生、黄天朗先生担 任公司董事、高级 管理人员期间至 离职后两年内。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控股股东深圳市达实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投资发展有限公司及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实际控制人刘磅先生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关于不占用公司资金的 承诺：不以任何方式占 用公司的资产和资源， 不以任何直接或者间接 的方式从事损害或可能 损害公司及其他股东利 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控股股东深圳市达实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关于公司可能由于住房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278" w:right="1080" w:bottom="1460" w:left="1076" w:header="0" w:footer="3" w:gutter="0"/>
          <w:cols w:space="720"/>
          <w:noEndnote/>
          <w:titlePg/>
          <w:rtlGutter w:val="0"/>
          <w:docGrid w:linePitch="360"/>
        </w:sectPr>
      </w:pPr>
    </w:p>
    <w:tbl>
      <w:tblPr>
        <w:tblOverlap w:val="never"/>
        <w:jc w:val="center"/>
        <w:tblLayout w:type="fixed"/>
      </w:tblPr>
      <w:tblGrid>
        <w:gridCol w:w="1992"/>
        <w:gridCol w:w="1843"/>
        <w:gridCol w:w="1920"/>
        <w:gridCol w:w="1483"/>
        <w:gridCol w:w="1416"/>
        <w:gridCol w:w="93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投资发展有限公司及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实际控制人刘磅先生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公积金政策变化而导致 的处罚或损失的承诺： 将对该等处罚或损失承 担连带赔偿责任，以确 保公司不会因此遭受任 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七</w:t>
      </w:r>
      <w:bookmarkEnd w:id="236"/>
      <w:r>
        <w:rPr>
          <w:color w:val="000000"/>
          <w:spacing w:val="0"/>
          <w:w w:val="100"/>
          <w:position w:val="0"/>
        </w:rPr>
        <w:t>、聘任、解聘会计师事务所情况</w:t>
      </w:r>
      <w:bookmarkEnd w:id="234"/>
      <w:bookmarkEnd w:id="235"/>
      <w:bookmarkEnd w:id="23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潘忠民、龙哲</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八</w:t>
      </w:r>
      <w:bookmarkEnd w:id="240"/>
      <w:r>
        <w:rPr>
          <w:color w:val="000000"/>
          <w:spacing w:val="0"/>
          <w:w w:val="100"/>
          <w:position w:val="0"/>
        </w:rPr>
        <w:t>、</w:t>
        <w:tab/>
        <w:t>其他重大事项的说明</w:t>
      </w:r>
      <w:bookmarkEnd w:id="238"/>
      <w:bookmarkEnd w:id="239"/>
      <w:bookmarkEnd w:id="241"/>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报告期内，公司无其他应该披露而未披露的重大事项。</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九</w:t>
      </w:r>
      <w:bookmarkEnd w:id="244"/>
      <w:r>
        <w:rPr>
          <w:color w:val="000000"/>
          <w:spacing w:val="0"/>
          <w:w w:val="100"/>
          <w:position w:val="0"/>
        </w:rPr>
        <w:t>、</w:t>
        <w:tab/>
        <w:t>公司子公司重要事项</w:t>
      </w:r>
      <w:bookmarkEnd w:id="242"/>
      <w:bookmarkEnd w:id="243"/>
      <w:bookmarkEnd w:id="245"/>
    </w:p>
    <w:p>
      <w:pPr>
        <w:pStyle w:val="Style36"/>
        <w:keepNext w:val="0"/>
        <w:keepLines w:val="0"/>
        <w:widowControl w:val="0"/>
        <w:shd w:val="clear" w:color="auto" w:fill="auto"/>
        <w:bidi w:val="0"/>
        <w:spacing w:before="0" w:after="3380" w:line="240" w:lineRule="auto"/>
        <w:ind w:left="0" w:right="0" w:firstLine="0"/>
        <w:jc w:val="left"/>
      </w:pPr>
      <w:r>
        <w:rPr>
          <w:color w:val="000000"/>
          <w:spacing w:val="0"/>
          <w:w w:val="100"/>
          <w:position w:val="0"/>
        </w:rPr>
        <w:t>报告期内，公司子公司无其他应披露而未披露的重要事项。</w:t>
      </w:r>
    </w:p>
    <w:p>
      <w:pPr>
        <w:widowControl w:val="0"/>
        <w:jc w:val="center"/>
        <w:rPr>
          <w:sz w:val="2"/>
          <w:szCs w:val="2"/>
        </w:r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41" w:right="1195" w:bottom="125" w:left="1104" w:header="0" w:footer="3" w:gutter="0"/>
          <w:cols w:space="720"/>
          <w:noEndnote/>
          <w:rtlGutter w:val="0"/>
          <w:docGrid w:linePitch="360"/>
        </w:sectPr>
      </w:pPr>
      <w:r>
        <w:drawing>
          <wp:inline>
            <wp:extent cx="1718945" cy="981710"/>
            <wp:docPr id="190" name="Picutre 190"/>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75"/>
                    <a:stretch/>
                  </pic:blipFill>
                  <pic:spPr>
                    <a:xfrm>
                      <a:ext cx="1718945" cy="981710"/>
                    </a:xfrm>
                    <a:prstGeom prst="rect"/>
                  </pic:spPr>
                </pic:pic>
              </a:graphicData>
            </a:graphic>
          </wp:inline>
        </w:drawing>
      </w:r>
    </w:p>
    <w:p>
      <w:pPr>
        <w:pStyle w:val="Style12"/>
        <w:keepNext/>
        <w:keepLines/>
        <w:widowControl w:val="0"/>
        <w:shd w:val="clear" w:color="auto" w:fill="auto"/>
        <w:bidi w:val="0"/>
        <w:spacing w:before="680" w:after="540" w:line="240" w:lineRule="auto"/>
        <w:ind w:left="0" w:right="0" w:firstLine="0"/>
        <w:jc w:val="center"/>
      </w:pPr>
      <w:bookmarkStart w:id="246" w:name="bookmark246"/>
      <w:bookmarkStart w:id="247" w:name="bookmark247"/>
      <w:bookmarkStart w:id="248" w:name="bookmark248"/>
      <w:r>
        <w:rPr>
          <w:color w:val="000000"/>
          <w:spacing w:val="0"/>
          <w:w w:val="100"/>
          <w:position w:val="0"/>
        </w:rPr>
        <w:t>第六节股份变动及股东情况</w:t>
      </w:r>
      <w:bookmarkEnd w:id="246"/>
      <w:bookmarkEnd w:id="247"/>
      <w:bookmarkEnd w:id="248"/>
    </w:p>
    <w:p>
      <w:pPr>
        <w:pStyle w:val="Style27"/>
        <w:keepNext/>
        <w:keepLines/>
        <w:widowControl w:val="0"/>
        <w:shd w:val="clear" w:color="auto" w:fill="auto"/>
        <w:bidi w:val="0"/>
        <w:spacing w:before="0" w:after="360" w:line="240" w:lineRule="auto"/>
        <w:ind w:left="0" w:right="0" w:firstLine="240"/>
        <w:jc w:val="left"/>
      </w:pPr>
      <w:bookmarkStart w:id="249" w:name="bookmark249"/>
      <w:bookmarkStart w:id="250" w:name="bookmark250"/>
      <w:bookmarkStart w:id="251" w:name="bookmark251"/>
      <w:r>
        <w:rPr>
          <w:color w:val="000000"/>
          <w:spacing w:val="0"/>
          <w:w w:val="100"/>
          <w:position w:val="0"/>
        </w:rPr>
        <w:t>、股份变动情况</w:t>
      </w:r>
      <w:bookmarkEnd w:id="249"/>
      <w:bookmarkEnd w:id="250"/>
      <w:bookmarkEnd w:id="25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850"/>
        <w:gridCol w:w="595"/>
        <w:gridCol w:w="614"/>
        <w:gridCol w:w="643"/>
        <w:gridCol w:w="979"/>
        <w:gridCol w:w="965"/>
        <w:gridCol w:w="984"/>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60,639,626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-60,639,626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-60,639,626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26,995,624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-19,784,814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-19,784,814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121,164,750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121,164,750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90" w:val="left"/>
        </w:tabs>
        <w:bidi w:val="0"/>
        <w:spacing w:before="0" w:after="0" w:line="418" w:lineRule="exact"/>
        <w:ind w:left="0" w:right="0" w:firstLine="440"/>
        <w:jc w:val="both"/>
      </w:pPr>
      <w:bookmarkStart w:id="252" w:name="bookmark252"/>
      <w:r>
        <w:rPr>
          <w:rFonts w:ascii="Times New Roman" w:eastAsia="Times New Roman" w:hAnsi="Times New Roman" w:cs="Times New Roman"/>
          <w:color w:val="000000"/>
          <w:spacing w:val="0"/>
          <w:w w:val="100"/>
          <w:position w:val="0"/>
        </w:rPr>
        <w:t>1</w:t>
      </w:r>
      <w:bookmarkEnd w:id="252"/>
      <w:r>
        <w:rPr>
          <w:color w:val="000000"/>
          <w:spacing w:val="0"/>
          <w:w w:val="100"/>
          <w:position w:val="0"/>
        </w:rPr>
        <w:t>、</w:t>
        <w:tab/>
        <w:t>公司首次公开发行前已发行的</w:t>
      </w:r>
      <w:r>
        <w:rPr>
          <w:rFonts w:ascii="Times New Roman" w:eastAsia="Times New Roman" w:hAnsi="Times New Roman" w:cs="Times New Roman"/>
          <w:color w:val="000000"/>
          <w:spacing w:val="0"/>
          <w:w w:val="100"/>
          <w:position w:val="0"/>
        </w:rPr>
        <w:t>81,635,250</w:t>
      </w:r>
      <w:r>
        <w:rPr>
          <w:color w:val="000000"/>
          <w:spacing w:val="0"/>
          <w:w w:val="100"/>
          <w:position w:val="0"/>
        </w:rPr>
        <w:t>股股份，于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日达到</w:t>
      </w:r>
      <w:r>
        <w:rPr>
          <w:rFonts w:ascii="Times New Roman" w:eastAsia="Times New Roman" w:hAnsi="Times New Roman" w:cs="Times New Roman"/>
          <w:color w:val="000000"/>
          <w:spacing w:val="0"/>
          <w:w w:val="100"/>
          <w:position w:val="0"/>
        </w:rPr>
        <w:t>“</w:t>
      </w:r>
      <w:r>
        <w:rPr>
          <w:color w:val="000000"/>
          <w:spacing w:val="0"/>
          <w:w w:val="100"/>
          <w:position w:val="0"/>
        </w:rPr>
        <w:t>自公司首次公开发行的股 票在证券交易所上市之日起三十六个月内不转让或者委托他人管理其已持有的公司股份，也不由公司回购 该部分股份</w:t>
      </w:r>
      <w:r>
        <w:rPr>
          <w:rFonts w:ascii="Times New Roman" w:eastAsia="Times New Roman" w:hAnsi="Times New Roman" w:cs="Times New Roman"/>
          <w:color w:val="000000"/>
          <w:spacing w:val="0"/>
          <w:w w:val="100"/>
          <w:position w:val="0"/>
        </w:rPr>
        <w:t>"</w:t>
      </w:r>
      <w:r>
        <w:rPr>
          <w:color w:val="000000"/>
          <w:spacing w:val="0"/>
          <w:w w:val="100"/>
          <w:position w:val="0"/>
        </w:rPr>
        <w:t>的承诺期限，获准上市流通；</w:t>
      </w:r>
    </w:p>
    <w:p>
      <w:pPr>
        <w:pStyle w:val="Style36"/>
        <w:keepNext w:val="0"/>
        <w:keepLines w:val="0"/>
        <w:widowControl w:val="0"/>
        <w:shd w:val="clear" w:color="auto" w:fill="auto"/>
        <w:tabs>
          <w:tab w:pos="813" w:val="left"/>
        </w:tabs>
        <w:bidi w:val="0"/>
        <w:spacing w:before="0" w:after="0" w:line="410" w:lineRule="exact"/>
        <w:ind w:left="0" w:right="0" w:firstLine="440"/>
        <w:jc w:val="both"/>
      </w:pPr>
      <w:bookmarkStart w:id="253" w:name="bookmark253"/>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公司限制性股票激励计划第一个解锁期解锁条件满足，第一期限制性股票</w:t>
      </w:r>
      <w:r>
        <w:rPr>
          <w:rFonts w:ascii="Times New Roman" w:eastAsia="Times New Roman" w:hAnsi="Times New Roman" w:cs="Times New Roman"/>
          <w:color w:val="000000"/>
          <w:spacing w:val="0"/>
          <w:w w:val="100"/>
          <w:position w:val="0"/>
        </w:rPr>
        <w:t>1,800,000</w:t>
      </w:r>
      <w:r>
        <w:rPr>
          <w:color w:val="000000"/>
          <w:spacing w:val="0"/>
          <w:w w:val="100"/>
          <w:position w:val="0"/>
        </w:rPr>
        <w:t>股解除限售；</w:t>
      </w:r>
    </w:p>
    <w:p>
      <w:pPr>
        <w:pStyle w:val="Style36"/>
        <w:keepNext w:val="0"/>
        <w:keepLines w:val="0"/>
        <w:widowControl w:val="0"/>
        <w:shd w:val="clear" w:color="auto" w:fill="auto"/>
        <w:tabs>
          <w:tab w:pos="813" w:val="left"/>
        </w:tabs>
        <w:bidi w:val="0"/>
        <w:spacing w:before="0" w:after="240" w:line="410" w:lineRule="exact"/>
        <w:ind w:left="0" w:right="0" w:firstLine="440"/>
        <w:jc w:val="both"/>
      </w:pPr>
      <w:bookmarkStart w:id="254" w:name="bookmark254"/>
      <w:r>
        <w:rPr>
          <w:rFonts w:ascii="Times New Roman" w:eastAsia="Times New Roman" w:hAnsi="Times New Roman" w:cs="Times New Roman"/>
          <w:color w:val="000000"/>
          <w:spacing w:val="0"/>
          <w:w w:val="100"/>
          <w:position w:val="0"/>
        </w:rPr>
        <w:t>3</w:t>
      </w:r>
      <w:bookmarkEnd w:id="254"/>
      <w:r>
        <w:rPr>
          <w:color w:val="000000"/>
          <w:spacing w:val="0"/>
          <w:w w:val="100"/>
          <w:position w:val="0"/>
        </w:rPr>
        <w:t>、</w:t>
        <w:tab/>
        <w:t>上述股份中，解除限售后的高级管理人员股份按照深圳证券交易所的相关规定进行了锁定。</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94" w:val="left"/>
        </w:tabs>
        <w:bidi w:val="0"/>
        <w:spacing w:before="0" w:after="0" w:line="410" w:lineRule="exact"/>
        <w:ind w:left="0" w:right="0" w:firstLine="440"/>
        <w:jc w:val="both"/>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首次公开发行前已发行股份上市流通的批准情况</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股份持有人已在上市前出具书面承诺，且公司已在《招股说明书》及历次年度报告中进行披露，无需 审批；</w:t>
      </w:r>
    </w:p>
    <w:p>
      <w:pPr>
        <w:pStyle w:val="Style36"/>
        <w:keepNext w:val="0"/>
        <w:keepLines w:val="0"/>
        <w:widowControl w:val="0"/>
        <w:shd w:val="clear" w:color="auto" w:fill="auto"/>
        <w:tabs>
          <w:tab w:pos="813" w:val="left"/>
        </w:tabs>
        <w:bidi w:val="0"/>
        <w:spacing w:before="0" w:after="0" w:line="410" w:lineRule="exact"/>
        <w:ind w:left="0" w:right="0" w:firstLine="440"/>
        <w:jc w:val="both"/>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限制性股票激励计划第一个解锁期股份解除限售的批准情况</w:t>
      </w:r>
    </w:p>
    <w:p>
      <w:pPr>
        <w:pStyle w:val="Style36"/>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经公司第四届董事会第二十五次会议审批批准，公司限制性股票激励计划第一个解锁期解锁条件满 足。根据公司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年第一次临时股东大会的授权，董事会已按照激励计划的相关规定办理了第一期限制性 股票的上市流通事宜。</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二</w:t>
      </w:r>
      <w:bookmarkEnd w:id="259"/>
      <w:r>
        <w:rPr>
          <w:color w:val="000000"/>
          <w:spacing w:val="0"/>
          <w:w w:val="100"/>
          <w:position w:val="0"/>
        </w:rPr>
        <w:t>、证券发行与上市情况</w:t>
      </w:r>
      <w:bookmarkEnd w:id="257"/>
      <w:bookmarkEnd w:id="258"/>
      <w:bookmarkEnd w:id="260"/>
    </w:p>
    <w:p>
      <w:pPr>
        <w:pStyle w:val="Style39"/>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、报告期末近三年历次证券发行情况</w:t>
      </w:r>
      <w:bookmarkEnd w:id="261"/>
      <w:bookmarkEnd w:id="262"/>
      <w:bookmarkEnd w:id="264"/>
    </w:p>
    <w:tbl>
      <w:tblPr>
        <w:tblOverlap w:val="never"/>
        <w:jc w:val="center"/>
        <w:tblLayout w:type="fixed"/>
      </w:tblPr>
      <w:tblGrid>
        <w:gridCol w:w="1378"/>
        <w:gridCol w:w="1363"/>
        <w:gridCol w:w="1368"/>
        <w:gridCol w:w="1368"/>
        <w:gridCol w:w="1368"/>
        <w:gridCol w:w="1368"/>
        <w:gridCol w:w="1378"/>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获准上市交易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人民币普通股</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 xml:space="preserve">20,000,000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20,000,000 </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36"/>
        <w:keepNext w:val="0"/>
        <w:keepLines w:val="0"/>
        <w:widowControl w:val="0"/>
        <w:shd w:val="clear" w:color="auto" w:fill="auto"/>
        <w:tabs>
          <w:tab w:pos="771" w:val="left"/>
        </w:tabs>
        <w:bidi w:val="0"/>
        <w:spacing w:before="0" w:after="0" w:line="403" w:lineRule="exact"/>
        <w:ind w:left="0" w:right="0" w:firstLine="440"/>
        <w:jc w:val="both"/>
      </w:pPr>
      <w:bookmarkStart w:id="265" w:name="bookmark265"/>
      <w:r>
        <w:rPr>
          <w:color w:val="000000"/>
          <w:spacing w:val="0"/>
          <w:w w:val="100"/>
          <w:position w:val="0"/>
        </w:rPr>
        <w:t>1</w:t>
      </w:r>
      <w:bookmarkEnd w:id="265"/>
      <w:r>
        <w:rPr>
          <w:color w:val="000000"/>
          <w:spacing w:val="0"/>
          <w:w w:val="100"/>
          <w:position w:val="0"/>
        </w:rPr>
        <w:t>、</w:t>
        <w:tab/>
        <w:t>公司首次公开发行股票情况：</w:t>
      </w:r>
    </w:p>
    <w:p>
      <w:pPr>
        <w:pStyle w:val="Style36"/>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经中国证券监督管理委员会《关于核准深圳达实智能股份有限公司首次公开发行股票的批复》（证监 许可</w:t>
      </w:r>
      <w:r>
        <w:rPr>
          <w:color w:val="000000"/>
          <w:spacing w:val="0"/>
          <w:w w:val="100"/>
          <w:position w:val="0"/>
        </w:rPr>
        <w:t>[2010]596</w:t>
      </w:r>
      <w:r>
        <w:rPr>
          <w:color w:val="000000"/>
          <w:spacing w:val="0"/>
          <w:w w:val="100"/>
          <w:position w:val="0"/>
        </w:rPr>
        <w:t>号）核准，公司采用网下向询价对象配售（下称“网下配售”</w:t>
      </w:r>
      <w:r>
        <w:rPr>
          <w:color w:val="000000"/>
          <w:spacing w:val="0"/>
          <w:w w:val="100"/>
          <w:position w:val="0"/>
        </w:rPr>
        <w:t>）</w:t>
      </w:r>
      <w:r>
        <w:rPr>
          <w:color w:val="000000"/>
          <w:spacing w:val="0"/>
          <w:w w:val="100"/>
          <w:position w:val="0"/>
        </w:rPr>
        <w:t>和网上资金申购定价发行 （下称“网上发行”</w:t>
      </w:r>
      <w:r>
        <w:rPr>
          <w:color w:val="000000"/>
          <w:spacing w:val="0"/>
          <w:w w:val="100"/>
          <w:position w:val="0"/>
        </w:rPr>
        <w:t>）</w:t>
      </w:r>
      <w:r>
        <w:rPr>
          <w:color w:val="000000"/>
          <w:spacing w:val="0"/>
          <w:w w:val="100"/>
          <w:position w:val="0"/>
        </w:rPr>
        <w:t>相结合的发行方式，公开发行</w:t>
      </w:r>
      <w:r>
        <w:rPr>
          <w:color w:val="000000"/>
          <w:spacing w:val="0"/>
          <w:w w:val="100"/>
          <w:position w:val="0"/>
        </w:rPr>
        <w:t>2,000</w:t>
      </w:r>
      <w:r>
        <w:rPr>
          <w:color w:val="000000"/>
          <w:spacing w:val="0"/>
          <w:w w:val="100"/>
          <w:position w:val="0"/>
        </w:rPr>
        <w:t>万股人民币普通股，发行价格为</w:t>
      </w:r>
      <w:r>
        <w:rPr>
          <w:color w:val="000000"/>
          <w:spacing w:val="0"/>
          <w:w w:val="100"/>
          <w:position w:val="0"/>
        </w:rPr>
        <w:t>20.5</w:t>
      </w:r>
      <w:r>
        <w:rPr>
          <w:color w:val="000000"/>
          <w:spacing w:val="0"/>
          <w:w w:val="100"/>
          <w:position w:val="0"/>
        </w:rPr>
        <w:t>。元</w:t>
      </w:r>
      <w:r>
        <w:rPr>
          <w:color w:val="000000"/>
          <w:spacing w:val="0"/>
          <w:w w:val="100"/>
          <w:position w:val="0"/>
        </w:rPr>
        <w:t>/</w:t>
      </w:r>
      <w:r>
        <w:rPr>
          <w:color w:val="000000"/>
          <w:spacing w:val="0"/>
          <w:w w:val="100"/>
          <w:position w:val="0"/>
        </w:rPr>
        <w:t>股。 其中网上发行</w:t>
      </w:r>
      <w:r>
        <w:rPr>
          <w:color w:val="000000"/>
          <w:spacing w:val="0"/>
          <w:w w:val="100"/>
          <w:position w:val="0"/>
        </w:rPr>
        <w:t>1,600</w:t>
      </w:r>
      <w:r>
        <w:rPr>
          <w:color w:val="000000"/>
          <w:spacing w:val="0"/>
          <w:w w:val="100"/>
          <w:position w:val="0"/>
        </w:rPr>
        <w:t>万股，网下配售</w:t>
      </w:r>
      <w:r>
        <w:rPr>
          <w:color w:val="000000"/>
          <w:spacing w:val="0"/>
          <w:w w:val="100"/>
          <w:position w:val="0"/>
        </w:rPr>
        <w:t>400</w:t>
      </w:r>
      <w:r>
        <w:rPr>
          <w:color w:val="000000"/>
          <w:spacing w:val="0"/>
          <w:w w:val="100"/>
          <w:position w:val="0"/>
        </w:rPr>
        <w:t>万股。</w:t>
      </w:r>
    </w:p>
    <w:p>
      <w:pPr>
        <w:pStyle w:val="Style36"/>
        <w:keepNext w:val="0"/>
        <w:keepLines w:val="0"/>
        <w:widowControl w:val="0"/>
        <w:shd w:val="clear" w:color="auto" w:fill="auto"/>
        <w:bidi w:val="0"/>
        <w:spacing w:before="0" w:after="0" w:line="404" w:lineRule="exact"/>
        <w:ind w:left="0" w:right="0" w:firstLine="440"/>
        <w:jc w:val="both"/>
      </w:pPr>
      <w:r>
        <w:rPr>
          <w:color w:val="000000"/>
          <w:spacing w:val="0"/>
          <w:w w:val="100"/>
          <w:position w:val="0"/>
        </w:rPr>
        <w:t xml:space="preserve">经深圳证券交易所《关于深圳达实智能股份有限公司人民币普通股股票上市的通知》（深证上 </w:t>
      </w:r>
      <w:r>
        <w:rPr>
          <w:color w:val="000000"/>
          <w:spacing w:val="0"/>
          <w:w w:val="100"/>
          <w:position w:val="0"/>
        </w:rPr>
        <w:t>[2010]177</w:t>
      </w:r>
      <w:r>
        <w:rPr>
          <w:color w:val="000000"/>
          <w:spacing w:val="0"/>
          <w:w w:val="100"/>
          <w:position w:val="0"/>
        </w:rPr>
        <w:t>号）同意，公司发行的人民币普通股股票在深圳证券交易所上市，股票简称“达实智能”，股 票代码</w:t>
      </w:r>
      <w:r>
        <w:rPr>
          <w:color w:val="000000"/>
          <w:spacing w:val="0"/>
          <w:w w:val="100"/>
          <w:position w:val="0"/>
        </w:rPr>
        <w:t>“002421”，</w:t>
      </w:r>
      <w:r>
        <w:rPr>
          <w:color w:val="000000"/>
          <w:spacing w:val="0"/>
          <w:w w:val="100"/>
          <w:position w:val="0"/>
        </w:rPr>
        <w:t>其中公开发行的</w:t>
      </w:r>
      <w:r>
        <w:rPr>
          <w:color w:val="000000"/>
          <w:spacing w:val="0"/>
          <w:w w:val="100"/>
          <w:position w:val="0"/>
        </w:rPr>
        <w:t>1,600</w:t>
      </w:r>
      <w:r>
        <w:rPr>
          <w:color w:val="000000"/>
          <w:spacing w:val="0"/>
          <w:w w:val="100"/>
          <w:position w:val="0"/>
        </w:rPr>
        <w:t>万股股票于</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日上市交易，网下配售的</w:t>
      </w:r>
      <w:r>
        <w:rPr>
          <w:color w:val="000000"/>
          <w:spacing w:val="0"/>
          <w:w w:val="100"/>
          <w:position w:val="0"/>
        </w:rPr>
        <w:t>400</w:t>
      </w:r>
      <w:r>
        <w:rPr>
          <w:color w:val="000000"/>
          <w:spacing w:val="0"/>
          <w:w w:val="100"/>
          <w:position w:val="0"/>
        </w:rPr>
        <w:t xml:space="preserve">万股股票于 </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日上市交易。</w:t>
      </w:r>
    </w:p>
    <w:p>
      <w:pPr>
        <w:pStyle w:val="Style36"/>
        <w:keepNext w:val="0"/>
        <w:keepLines w:val="0"/>
        <w:widowControl w:val="0"/>
        <w:shd w:val="clear" w:color="auto" w:fill="auto"/>
        <w:tabs>
          <w:tab w:pos="785" w:val="left"/>
        </w:tabs>
        <w:bidi w:val="0"/>
        <w:spacing w:before="0" w:after="0" w:line="404" w:lineRule="exact"/>
        <w:ind w:left="0" w:right="0" w:firstLine="440"/>
        <w:jc w:val="both"/>
      </w:pPr>
      <w:bookmarkStart w:id="266" w:name="bookmark266"/>
      <w:r>
        <w:rPr>
          <w:color w:val="000000"/>
          <w:spacing w:val="0"/>
          <w:w w:val="100"/>
          <w:position w:val="0"/>
        </w:rPr>
        <w:t>2</w:t>
      </w:r>
      <w:bookmarkEnd w:id="266"/>
      <w:r>
        <w:rPr>
          <w:color w:val="000000"/>
          <w:spacing w:val="0"/>
          <w:w w:val="100"/>
          <w:position w:val="0"/>
        </w:rPr>
        <w:t>、</w:t>
        <w:tab/>
        <w:t>实施限制性股票激励计划情况：</w:t>
      </w:r>
    </w:p>
    <w:p>
      <w:pPr>
        <w:pStyle w:val="Style36"/>
        <w:keepNext w:val="0"/>
        <w:keepLines w:val="0"/>
        <w:widowControl w:val="0"/>
        <w:shd w:val="clear" w:color="auto" w:fill="auto"/>
        <w:bidi w:val="0"/>
        <w:spacing w:before="0" w:after="140" w:line="404" w:lineRule="exact"/>
        <w:ind w:left="0" w:right="0" w:firstLine="440"/>
        <w:jc w:val="both"/>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297" w:right="1034" w:bottom="1494" w:left="1036" w:header="0" w:footer="3" w:gutter="0"/>
          <w:cols w:space="720"/>
          <w:noEndnote/>
          <w:rtlGutter w:val="0"/>
          <w:docGrid w:linePitch="360"/>
        </w:sectPr>
      </w:pPr>
      <w:r>
        <w:rPr>
          <w:color w:val="000000"/>
          <w:spacing w:val="0"/>
          <w:w w:val="100"/>
          <w:position w:val="0"/>
        </w:rPr>
        <w:t>经中国证监会备案无异议后，</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日，公司召开</w:t>
      </w:r>
      <w:r>
        <w:rPr>
          <w:color w:val="000000"/>
          <w:spacing w:val="0"/>
          <w:w w:val="100"/>
          <w:position w:val="0"/>
        </w:rPr>
        <w:t>2012</w:t>
      </w:r>
      <w:r>
        <w:rPr>
          <w:color w:val="000000"/>
          <w:spacing w:val="0"/>
          <w:w w:val="100"/>
          <w:position w:val="0"/>
        </w:rPr>
        <w:t>年第一次临时股东大会，审议通过了《深 圳达实智能股份有限公司限制性股票激励计划（草案）》，并授权董事会办理公司限制性股票激励计划相 关事宜，</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日，公司召开第四届董事会第十七次会议，确定</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日为限制性股票激励计 划的授予日，向</w:t>
      </w:r>
      <w:r>
        <w:rPr>
          <w:color w:val="000000"/>
          <w:spacing w:val="0"/>
          <w:w w:val="100"/>
          <w:position w:val="0"/>
        </w:rPr>
        <w:t>76</w:t>
      </w:r>
      <w:r>
        <w:rPr>
          <w:color w:val="000000"/>
          <w:spacing w:val="0"/>
          <w:w w:val="100"/>
          <w:position w:val="0"/>
        </w:rPr>
        <w:t>名激励对象授予</w:t>
      </w:r>
      <w:r>
        <w:rPr>
          <w:color w:val="000000"/>
          <w:spacing w:val="0"/>
          <w:w w:val="100"/>
          <w:position w:val="0"/>
        </w:rPr>
        <w:t>300</w:t>
      </w:r>
      <w:r>
        <w:rPr>
          <w:color w:val="000000"/>
          <w:spacing w:val="0"/>
          <w:w w:val="100"/>
          <w:position w:val="0"/>
        </w:rPr>
        <w:t>万股限制性股票，授予价格为</w:t>
      </w:r>
      <w:r>
        <w:rPr>
          <w:color w:val="000000"/>
          <w:spacing w:val="0"/>
          <w:w w:val="100"/>
          <w:position w:val="0"/>
        </w:rPr>
        <w:t>8.51</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日，公司完 成限制性股票的授予登记。经公司第四届董事会第二十五次会议批准，第一个解锁期解锁条件满足，</w:t>
      </w:r>
      <w:r>
        <w:rPr>
          <w:color w:val="000000"/>
          <w:spacing w:val="0"/>
          <w:w w:val="100"/>
          <w:position w:val="0"/>
        </w:rPr>
        <w:t xml:space="preserve">2013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 0，</w:t>
      </w:r>
      <w:r>
        <w:rPr>
          <w:color w:val="000000"/>
          <w:spacing w:val="0"/>
          <w:w w:val="100"/>
          <w:position w:val="0"/>
        </w:rPr>
        <w:t xml:space="preserve">157. </w:t>
      </w:r>
      <w:r>
        <w:rPr>
          <w:color w:val="000000"/>
          <w:spacing w:val="0"/>
          <w:w w:val="100"/>
          <w:position w:val="0"/>
        </w:rPr>
        <w:t>5</w:t>
      </w:r>
      <w:r>
        <w:rPr>
          <w:color w:val="000000"/>
          <w:spacing w:val="0"/>
          <w:w w:val="100"/>
          <w:position w:val="0"/>
        </w:rPr>
        <w:t>万股股份获准上市流通。</w:t>
      </w:r>
    </w:p>
    <w:p>
      <w:pPr>
        <w:pStyle w:val="Style39"/>
        <w:keepNext/>
        <w:keepLines/>
        <w:widowControl w:val="0"/>
        <w:shd w:val="clear" w:color="auto" w:fill="auto"/>
        <w:bidi w:val="0"/>
        <w:spacing w:before="0" w:after="180" w:line="418" w:lineRule="exact"/>
        <w:ind w:left="0" w:right="0" w:firstLine="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、公司股份总数及股东结构的变动、公司资产和负债结构的变动情况说明</w:t>
      </w:r>
      <w:bookmarkEnd w:id="267"/>
      <w:bookmarkEnd w:id="268"/>
      <w:bookmarkEnd w:id="270"/>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股东结构变动情况：</w:t>
      </w:r>
    </w:p>
    <w:p>
      <w:pPr>
        <w:pStyle w:val="Style36"/>
        <w:keepNext w:val="0"/>
        <w:keepLines w:val="0"/>
        <w:widowControl w:val="0"/>
        <w:shd w:val="clear" w:color="auto" w:fill="auto"/>
        <w:tabs>
          <w:tab w:pos="790" w:val="left"/>
        </w:tabs>
        <w:bidi w:val="0"/>
        <w:spacing w:before="0" w:after="0" w:line="418" w:lineRule="exact"/>
        <w:ind w:left="0" w:right="0" w:firstLine="440"/>
        <w:jc w:val="both"/>
      </w:pPr>
      <w:bookmarkStart w:id="271" w:name="bookmark271"/>
      <w:r>
        <w:rPr>
          <w:color w:val="000000"/>
          <w:spacing w:val="0"/>
          <w:w w:val="100"/>
          <w:position w:val="0"/>
        </w:rPr>
        <w:t>1</w:t>
      </w:r>
      <w:bookmarkEnd w:id="271"/>
      <w:r>
        <w:rPr>
          <w:color w:val="000000"/>
          <w:spacing w:val="0"/>
          <w:w w:val="100"/>
          <w:position w:val="0"/>
        </w:rPr>
        <w:t>、</w:t>
        <w:tab/>
        <w:t>公司首次公开发行前已发行的</w:t>
      </w:r>
      <w:r>
        <w:rPr>
          <w:color w:val="000000"/>
          <w:spacing w:val="0"/>
          <w:w w:val="100"/>
          <w:position w:val="0"/>
        </w:rPr>
        <w:t>81,635,25</w:t>
      </w:r>
      <w:r>
        <w:rPr>
          <w:color w:val="000000"/>
          <w:spacing w:val="0"/>
          <w:w w:val="100"/>
          <w:position w:val="0"/>
        </w:rPr>
        <w:t>。股股份，于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日达到“自公司首次公开发行的 股票在证券交易所上市之日起三十六个月内不转让或者委托他人管理其已持有的公司股份，也不由公司回 购该部分股份”的承诺期限，获准上市流通；</w:t>
      </w:r>
    </w:p>
    <w:p>
      <w:pPr>
        <w:pStyle w:val="Style36"/>
        <w:keepNext w:val="0"/>
        <w:keepLines w:val="0"/>
        <w:widowControl w:val="0"/>
        <w:shd w:val="clear" w:color="auto" w:fill="auto"/>
        <w:tabs>
          <w:tab w:pos="808" w:val="left"/>
        </w:tabs>
        <w:bidi w:val="0"/>
        <w:spacing w:before="0" w:after="0" w:line="418" w:lineRule="exact"/>
        <w:ind w:left="0" w:right="0" w:firstLine="440"/>
        <w:jc w:val="both"/>
      </w:pPr>
      <w:bookmarkStart w:id="272" w:name="bookmark272"/>
      <w:r>
        <w:rPr>
          <w:color w:val="000000"/>
          <w:spacing w:val="0"/>
          <w:w w:val="100"/>
          <w:position w:val="0"/>
        </w:rPr>
        <w:t>2</w:t>
      </w:r>
      <w:bookmarkEnd w:id="272"/>
      <w:r>
        <w:rPr>
          <w:color w:val="000000"/>
          <w:spacing w:val="0"/>
          <w:w w:val="100"/>
          <w:position w:val="0"/>
        </w:rPr>
        <w:t>、</w:t>
        <w:tab/>
        <w:t>公司限制性股票激励计划第一个解锁期解锁条件满足，第一期限制性股票</w:t>
      </w:r>
      <w:r>
        <w:rPr>
          <w:color w:val="000000"/>
          <w:spacing w:val="0"/>
          <w:w w:val="100"/>
          <w:position w:val="0"/>
        </w:rPr>
        <w:t>1,800,000</w:t>
      </w:r>
      <w:r>
        <w:rPr>
          <w:color w:val="000000"/>
          <w:spacing w:val="0"/>
          <w:w w:val="100"/>
          <w:position w:val="0"/>
        </w:rPr>
        <w:t>股解除限售；</w:t>
      </w:r>
    </w:p>
    <w:p>
      <w:pPr>
        <w:pStyle w:val="Style36"/>
        <w:keepNext w:val="0"/>
        <w:keepLines w:val="0"/>
        <w:widowControl w:val="0"/>
        <w:shd w:val="clear" w:color="auto" w:fill="auto"/>
        <w:tabs>
          <w:tab w:pos="808" w:val="left"/>
        </w:tabs>
        <w:bidi w:val="0"/>
        <w:spacing w:before="0" w:after="800" w:line="418" w:lineRule="exact"/>
        <w:ind w:left="0" w:right="0" w:firstLine="440"/>
        <w:jc w:val="both"/>
      </w:pPr>
      <w:bookmarkStart w:id="273" w:name="bookmark273"/>
      <w:r>
        <w:rPr>
          <w:color w:val="000000"/>
          <w:spacing w:val="0"/>
          <w:w w:val="100"/>
          <w:position w:val="0"/>
        </w:rPr>
        <w:t>3</w:t>
      </w:r>
      <w:bookmarkEnd w:id="273"/>
      <w:r>
        <w:rPr>
          <w:color w:val="000000"/>
          <w:spacing w:val="0"/>
          <w:w w:val="100"/>
          <w:position w:val="0"/>
        </w:rPr>
        <w:t>、</w:t>
        <w:tab/>
        <w:t>上述股份中，解除限售后的高级管理人员股份按照深圳证券交易所的相关规定进行了锁定。</w:t>
      </w:r>
    </w:p>
    <w:p>
      <w:pPr>
        <w:pStyle w:val="Style27"/>
        <w:keepNext/>
        <w:keepLines/>
        <w:widowControl w:val="0"/>
        <w:shd w:val="clear" w:color="auto" w:fill="auto"/>
        <w:bidi w:val="0"/>
        <w:spacing w:before="0" w:after="18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三</w:t>
      </w:r>
      <w:bookmarkEnd w:id="276"/>
      <w:r>
        <w:rPr>
          <w:color w:val="000000"/>
          <w:spacing w:val="0"/>
          <w:w w:val="100"/>
          <w:position w:val="0"/>
        </w:rPr>
        <w:t>、股东和实际控制人情况</w:t>
      </w:r>
      <w:bookmarkEnd w:id="274"/>
      <w:bookmarkEnd w:id="275"/>
      <w:bookmarkEnd w:id="277"/>
    </w:p>
    <w:p>
      <w:pPr>
        <w:pStyle w:val="Style39"/>
        <w:keepNext/>
        <w:keepLines/>
        <w:widowControl w:val="0"/>
        <w:shd w:val="clear" w:color="auto" w:fill="auto"/>
        <w:bidi w:val="0"/>
        <w:spacing w:before="0" w:line="418" w:lineRule="exact"/>
        <w:ind w:left="0" w:right="0" w:firstLine="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、公司股东数量及持股情况</w:t>
      </w:r>
      <w:bookmarkEnd w:id="278"/>
      <w:bookmarkEnd w:id="279"/>
      <w:bookmarkEnd w:id="2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18"/>
        <w:gridCol w:w="1344"/>
        <w:gridCol w:w="840"/>
        <w:gridCol w:w="936"/>
        <w:gridCol w:w="984"/>
        <w:gridCol w:w="1133"/>
        <w:gridCol w:w="994"/>
        <w:gridCol w:w="850"/>
        <w:gridCol w:w="792"/>
      </w:tblGrid>
      <w:tr>
        <w:trPr>
          <w:trHeight w:val="403" w:hRule="exact"/>
        </w:trPr>
        <w:tc>
          <w:tcPr>
            <w:gridSpan w:val="7"/>
            <w:tcBorders>
              <w:top w:val="single" w:sz="4"/>
              <w:left w:val="single" w:sz="4"/>
            </w:tcBorders>
            <w:shd w:val="clear" w:color="auto" w:fill="D3D3D3"/>
            <w:vAlign w:val="center"/>
          </w:tcPr>
          <w:p>
            <w:pPr>
              <w:pStyle w:val="Style2"/>
              <w:keepNext w:val="0"/>
              <w:keepLines w:val="0"/>
              <w:widowControl w:val="0"/>
              <w:shd w:val="clear" w:color="auto" w:fill="auto"/>
              <w:tabs>
                <w:tab w:pos="3854" w:val="left"/>
              </w:tabs>
              <w:bidi w:val="0"/>
              <w:spacing w:before="0" w:after="0" w:line="240" w:lineRule="auto"/>
              <w:ind w:left="0" w:right="0" w:firstLine="0"/>
              <w:jc w:val="left"/>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sz w:val="18"/>
                <w:szCs w:val="18"/>
              </w:rPr>
              <w:t>11,849</w:t>
            </w: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深圳市达实投资发展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60,639,626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盛安机电设备(昌都)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8,679,341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8,679,341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中国农业银行一益民 创新优势混合型证券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兖矿集团有限公司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4,511,836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4,511,836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中国建设银行一华夏 红利混合型开放式证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3,826,617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中国工商银行一中银 中国精选混合型开放 式证券投资基金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3,359,719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全国社保基金一一四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2,746,150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中国机电出口产品投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2,328,765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深圳市高新投集团有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2,141,696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2,141,696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8"/>
        <w:gridCol w:w="1344"/>
        <w:gridCol w:w="840"/>
        <w:gridCol w:w="936"/>
        <w:gridCol w:w="984"/>
        <w:gridCol w:w="1037"/>
        <w:gridCol w:w="1090"/>
        <w:gridCol w:w="264"/>
        <w:gridCol w:w="586"/>
        <w:gridCol w:w="7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tab/>
              <w:t>1,574,466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公司未知上述股东是否存在关联关系，也未知是否属于一致行动人。</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深圳市达实投资发展有限公司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60,639,626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60,639,626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盛安机电设备（昌都）有限公司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8,679,341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8,679,341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中国农业银行一益民创新优势混合型 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5,002,651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5,002,651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兖矿集团有限公司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4,511,836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4,511,836</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中国建设银行一华夏红利混合型开放 式证券投资基金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3,826,617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中国工商银行一中银中国精选混合型 开放式证券投资基金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3,359,719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3,359,719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全国社保基金一一四组合</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2,746,150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中国机电出口产品投资有限公司</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2,328,765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深圳市高新投集团有限公司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2,141,696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2,141,696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华宝信托有限责任公司一时节好雨</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号集合资金信托信托</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1,584,288</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 东之间关联关系或一致行动的说明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公司未知上述股东是否存在关联关系，也未知是否属于一致行动人。</w:t>
            </w:r>
          </w:p>
        </w:tc>
      </w:tr>
    </w:tbl>
    <w:p>
      <w:pPr>
        <w:pStyle w:val="Style31"/>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注：中国机电出口产品投资有限公司现已更名为中国节能减排有限公司。 公司股东在报告期内是否进行约定购回交易</w:t>
      </w:r>
    </w:p>
    <w:p>
      <w:pPr>
        <w:pStyle w:val="Style31"/>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6"/>
        <w:keepNext w:val="0"/>
        <w:keepLines w:val="0"/>
        <w:widowControl w:val="0"/>
        <w:shd w:val="clear" w:color="auto" w:fill="auto"/>
        <w:bidi w:val="0"/>
        <w:spacing w:before="0" w:after="0" w:line="377" w:lineRule="auto"/>
        <w:ind w:left="0" w:right="0" w:firstLine="0"/>
        <w:jc w:val="left"/>
      </w:pPr>
      <w:bookmarkStart w:id="282" w:name="bookmark282"/>
      <w:r>
        <w:rPr>
          <w:rFonts w:ascii="Times New Roman" w:eastAsia="Times New Roman" w:hAnsi="Times New Roman" w:cs="Times New Roman"/>
          <w:b/>
          <w:bCs/>
          <w:color w:val="000000"/>
          <w:spacing w:val="0"/>
          <w:w w:val="100"/>
          <w:position w:val="0"/>
        </w:rPr>
        <w:t>2</w:t>
      </w:r>
      <w:bookmarkEnd w:id="282"/>
      <w:r>
        <w:rPr>
          <w:b/>
          <w:bCs/>
          <w:color w:val="000000"/>
          <w:spacing w:val="0"/>
          <w:w w:val="100"/>
          <w:position w:val="0"/>
        </w:rPr>
        <w:t>、公司控股股东情况</w:t>
      </w:r>
    </w:p>
    <w:p>
      <w:pPr>
        <w:pStyle w:val="Style31"/>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法人</w:t>
      </w:r>
    </w:p>
    <w:tbl>
      <w:tblPr>
        <w:tblOverlap w:val="never"/>
        <w:jc w:val="center"/>
        <w:tblLayout w:type="fixed"/>
      </w:tblPr>
      <w:tblGrid>
        <w:gridCol w:w="1886"/>
        <w:gridCol w:w="1046"/>
        <w:gridCol w:w="1541"/>
        <w:gridCol w:w="1176"/>
        <w:gridCol w:w="898"/>
        <w:gridCol w:w="303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深圳市达实投资发展有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27933775-0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主要从事投资兴办实业（具体项目另 报）；国内贸易（法律、行政法规、国 务院决定规定在登记前须经批准的项 目除外）；通讯产品销售及技术开发、 软件技术开发、经济信息咨询（不含证</w:t>
            </w:r>
          </w:p>
        </w:tc>
      </w:tr>
    </w:tbl>
    <w:p>
      <w:pPr>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1297" w:right="1034" w:bottom="1494" w:left="1036" w:header="0" w:footer="3" w:gutter="0"/>
          <w:cols w:space="720"/>
          <w:noEndnote/>
          <w:titlePg/>
          <w:rtlGutter w:val="0"/>
          <w:docGrid w:linePitch="360"/>
        </w:sectPr>
      </w:pPr>
    </w:p>
    <w:tbl>
      <w:tblPr>
        <w:tblOverlap w:val="never"/>
        <w:jc w:val="center"/>
        <w:tblLayout w:type="fixed"/>
      </w:tblPr>
      <w:tblGrid>
        <w:gridCol w:w="1886"/>
        <w:gridCol w:w="1046"/>
        <w:gridCol w:w="1541"/>
        <w:gridCol w:w="1176"/>
        <w:gridCol w:w="898"/>
        <w:gridCol w:w="303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券、保险、基金、金融业务、人才中介 服务及其它限制项目）；货物及技术进 出口（法律、行政法规、国务院决定禁 止的项目除外，限制的项目须取得许可 后方可经营）。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经营成果、财务状况、 现金流和未来发展战略 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111,648.39</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10,534.52</w:t>
            </w:r>
            <w:r>
              <w:rPr>
                <w:color w:val="000000"/>
                <w:spacing w:val="0"/>
                <w:w w:val="100"/>
                <w:position w:val="0"/>
              </w:rPr>
              <w:t>万元，归属于母公司所有者的净利润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2,201.13</w:t>
            </w:r>
            <w:r>
              <w:rPr>
                <w:color w:val="000000"/>
                <w:spacing w:val="0"/>
                <w:w w:val="100"/>
                <w:position w:val="0"/>
              </w:rPr>
              <w:t>万元，经营活动产生的现金流量净额</w:t>
            </w:r>
            <w:r>
              <w:rPr>
                <w:rFonts w:ascii="Times New Roman" w:eastAsia="Times New Roman" w:hAnsi="Times New Roman" w:cs="Times New Roman"/>
                <w:color w:val="000000"/>
                <w:spacing w:val="0"/>
                <w:w w:val="100"/>
                <w:position w:val="0"/>
                <w:sz w:val="18"/>
                <w:szCs w:val="18"/>
              </w:rPr>
              <w:t>8,323.71</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控股股东报告期内控股 和参股的其他境内外上 市公司的股权情况</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16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3</w:t>
      </w:r>
      <w:bookmarkEnd w:id="285"/>
      <w:r>
        <w:rPr>
          <w:color w:val="000000"/>
          <w:spacing w:val="0"/>
          <w:w w:val="100"/>
          <w:position w:val="0"/>
        </w:rPr>
        <w:t>、公司实际控制人情况</w:t>
      </w:r>
      <w:bookmarkEnd w:id="283"/>
      <w:bookmarkEnd w:id="284"/>
      <w:bookmarkEnd w:id="28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月创立本公司，一直担任本公司董事长、总经理。刘磅是中国自动化 学会的常务理事、中国节能协会常务委员、智能建筑专家委员会副主任。</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705985" cy="240157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87"/>
                    <a:stretch/>
                  </pic:blipFill>
                  <pic:spPr>
                    <a:xfrm>
                      <a:ext cx="4705985" cy="2401570"/>
                    </a:xfrm>
                    <a:prstGeom prst="rect"/>
                  </pic:spPr>
                </pic:pic>
              </a:graphicData>
            </a:graphic>
          </wp:inline>
        </w:drawing>
      </w:r>
    </w:p>
    <w:p>
      <w:pPr>
        <w:widowControl w:val="0"/>
        <w:spacing w:after="599" w:line="1" w:lineRule="exact"/>
      </w:pP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center"/>
      </w:pPr>
      <w:bookmarkStart w:id="287" w:name="bookmark287"/>
      <w:bookmarkStart w:id="288" w:name="bookmark288"/>
      <w:bookmarkStart w:id="289" w:name="bookmark289"/>
      <w:r>
        <w:rPr>
          <w:color w:val="000000"/>
          <w:spacing w:val="0"/>
          <w:w w:val="100"/>
          <w:position w:val="0"/>
        </w:rPr>
        <w:t>第七节 董事、监事、高级管理人员和员工情况</w:t>
      </w:r>
      <w:bookmarkEnd w:id="287"/>
      <w:bookmarkEnd w:id="288"/>
      <w:bookmarkEnd w:id="289"/>
    </w:p>
    <w:p>
      <w:pPr>
        <w:pStyle w:val="Style27"/>
        <w:keepNext/>
        <w:keepLines/>
        <w:widowControl w:val="0"/>
        <w:shd w:val="clear" w:color="auto" w:fill="auto"/>
        <w:bidi w:val="0"/>
        <w:spacing w:before="0" w:after="320" w:line="240" w:lineRule="auto"/>
        <w:ind w:left="0" w:right="0" w:firstLine="240"/>
        <w:jc w:val="left"/>
      </w:pPr>
      <w:bookmarkStart w:id="290" w:name="bookmark290"/>
      <w:bookmarkStart w:id="291" w:name="bookmark291"/>
      <w:bookmarkStart w:id="292" w:name="bookmark292"/>
      <w:r>
        <w:rPr>
          <w:color w:val="000000"/>
          <w:spacing w:val="0"/>
          <w:w w:val="100"/>
          <w:position w:val="0"/>
        </w:rPr>
        <w:t>、董事、监事和高级管理人员持股变动</w:t>
      </w:r>
      <w:bookmarkEnd w:id="290"/>
      <w:bookmarkEnd w:id="291"/>
      <w:bookmarkEnd w:id="292"/>
    </w:p>
    <w:tbl>
      <w:tblPr>
        <w:tblOverlap w:val="never"/>
        <w:jc w:val="center"/>
        <w:tblLayout w:type="fixed"/>
      </w:tblPr>
      <w:tblGrid>
        <w:gridCol w:w="878"/>
        <w:gridCol w:w="1214"/>
        <w:gridCol w:w="754"/>
        <w:gridCol w:w="758"/>
        <w:gridCol w:w="754"/>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林步东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包德元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钟宇彤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865,549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297" w:right="1034" w:bottom="1494" w:left="1036" w:header="0" w:footer="3" w:gutter="0"/>
          <w:cols w:space="720"/>
          <w:noEndnote/>
          <w:titlePg/>
          <w:rtlGutter w:val="0"/>
          <w:docGrid w:linePitch="360"/>
        </w:sectPr>
      </w:pPr>
    </w:p>
    <w:tbl>
      <w:tblPr>
        <w:tblOverlap w:val="never"/>
        <w:jc w:val="center"/>
        <w:tblLayout w:type="fixed"/>
      </w:tblPr>
      <w:tblGrid>
        <w:gridCol w:w="878"/>
        <w:gridCol w:w="1214"/>
        <w:gridCol w:w="754"/>
        <w:gridCol w:w="758"/>
        <w:gridCol w:w="754"/>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唐应元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240"/>
        <w:jc w:val="left"/>
      </w:pPr>
      <w:bookmarkStart w:id="293" w:name="bookmark293"/>
      <w:bookmarkStart w:id="294" w:name="bookmark294"/>
      <w:bookmarkStart w:id="295" w:name="bookmark295"/>
      <w:r>
        <w:rPr>
          <w:color w:val="000000"/>
          <w:spacing w:val="0"/>
          <w:w w:val="100"/>
          <w:position w:val="0"/>
        </w:rPr>
        <w:t>、任职情况</w:t>
      </w:r>
      <w:bookmarkEnd w:id="293"/>
      <w:bookmarkEnd w:id="294"/>
      <w:bookmarkEnd w:id="29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6"/>
        <w:keepNext w:val="0"/>
        <w:keepLines w:val="0"/>
        <w:widowControl w:val="0"/>
        <w:shd w:val="clear" w:color="auto" w:fill="auto"/>
        <w:bidi w:val="0"/>
        <w:spacing w:before="0" w:after="0" w:line="472" w:lineRule="exact"/>
        <w:ind w:left="0" w:right="0" w:firstLine="440"/>
        <w:jc w:val="left"/>
      </w:pPr>
      <w:bookmarkStart w:id="296" w:name="bookmark296"/>
      <w:r>
        <w:rPr>
          <w:color w:val="000000"/>
          <w:spacing w:val="0"/>
          <w:w w:val="100"/>
          <w:position w:val="0"/>
        </w:rPr>
        <w:t>（</w:t>
      </w:r>
      <w:bookmarkEnd w:id="296"/>
      <w:r>
        <w:rPr>
          <w:color w:val="000000"/>
          <w:spacing w:val="0"/>
          <w:w w:val="100"/>
          <w:position w:val="0"/>
        </w:rPr>
        <w:t>一）董事最近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6"/>
        <w:keepNext w:val="0"/>
        <w:keepLines w:val="0"/>
        <w:widowControl w:val="0"/>
        <w:shd w:val="clear" w:color="auto" w:fill="auto"/>
        <w:tabs>
          <w:tab w:pos="766" w:val="left"/>
        </w:tabs>
        <w:bidi w:val="0"/>
        <w:spacing w:before="0" w:after="0" w:line="472" w:lineRule="exact"/>
        <w:ind w:left="0" w:right="0" w:firstLine="440"/>
        <w:jc w:val="both"/>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刘磅先生，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w:t>
      </w:r>
      <w:r>
        <w:rPr>
          <w:color w:val="000000"/>
          <w:spacing w:val="0"/>
          <w:w w:val="100"/>
          <w:position w:val="0"/>
        </w:rPr>
        <w:t>，</w:t>
      </w:r>
      <w:r>
        <w:rPr>
          <w:color w:val="000000"/>
          <w:spacing w:val="0"/>
          <w:w w:val="100"/>
          <w:position w:val="0"/>
        </w:rPr>
        <w:t>本公司第一、二、三、四、五届董事会董事长。研究生学历、高级工 程师，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月创立本公司。现任本公司董事长、总经理，深圳市达实投资发展有限公司董事、上海达 实自动化工程有限公司董事长、合肥达实数字科技有限公司董事长、深圳达实信息技术有限公司董事长、 上海达实联欣科技发展有限公司董事长、深圳达实融资租赁有限公司董事长。</w:t>
      </w:r>
    </w:p>
    <w:p>
      <w:pPr>
        <w:pStyle w:val="Style36"/>
        <w:keepNext w:val="0"/>
        <w:keepLines w:val="0"/>
        <w:widowControl w:val="0"/>
        <w:shd w:val="clear" w:color="auto" w:fill="auto"/>
        <w:tabs>
          <w:tab w:pos="766" w:val="left"/>
        </w:tabs>
        <w:bidi w:val="0"/>
        <w:spacing w:before="0" w:after="0" w:line="474" w:lineRule="exact"/>
        <w:ind w:left="0" w:right="0" w:firstLine="440"/>
        <w:jc w:val="both"/>
      </w:pPr>
      <w:bookmarkStart w:id="298" w:name="bookmark298"/>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林步东先生，</w:t>
      </w:r>
      <w:r>
        <w:rPr>
          <w:rFonts w:ascii="Times New Roman" w:eastAsia="Times New Roman" w:hAnsi="Times New Roman" w:cs="Times New Roman"/>
          <w:color w:val="000000"/>
          <w:spacing w:val="0"/>
          <w:w w:val="100"/>
          <w:position w:val="0"/>
        </w:rPr>
        <w:t>1952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月出生，本公司第一、二、三、四、五届董事会副董事长。香港特别行政区 居民。最近五年一直担任本公司副董事长、盛安机电设备（昌都）有限公司董事长、上海东行自动化设备 商贸有限公司董事长、深圳达实融资租赁有限公司董事。</w:t>
      </w:r>
    </w:p>
    <w:p>
      <w:pPr>
        <w:pStyle w:val="Style36"/>
        <w:keepNext w:val="0"/>
        <w:keepLines w:val="0"/>
        <w:widowControl w:val="0"/>
        <w:shd w:val="clear" w:color="auto" w:fill="auto"/>
        <w:tabs>
          <w:tab w:pos="766" w:val="left"/>
        </w:tabs>
        <w:bidi w:val="0"/>
        <w:spacing w:before="0" w:after="0" w:line="474" w:lineRule="exact"/>
        <w:ind w:left="0" w:right="0" w:firstLine="440"/>
        <w:jc w:val="both"/>
      </w:pPr>
      <w:bookmarkStart w:id="299" w:name="bookmark299"/>
      <w:r>
        <w:rPr>
          <w:rFonts w:ascii="Times New Roman" w:eastAsia="Times New Roman" w:hAnsi="Times New Roman" w:cs="Times New Roman"/>
          <w:color w:val="000000"/>
          <w:spacing w:val="0"/>
          <w:w w:val="100"/>
          <w:position w:val="0"/>
        </w:rPr>
        <w:t>3</w:t>
      </w:r>
      <w:bookmarkEnd w:id="299"/>
      <w:r>
        <w:rPr>
          <w:color w:val="000000"/>
          <w:spacing w:val="0"/>
          <w:w w:val="100"/>
          <w:position w:val="0"/>
        </w:rPr>
        <w:t>、</w:t>
        <w:tab/>
        <w:t>刘昂先生，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月出生，英国威尔士大学管理学硕士，本公司第一、二、三、四、五届董事会 董事。</w:t>
      </w:r>
      <w:r>
        <w:rPr>
          <w:rFonts w:ascii="Times New Roman" w:eastAsia="Times New Roman" w:hAnsi="Times New Roman" w:cs="Times New Roman"/>
          <w:color w:val="000000"/>
          <w:spacing w:val="0"/>
          <w:w w:val="100"/>
          <w:position w:val="0"/>
        </w:rPr>
        <w:t>1995</w:t>
      </w:r>
      <w:r>
        <w:rPr>
          <w:color w:val="000000"/>
          <w:spacing w:val="0"/>
          <w:w w:val="100"/>
          <w:position w:val="0"/>
        </w:rPr>
        <w:t xml:space="preserve">年参与组建本公司。现任本公司董事、深圳市达实投资发展有限公司董事长、总经理，深圳市 达实供应链有限公司执行董事、深圳市诺达自动化技术有限公司副董事长、合肥达实数字科技有限公司副 </w:t>
      </w:r>
      <w:r>
        <w:rPr>
          <w:color w:val="000000"/>
          <w:spacing w:val="0"/>
          <w:w w:val="100"/>
          <w:position w:val="0"/>
        </w:rPr>
        <w:t>董事长、合肥中正物业管理有限公司执行董事兼经理、安徽达实商贸有限公司监事、界首达实置业有限公 司监事、淮北市达实置业有限公司董事长、深圳市英唐智能控制股份有限公司监事会主席。</w:t>
      </w:r>
    </w:p>
    <w:p>
      <w:pPr>
        <w:pStyle w:val="Style36"/>
        <w:keepNext w:val="0"/>
        <w:keepLines w:val="0"/>
        <w:widowControl w:val="0"/>
        <w:shd w:val="clear" w:color="auto" w:fill="auto"/>
        <w:tabs>
          <w:tab w:pos="1203" w:val="left"/>
        </w:tabs>
        <w:bidi w:val="0"/>
        <w:spacing w:before="0" w:after="0" w:line="473" w:lineRule="exact"/>
        <w:ind w:left="0" w:right="0" w:firstLine="460"/>
        <w:jc w:val="both"/>
      </w:pPr>
      <w:bookmarkStart w:id="300" w:name="bookmark300"/>
      <w:r>
        <w:rPr>
          <w:rFonts w:ascii="Times New Roman" w:eastAsia="Times New Roman" w:hAnsi="Times New Roman" w:cs="Times New Roman"/>
          <w:color w:val="000000"/>
          <w:spacing w:val="0"/>
          <w:w w:val="100"/>
          <w:position w:val="0"/>
          <w:shd w:val="clear" w:color="auto" w:fill="FFFFFF"/>
        </w:rPr>
        <w:t>4</w:t>
      </w:r>
      <w:bookmarkEnd w:id="300"/>
      <w:r>
        <w:rPr>
          <w:color w:val="000000"/>
          <w:spacing w:val="0"/>
          <w:w w:val="100"/>
          <w:position w:val="0"/>
          <w:shd w:val="clear" w:color="auto" w:fill="FFFFFF"/>
        </w:rPr>
        <w:t>、</w:t>
        <w:tab/>
        <w:t>程朋胜先生，</w:t>
      </w:r>
      <w:r>
        <w:rPr>
          <w:rFonts w:ascii="Times New Roman" w:eastAsia="Times New Roman" w:hAnsi="Times New Roman" w:cs="Times New Roman"/>
          <w:color w:val="000000"/>
          <w:spacing w:val="0"/>
          <w:w w:val="100"/>
          <w:position w:val="0"/>
          <w:shd w:val="clear" w:color="auto" w:fill="FFFFFF"/>
        </w:rPr>
        <w:t>1964</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月出生，本公司第一、二、三、四、五届董事会董事，本公司主要创始人之</w:t>
      </w:r>
    </w:p>
    <w:p>
      <w:pPr>
        <w:pStyle w:val="Style36"/>
        <w:keepNext w:val="0"/>
        <w:keepLines w:val="0"/>
        <w:widowControl w:val="0"/>
        <w:shd w:val="clear" w:color="auto" w:fill="auto"/>
        <w:tabs>
          <w:tab w:pos="734" w:val="left"/>
        </w:tabs>
        <w:bidi w:val="0"/>
        <w:spacing w:before="0" w:after="0" w:line="473" w:lineRule="exact"/>
        <w:ind w:left="0" w:right="0" w:firstLine="0"/>
        <w:jc w:val="both"/>
      </w:pPr>
      <w:bookmarkStart w:id="301" w:name="bookmark301"/>
      <w:r>
        <w:rPr>
          <w:color w:val="000000"/>
          <w:spacing w:val="0"/>
          <w:w w:val="100"/>
          <w:position w:val="0"/>
        </w:rPr>
        <w:t>一</w:t>
      </w:r>
      <w:bookmarkEnd w:id="301"/>
      <w:r>
        <w:rPr>
          <w:color w:val="000000"/>
          <w:spacing w:val="0"/>
          <w:w w:val="100"/>
          <w:position w:val="0"/>
        </w:rPr>
        <w:t>。工学硕士，高级工程师。</w:t>
      </w:r>
      <w:r>
        <w:rPr>
          <w:rFonts w:ascii="Times New Roman" w:eastAsia="Times New Roman" w:hAnsi="Times New Roman" w:cs="Times New Roman"/>
          <w:color w:val="000000"/>
          <w:spacing w:val="0"/>
          <w:w w:val="100"/>
          <w:position w:val="0"/>
        </w:rPr>
        <w:t>1995</w:t>
      </w:r>
      <w:r>
        <w:rPr>
          <w:color w:val="000000"/>
          <w:spacing w:val="0"/>
          <w:w w:val="100"/>
          <w:position w:val="0"/>
        </w:rPr>
        <w:t>年进入本公司。现任公司董事、副总经理、研发中心主任、国家博士后 科研工作站负责人，深圳市达实投资发展有限公司董事、深圳达实信息技术有限公司董事。</w:t>
      </w:r>
    </w:p>
    <w:p>
      <w:pPr>
        <w:pStyle w:val="Style36"/>
        <w:keepNext w:val="0"/>
        <w:keepLines w:val="0"/>
        <w:widowControl w:val="0"/>
        <w:shd w:val="clear" w:color="auto" w:fill="auto"/>
        <w:tabs>
          <w:tab w:pos="748" w:val="left"/>
        </w:tabs>
        <w:bidi w:val="0"/>
        <w:spacing w:before="0" w:after="0" w:line="473" w:lineRule="exact"/>
        <w:ind w:left="0" w:right="0" w:firstLine="460"/>
        <w:jc w:val="both"/>
      </w:pPr>
      <w:bookmarkStart w:id="302" w:name="bookmark302"/>
      <w:r>
        <w:rPr>
          <w:rFonts w:ascii="Times New Roman" w:eastAsia="Times New Roman" w:hAnsi="Times New Roman" w:cs="Times New Roman"/>
          <w:color w:val="000000"/>
          <w:spacing w:val="0"/>
          <w:w w:val="100"/>
          <w:position w:val="0"/>
        </w:rPr>
        <w:t>5</w:t>
      </w:r>
      <w:bookmarkEnd w:id="302"/>
      <w:r>
        <w:rPr>
          <w:color w:val="000000"/>
          <w:spacing w:val="0"/>
          <w:w w:val="100"/>
          <w:position w:val="0"/>
        </w:rPr>
        <w:t>、</w:t>
        <w:tab/>
        <w:t>韩青树先生，</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月出生，高级经济师。本公司第二、三、四、五届董事会董事。最近五年一 直担任中国机电出口产品投资有限公司（现已更名为中国节能减排有限公司）产权管理部总经理。曾任深 圳莱宝高科技股份有限公司董事、宁波韵升股份有限公司董事、陕西银河电力自动化股份公司董事。</w:t>
      </w:r>
    </w:p>
    <w:p>
      <w:pPr>
        <w:pStyle w:val="Style36"/>
        <w:keepNext w:val="0"/>
        <w:keepLines w:val="0"/>
        <w:widowControl w:val="0"/>
        <w:shd w:val="clear" w:color="auto" w:fill="auto"/>
        <w:tabs>
          <w:tab w:pos="748" w:val="left"/>
        </w:tabs>
        <w:bidi w:val="0"/>
        <w:spacing w:before="0" w:after="0" w:line="473" w:lineRule="exact"/>
        <w:ind w:left="0" w:right="0" w:firstLine="460"/>
        <w:jc w:val="both"/>
      </w:pPr>
      <w:bookmarkStart w:id="303" w:name="bookmark303"/>
      <w:r>
        <w:rPr>
          <w:rFonts w:ascii="Times New Roman" w:eastAsia="Times New Roman" w:hAnsi="Times New Roman" w:cs="Times New Roman"/>
          <w:color w:val="000000"/>
          <w:spacing w:val="0"/>
          <w:w w:val="100"/>
          <w:position w:val="0"/>
        </w:rPr>
        <w:t>6</w:t>
      </w:r>
      <w:bookmarkEnd w:id="303"/>
      <w:r>
        <w:rPr>
          <w:color w:val="000000"/>
          <w:spacing w:val="0"/>
          <w:w w:val="100"/>
          <w:position w:val="0"/>
        </w:rPr>
        <w:t>、</w:t>
        <w:tab/>
        <w:t>贾虹女士，</w:t>
      </w:r>
      <w:r>
        <w:rPr>
          <w:rFonts w:ascii="Times New Roman" w:eastAsia="Times New Roman" w:hAnsi="Times New Roman" w:cs="Times New Roman"/>
          <w:color w:val="000000"/>
          <w:spacing w:val="0"/>
          <w:w w:val="100"/>
          <w:position w:val="0"/>
        </w:rPr>
        <w:t>1962</w:t>
      </w:r>
      <w:r>
        <w:rPr>
          <w:color w:val="000000"/>
          <w:spacing w:val="0"/>
          <w:w w:val="100"/>
          <w:position w:val="0"/>
        </w:rPr>
        <w:t>年出生，</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本公司董事。最近五年一直就职于上海联欣科技发展有限公司（现 更名为上海达实联欣科技发展有限公司），先后担任公司副总经理、总经理、联席总经理、常务副总裁， 上海金杖房地产开发有限公司董事长、总经理，上海臻龙投资管理合伙企业（有限合伙）执行事务合伙人， 曾任上海呈寅投资管理有限公司执行董事。</w:t>
      </w:r>
    </w:p>
    <w:p>
      <w:pPr>
        <w:pStyle w:val="Style36"/>
        <w:keepNext w:val="0"/>
        <w:keepLines w:val="0"/>
        <w:widowControl w:val="0"/>
        <w:shd w:val="clear" w:color="auto" w:fill="auto"/>
        <w:tabs>
          <w:tab w:pos="748" w:val="left"/>
        </w:tabs>
        <w:bidi w:val="0"/>
        <w:spacing w:before="0" w:after="0" w:line="473" w:lineRule="exact"/>
        <w:ind w:left="0" w:right="0" w:firstLine="460"/>
        <w:jc w:val="both"/>
      </w:pPr>
      <w:bookmarkStart w:id="304" w:name="bookmark304"/>
      <w:r>
        <w:rPr>
          <w:rFonts w:ascii="Times New Roman" w:eastAsia="Times New Roman" w:hAnsi="Times New Roman" w:cs="Times New Roman"/>
          <w:color w:val="000000"/>
          <w:spacing w:val="0"/>
          <w:w w:val="100"/>
          <w:position w:val="0"/>
        </w:rPr>
        <w:t>7</w:t>
      </w:r>
      <w:bookmarkEnd w:id="304"/>
      <w:r>
        <w:rPr>
          <w:color w:val="000000"/>
          <w:spacing w:val="0"/>
          <w:w w:val="100"/>
          <w:position w:val="0"/>
        </w:rPr>
        <w:t>、</w:t>
        <w:tab/>
        <w:t>包德元先生，</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月出生，本科学历，高级经济师，本公司独立董事。全国建设系统劳动模范， 全国五一劳动奖章获得者。最近五年一直担任深圳市燃气集团股份有限公司董事长、党委书记。</w:t>
      </w:r>
    </w:p>
    <w:p>
      <w:pPr>
        <w:pStyle w:val="Style36"/>
        <w:keepNext w:val="0"/>
        <w:keepLines w:val="0"/>
        <w:widowControl w:val="0"/>
        <w:shd w:val="clear" w:color="auto" w:fill="auto"/>
        <w:tabs>
          <w:tab w:pos="753" w:val="left"/>
        </w:tabs>
        <w:bidi w:val="0"/>
        <w:spacing w:before="0" w:after="0" w:line="473" w:lineRule="exact"/>
        <w:ind w:left="0" w:right="0" w:firstLine="460"/>
        <w:jc w:val="both"/>
      </w:pPr>
      <w:bookmarkStart w:id="305" w:name="bookmark305"/>
      <w:r>
        <w:rPr>
          <w:rFonts w:ascii="Times New Roman" w:eastAsia="Times New Roman" w:hAnsi="Times New Roman" w:cs="Times New Roman"/>
          <w:color w:val="000000"/>
          <w:spacing w:val="0"/>
          <w:w w:val="100"/>
          <w:position w:val="0"/>
        </w:rPr>
        <w:t>8</w:t>
      </w:r>
      <w:bookmarkEnd w:id="305"/>
      <w:r>
        <w:rPr>
          <w:color w:val="000000"/>
          <w:spacing w:val="0"/>
          <w:w w:val="100"/>
          <w:position w:val="0"/>
        </w:rPr>
        <w:t>、</w:t>
        <w:tab/>
        <w:t>王晓东先生，</w:t>
      </w: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月出生，法学本科学历、数学学士，律师，本公司独立董事。最近五年一直 担任国浩律师集团事务所合伙人，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月至今，担任深圳南山热电股份有限公司独立董事，曾任深圳 市燃气集团股份有限公司独立董事。</w:t>
      </w:r>
    </w:p>
    <w:p>
      <w:pPr>
        <w:pStyle w:val="Style36"/>
        <w:keepNext w:val="0"/>
        <w:keepLines w:val="0"/>
        <w:widowControl w:val="0"/>
        <w:shd w:val="clear" w:color="auto" w:fill="auto"/>
        <w:tabs>
          <w:tab w:pos="743" w:val="left"/>
        </w:tabs>
        <w:bidi w:val="0"/>
        <w:spacing w:before="0" w:after="0" w:line="473" w:lineRule="exact"/>
        <w:ind w:left="0" w:right="0" w:firstLine="460"/>
        <w:jc w:val="both"/>
      </w:pPr>
      <w:bookmarkStart w:id="306" w:name="bookmark306"/>
      <w:r>
        <w:rPr>
          <w:rFonts w:ascii="Times New Roman" w:eastAsia="Times New Roman" w:hAnsi="Times New Roman" w:cs="Times New Roman"/>
          <w:color w:val="000000"/>
          <w:spacing w:val="0"/>
          <w:w w:val="100"/>
          <w:position w:val="0"/>
        </w:rPr>
        <w:t>9</w:t>
      </w:r>
      <w:bookmarkEnd w:id="306"/>
      <w:r>
        <w:rPr>
          <w:color w:val="000000"/>
          <w:spacing w:val="0"/>
          <w:w w:val="100"/>
          <w:position w:val="0"/>
        </w:rPr>
        <w:t>、</w:t>
        <w:tab/>
        <w:t>王礼贵先生，</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月出生，中国注册会计师</w:t>
      </w:r>
      <w:r>
        <w:rPr>
          <w:rFonts w:ascii="Times New Roman" w:eastAsia="Times New Roman" w:hAnsi="Times New Roman" w:cs="Times New Roman"/>
          <w:color w:val="000000"/>
          <w:spacing w:val="0"/>
          <w:w w:val="100"/>
          <w:position w:val="0"/>
        </w:rPr>
        <w:t>（</w:t>
      </w:r>
      <w:r>
        <w:rPr>
          <w:color w:val="000000"/>
          <w:spacing w:val="0"/>
          <w:w w:val="100"/>
          <w:position w:val="0"/>
        </w:rPr>
        <w:t>非执业），高级会计师，硕士研究生，本公司独立 董事。最近五年一直担任中国普天信息产业股份有限公司国际事业本部（深圳）营运总监，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 今担任上海可鲁系统有限公司董事、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月至今担任东莞光润家具股份有限公司独立董事、</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月起担任东莞市雄林新材料科技有限公司独立董事、深圳市中小微企业投资管理有限公司董事。曾任广东 同望科技股份有限公司独立董事、广电运通金融电子股份有限公司独立董事。</w:t>
      </w:r>
    </w:p>
    <w:p>
      <w:pPr>
        <w:pStyle w:val="Style36"/>
        <w:keepNext w:val="0"/>
        <w:keepLines w:val="0"/>
        <w:widowControl w:val="0"/>
        <w:shd w:val="clear" w:color="auto" w:fill="auto"/>
        <w:bidi w:val="0"/>
        <w:spacing w:before="0" w:after="0" w:line="480" w:lineRule="exact"/>
        <w:ind w:left="0" w:right="0" w:firstLine="460"/>
        <w:jc w:val="both"/>
      </w:pPr>
      <w:bookmarkStart w:id="307" w:name="bookmark307"/>
      <w:r>
        <w:rPr>
          <w:color w:val="000000"/>
          <w:spacing w:val="0"/>
          <w:w w:val="100"/>
          <w:position w:val="0"/>
        </w:rPr>
        <w:t>（</w:t>
      </w:r>
      <w:bookmarkEnd w:id="307"/>
      <w:r>
        <w:rPr>
          <w:color w:val="000000"/>
          <w:spacing w:val="0"/>
          <w:w w:val="100"/>
          <w:position w:val="0"/>
        </w:rPr>
        <w:t>二）监事最近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6"/>
        <w:keepNext w:val="0"/>
        <w:keepLines w:val="0"/>
        <w:widowControl w:val="0"/>
        <w:shd w:val="clear" w:color="auto" w:fill="auto"/>
        <w:tabs>
          <w:tab w:pos="743" w:val="left"/>
        </w:tabs>
        <w:bidi w:val="0"/>
        <w:spacing w:before="0" w:after="0" w:line="480" w:lineRule="exact"/>
        <w:ind w:left="0" w:right="0" w:firstLine="460"/>
        <w:jc w:val="both"/>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钟宇彤女士，</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月出生，本科学历，本公司监事会主席。最近五年一直担任公司工业智能化 事业部总经理。</w:t>
      </w:r>
    </w:p>
    <w:p>
      <w:pPr>
        <w:pStyle w:val="Style36"/>
        <w:keepNext w:val="0"/>
        <w:keepLines w:val="0"/>
        <w:widowControl w:val="0"/>
        <w:shd w:val="clear" w:color="auto" w:fill="auto"/>
        <w:tabs>
          <w:tab w:pos="743" w:val="left"/>
        </w:tabs>
        <w:bidi w:val="0"/>
        <w:spacing w:before="0" w:after="0" w:line="480" w:lineRule="exact"/>
        <w:ind w:left="0" w:right="0" w:firstLine="460"/>
        <w:jc w:val="both"/>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曲震先生，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月出生，大学学历，高级会计师，本公司监事。最近五年一直担任本公司监事、 兖矿集团投资管理公司财务部长。</w:t>
      </w:r>
    </w:p>
    <w:p>
      <w:pPr>
        <w:pStyle w:val="Style36"/>
        <w:keepNext w:val="0"/>
        <w:keepLines w:val="0"/>
        <w:widowControl w:val="0"/>
        <w:shd w:val="clear" w:color="auto" w:fill="auto"/>
        <w:tabs>
          <w:tab w:pos="738" w:val="left"/>
        </w:tabs>
        <w:bidi w:val="0"/>
        <w:spacing w:before="0" w:after="0" w:line="475" w:lineRule="exact"/>
        <w:ind w:left="0" w:right="0" w:firstLine="460"/>
        <w:jc w:val="both"/>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297" w:right="1034" w:bottom="1494" w:left="1036" w:header="0" w:footer="3" w:gutter="0"/>
          <w:cols w:space="720"/>
          <w:noEndnote/>
          <w:titlePg/>
          <w:rtlGutter w:val="0"/>
          <w:docGrid w:linePitch="360"/>
        </w:sectPr>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沈宏明先生，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月出生，工学学士，</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本公司职工代表监事。最近五年一直担任北京 启迪德润能源科技有限公司（现更名为北京达实德润能源科技有限公司）副董事长及总经理、北京启迪筑 能建筑信息技术有限公司总经理。曾任北京紫光德润信息技术有限公司总经理。</w:t>
      </w:r>
    </w:p>
    <w:p>
      <w:pPr>
        <w:pStyle w:val="Style36"/>
        <w:keepNext w:val="0"/>
        <w:keepLines w:val="0"/>
        <w:widowControl w:val="0"/>
        <w:shd w:val="clear" w:color="auto" w:fill="auto"/>
        <w:bidi w:val="0"/>
        <w:spacing w:before="0" w:after="0" w:line="475" w:lineRule="exact"/>
        <w:ind w:left="0" w:right="0" w:firstLine="440"/>
        <w:jc w:val="left"/>
      </w:pPr>
      <w:bookmarkStart w:id="311" w:name="bookmark311"/>
      <w:r>
        <w:rPr>
          <w:color w:val="000000"/>
          <w:spacing w:val="0"/>
          <w:w w:val="100"/>
          <w:position w:val="0"/>
        </w:rPr>
        <w:t>（</w:t>
      </w:r>
      <w:bookmarkEnd w:id="311"/>
      <w:r>
        <w:rPr>
          <w:color w:val="000000"/>
          <w:spacing w:val="0"/>
          <w:w w:val="100"/>
          <w:position w:val="0"/>
        </w:rPr>
        <w:t>三）高级管理人员最近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6"/>
        <w:keepNext w:val="0"/>
        <w:keepLines w:val="0"/>
        <w:widowControl w:val="0"/>
        <w:shd w:val="clear" w:color="auto" w:fill="auto"/>
        <w:tabs>
          <w:tab w:pos="793" w:val="left"/>
        </w:tabs>
        <w:bidi w:val="0"/>
        <w:spacing w:before="0" w:after="0" w:line="475" w:lineRule="exact"/>
        <w:ind w:left="0" w:right="0" w:firstLine="440"/>
        <w:jc w:val="left"/>
      </w:pPr>
      <w:bookmarkStart w:id="312" w:name="bookmark312"/>
      <w:r>
        <w:rPr>
          <w:rFonts w:ascii="Times New Roman" w:eastAsia="Times New Roman" w:hAnsi="Times New Roman" w:cs="Times New Roman"/>
          <w:color w:val="000000"/>
          <w:spacing w:val="0"/>
          <w:w w:val="100"/>
          <w:position w:val="0"/>
        </w:rPr>
        <w:t>1</w:t>
      </w:r>
      <w:bookmarkEnd w:id="312"/>
      <w:r>
        <w:rPr>
          <w:color w:val="000000"/>
          <w:spacing w:val="0"/>
          <w:w w:val="100"/>
          <w:position w:val="0"/>
        </w:rPr>
        <w:t>、</w:t>
        <w:tab/>
        <w:t>总经理刘磅先生最近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年的主要工作经历参见董事最近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6"/>
        <w:keepNext w:val="0"/>
        <w:keepLines w:val="0"/>
        <w:widowControl w:val="0"/>
        <w:shd w:val="clear" w:color="auto" w:fill="auto"/>
        <w:tabs>
          <w:tab w:pos="812" w:val="left"/>
        </w:tabs>
        <w:bidi w:val="0"/>
        <w:spacing w:before="0" w:after="0" w:line="475" w:lineRule="exact"/>
        <w:ind w:left="0" w:right="0" w:firstLine="440"/>
        <w:jc w:val="left"/>
      </w:pPr>
      <w:bookmarkStart w:id="313" w:name="bookmark313"/>
      <w:r>
        <w:rPr>
          <w:rFonts w:ascii="Times New Roman" w:eastAsia="Times New Roman" w:hAnsi="Times New Roman" w:cs="Times New Roman"/>
          <w:color w:val="000000"/>
          <w:spacing w:val="0"/>
          <w:w w:val="100"/>
          <w:position w:val="0"/>
        </w:rPr>
        <w:t>2</w:t>
      </w:r>
      <w:bookmarkEnd w:id="313"/>
      <w:r>
        <w:rPr>
          <w:color w:val="000000"/>
          <w:spacing w:val="0"/>
          <w:w w:val="100"/>
          <w:position w:val="0"/>
        </w:rPr>
        <w:t>、</w:t>
        <w:tab/>
        <w:t>副总经理程朋胜先生最近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年的主要工作经历参见董事最近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6"/>
        <w:keepNext w:val="0"/>
        <w:keepLines w:val="0"/>
        <w:widowControl w:val="0"/>
        <w:shd w:val="clear" w:color="auto" w:fill="auto"/>
        <w:tabs>
          <w:tab w:pos="790" w:val="left"/>
        </w:tabs>
        <w:bidi w:val="0"/>
        <w:spacing w:before="0" w:after="0" w:line="475" w:lineRule="exact"/>
        <w:ind w:left="0" w:right="0" w:firstLine="440"/>
        <w:jc w:val="left"/>
      </w:pPr>
      <w:bookmarkStart w:id="314" w:name="bookmark314"/>
      <w:r>
        <w:rPr>
          <w:rFonts w:ascii="Times New Roman" w:eastAsia="Times New Roman" w:hAnsi="Times New Roman" w:cs="Times New Roman"/>
          <w:color w:val="000000"/>
          <w:spacing w:val="0"/>
          <w:w w:val="100"/>
          <w:position w:val="0"/>
        </w:rPr>
        <w:t>3</w:t>
      </w:r>
      <w:bookmarkEnd w:id="314"/>
      <w:r>
        <w:rPr>
          <w:color w:val="000000"/>
          <w:spacing w:val="0"/>
          <w:w w:val="100"/>
          <w:position w:val="0"/>
        </w:rPr>
        <w:t>、</w:t>
        <w:tab/>
        <w:t>苏俊锋先生，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月出生，研究生学历，工学硕士，工程师。</w:t>
      </w:r>
      <w:r>
        <w:rPr>
          <w:rFonts w:ascii="Times New Roman" w:eastAsia="Times New Roman" w:hAnsi="Times New Roman" w:cs="Times New Roman"/>
          <w:color w:val="000000"/>
          <w:spacing w:val="0"/>
          <w:w w:val="100"/>
          <w:position w:val="0"/>
        </w:rPr>
        <w:t>1996</w:t>
      </w:r>
      <w:r>
        <w:rPr>
          <w:color w:val="000000"/>
          <w:spacing w:val="0"/>
          <w:w w:val="100"/>
          <w:position w:val="0"/>
        </w:rPr>
        <w:t>年进入本公司，从事管理和 技术工作，本公司核心技术人员。现任本公司副总经理、上海达实联欣科技发展有限公司董事。</w:t>
      </w:r>
    </w:p>
    <w:p>
      <w:pPr>
        <w:pStyle w:val="Style36"/>
        <w:keepNext w:val="0"/>
        <w:keepLines w:val="0"/>
        <w:widowControl w:val="0"/>
        <w:shd w:val="clear" w:color="auto" w:fill="auto"/>
        <w:tabs>
          <w:tab w:pos="790" w:val="left"/>
        </w:tabs>
        <w:bidi w:val="0"/>
        <w:spacing w:before="0" w:after="0" w:line="475" w:lineRule="exact"/>
        <w:ind w:left="0" w:right="0" w:firstLine="440"/>
        <w:jc w:val="left"/>
      </w:pPr>
      <w:bookmarkStart w:id="315" w:name="bookmark315"/>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吕枫先生，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月出生，清华大学工商管理硕士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经济师。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月进入本公司。 现任本公司副总经理、北京达实德润能源科技有限公司董事长、上海达实联欣科技发展有限公司董事。</w:t>
      </w:r>
    </w:p>
    <w:p>
      <w:pPr>
        <w:pStyle w:val="Style36"/>
        <w:keepNext w:val="0"/>
        <w:keepLines w:val="0"/>
        <w:widowControl w:val="0"/>
        <w:shd w:val="clear" w:color="auto" w:fill="auto"/>
        <w:bidi w:val="0"/>
        <w:spacing w:before="0" w:after="0" w:line="475" w:lineRule="exact"/>
        <w:ind w:left="0" w:right="0" w:firstLine="440"/>
        <w:jc w:val="left"/>
      </w:pPr>
      <w:bookmarkStart w:id="316" w:name="bookmark316"/>
      <w:r>
        <w:rPr>
          <w:rFonts w:ascii="Times New Roman" w:eastAsia="Times New Roman" w:hAnsi="Times New Roman" w:cs="Times New Roman"/>
          <w:color w:val="000000"/>
          <w:spacing w:val="0"/>
          <w:w w:val="100"/>
          <w:position w:val="0"/>
        </w:rPr>
        <w:t>5</w:t>
      </w:r>
      <w:bookmarkEnd w:id="316"/>
      <w:r>
        <w:rPr>
          <w:color w:val="000000"/>
          <w:spacing w:val="0"/>
          <w:w w:val="100"/>
          <w:position w:val="0"/>
        </w:rPr>
        <w:t>、 陆启惠先生，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最近五年一直就职于上海联欣科技发展有限公司（现更名为 上海达实联欣科技发展有限公司），先后担任公司副总经理、总经理。现任本公司副总经理、上海达实联 欣科技发展有限公司董事及总裁、上海联欣金山建筑科技发展有限公司执行董事。</w:t>
      </w:r>
    </w:p>
    <w:p>
      <w:pPr>
        <w:pStyle w:val="Style36"/>
        <w:keepNext w:val="0"/>
        <w:keepLines w:val="0"/>
        <w:widowControl w:val="0"/>
        <w:shd w:val="clear" w:color="auto" w:fill="auto"/>
        <w:bidi w:val="0"/>
        <w:spacing w:before="0" w:after="0" w:line="475" w:lineRule="exact"/>
        <w:ind w:left="0" w:right="0" w:firstLine="440"/>
        <w:jc w:val="left"/>
      </w:pPr>
      <w:bookmarkStart w:id="317" w:name="bookmark317"/>
      <w:r>
        <w:rPr>
          <w:rFonts w:ascii="Times New Roman" w:eastAsia="Times New Roman" w:hAnsi="Times New Roman" w:cs="Times New Roman"/>
          <w:color w:val="000000"/>
          <w:spacing w:val="0"/>
          <w:w w:val="100"/>
          <w:position w:val="0"/>
        </w:rPr>
        <w:t>6</w:t>
      </w:r>
      <w:bookmarkEnd w:id="317"/>
      <w:r>
        <w:rPr>
          <w:color w:val="000000"/>
          <w:spacing w:val="0"/>
          <w:w w:val="100"/>
          <w:position w:val="0"/>
        </w:rPr>
        <w:t>、 林雨斌先生，男，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月出生，本科学历。最近五年曾任云南医药工业股份有限公司董事会秘 书兼总经理助理、广州高信创业投资有限公司投资总监等职务。现任本公司副总经理、董事会秘书、深圳 达实融资租赁有限公司董事、总经理。</w:t>
      </w:r>
    </w:p>
    <w:p>
      <w:pPr>
        <w:pStyle w:val="Style36"/>
        <w:keepNext w:val="0"/>
        <w:keepLines w:val="0"/>
        <w:widowControl w:val="0"/>
        <w:shd w:val="clear" w:color="auto" w:fill="auto"/>
        <w:tabs>
          <w:tab w:pos="780" w:val="left"/>
        </w:tabs>
        <w:bidi w:val="0"/>
        <w:spacing w:before="0" w:after="220" w:line="466" w:lineRule="exact"/>
        <w:ind w:left="0" w:right="0" w:firstLine="440"/>
        <w:jc w:val="left"/>
      </w:pPr>
      <w:bookmarkStart w:id="318" w:name="bookmark318"/>
      <w:r>
        <w:rPr>
          <w:rFonts w:ascii="Times New Roman" w:eastAsia="Times New Roman" w:hAnsi="Times New Roman" w:cs="Times New Roman"/>
          <w:color w:val="000000"/>
          <w:spacing w:val="0"/>
          <w:w w:val="100"/>
          <w:position w:val="0"/>
        </w:rPr>
        <w:t>7</w:t>
      </w:r>
      <w:bookmarkEnd w:id="318"/>
      <w:r>
        <w:rPr>
          <w:color w:val="000000"/>
          <w:spacing w:val="0"/>
          <w:w w:val="100"/>
          <w:position w:val="0"/>
        </w:rPr>
        <w:t>、</w:t>
        <w:tab/>
        <w:t>黄天朗先生，男，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月出生，本科学历，会计师，注册税务师，信息产业部高级项目经理。 </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月进入本公司财务部，现任本公司财务总监。</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71"/>
        <w:gridCol w:w="2755"/>
        <w:gridCol w:w="1536"/>
        <w:gridCol w:w="1642"/>
        <w:gridCol w:w="1147"/>
        <w:gridCol w:w="13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林步东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盛安机电设备（昌都）有限公司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中国节能减排有限公司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兖矿集团投资管理公司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159" w:line="1" w:lineRule="exact"/>
      </w:pP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3120"/>
        <w:gridCol w:w="1536"/>
        <w:gridCol w:w="1642"/>
        <w:gridCol w:w="1147"/>
        <w:gridCol w:w="13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06"/>
        <w:gridCol w:w="3120"/>
        <w:gridCol w:w="1536"/>
        <w:gridCol w:w="1642"/>
        <w:gridCol w:w="1147"/>
        <w:gridCol w:w="13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林步东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盛安机电设备（昌都）有限公司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林步东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上海东行自动化设备商贸有限公司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林步东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合肥中正物业管理有限公司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安徽达实商贸有限公司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界首达实置业有限公司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淮北市达实置业有限公司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深圳市英唐智能控制股份有限公司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中国节能减排有限公司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上海金杖房地产开发有限公司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上海臻龙投资管理合伙企业（有限合伙）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国浩律师集团事务所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深圳南山热电股份有限公司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中国普天信息产业股份有限公司国际事 业本部（深圳）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营运总监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上海可鲁系统有限公司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东莞光润家具股份有限公司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东莞市雄林新材料科技有限公司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深圳市中小微企业投资管理有限公司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曲震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兖矿集团投资管理公司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财务部长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沈宏明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北京启迪筑能建筑信息技术有限公司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bl>
    <w:p>
      <w:pPr>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Restart w:val="continuous"/>
          </w:footnotePr>
          <w:pgSz w:w="11900" w:h="16840"/>
          <w:pgMar w:top="1297" w:right="1034" w:bottom="1494" w:left="1036" w:header="0" w:footer="3" w:gutter="0"/>
          <w:cols w:space="720"/>
          <w:noEndnote/>
          <w:titlePg/>
          <w:rtlGutter w:val="0"/>
          <w:docGrid w:linePitch="360"/>
        </w:sectPr>
      </w:pPr>
    </w:p>
    <w:tbl>
      <w:tblPr>
        <w:tblOverlap w:val="never"/>
        <w:jc w:val="center"/>
        <w:tblLayout w:type="fixed"/>
      </w:tblPr>
      <w:tblGrid>
        <w:gridCol w:w="806"/>
        <w:gridCol w:w="3120"/>
        <w:gridCol w:w="1536"/>
        <w:gridCol w:w="1642"/>
        <w:gridCol w:w="1147"/>
        <w:gridCol w:w="13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i/>
                <w:iCs/>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董事及总裁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上海联欣金山建筑科技发展有限公司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三</w:t>
      </w:r>
      <w:bookmarkEnd w:id="321"/>
      <w:r>
        <w:rPr>
          <w:color w:val="000000"/>
          <w:spacing w:val="0"/>
          <w:w w:val="100"/>
          <w:position w:val="0"/>
        </w:rPr>
        <w:t>、董事、监事、高级管理人员报酬情况</w:t>
      </w:r>
      <w:bookmarkEnd w:id="319"/>
      <w:bookmarkEnd w:id="320"/>
      <w:bookmarkEnd w:id="32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bidi w:val="0"/>
        <w:spacing w:before="0" w:after="260" w:line="409" w:lineRule="exact"/>
        <w:ind w:left="0" w:right="0" w:firstLine="440"/>
        <w:jc w:val="both"/>
      </w:pPr>
      <w:r>
        <w:rPr>
          <w:color w:val="000000"/>
          <w:spacing w:val="0"/>
          <w:w w:val="100"/>
          <w:position w:val="0"/>
        </w:rPr>
        <w:t>根据公司《董事、监事及高级管理人员薪酬管理制度》，公司董事、监事的薪酬由董事会薪酬与考核 委员会提出，经董事会审议通过后，提交股东大会审议批准。公司每年度给予每位独立董事津贴人民币</w:t>
      </w:r>
      <w:r>
        <w:rPr>
          <w:color w:val="000000"/>
          <w:spacing w:val="0"/>
          <w:w w:val="100"/>
          <w:position w:val="0"/>
        </w:rPr>
        <w:t xml:space="preserve">5 </w:t>
      </w:r>
      <w:r>
        <w:rPr>
          <w:color w:val="000000"/>
          <w:spacing w:val="0"/>
          <w:w w:val="100"/>
          <w:position w:val="0"/>
        </w:rPr>
        <w:t>万元（税前）。高级管理人员实行年薪制，其薪酬由基本工资和绩效奖金两部分构成。基本工资结合行业 薪酬水平、岗位职责和履职情况，按月支付。绩效奖金是以年度目标绩效奖金为基础，与公司年度经营绩 效相挂钩，年终根据当年考核结果统算兑付。</w:t>
      </w:r>
      <w:r>
        <w:rPr>
          <w:color w:val="000000"/>
          <w:spacing w:val="0"/>
          <w:w w:val="100"/>
          <w:position w:val="0"/>
        </w:rPr>
        <w:t>2013</w:t>
      </w:r>
      <w:r>
        <w:rPr>
          <w:color w:val="000000"/>
          <w:spacing w:val="0"/>
          <w:w w:val="100"/>
          <w:position w:val="0"/>
        </w:rPr>
        <w:t>年度，公司向独立董事发放的津贴为</w:t>
      </w:r>
      <w:r>
        <w:rPr>
          <w:color w:val="000000"/>
          <w:spacing w:val="0"/>
          <w:w w:val="100"/>
          <w:position w:val="0"/>
        </w:rPr>
        <w:t>5</w:t>
      </w:r>
      <w:r>
        <w:rPr>
          <w:color w:val="000000"/>
          <w:spacing w:val="0"/>
          <w:w w:val="100"/>
          <w:position w:val="0"/>
        </w:rPr>
        <w:t>万元，公司非独 立董事、监事未以董事、监事的职务在公司领取薪酬或津贴，按其在公司担任的职务领取薪酬。上述发放 计划已经公司第四届董事会第二十三次会议审议通过。</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90"/>
        <w:gridCol w:w="1910"/>
        <w:gridCol w:w="1066"/>
        <w:gridCol w:w="1066"/>
        <w:gridCol w:w="2237"/>
        <w:gridCol w:w="21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从公司获得的报酬总额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林步东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包德元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钟宇彤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w:t>
            </w:r>
          </w:p>
        </w:tc>
      </w:tr>
    </w:tbl>
    <w:p>
      <w:pPr>
        <w:spacing w:lineRule="exact" w:line="1"/>
        <w:rPr>
          <w:sz w:val="2"/>
          <w:szCs w:val="2"/>
        </w:rPr>
      </w:pPr>
      <w:r>
        <w:br w:type="page"/>
      </w:r>
    </w:p>
    <w:tbl>
      <w:tblPr>
        <w:tblOverlap w:val="never"/>
        <w:jc w:val="center"/>
        <w:tblLayout w:type="fixed"/>
      </w:tblPr>
      <w:tblGrid>
        <w:gridCol w:w="1190"/>
        <w:gridCol w:w="1910"/>
        <w:gridCol w:w="1066"/>
        <w:gridCol w:w="1066"/>
        <w:gridCol w:w="2237"/>
        <w:gridCol w:w="217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唐应元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597.46</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、公司董事、监事、高级管理人员变动情况</w:t>
      </w:r>
      <w:bookmarkEnd w:id="323"/>
      <w:bookmarkEnd w:id="324"/>
      <w:bookmarkEnd w:id="32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唐应元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毛振宇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林木青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包德元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五</w:t>
      </w:r>
      <w:bookmarkEnd w:id="329"/>
      <w:r>
        <w:rPr>
          <w:color w:val="000000"/>
          <w:spacing w:val="0"/>
          <w:w w:val="100"/>
          <w:position w:val="0"/>
        </w:rPr>
        <w:t>、报告期核心技术团队或关键技术人员变动情况（非董事、监事、高级管理人员）</w:t>
      </w:r>
      <w:bookmarkEnd w:id="327"/>
      <w:bookmarkEnd w:id="328"/>
      <w:bookmarkEnd w:id="330"/>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报告期内，公司核心技术团队或关键技术人员未发生变动。</w:t>
      </w:r>
      <w:r>
        <w:br w:type="page"/>
      </w:r>
    </w:p>
    <w:p>
      <w:pPr>
        <w:pStyle w:val="Style27"/>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六</w:t>
      </w:r>
      <w:bookmarkEnd w:id="333"/>
      <w:r>
        <w:rPr>
          <w:color w:val="000000"/>
          <w:spacing w:val="0"/>
          <w:w w:val="100"/>
          <w:position w:val="0"/>
        </w:rPr>
        <w:t>、公司员工情况</w:t>
      </w:r>
      <w:bookmarkEnd w:id="331"/>
      <w:bookmarkEnd w:id="332"/>
      <w:bookmarkEnd w:id="334"/>
    </w:p>
    <w:p>
      <w:pPr>
        <w:pStyle w:val="Style36"/>
        <w:keepNext w:val="0"/>
        <w:keepLines w:val="0"/>
        <w:widowControl w:val="0"/>
        <w:shd w:val="clear" w:color="auto" w:fill="auto"/>
        <w:bidi w:val="0"/>
        <w:spacing w:before="0" w:after="60" w:line="240" w:lineRule="auto"/>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日，员工构成情况如下:</w:t>
      </w:r>
    </w:p>
    <w:tbl>
      <w:tblPr>
        <w:tblOverlap w:val="never"/>
        <w:jc w:val="left"/>
        <w:tblLayout w:type="fixed"/>
      </w:tblPr>
      <w:tblGrid>
        <w:gridCol w:w="2741"/>
        <w:gridCol w:w="2842"/>
        <w:gridCol w:w="274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所在机构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人数（人）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占员工总人数比例（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60.90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子公司员工人数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39.10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419" w:line="1" w:lineRule="exact"/>
      </w:pPr>
    </w:p>
    <w:p>
      <w:pPr>
        <w:pStyle w:val="Style29"/>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、专业结构</w:t>
      </w:r>
    </w:p>
    <w:tbl>
      <w:tblPr>
        <w:tblOverlap w:val="never"/>
        <w:jc w:val="left"/>
        <w:tblLayout w:type="fixed"/>
      </w:tblPr>
      <w:tblGrid>
        <w:gridCol w:w="2741"/>
        <w:gridCol w:w="2842"/>
        <w:gridCol w:w="2741"/>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专业结构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人数（人）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占员工总人数比例（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管理及职能人员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19.55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营销与支持人员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34.01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工程与生产人员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30.06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16.38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、受教育程度</w:t>
      </w:r>
    </w:p>
    <w:tbl>
      <w:tblPr>
        <w:tblOverlap w:val="never"/>
        <w:jc w:val="left"/>
        <w:tblLayout w:type="fixed"/>
      </w:tblPr>
      <w:tblGrid>
        <w:gridCol w:w="2741"/>
        <w:gridCol w:w="2842"/>
        <w:gridCol w:w="2755"/>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受教育程度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人数（人）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占员工总人数比例（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42.37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59" w:line="1" w:lineRule="exact"/>
      </w:pPr>
    </w:p>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、年龄分布</w:t>
      </w:r>
    </w:p>
    <w:tbl>
      <w:tblPr>
        <w:tblOverlap w:val="never"/>
        <w:jc w:val="left"/>
        <w:tblLayout w:type="fixed"/>
      </w:tblPr>
      <w:tblGrid>
        <w:gridCol w:w="2741"/>
        <w:gridCol w:w="2842"/>
        <w:gridCol w:w="275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年龄分布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人数（人）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占员工总人数比例（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岁（含）以下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30-45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岁（含）以上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6"/>
        <w:keepNext w:val="0"/>
        <w:keepLines w:val="0"/>
        <w:widowControl w:val="0"/>
        <w:shd w:val="clear" w:color="auto" w:fill="auto"/>
        <w:bidi w:val="0"/>
        <w:spacing w:before="0" w:after="0" w:line="240" w:lineRule="auto"/>
        <w:ind w:left="0" w:right="0" w:firstLine="440"/>
        <w:jc w:val="left"/>
      </w:pPr>
      <w:bookmarkStart w:id="335" w:name="bookmark335"/>
      <w:r>
        <w:rPr>
          <w:rFonts w:ascii="Times New Roman" w:eastAsia="Times New Roman" w:hAnsi="Times New Roman" w:cs="Times New Roman"/>
          <w:color w:val="000000"/>
          <w:spacing w:val="0"/>
          <w:w w:val="100"/>
          <w:position w:val="0"/>
        </w:rPr>
        <w:t>4</w:t>
      </w:r>
      <w:bookmarkEnd w:id="335"/>
      <w:r>
        <w:rPr>
          <w:color w:val="000000"/>
          <w:spacing w:val="0"/>
          <w:w w:val="100"/>
          <w:position w:val="0"/>
        </w:rPr>
        <w:t>、薪酬政策</w:t>
      </w:r>
    </w:p>
    <w:p>
      <w:pPr>
        <w:pStyle w:val="Style36"/>
        <w:keepNext w:val="0"/>
        <w:keepLines w:val="0"/>
        <w:widowControl w:val="0"/>
        <w:shd w:val="clear" w:color="auto" w:fill="auto"/>
        <w:bidi w:val="0"/>
        <w:spacing w:before="0" w:after="160" w:line="418" w:lineRule="exact"/>
        <w:ind w:left="0" w:right="0" w:firstLine="440"/>
        <w:jc w:val="both"/>
      </w:pPr>
      <w:r>
        <w:rPr>
          <w:color w:val="000000"/>
          <w:spacing w:val="0"/>
          <w:w w:val="100"/>
          <w:position w:val="0"/>
        </w:rPr>
        <w:t>通过对战略目标、任务的管理，公司设计了具有竞争性的员工薪酬体系，建立了良好的内部级别认证 制度及晋升通道，实施了公平公正的绩效考核机制，不断提升员工对于薪酬的满意度。</w:t>
      </w:r>
    </w:p>
    <w:p>
      <w:pPr>
        <w:pStyle w:val="Style36"/>
        <w:keepNext w:val="0"/>
        <w:keepLines w:val="0"/>
        <w:widowControl w:val="0"/>
        <w:shd w:val="clear" w:color="auto" w:fill="auto"/>
        <w:bidi w:val="0"/>
        <w:spacing w:before="0" w:after="0" w:line="437" w:lineRule="auto"/>
        <w:ind w:left="0" w:right="0" w:firstLine="440"/>
        <w:jc w:val="both"/>
      </w:pPr>
      <w:bookmarkStart w:id="336" w:name="bookmark336"/>
      <w:r>
        <w:rPr>
          <w:rFonts w:ascii="Times New Roman" w:eastAsia="Times New Roman" w:hAnsi="Times New Roman" w:cs="Times New Roman"/>
          <w:color w:val="000000"/>
          <w:spacing w:val="0"/>
          <w:w w:val="100"/>
          <w:position w:val="0"/>
        </w:rPr>
        <w:t>5</w:t>
      </w:r>
      <w:bookmarkEnd w:id="336"/>
      <w:r>
        <w:rPr>
          <w:color w:val="000000"/>
          <w:spacing w:val="0"/>
          <w:w w:val="100"/>
          <w:position w:val="0"/>
        </w:rPr>
        <w:t>、培训计划</w:t>
      </w:r>
    </w:p>
    <w:p>
      <w:pPr>
        <w:pStyle w:val="Style36"/>
        <w:keepNext w:val="0"/>
        <w:keepLines w:val="0"/>
        <w:widowControl w:val="0"/>
        <w:shd w:val="clear" w:color="auto" w:fill="auto"/>
        <w:bidi w:val="0"/>
        <w:spacing w:before="0" w:after="120" w:line="418" w:lineRule="exact"/>
        <w:ind w:left="0" w:right="0" w:firstLine="440"/>
        <w:jc w:val="both"/>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297" w:right="1034" w:bottom="1494" w:left="1036" w:header="0" w:footer="3" w:gutter="0"/>
          <w:cols w:space="720"/>
          <w:noEndnote/>
          <w:titlePg/>
          <w:rtlGutter w:val="0"/>
          <w:docGrid w:linePitch="360"/>
        </w:sectPr>
      </w:pPr>
      <w:r>
        <w:rPr>
          <w:color w:val="000000"/>
          <w:spacing w:val="0"/>
          <w:w w:val="100"/>
          <w:position w:val="0"/>
        </w:rPr>
        <w:t>公司自上而下构建了完善的培训体系，培训内容涵盖了新员工培训、专项技术、管理技能、经验交流 等多方面的内容，积极寻求各种有效的培训资源（如高校、政府、社会培训学校及内部优秀师资挖掘与培</w:t>
      </w:r>
    </w:p>
    <w:p>
      <w:pPr>
        <w:pStyle w:val="Style36"/>
        <w:keepNext w:val="0"/>
        <w:keepLines w:val="0"/>
        <w:widowControl w:val="0"/>
        <w:shd w:val="clear" w:color="auto" w:fill="auto"/>
        <w:bidi w:val="0"/>
        <w:spacing w:before="0" w:after="160" w:line="418" w:lineRule="exact"/>
        <w:ind w:left="0" w:right="0" w:firstLine="0"/>
        <w:jc w:val="left"/>
      </w:pPr>
      <w:r>
        <w:rPr>
          <w:color w:val="000000"/>
          <w:spacing w:val="0"/>
          <w:w w:val="100"/>
          <w:position w:val="0"/>
        </w:rPr>
        <w:t>养等），同时全年组织员工参加各类职业资格考试，提升员工的工作技术水平，将</w:t>
      </w:r>
      <w:r>
        <w:rPr>
          <w:rFonts w:ascii="Times New Roman" w:eastAsia="Times New Roman" w:hAnsi="Times New Roman" w:cs="Times New Roman"/>
          <w:color w:val="000000"/>
          <w:spacing w:val="0"/>
          <w:w w:val="100"/>
          <w:position w:val="0"/>
        </w:rPr>
        <w:t>“</w:t>
      </w:r>
      <w:r>
        <w:rPr>
          <w:color w:val="000000"/>
          <w:spacing w:val="0"/>
          <w:w w:val="100"/>
          <w:position w:val="0"/>
        </w:rPr>
        <w:t>分享</w:t>
      </w:r>
      <w:r>
        <w:rPr>
          <w:rFonts w:ascii="Times New Roman" w:eastAsia="Times New Roman" w:hAnsi="Times New Roman" w:cs="Times New Roman"/>
          <w:color w:val="000000"/>
          <w:spacing w:val="0"/>
          <w:w w:val="100"/>
          <w:position w:val="0"/>
        </w:rPr>
        <w:t>''</w:t>
      </w:r>
      <w:r>
        <w:rPr>
          <w:color w:val="000000"/>
          <w:spacing w:val="0"/>
          <w:w w:val="100"/>
          <w:position w:val="0"/>
        </w:rPr>
        <w:t>的理念贯穿于整 个培训体系。</w:t>
      </w:r>
    </w:p>
    <w:p>
      <w:pPr>
        <w:pStyle w:val="Style36"/>
        <w:keepNext w:val="0"/>
        <w:keepLines w:val="0"/>
        <w:widowControl w:val="0"/>
        <w:shd w:val="clear" w:color="auto" w:fill="auto"/>
        <w:bidi w:val="0"/>
        <w:spacing w:before="0" w:after="12600" w:line="437" w:lineRule="auto"/>
        <w:ind w:left="0" w:right="0" w:firstLine="440"/>
        <w:jc w:val="left"/>
      </w:pPr>
      <w:bookmarkStart w:id="337" w:name="bookmark337"/>
      <w:r>
        <w:rPr>
          <w:rFonts w:ascii="Times New Roman" w:eastAsia="Times New Roman" w:hAnsi="Times New Roman" w:cs="Times New Roman"/>
          <w:color w:val="000000"/>
          <w:spacing w:val="0"/>
          <w:w w:val="100"/>
          <w:position w:val="0"/>
        </w:rPr>
        <w:t>6</w:t>
      </w:r>
      <w:bookmarkEnd w:id="337"/>
      <w:r>
        <w:rPr>
          <w:color w:val="000000"/>
          <w:spacing w:val="0"/>
          <w:w w:val="100"/>
          <w:position w:val="0"/>
        </w:rPr>
        <w:t>、公司无需承担费用的离退休职工人员。</w:t>
      </w:r>
    </w:p>
    <w:p>
      <w:pPr>
        <w:widowControl w:val="0"/>
        <w:jc w:val="center"/>
        <w:rPr>
          <w:sz w:val="2"/>
          <w:szCs w:val="2"/>
        </w:rPr>
        <w:sectPr>
          <w:footnotePr>
            <w:pos w:val="pageBottom"/>
            <w:numFmt w:val="decimal"/>
            <w:numRestart w:val="continuous"/>
          </w:footnotePr>
          <w:pgSz w:w="11900" w:h="16840"/>
          <w:pgMar w:top="1287" w:right="1109" w:bottom="125" w:left="1109" w:header="0" w:footer="3" w:gutter="0"/>
          <w:cols w:space="720"/>
          <w:noEndnote/>
          <w:rtlGutter w:val="0"/>
          <w:docGrid w:linePitch="360"/>
        </w:sectPr>
      </w:pPr>
      <w:r>
        <w:drawing>
          <wp:inline>
            <wp:extent cx="1718945" cy="981710"/>
            <wp:docPr id="301" name="Picutre 301"/>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13"/>
                    <a:stretch/>
                  </pic:blipFill>
                  <pic:spPr>
                    <a:xfrm>
                      <a:ext cx="1718945" cy="981710"/>
                    </a:xfrm>
                    <a:prstGeom prst="rect"/>
                  </pic:spPr>
                </pic:pic>
              </a:graphicData>
            </a:graphic>
          </wp:inline>
        </w:drawing>
      </w:r>
    </w:p>
    <w:p>
      <w:pPr>
        <w:pStyle w:val="Style12"/>
        <w:keepNext/>
        <w:keepLines/>
        <w:widowControl w:val="0"/>
        <w:shd w:val="clear" w:color="auto" w:fill="auto"/>
        <w:bidi w:val="0"/>
        <w:spacing w:before="660" w:line="240" w:lineRule="auto"/>
        <w:ind w:left="0" w:right="0" w:firstLine="0"/>
        <w:jc w:val="center"/>
      </w:pPr>
      <w:bookmarkStart w:id="338" w:name="bookmark338"/>
      <w:bookmarkStart w:id="339" w:name="bookmark339"/>
      <w:bookmarkStart w:id="340" w:name="bookmark340"/>
      <w:r>
        <w:rPr>
          <w:color w:val="000000"/>
          <w:spacing w:val="0"/>
          <w:w w:val="100"/>
          <w:position w:val="0"/>
        </w:rPr>
        <w:t>第八节公司治理</w:t>
      </w:r>
      <w:bookmarkEnd w:id="338"/>
      <w:bookmarkEnd w:id="339"/>
      <w:bookmarkEnd w:id="340"/>
    </w:p>
    <w:p>
      <w:pPr>
        <w:pStyle w:val="Style27"/>
        <w:keepNext/>
        <w:keepLines/>
        <w:widowControl w:val="0"/>
        <w:shd w:val="clear" w:color="auto" w:fill="auto"/>
        <w:bidi w:val="0"/>
        <w:spacing w:before="0" w:after="14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一</w:t>
      </w:r>
      <w:bookmarkEnd w:id="343"/>
      <w:r>
        <w:rPr>
          <w:color w:val="000000"/>
          <w:spacing w:val="0"/>
          <w:w w:val="100"/>
          <w:position w:val="0"/>
        </w:rPr>
        <w:t>、公司治理的基本状况</w:t>
      </w:r>
      <w:bookmarkEnd w:id="341"/>
      <w:bookmarkEnd w:id="342"/>
      <w:bookmarkEnd w:id="344"/>
    </w:p>
    <w:p>
      <w:pPr>
        <w:pStyle w:val="Style36"/>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报告期内，公司严格按照《公司法》、《证券法》、《深圳证券交易所股票上市规则》、《深圳证券 交易所中小企业板上市公司规范运作指引》和其他相关法律、法规的有关规定，不断完善公司法人治理结 构，健全内部控制体系，规范公司运作，保证公司高效运转。截至报告期末，公司治理的实际状况基本符 合中国证监会发布的有关上市公司治理的规范性文件要求。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公司治理与《公司法》和中国证监会相关规定的要求不存在差异。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公司治理专项活动开展情况以及内幕信息知情人登记管理制度的制定、实施情况</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根据中国证券监督管理委员会《关于开展加强上市公司治理专项活动有关事项的通知》（证监字 </w:t>
      </w:r>
      <w:r>
        <w:rPr>
          <w:color w:val="000000"/>
          <w:spacing w:val="0"/>
          <w:w w:val="100"/>
          <w:position w:val="0"/>
        </w:rPr>
        <w:t>[2007]28</w:t>
      </w:r>
      <w:r>
        <w:rPr>
          <w:color w:val="000000"/>
          <w:spacing w:val="0"/>
          <w:w w:val="100"/>
          <w:position w:val="0"/>
        </w:rPr>
        <w:t>号）及深圳证监局《关于做好深圳辖区上市公司治理专项活动有关工作的通知》（深证局公司 字</w:t>
      </w:r>
      <w:r>
        <w:rPr>
          <w:color w:val="000000"/>
          <w:spacing w:val="0"/>
          <w:w w:val="100"/>
          <w:position w:val="0"/>
        </w:rPr>
        <w:t>[2007]14</w:t>
      </w:r>
      <w:r>
        <w:rPr>
          <w:color w:val="000000"/>
          <w:spacing w:val="0"/>
          <w:w w:val="100"/>
          <w:position w:val="0"/>
        </w:rPr>
        <w:t>号）的文件要求，公司开展了公司治理专项活动。整个活动分自查阶段、公众评议阶段、整改 提高阶段进行，形成的《关于公司治理专项活动自查事项说明》、《关于公司治理专项活动的自查报告及 整改计划》及《关于公司治理专项活动的整改报告》，分别经公司第四届董事会第三次会议、第四届董事 会第六次会议审议通过，相关内容分别刊登于</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日《证券时报》及巨潮资讯 网</w:t>
      </w:r>
      <w:r>
        <w:fldChar w:fldCharType="begin"/>
      </w:r>
      <w:r>
        <w:rPr/>
        <w:instrText> HYPERLINK "http://www.cninfo.com.cn/" </w:instrText>
      </w:r>
      <w:r>
        <w:fldChar w:fldCharType="separate"/>
      </w:r>
      <w:r>
        <w:rPr>
          <w:color w:val="000000"/>
          <w:spacing w:val="0"/>
          <w:w w:val="100"/>
          <w:position w:val="0"/>
        </w:rPr>
        <w:t>（</w:t>
      </w:r>
      <w:r>
        <w:rPr>
          <w:color w:val="0000FF"/>
          <w:spacing w:val="0"/>
          <w:w w:val="100"/>
          <w:position w:val="0"/>
          <w:u w:val="single"/>
        </w:rPr>
        <w:t>http://www.cninfo.com.cn</w:t>
      </w:r>
      <w:r>
        <w:rPr>
          <w:color w:val="0000FF"/>
          <w:spacing w:val="0"/>
          <w:w w:val="100"/>
          <w:position w:val="0"/>
        </w:rPr>
        <w:t xml:space="preserve"> </w:t>
      </w:r>
      <w:r>
        <w:rPr>
          <w:color w:val="000000"/>
          <w:spacing w:val="0"/>
          <w:w w:val="100"/>
          <w:position w:val="0"/>
        </w:rPr>
        <w:t>）</w:t>
      </w:r>
      <w:r>
        <w:fldChar w:fldCharType="end"/>
      </w:r>
      <w:r>
        <w:rPr>
          <w:color w:val="000000"/>
          <w:spacing w:val="0"/>
          <w:w w:val="100"/>
          <w:position w:val="0"/>
        </w:rPr>
        <w:t>。</w:t>
      </w:r>
    </w:p>
    <w:p>
      <w:pPr>
        <w:pStyle w:val="Style36"/>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根据《关于上市公司建立内幕信息知情人登记管理制度的规定》（中国证监会公告</w:t>
      </w:r>
      <w:r>
        <w:rPr>
          <w:color w:val="000000"/>
          <w:spacing w:val="0"/>
          <w:w w:val="100"/>
          <w:position w:val="0"/>
        </w:rPr>
        <w:t>2011[30]</w:t>
      </w:r>
      <w:r>
        <w:rPr>
          <w:color w:val="000000"/>
          <w:spacing w:val="0"/>
          <w:w w:val="100"/>
          <w:position w:val="0"/>
        </w:rPr>
        <w:t>号）及《关 于要求深圳上市公司进一步做好内幕信息管理有关工作的通知》（深证局公司字【</w:t>
      </w:r>
      <w:r>
        <w:rPr>
          <w:color w:val="000000"/>
          <w:spacing w:val="0"/>
          <w:w w:val="100"/>
          <w:position w:val="0"/>
        </w:rPr>
        <w:t>2011</w:t>
      </w:r>
      <w:r>
        <w:rPr>
          <w:color w:val="000000"/>
          <w:spacing w:val="0"/>
          <w:w w:val="100"/>
          <w:position w:val="0"/>
        </w:rPr>
        <w:t>】</w:t>
      </w:r>
      <w:r>
        <w:rPr>
          <w:color w:val="000000"/>
          <w:spacing w:val="0"/>
          <w:w w:val="100"/>
          <w:position w:val="0"/>
        </w:rPr>
        <w:t>108</w:t>
      </w:r>
      <w:r>
        <w:rPr>
          <w:color w:val="000000"/>
          <w:spacing w:val="0"/>
          <w:w w:val="100"/>
          <w:position w:val="0"/>
        </w:rPr>
        <w:t>号）的要求， 公司于</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27 0</w:t>
      </w:r>
      <w:r>
        <w:rPr>
          <w:color w:val="000000"/>
          <w:spacing w:val="0"/>
          <w:w w:val="100"/>
          <w:position w:val="0"/>
        </w:rPr>
        <w:t>召开第四届董事会第十三次会议，修订了《内幕信息知情人登记制度》，完善了内 幕信息知情人的登记及内幕信息档案的管理工作。修订后的《内幕信息知情人登记制度》刊登于巨潮资讯 网</w:t>
      </w:r>
      <w:r>
        <w:fldChar w:fldCharType="begin"/>
      </w:r>
      <w:r>
        <w:rPr/>
        <w:instrText> HYPERLINK "http://www.cninfo.com.cn/" </w:instrText>
      </w:r>
      <w:r>
        <w:fldChar w:fldCharType="separate"/>
      </w:r>
      <w:r>
        <w:rPr>
          <w:color w:val="000000"/>
          <w:spacing w:val="0"/>
          <w:w w:val="100"/>
          <w:position w:val="0"/>
        </w:rPr>
        <w:t>（</w:t>
      </w:r>
      <w:r>
        <w:rPr>
          <w:color w:val="0000FF"/>
          <w:spacing w:val="0"/>
          <w:w w:val="100"/>
          <w:position w:val="0"/>
          <w:u w:val="single"/>
        </w:rPr>
        <w:t>http://www.cninfo.com.cn</w:t>
      </w:r>
      <w:r>
        <w:rPr>
          <w:color w:val="000000"/>
          <w:spacing w:val="0"/>
          <w:w w:val="100"/>
          <w:position w:val="0"/>
        </w:rPr>
        <w:t>）</w:t>
      </w:r>
      <w:r>
        <w:fldChar w:fldCharType="end"/>
      </w:r>
      <w:r>
        <w:rPr>
          <w:color w:val="000000"/>
          <w:spacing w:val="0"/>
          <w:w w:val="100"/>
          <w:position w:val="0"/>
        </w:rPr>
        <w:t>。公司指定专人负责内幕信息管理，对内幕信息的使用进行登记、归档 和备查，严格控制知情人范围，在内幕信息公开披露前的报告、传递、编制、审核、披露等环节中，如实、 完整记录内幕信息知情人名单。报告期内，未发现内幕信息知情人利用内幕信息买卖公司股票的情况。</w:t>
      </w:r>
    </w:p>
    <w:p>
      <w:pPr>
        <w:pStyle w:val="Style27"/>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二</w:t>
      </w:r>
      <w:bookmarkEnd w:id="347"/>
      <w:r>
        <w:rPr>
          <w:color w:val="000000"/>
          <w:spacing w:val="0"/>
          <w:w w:val="100"/>
          <w:position w:val="0"/>
        </w:rPr>
        <w:t>、报告期内召开的年度股东大会和临时股东大会的有关情况</w:t>
      </w:r>
      <w:bookmarkEnd w:id="345"/>
      <w:bookmarkEnd w:id="346"/>
      <w:bookmarkEnd w:id="348"/>
    </w:p>
    <w:p>
      <w:pPr>
        <w:pStyle w:val="Style36"/>
        <w:keepNext w:val="0"/>
        <w:keepLines w:val="0"/>
        <w:widowControl w:val="0"/>
        <w:shd w:val="clear" w:color="auto" w:fill="auto"/>
        <w:bidi w:val="0"/>
        <w:spacing w:before="0" w:after="300" w:line="240" w:lineRule="auto"/>
        <w:ind w:left="0" w:right="0" w:firstLine="0"/>
        <w:jc w:val="left"/>
      </w:pPr>
      <w:bookmarkStart w:id="349" w:name="bookmark349"/>
      <w:r>
        <w:rPr>
          <w:rFonts w:ascii="Times New Roman" w:eastAsia="Times New Roman" w:hAnsi="Times New Roman" w:cs="Times New Roman"/>
          <w:b/>
          <w:bCs/>
          <w:color w:val="000000"/>
          <w:spacing w:val="0"/>
          <w:w w:val="100"/>
          <w:position w:val="0"/>
        </w:rPr>
        <w:t>1</w:t>
      </w:r>
      <w:bookmarkEnd w:id="349"/>
      <w:r>
        <w:rPr>
          <w:b/>
          <w:bCs/>
          <w:color w:val="000000"/>
          <w:spacing w:val="0"/>
          <w:w w:val="100"/>
          <w:position w:val="0"/>
        </w:rPr>
        <w:t>、本报告期年度股东大会情况</w:t>
      </w:r>
    </w:p>
    <w:tbl>
      <w:tblPr>
        <w:tblOverlap w:val="never"/>
        <w:jc w:val="center"/>
        <w:tblLayout w:type="fixed"/>
      </w:tblPr>
      <w:tblGrid>
        <w:gridCol w:w="1603"/>
        <w:gridCol w:w="1594"/>
        <w:gridCol w:w="2717"/>
        <w:gridCol w:w="475"/>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9" w:val="left"/>
              </w:tabs>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w:t>
            </w:r>
          </w:p>
          <w:p>
            <w:pPr>
              <w:pStyle w:val="Style2"/>
              <w:keepNext w:val="0"/>
              <w:keepLines w:val="0"/>
              <w:widowControl w:val="0"/>
              <w:shd w:val="clear" w:color="auto" w:fill="auto"/>
              <w:tabs>
                <w:tab w:pos="278"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 会决议公告》（公告</w:t>
            </w:r>
          </w:p>
        </w:tc>
      </w:tr>
    </w:tbl>
    <w:p>
      <w:pPr>
        <w:sectPr>
          <w:footnotePr>
            <w:pos w:val="pageBottom"/>
            <w:numFmt w:val="decimal"/>
            <w:numRestart w:val="continuous"/>
          </w:footnotePr>
          <w:pgSz w:w="11900" w:h="16840"/>
          <w:pgMar w:top="1282" w:right="1031" w:bottom="1460" w:left="1082" w:header="0" w:footer="3" w:gutter="0"/>
          <w:cols w:space="720"/>
          <w:noEndnote/>
          <w:rtlGutter w:val="0"/>
          <w:docGrid w:linePitch="360"/>
        </w:sectPr>
      </w:pPr>
    </w:p>
    <w:tbl>
      <w:tblPr>
        <w:tblOverlap w:val="never"/>
        <w:jc w:val="center"/>
        <w:tblLayout w:type="fixed"/>
      </w:tblPr>
      <w:tblGrid>
        <w:gridCol w:w="1603"/>
        <w:gridCol w:w="1594"/>
        <w:gridCol w:w="2717"/>
        <w:gridCol w:w="475"/>
        <w:gridCol w:w="1594"/>
        <w:gridCol w:w="1603"/>
      </w:tblGrid>
      <w:tr>
        <w:trPr>
          <w:trHeight w:val="307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年度财务决算报告》；</w:t>
            </w:r>
          </w:p>
          <w:p>
            <w:pPr>
              <w:pStyle w:val="Style2"/>
              <w:keepNext w:val="0"/>
              <w:keepLines w:val="0"/>
              <w:widowControl w:val="0"/>
              <w:shd w:val="clear" w:color="auto" w:fill="auto"/>
              <w:tabs>
                <w:tab w:pos="197"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年年度报告全文及摘要》；</w:t>
            </w:r>
          </w:p>
          <w:p>
            <w:pPr>
              <w:pStyle w:val="Style2"/>
              <w:keepNext w:val="0"/>
              <w:keepLines w:val="0"/>
              <w:widowControl w:val="0"/>
              <w:shd w:val="clear" w:color="auto" w:fill="auto"/>
              <w:tabs>
                <w:tab w:pos="269"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w:t>
            </w:r>
          </w:p>
          <w:p>
            <w:pPr>
              <w:pStyle w:val="Style2"/>
              <w:keepNext w:val="0"/>
              <w:keepLines w:val="0"/>
              <w:widowControl w:val="0"/>
              <w:shd w:val="clear" w:color="auto" w:fill="auto"/>
              <w:tabs>
                <w:tab w:pos="274"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《关于续聘会计师事务所的议 案》；</w:t>
            </w:r>
          </w:p>
          <w:p>
            <w:pPr>
              <w:pStyle w:val="Style2"/>
              <w:keepNext w:val="0"/>
              <w:keepLines w:val="0"/>
              <w:widowControl w:val="0"/>
              <w:shd w:val="clear" w:color="auto" w:fill="auto"/>
              <w:tabs>
                <w:tab w:pos="274"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年度向银行申请综 合授信额度的议案》；</w:t>
            </w:r>
          </w:p>
          <w:p>
            <w:pPr>
              <w:pStyle w:val="Style2"/>
              <w:keepNext w:val="0"/>
              <w:keepLines w:val="0"/>
              <w:widowControl w:val="0"/>
              <w:shd w:val="clear" w:color="auto" w:fill="auto"/>
              <w:tabs>
                <w:tab w:pos="235"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《关于关联交易暨投资设立融资 租赁公司的议案》。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审议 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2013-019</w:t>
            </w:r>
            <w:r>
              <w:rPr>
                <w:color w:val="000000"/>
                <w:spacing w:val="0"/>
                <w:w w:val="100"/>
                <w:position w:val="0"/>
              </w:rPr>
              <w:t xml:space="preserve">）, </w:t>
            </w:r>
            <w:r>
              <w:rPr>
                <w:color w:val="000000"/>
                <w:spacing w:val="0"/>
                <w:w w:val="100"/>
                <w:position w:val="0"/>
              </w:rPr>
              <w:t>刊登于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日《证券时报》、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《中国证券报》及巨 潮资讯网。</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、本报告期临时股东大会情况</w:t>
      </w:r>
      <w:bookmarkEnd w:id="350"/>
      <w:bookmarkEnd w:id="351"/>
      <w:bookmarkEnd w:id="353"/>
    </w:p>
    <w:tbl>
      <w:tblPr>
        <w:tblOverlap w:val="never"/>
        <w:jc w:val="center"/>
        <w:tblLayout w:type="fixed"/>
      </w:tblPr>
      <w:tblGrid>
        <w:gridCol w:w="1603"/>
        <w:gridCol w:w="1594"/>
        <w:gridCol w:w="2717"/>
        <w:gridCol w:w="475"/>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《关于与界首市达实置业有限公 司发生经营性关联交易的议案》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审议 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2013-001</w:t>
            </w:r>
            <w:r>
              <w:rPr>
                <w:color w:val="000000"/>
                <w:spacing w:val="0"/>
                <w:w w:val="100"/>
                <w:position w:val="0"/>
              </w:rPr>
              <w:t>），</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日《证 券时报》、《中国证券 报》及巨潮资讯网。</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97"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《关于修改</w:t>
            </w:r>
            <w:r>
              <w:rPr>
                <w:color w:val="000000"/>
                <w:spacing w:val="0"/>
                <w:w w:val="100"/>
                <w:position w:val="0"/>
                <w:sz w:val="18"/>
                <w:szCs w:val="18"/>
              </w:rPr>
              <w:t>〈</w:t>
            </w:r>
            <w:r>
              <w:rPr>
                <w:color w:val="000000"/>
                <w:spacing w:val="0"/>
                <w:w w:val="100"/>
                <w:position w:val="0"/>
              </w:rPr>
              <w:t>监事会议事规则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、《关于为全资子公司 提供担保的议案》；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、《关于董事 会换届选举的议案》；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、《关于监 事会换届选举的议案》。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全部 议案 审议 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2013-042</w:t>
            </w:r>
            <w:r>
              <w:rPr>
                <w:color w:val="000000"/>
                <w:spacing w:val="0"/>
                <w:w w:val="100"/>
                <w:position w:val="0"/>
              </w:rPr>
              <w:t>），</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《证券时报》、《中国 证券报》及巨潮资讯 网。</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三</w:t>
      </w:r>
      <w:bookmarkEnd w:id="356"/>
      <w:r>
        <w:rPr>
          <w:color w:val="000000"/>
          <w:spacing w:val="0"/>
          <w:w w:val="100"/>
          <w:position w:val="0"/>
        </w:rPr>
        <w:t>、报告期内独立董事履行职责的情况</w:t>
      </w:r>
      <w:bookmarkEnd w:id="354"/>
      <w:bookmarkEnd w:id="355"/>
      <w:bookmarkEnd w:id="357"/>
    </w:p>
    <w:p>
      <w:pPr>
        <w:pStyle w:val="Style39"/>
        <w:keepNext/>
        <w:keepLines/>
        <w:widowControl w:val="0"/>
        <w:shd w:val="clear" w:color="auto" w:fill="auto"/>
        <w:bidi w:val="0"/>
        <w:spacing w:before="0" w:after="3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、独立董事出席董事会及股东大会的情况</w:t>
      </w:r>
      <w:bookmarkEnd w:id="358"/>
      <w:bookmarkEnd w:id="359"/>
      <w:bookmarkEnd w:id="361"/>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李黑虎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包德元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632"/>
        <w:gridCol w:w="1325"/>
        <w:gridCol w:w="1325"/>
        <w:gridCol w:w="1325"/>
        <w:gridCol w:w="1320"/>
        <w:gridCol w:w="1325"/>
        <w:gridCol w:w="13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不适用。</w:t>
      </w:r>
    </w:p>
    <w:p>
      <w:pPr>
        <w:widowControl w:val="0"/>
        <w:spacing w:after="239" w:line="1" w:lineRule="exact"/>
      </w:pPr>
    </w:p>
    <w:p>
      <w:pPr>
        <w:pStyle w:val="Style39"/>
        <w:keepNext/>
        <w:keepLines/>
        <w:widowControl w:val="0"/>
        <w:shd w:val="clear" w:color="auto" w:fill="auto"/>
        <w:tabs>
          <w:tab w:pos="378" w:val="left"/>
        </w:tabs>
        <w:bidi w:val="0"/>
        <w:spacing w:before="0" w:after="240" w:line="412"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独立董事对公司有关事项提出异议的情况</w:t>
      </w:r>
      <w:bookmarkEnd w:id="362"/>
      <w:bookmarkEnd w:id="363"/>
      <w:bookmarkEnd w:id="365"/>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480" w:line="346" w:lineRule="exact"/>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tabs>
          <w:tab w:pos="378" w:val="left"/>
        </w:tabs>
        <w:bidi w:val="0"/>
        <w:spacing w:before="0" w:after="40" w:line="43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独立董事履行职责的其他说明</w:t>
      </w:r>
      <w:bookmarkEnd w:id="366"/>
      <w:bookmarkEnd w:id="367"/>
      <w:bookmarkEnd w:id="369"/>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独立董事对公司有关建议被采纳或未被采纳的说明</w:t>
      </w:r>
    </w:p>
    <w:p>
      <w:pPr>
        <w:pStyle w:val="Style36"/>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独立董事王晓东先生提出，公司换届选举工作中的提名程序需完备、公司三会的议案提案人需明确。 公司进行了自查，并补充了相关程序及资料。</w:t>
      </w:r>
    </w:p>
    <w:p>
      <w:pPr>
        <w:pStyle w:val="Style27"/>
        <w:keepNext/>
        <w:keepLines/>
        <w:widowControl w:val="0"/>
        <w:shd w:val="clear" w:color="auto" w:fill="auto"/>
        <w:bidi w:val="0"/>
        <w:spacing w:before="0" w:after="14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四</w:t>
      </w:r>
      <w:bookmarkEnd w:id="372"/>
      <w:r>
        <w:rPr>
          <w:color w:val="000000"/>
          <w:spacing w:val="0"/>
          <w:w w:val="100"/>
          <w:position w:val="0"/>
        </w:rPr>
        <w:t>、董事会下设专门委员会在报告期内履行职责情况</w:t>
      </w:r>
      <w:bookmarkEnd w:id="370"/>
      <w:bookmarkEnd w:id="371"/>
      <w:bookmarkEnd w:id="373"/>
    </w:p>
    <w:p>
      <w:pPr>
        <w:pStyle w:val="Style36"/>
        <w:keepNext w:val="0"/>
        <w:keepLines w:val="0"/>
        <w:widowControl w:val="0"/>
        <w:shd w:val="clear" w:color="auto" w:fill="auto"/>
        <w:tabs>
          <w:tab w:pos="794" w:val="left"/>
        </w:tabs>
        <w:bidi w:val="0"/>
        <w:spacing w:before="0" w:after="0" w:line="412" w:lineRule="exact"/>
        <w:ind w:left="0" w:right="0" w:firstLine="440"/>
        <w:jc w:val="both"/>
      </w:pPr>
      <w:bookmarkStart w:id="374" w:name="bookmark374"/>
      <w:r>
        <w:rPr>
          <w:color w:val="000000"/>
          <w:spacing w:val="0"/>
          <w:w w:val="100"/>
          <w:position w:val="0"/>
        </w:rPr>
        <w:t>1</w:t>
      </w:r>
      <w:bookmarkEnd w:id="374"/>
      <w:r>
        <w:rPr>
          <w:color w:val="000000"/>
          <w:spacing w:val="0"/>
          <w:w w:val="100"/>
          <w:position w:val="0"/>
        </w:rPr>
        <w:t>、</w:t>
        <w:tab/>
        <w:t>审计委员会履职情况</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第四届：主任委员：孙进山，委员：崔军、程朋胜</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第五届：主任委员：王礼贵，委员：王晓东、程朋胜</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2013</w:t>
      </w:r>
      <w:r>
        <w:rPr>
          <w:color w:val="000000"/>
          <w:spacing w:val="0"/>
          <w:w w:val="100"/>
          <w:position w:val="0"/>
        </w:rPr>
        <w:t>年度，审计委员会共召开</w:t>
      </w:r>
      <w:r>
        <w:rPr>
          <w:color w:val="000000"/>
          <w:spacing w:val="0"/>
          <w:w w:val="100"/>
          <w:position w:val="0"/>
        </w:rPr>
        <w:t>4</w:t>
      </w:r>
      <w:r>
        <w:rPr>
          <w:color w:val="000000"/>
          <w:spacing w:val="0"/>
          <w:w w:val="100"/>
          <w:position w:val="0"/>
        </w:rPr>
        <w:t>次会议（换届后召开一次），分别就公司内部控制情况、募资资金使 用情况、对外投资、关联交易的审批情况进行了审计。同时，在</w:t>
      </w:r>
      <w:r>
        <w:rPr>
          <w:color w:val="000000"/>
          <w:spacing w:val="0"/>
          <w:w w:val="100"/>
          <w:position w:val="0"/>
        </w:rPr>
        <w:t>2012</w:t>
      </w:r>
      <w:r>
        <w:rPr>
          <w:color w:val="000000"/>
          <w:spacing w:val="0"/>
          <w:w w:val="100"/>
          <w:position w:val="0"/>
        </w:rPr>
        <w:t>年年度报告编制过程中，积极与年审 会计师进行沟通，确定公司</w:t>
      </w:r>
      <w:r>
        <w:rPr>
          <w:color w:val="000000"/>
          <w:spacing w:val="0"/>
          <w:w w:val="100"/>
          <w:position w:val="0"/>
        </w:rPr>
        <w:t>2012</w:t>
      </w:r>
      <w:r>
        <w:rPr>
          <w:color w:val="000000"/>
          <w:spacing w:val="0"/>
          <w:w w:val="100"/>
          <w:position w:val="0"/>
        </w:rPr>
        <w:t>年度财务报告审计工作的时间安排，并就审计过程中发现的问题进行了充 分的沟通和交流，确保年审工作的顺利开展。</w:t>
      </w:r>
    </w:p>
    <w:p>
      <w:pPr>
        <w:pStyle w:val="Style36"/>
        <w:keepNext w:val="0"/>
        <w:keepLines w:val="0"/>
        <w:widowControl w:val="0"/>
        <w:shd w:val="clear" w:color="auto" w:fill="auto"/>
        <w:tabs>
          <w:tab w:pos="808" w:val="left"/>
        </w:tabs>
        <w:bidi w:val="0"/>
        <w:spacing w:before="0" w:after="0" w:line="412" w:lineRule="exact"/>
        <w:ind w:left="0" w:right="0" w:firstLine="440"/>
        <w:jc w:val="both"/>
      </w:pPr>
      <w:bookmarkStart w:id="375" w:name="bookmark375"/>
      <w:r>
        <w:rPr>
          <w:color w:val="000000"/>
          <w:spacing w:val="0"/>
          <w:w w:val="100"/>
          <w:position w:val="0"/>
        </w:rPr>
        <w:t>2</w:t>
      </w:r>
      <w:bookmarkEnd w:id="375"/>
      <w:r>
        <w:rPr>
          <w:color w:val="000000"/>
          <w:spacing w:val="0"/>
          <w:w w:val="100"/>
          <w:position w:val="0"/>
        </w:rPr>
        <w:t>、</w:t>
        <w:tab/>
        <w:t>战略发展委员会履职情况</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第四届：主任委员：刘磅，委员：李黑虎、刘昂</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第五届：主任委员：刘磅，委员：包德元、刘昂</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2013</w:t>
      </w:r>
      <w:r>
        <w:rPr>
          <w:color w:val="000000"/>
          <w:spacing w:val="0"/>
          <w:w w:val="100"/>
          <w:position w:val="0"/>
        </w:rPr>
        <w:t>年度，战略发展委员会共召开</w:t>
      </w:r>
      <w:r>
        <w:rPr>
          <w:color w:val="000000"/>
          <w:spacing w:val="0"/>
          <w:w w:val="100"/>
          <w:position w:val="0"/>
        </w:rPr>
        <w:t>1</w:t>
      </w:r>
      <w:r>
        <w:rPr>
          <w:color w:val="000000"/>
          <w:spacing w:val="0"/>
          <w:w w:val="100"/>
          <w:position w:val="0"/>
        </w:rPr>
        <w:t>次会议（换届后未召开），就与东兴企业澳门离岸商业服务有限 公司共同出资成立深圳达实融资租赁有限公司的事项进行了审议，对项目的可行性和必要性进行了讨论， 提高了公司的科学决策水平。上述对外投资事项对完善公司的商业模式和融资渠道均产生了积极作用。</w:t>
      </w:r>
    </w:p>
    <w:p>
      <w:pPr>
        <w:pStyle w:val="Style36"/>
        <w:keepNext w:val="0"/>
        <w:keepLines w:val="0"/>
        <w:widowControl w:val="0"/>
        <w:shd w:val="clear" w:color="auto" w:fill="auto"/>
        <w:tabs>
          <w:tab w:pos="808" w:val="left"/>
        </w:tabs>
        <w:bidi w:val="0"/>
        <w:spacing w:before="0" w:after="0" w:line="412" w:lineRule="exact"/>
        <w:ind w:left="0" w:right="0" w:firstLine="440"/>
        <w:jc w:val="both"/>
      </w:pPr>
      <w:bookmarkStart w:id="376" w:name="bookmark376"/>
      <w:r>
        <w:rPr>
          <w:color w:val="000000"/>
          <w:spacing w:val="0"/>
          <w:w w:val="100"/>
          <w:position w:val="0"/>
        </w:rPr>
        <w:t>3</w:t>
      </w:r>
      <w:bookmarkEnd w:id="376"/>
      <w:r>
        <w:rPr>
          <w:color w:val="000000"/>
          <w:spacing w:val="0"/>
          <w:w w:val="100"/>
          <w:position w:val="0"/>
        </w:rPr>
        <w:t>、</w:t>
        <w:tab/>
        <w:t>薪酬与考核委员会履职情况</w:t>
      </w:r>
    </w:p>
    <w:p>
      <w:pPr>
        <w:pStyle w:val="Style36"/>
        <w:keepNext w:val="0"/>
        <w:keepLines w:val="0"/>
        <w:widowControl w:val="0"/>
        <w:shd w:val="clear" w:color="auto" w:fill="auto"/>
        <w:bidi w:val="0"/>
        <w:spacing w:before="0" w:after="200" w:line="412" w:lineRule="exact"/>
        <w:ind w:left="0" w:right="0" w:firstLine="440"/>
        <w:jc w:val="both"/>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282" w:right="1031" w:bottom="1460" w:left="1082" w:header="0" w:footer="3" w:gutter="0"/>
          <w:cols w:space="720"/>
          <w:noEndnote/>
          <w:titlePg/>
          <w:rtlGutter w:val="0"/>
          <w:docGrid w:linePitch="360"/>
        </w:sectPr>
      </w:pPr>
      <w:r>
        <w:rPr>
          <w:color w:val="000000"/>
          <w:spacing w:val="0"/>
          <w:w w:val="100"/>
          <w:position w:val="0"/>
        </w:rPr>
        <w:t>第四届：主任委员：崔军，委员：孙进山、刘昂</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第五届：主任委员：王晓东，委员：王礼贵、刘昂</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2013</w:t>
      </w:r>
      <w:r>
        <w:rPr>
          <w:color w:val="000000"/>
          <w:spacing w:val="0"/>
          <w:w w:val="100"/>
          <w:position w:val="0"/>
        </w:rPr>
        <w:t>年度，薪酬与考核委员会共召开</w:t>
      </w:r>
      <w:r>
        <w:rPr>
          <w:color w:val="000000"/>
          <w:spacing w:val="0"/>
          <w:w w:val="100"/>
          <w:position w:val="0"/>
        </w:rPr>
        <w:t>2</w:t>
      </w:r>
      <w:r>
        <w:rPr>
          <w:color w:val="000000"/>
          <w:spacing w:val="0"/>
          <w:w w:val="100"/>
          <w:position w:val="0"/>
        </w:rPr>
        <w:t>次（换届后未召开），听取了高级管理人员的年度述职，对公 司董事、高级管理人员</w:t>
      </w:r>
      <w:r>
        <w:rPr>
          <w:color w:val="000000"/>
          <w:spacing w:val="0"/>
          <w:w w:val="100"/>
          <w:position w:val="0"/>
        </w:rPr>
        <w:t>2012</w:t>
      </w:r>
      <w:r>
        <w:rPr>
          <w:color w:val="000000"/>
          <w:spacing w:val="0"/>
          <w:w w:val="100"/>
          <w:position w:val="0"/>
        </w:rPr>
        <w:t>年度的薪酬发放情况及</w:t>
      </w:r>
      <w:r>
        <w:rPr>
          <w:color w:val="000000"/>
          <w:spacing w:val="0"/>
          <w:w w:val="100"/>
          <w:position w:val="0"/>
        </w:rPr>
        <w:t>2013</w:t>
      </w:r>
      <w:r>
        <w:rPr>
          <w:color w:val="000000"/>
          <w:spacing w:val="0"/>
          <w:w w:val="100"/>
          <w:position w:val="0"/>
        </w:rPr>
        <w:t>年度薪酬的发放计划进行审议，并确认了首次限制 性股票激励计划第一期解锁条件满足事项，第一期解锁股份上市流通。自公司限制性股股票激励计划实施 以来，未有激励对象离职，激励效果显著。</w:t>
      </w:r>
    </w:p>
    <w:p>
      <w:pPr>
        <w:pStyle w:val="Style36"/>
        <w:keepNext w:val="0"/>
        <w:keepLines w:val="0"/>
        <w:widowControl w:val="0"/>
        <w:shd w:val="clear" w:color="auto" w:fill="auto"/>
        <w:bidi w:val="0"/>
        <w:spacing w:before="0" w:after="0" w:line="413" w:lineRule="exact"/>
        <w:ind w:left="0" w:right="0" w:firstLine="440"/>
        <w:jc w:val="both"/>
      </w:pPr>
      <w:bookmarkStart w:id="377" w:name="bookmark377"/>
      <w:r>
        <w:rPr>
          <w:color w:val="000000"/>
          <w:spacing w:val="0"/>
          <w:w w:val="100"/>
          <w:position w:val="0"/>
        </w:rPr>
        <w:t>4</w:t>
      </w:r>
      <w:bookmarkEnd w:id="377"/>
      <w:r>
        <w:rPr>
          <w:color w:val="000000"/>
          <w:spacing w:val="0"/>
          <w:w w:val="100"/>
          <w:position w:val="0"/>
        </w:rPr>
        <w:t>、提名委员会履职情况</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第四届：主任委员：李黑虎，委员：林步东、崔军</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第五届：主任委员：包德元，委员：王晓东、刘磅</w:t>
      </w:r>
    </w:p>
    <w:p>
      <w:pPr>
        <w:pStyle w:val="Style36"/>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2013</w:t>
      </w:r>
      <w:r>
        <w:rPr>
          <w:color w:val="000000"/>
          <w:spacing w:val="0"/>
          <w:w w:val="100"/>
          <w:position w:val="0"/>
        </w:rPr>
        <w:t>年度，因公司第四届董事会届满，公司实施了换届选举工作。第四届提名委员会对第五届董事会 人选的教育背景、身体状况、工作经历和任职资格进行了审查，并发表了明确的同意意见。</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 xml:space="preserve">27 </w:t>
      </w:r>
      <w:r>
        <w:rPr>
          <w:color w:val="000000"/>
          <w:spacing w:val="0"/>
          <w:w w:val="100"/>
          <w:position w:val="0"/>
        </w:rPr>
        <w:t>日，换届选举顺利完成，新一届董事会开始运作。</w:t>
      </w:r>
    </w:p>
    <w:p>
      <w:pPr>
        <w:pStyle w:val="Style27"/>
        <w:keepNext/>
        <w:keepLines/>
        <w:widowControl w:val="0"/>
        <w:shd w:val="clear" w:color="auto" w:fill="auto"/>
        <w:tabs>
          <w:tab w:pos="517" w:val="left"/>
        </w:tabs>
        <w:bidi w:val="0"/>
        <w:spacing w:before="0" w:after="22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五</w:t>
      </w:r>
      <w:bookmarkEnd w:id="380"/>
      <w:r>
        <w:rPr>
          <w:color w:val="000000"/>
          <w:spacing w:val="0"/>
          <w:w w:val="100"/>
          <w:position w:val="0"/>
        </w:rPr>
        <w:t>、</w:t>
        <w:tab/>
        <w:t>监事会工作情况</w:t>
      </w:r>
      <w:bookmarkEnd w:id="378"/>
      <w:bookmarkEnd w:id="379"/>
      <w:bookmarkEnd w:id="381"/>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w:t>
      </w:r>
    </w:p>
    <w:p>
      <w:pPr>
        <w:pStyle w:val="Style36"/>
        <w:keepNext w:val="0"/>
        <w:keepLines w:val="0"/>
        <w:widowControl w:val="0"/>
        <w:shd w:val="clear" w:color="auto" w:fill="auto"/>
        <w:bidi w:val="0"/>
        <w:spacing w:before="0" w:after="4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 xml:space="preserve">否 </w:t>
      </w: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1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六</w:t>
      </w:r>
      <w:bookmarkEnd w:id="384"/>
      <w:r>
        <w:rPr>
          <w:color w:val="000000"/>
          <w:spacing w:val="0"/>
          <w:w w:val="100"/>
          <w:position w:val="0"/>
        </w:rPr>
        <w:t>、</w:t>
        <w:tab/>
        <w:t>公司相对于控股股东在业务、人员、资产、机构、财务等方面的独立完整情况</w:t>
      </w:r>
      <w:bookmarkEnd w:id="382"/>
      <w:bookmarkEnd w:id="383"/>
      <w:bookmarkEnd w:id="385"/>
    </w:p>
    <w:p>
      <w:pPr>
        <w:pStyle w:val="Style36"/>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公司严格按照《公司法》、《证券法》等有关法律、法规和《公司章程》的要求规范运作，与控股股 东在业务、人员、资产、机构、财务等方面完全分开，具有独立完整的业务及自主经营能力。</w:t>
      </w:r>
    </w:p>
    <w:p>
      <w:pPr>
        <w:pStyle w:val="Style36"/>
        <w:keepNext w:val="0"/>
        <w:keepLines w:val="0"/>
        <w:widowControl w:val="0"/>
        <w:shd w:val="clear" w:color="auto" w:fill="auto"/>
        <w:tabs>
          <w:tab w:pos="790" w:val="left"/>
        </w:tabs>
        <w:bidi w:val="0"/>
        <w:spacing w:before="0" w:after="0" w:line="414" w:lineRule="exact"/>
        <w:ind w:left="0" w:right="0" w:firstLine="440"/>
        <w:jc w:val="both"/>
      </w:pPr>
      <w:bookmarkStart w:id="386" w:name="bookmark386"/>
      <w:r>
        <w:rPr>
          <w:color w:val="000000"/>
          <w:spacing w:val="0"/>
          <w:w w:val="100"/>
          <w:position w:val="0"/>
        </w:rPr>
        <w:t>1</w:t>
      </w:r>
      <w:bookmarkEnd w:id="386"/>
      <w:r>
        <w:rPr>
          <w:color w:val="000000"/>
          <w:spacing w:val="0"/>
          <w:w w:val="100"/>
          <w:position w:val="0"/>
        </w:rPr>
        <w:t>、</w:t>
        <w:tab/>
        <w:t>业务方面：公司业务结构完整，自主独立经营，与控股股东之间无同业竞争，控股股东未曾利用 控股股东地位干涉公司决策和生产经营活动；</w:t>
      </w:r>
    </w:p>
    <w:p>
      <w:pPr>
        <w:pStyle w:val="Style36"/>
        <w:keepNext w:val="0"/>
        <w:keepLines w:val="0"/>
        <w:widowControl w:val="0"/>
        <w:shd w:val="clear" w:color="auto" w:fill="auto"/>
        <w:tabs>
          <w:tab w:pos="790" w:val="left"/>
        </w:tabs>
        <w:bidi w:val="0"/>
        <w:spacing w:before="0" w:after="0" w:line="414" w:lineRule="exact"/>
        <w:ind w:left="0" w:right="0" w:firstLine="440"/>
        <w:jc w:val="both"/>
      </w:pPr>
      <w:bookmarkStart w:id="387" w:name="bookmark387"/>
      <w:r>
        <w:rPr>
          <w:color w:val="000000"/>
          <w:spacing w:val="0"/>
          <w:w w:val="100"/>
          <w:position w:val="0"/>
        </w:rPr>
        <w:t>2</w:t>
      </w:r>
      <w:bookmarkEnd w:id="387"/>
      <w:r>
        <w:rPr>
          <w:color w:val="000000"/>
          <w:spacing w:val="0"/>
          <w:w w:val="100"/>
          <w:position w:val="0"/>
        </w:rPr>
        <w:t>、</w:t>
        <w:tab/>
        <w:t>人员方面：公司在劳动、人事及工资管理等各方面均独立于控股股东。高级管理人员均在公司领 取报酬，未在控股股东或股东关联单位担任除董事以外的任何职务；</w:t>
      </w:r>
    </w:p>
    <w:p>
      <w:pPr>
        <w:pStyle w:val="Style36"/>
        <w:keepNext w:val="0"/>
        <w:keepLines w:val="0"/>
        <w:widowControl w:val="0"/>
        <w:shd w:val="clear" w:color="auto" w:fill="auto"/>
        <w:tabs>
          <w:tab w:pos="786" w:val="left"/>
        </w:tabs>
        <w:bidi w:val="0"/>
        <w:spacing w:before="0" w:after="0" w:line="414" w:lineRule="exact"/>
        <w:ind w:left="0" w:right="0" w:firstLine="440"/>
        <w:jc w:val="both"/>
      </w:pPr>
      <w:bookmarkStart w:id="388" w:name="bookmark388"/>
      <w:r>
        <w:rPr>
          <w:color w:val="000000"/>
          <w:spacing w:val="0"/>
          <w:w w:val="100"/>
          <w:position w:val="0"/>
        </w:rPr>
        <w:t>3</w:t>
      </w:r>
      <w:bookmarkEnd w:id="388"/>
      <w:r>
        <w:rPr>
          <w:color w:val="000000"/>
          <w:spacing w:val="0"/>
          <w:w w:val="100"/>
          <w:position w:val="0"/>
        </w:rPr>
        <w:t>、</w:t>
        <w:tab/>
        <w:t>资产方面：公司生产经营场所及土地使用权情况、商标注册及使用情况独立，各发起人投入股份 公司的资产权属明确；</w:t>
      </w:r>
    </w:p>
    <w:p>
      <w:pPr>
        <w:pStyle w:val="Style36"/>
        <w:keepNext w:val="0"/>
        <w:keepLines w:val="0"/>
        <w:widowControl w:val="0"/>
        <w:shd w:val="clear" w:color="auto" w:fill="auto"/>
        <w:tabs>
          <w:tab w:pos="776" w:val="left"/>
        </w:tabs>
        <w:bidi w:val="0"/>
        <w:spacing w:before="0" w:after="0" w:line="414" w:lineRule="exact"/>
        <w:ind w:left="0" w:right="0" w:firstLine="440"/>
        <w:jc w:val="both"/>
      </w:pPr>
      <w:bookmarkStart w:id="389" w:name="bookmark389"/>
      <w:r>
        <w:rPr>
          <w:color w:val="000000"/>
          <w:spacing w:val="0"/>
          <w:w w:val="100"/>
          <w:position w:val="0"/>
        </w:rPr>
        <w:t>4</w:t>
      </w:r>
      <w:bookmarkEnd w:id="389"/>
      <w:r>
        <w:rPr>
          <w:color w:val="000000"/>
          <w:spacing w:val="0"/>
          <w:w w:val="100"/>
          <w:position w:val="0"/>
        </w:rPr>
        <w:t>、</w:t>
        <w:tab/>
        <w:t>机构方面：公司组织体系健全，董事会、监事会、管理层及部门运作独立，不存在与控股股东之 间的从属关系；</w:t>
      </w:r>
    </w:p>
    <w:p>
      <w:pPr>
        <w:pStyle w:val="Style36"/>
        <w:keepNext w:val="0"/>
        <w:keepLines w:val="0"/>
        <w:widowControl w:val="0"/>
        <w:shd w:val="clear" w:color="auto" w:fill="auto"/>
        <w:tabs>
          <w:tab w:pos="795" w:val="left"/>
        </w:tabs>
        <w:bidi w:val="0"/>
        <w:spacing w:before="0" w:after="480" w:line="414" w:lineRule="exact"/>
        <w:ind w:left="0" w:right="0" w:firstLine="440"/>
        <w:jc w:val="both"/>
      </w:pPr>
      <w:bookmarkStart w:id="390" w:name="bookmark390"/>
      <w:r>
        <w:rPr>
          <w:color w:val="000000"/>
          <w:spacing w:val="0"/>
          <w:w w:val="100"/>
          <w:position w:val="0"/>
        </w:rPr>
        <w:t>5</w:t>
      </w:r>
      <w:bookmarkEnd w:id="390"/>
      <w:r>
        <w:rPr>
          <w:color w:val="000000"/>
          <w:spacing w:val="0"/>
          <w:w w:val="100"/>
          <w:position w:val="0"/>
        </w:rPr>
        <w:t>、</w:t>
        <w:tab/>
        <w:t>财务方面：设有独立的财务部门，并建立了独立的会计核算体系和财务管理制度，独立在银行开 户、并依法独立纳税。</w:t>
      </w:r>
    </w:p>
    <w:p>
      <w:pPr>
        <w:pStyle w:val="Style27"/>
        <w:keepNext/>
        <w:keepLines/>
        <w:widowControl w:val="0"/>
        <w:shd w:val="clear" w:color="auto" w:fill="auto"/>
        <w:tabs>
          <w:tab w:pos="522" w:val="left"/>
        </w:tabs>
        <w:bidi w:val="0"/>
        <w:spacing w:before="0" w:after="1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七</w:t>
      </w:r>
      <w:bookmarkEnd w:id="393"/>
      <w:r>
        <w:rPr>
          <w:color w:val="000000"/>
          <w:spacing w:val="0"/>
          <w:w w:val="100"/>
          <w:position w:val="0"/>
        </w:rPr>
        <w:t>、</w:t>
        <w:tab/>
        <w:t>高级管理人员的考评及激励情况</w:t>
      </w:r>
      <w:bookmarkEnd w:id="391"/>
      <w:bookmarkEnd w:id="392"/>
      <w:bookmarkEnd w:id="394"/>
    </w:p>
    <w:p>
      <w:pPr>
        <w:pStyle w:val="Style36"/>
        <w:keepNext w:val="0"/>
        <w:keepLines w:val="0"/>
        <w:widowControl w:val="0"/>
        <w:shd w:val="clear" w:color="auto" w:fill="auto"/>
        <w:bidi w:val="0"/>
        <w:spacing w:before="0" w:after="200" w:line="403" w:lineRule="exact"/>
        <w:ind w:left="0" w:right="0" w:firstLine="440"/>
        <w:jc w:val="both"/>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1282" w:right="1031" w:bottom="1460" w:left="1082" w:header="0" w:footer="3" w:gutter="0"/>
          <w:cols w:space="720"/>
          <w:noEndnote/>
          <w:rtlGutter w:val="0"/>
          <w:docGrid w:linePitch="360"/>
        </w:sectPr>
      </w:pPr>
      <w:r>
        <w:rPr>
          <w:color w:val="000000"/>
          <w:spacing w:val="0"/>
          <w:w w:val="100"/>
          <w:position w:val="0"/>
        </w:rPr>
        <w:t>根据《上市公司治理准则》的要求，公司建立了《董事、监事及高级管理人员薪酬管理制度》及考核 激励体系，且高级管理人员全部由董事会聘任，直接对董事会负责，承担董事会下达的经营指标。董事会</w:t>
      </w:r>
    </w:p>
    <w:p>
      <w:pPr>
        <w:pStyle w:val="Style36"/>
        <w:keepNext w:val="0"/>
        <w:keepLines w:val="0"/>
        <w:widowControl w:val="0"/>
        <w:shd w:val="clear" w:color="auto" w:fill="auto"/>
        <w:bidi w:val="0"/>
        <w:spacing w:before="0" w:after="13180" w:line="408" w:lineRule="exact"/>
        <w:ind w:left="0" w:right="0" w:firstLine="0"/>
        <w:jc w:val="left"/>
      </w:pPr>
      <w:r>
        <w:rPr>
          <w:color w:val="000000"/>
          <w:spacing w:val="0"/>
          <w:w w:val="100"/>
          <w:position w:val="0"/>
        </w:rPr>
        <w:t>下设的薪酬与考核委员会负责对高级管理人员的工作能力、履职情况、责任目标完成情况等进行年终考评, 制定薪酬方案并报董事会审批。</w:t>
      </w:r>
    </w:p>
    <w:p>
      <w:pPr>
        <w:widowControl w:val="0"/>
        <w:jc w:val="center"/>
        <w:rPr>
          <w:sz w:val="2"/>
          <w:szCs w:val="2"/>
        </w:rPr>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292" w:right="1004" w:bottom="125" w:left="1109" w:header="0" w:footer="3" w:gutter="0"/>
          <w:cols w:space="720"/>
          <w:noEndnote/>
          <w:rtlGutter w:val="0"/>
          <w:docGrid w:linePitch="360"/>
        </w:sectPr>
      </w:pPr>
      <w:r>
        <w:drawing>
          <wp:inline>
            <wp:extent cx="1718945" cy="981710"/>
            <wp:docPr id="347" name="Picutre 347"/>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29"/>
                    <a:stretch/>
                  </pic:blipFill>
                  <pic:spPr>
                    <a:xfrm>
                      <a:ext cx="1718945" cy="981710"/>
                    </a:xfrm>
                    <a:prstGeom prst="rect"/>
                  </pic:spPr>
                </pic:pic>
              </a:graphicData>
            </a:graphic>
          </wp:inline>
        </w:drawing>
      </w:r>
    </w:p>
    <w:p>
      <w:pPr>
        <w:pStyle w:val="Style12"/>
        <w:keepNext/>
        <w:keepLines/>
        <w:widowControl w:val="0"/>
        <w:shd w:val="clear" w:color="auto" w:fill="auto"/>
        <w:bidi w:val="0"/>
        <w:spacing w:before="640" w:line="240" w:lineRule="auto"/>
        <w:ind w:left="0" w:right="0" w:firstLine="0"/>
        <w:jc w:val="center"/>
      </w:pPr>
      <w:bookmarkStart w:id="395" w:name="bookmark395"/>
      <w:bookmarkStart w:id="396" w:name="bookmark396"/>
      <w:bookmarkStart w:id="397" w:name="bookmark397"/>
      <w:r>
        <w:rPr>
          <w:color w:val="000000"/>
          <w:spacing w:val="0"/>
          <w:w w:val="100"/>
          <w:position w:val="0"/>
        </w:rPr>
        <w:t>第九节内部控制</w:t>
      </w:r>
      <w:bookmarkEnd w:id="395"/>
      <w:bookmarkEnd w:id="396"/>
      <w:bookmarkEnd w:id="397"/>
    </w:p>
    <w:p>
      <w:pPr>
        <w:pStyle w:val="Style27"/>
        <w:keepNext/>
        <w:keepLines/>
        <w:widowControl w:val="0"/>
        <w:shd w:val="clear" w:color="auto" w:fill="auto"/>
        <w:bidi w:val="0"/>
        <w:spacing w:before="0" w:after="160" w:line="240" w:lineRule="auto"/>
        <w:ind w:left="0" w:right="0" w:firstLine="0"/>
        <w:jc w:val="both"/>
      </w:pPr>
      <w:bookmarkStart w:id="398" w:name="bookmark398"/>
      <w:bookmarkStart w:id="399" w:name="bookmark399"/>
      <w:bookmarkStart w:id="400" w:name="bookmark400"/>
      <w:bookmarkStart w:id="401" w:name="bookmark401"/>
      <w:r>
        <w:rPr>
          <w:color w:val="000000"/>
          <w:spacing w:val="0"/>
          <w:w w:val="100"/>
          <w:position w:val="0"/>
        </w:rPr>
        <w:t>一</w:t>
      </w:r>
      <w:bookmarkEnd w:id="400"/>
      <w:r>
        <w:rPr>
          <w:color w:val="000000"/>
          <w:spacing w:val="0"/>
          <w:w w:val="100"/>
          <w:position w:val="0"/>
        </w:rPr>
        <w:t>、内部控制建设情况</w:t>
      </w:r>
      <w:bookmarkEnd w:id="398"/>
      <w:bookmarkEnd w:id="399"/>
      <w:bookmarkEnd w:id="401"/>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公司根据《公司法》、《证券法》、《深圳证券交易所股票上市规则》、《企业内部控制基本规范》 等有关法律、法规和规章制度，结合公司的实际情况、自身特点和管理需要，制定了一系列公司内部管理 制度。各项制度建立后均得到有效执行，对公司的经营和管理起到了有效的监督、控制和指导作用。</w:t>
      </w:r>
    </w:p>
    <w:p>
      <w:pPr>
        <w:pStyle w:val="Style36"/>
        <w:keepNext w:val="0"/>
        <w:keepLines w:val="0"/>
        <w:widowControl w:val="0"/>
        <w:shd w:val="clear" w:color="auto" w:fill="auto"/>
        <w:tabs>
          <w:tab w:pos="736" w:val="left"/>
        </w:tabs>
        <w:bidi w:val="0"/>
        <w:spacing w:before="0" w:after="0" w:line="410" w:lineRule="exact"/>
        <w:ind w:left="0" w:right="0" w:firstLine="440"/>
        <w:jc w:val="both"/>
      </w:pPr>
      <w:bookmarkStart w:id="402" w:name="bookmark402"/>
      <w:r>
        <w:rPr>
          <w:color w:val="000000"/>
          <w:spacing w:val="0"/>
          <w:w w:val="100"/>
          <w:position w:val="0"/>
        </w:rPr>
        <w:t>1</w:t>
      </w:r>
      <w:bookmarkEnd w:id="402"/>
      <w:r>
        <w:rPr>
          <w:color w:val="000000"/>
          <w:spacing w:val="0"/>
          <w:w w:val="100"/>
          <w:position w:val="0"/>
        </w:rPr>
        <w:t>、</w:t>
        <w:tab/>
        <w:t>在经营管理控制方面，公司明确了各部门的工作权限与职责，针对管理层、职能部门、事业部、 子公司建立了一系列考核激励机制，规定了销售与收款、采购及付款、工程项目施工管理、生产过程管理、 销售等程序与工作流程，建立了质量管理体系，通过了</w:t>
      </w:r>
      <w:r>
        <w:rPr>
          <w:color w:val="000000"/>
          <w:spacing w:val="0"/>
          <w:w w:val="100"/>
          <w:position w:val="0"/>
        </w:rPr>
        <w:t>IS014001</w:t>
      </w:r>
      <w:r>
        <w:rPr>
          <w:color w:val="000000"/>
          <w:spacing w:val="0"/>
          <w:w w:val="100"/>
          <w:position w:val="0"/>
        </w:rPr>
        <w:t>、</w:t>
      </w:r>
      <w:r>
        <w:rPr>
          <w:color w:val="000000"/>
          <w:spacing w:val="0"/>
          <w:w w:val="100"/>
          <w:position w:val="0"/>
        </w:rPr>
        <w:t>0HS18001</w:t>
      </w:r>
      <w:r>
        <w:rPr>
          <w:color w:val="000000"/>
          <w:spacing w:val="0"/>
          <w:w w:val="100"/>
          <w:position w:val="0"/>
        </w:rPr>
        <w:t>体系认证，使公司的经营运作 得到有效控制。</w:t>
      </w:r>
    </w:p>
    <w:p>
      <w:pPr>
        <w:pStyle w:val="Style36"/>
        <w:keepNext w:val="0"/>
        <w:keepLines w:val="0"/>
        <w:widowControl w:val="0"/>
        <w:shd w:val="clear" w:color="auto" w:fill="auto"/>
        <w:tabs>
          <w:tab w:pos="736" w:val="left"/>
        </w:tabs>
        <w:bidi w:val="0"/>
        <w:spacing w:before="0" w:after="0" w:line="410" w:lineRule="exact"/>
        <w:ind w:left="0" w:right="0" w:firstLine="440"/>
        <w:jc w:val="both"/>
      </w:pPr>
      <w:bookmarkStart w:id="403" w:name="bookmark403"/>
      <w:r>
        <w:rPr>
          <w:color w:val="000000"/>
          <w:spacing w:val="0"/>
          <w:w w:val="100"/>
          <w:position w:val="0"/>
        </w:rPr>
        <w:t>2</w:t>
      </w:r>
      <w:bookmarkEnd w:id="403"/>
      <w:r>
        <w:rPr>
          <w:color w:val="000000"/>
          <w:spacing w:val="0"/>
          <w:w w:val="100"/>
          <w:position w:val="0"/>
        </w:rPr>
        <w:t>、</w:t>
        <w:tab/>
        <w:t>在财务管理控制方面，公司根据《企业会计准则》等相关法律、法规，结合公司的具体情况制定 了《财务管理制度》、《财务报告内部控制制度》及《资产管理制度》，作为财务管理和会计核算工作的 依据，保证了财务信息的真实性、准确性和有效性及公司资产的安全与完整。报告期内，公司未发现财务 管理控制存在重大缺陷的具体情况。</w:t>
      </w:r>
    </w:p>
    <w:p>
      <w:pPr>
        <w:pStyle w:val="Style36"/>
        <w:keepNext w:val="0"/>
        <w:keepLines w:val="0"/>
        <w:widowControl w:val="0"/>
        <w:shd w:val="clear" w:color="auto" w:fill="auto"/>
        <w:tabs>
          <w:tab w:pos="741" w:val="left"/>
        </w:tabs>
        <w:bidi w:val="0"/>
        <w:spacing w:before="0" w:after="0" w:line="410" w:lineRule="exact"/>
        <w:ind w:left="0" w:right="0" w:firstLine="440"/>
        <w:jc w:val="both"/>
      </w:pPr>
      <w:bookmarkStart w:id="404" w:name="bookmark404"/>
      <w:r>
        <w:rPr>
          <w:color w:val="000000"/>
          <w:spacing w:val="0"/>
          <w:w w:val="100"/>
          <w:position w:val="0"/>
        </w:rPr>
        <w:t>3</w:t>
      </w:r>
      <w:bookmarkEnd w:id="404"/>
      <w:r>
        <w:rPr>
          <w:color w:val="000000"/>
          <w:spacing w:val="0"/>
          <w:w w:val="100"/>
          <w:position w:val="0"/>
        </w:rPr>
        <w:t>、</w:t>
        <w:tab/>
        <w:t>在对外投资管理控制方面，公司制定了《对外投资管理制度》，明确了重大投资的审批权限和审 批程序，建立了严格的投资审查和决策程序，对报告期内的投资行为进行了可行性论证及尽职调查后，提 交董事会、股东会审议通过。</w:t>
      </w:r>
      <w:r>
        <w:rPr>
          <w:color w:val="000000"/>
          <w:spacing w:val="0"/>
          <w:w w:val="100"/>
          <w:position w:val="0"/>
        </w:rPr>
        <w:t>2013</w:t>
      </w:r>
      <w:r>
        <w:rPr>
          <w:color w:val="000000"/>
          <w:spacing w:val="0"/>
          <w:w w:val="100"/>
          <w:position w:val="0"/>
        </w:rPr>
        <w:t>年度，公司与东兴企业澳门离岸商业服务有限公司对外投资设立了深圳 达实融资租赁有限公司，分别经公司第四届董事会第二十三次会议、</w:t>
      </w:r>
      <w:r>
        <w:rPr>
          <w:color w:val="000000"/>
          <w:spacing w:val="0"/>
          <w:w w:val="100"/>
          <w:position w:val="0"/>
        </w:rPr>
        <w:t>2012</w:t>
      </w:r>
      <w:r>
        <w:rPr>
          <w:color w:val="000000"/>
          <w:spacing w:val="0"/>
          <w:w w:val="100"/>
          <w:position w:val="0"/>
        </w:rPr>
        <w:t>年度股东大会审议批准。</w:t>
      </w:r>
    </w:p>
    <w:p>
      <w:pPr>
        <w:pStyle w:val="Style36"/>
        <w:keepNext w:val="0"/>
        <w:keepLines w:val="0"/>
        <w:widowControl w:val="0"/>
        <w:shd w:val="clear" w:color="auto" w:fill="auto"/>
        <w:tabs>
          <w:tab w:pos="731" w:val="left"/>
        </w:tabs>
        <w:bidi w:val="0"/>
        <w:spacing w:before="0" w:after="0" w:line="410" w:lineRule="exact"/>
        <w:ind w:left="0" w:right="0" w:firstLine="440"/>
        <w:jc w:val="both"/>
      </w:pPr>
      <w:bookmarkStart w:id="405" w:name="bookmark405"/>
      <w:r>
        <w:rPr>
          <w:color w:val="000000"/>
          <w:spacing w:val="0"/>
          <w:w w:val="100"/>
          <w:position w:val="0"/>
        </w:rPr>
        <w:t>4</w:t>
      </w:r>
      <w:bookmarkEnd w:id="405"/>
      <w:r>
        <w:rPr>
          <w:color w:val="000000"/>
          <w:spacing w:val="0"/>
          <w:w w:val="100"/>
          <w:position w:val="0"/>
        </w:rPr>
        <w:t>、</w:t>
        <w:tab/>
        <w:t>在对外担保管理控制方面，公司按照监管部门的相关要求制定了《对外担保管理办法》，对担保 的基本原则、担保的审批权限和审批程序、担保对象的限制条件都做了明确规定。经</w:t>
      </w:r>
      <w:r>
        <w:rPr>
          <w:color w:val="000000"/>
          <w:spacing w:val="0"/>
          <w:w w:val="100"/>
          <w:position w:val="0"/>
        </w:rPr>
        <w:t>2013</w:t>
      </w:r>
      <w:r>
        <w:rPr>
          <w:color w:val="000000"/>
          <w:spacing w:val="0"/>
          <w:w w:val="100"/>
          <w:position w:val="0"/>
        </w:rPr>
        <w:t>年第二次临时股 东大会批准，公司审议通过了《关于为深圳达实信息技术有限公司提供担保的议案》</w:t>
      </w:r>
      <w:r>
        <w:rPr>
          <w:color w:val="000000"/>
          <w:spacing w:val="0"/>
          <w:w w:val="100"/>
          <w:position w:val="0"/>
        </w:rPr>
        <w:t>，</w:t>
      </w: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日，达实信息已向招商银行申请授信额度</w:t>
      </w:r>
      <w:r>
        <w:rPr>
          <w:color w:val="000000"/>
          <w:spacing w:val="0"/>
          <w:w w:val="100"/>
          <w:position w:val="0"/>
        </w:rPr>
        <w:t>1,000</w:t>
      </w:r>
      <w:r>
        <w:rPr>
          <w:color w:val="000000"/>
          <w:spacing w:val="0"/>
          <w:w w:val="100"/>
          <w:position w:val="0"/>
        </w:rPr>
        <w:t>万元，公司已为此授信提供了担保。</w:t>
      </w:r>
    </w:p>
    <w:p>
      <w:pPr>
        <w:pStyle w:val="Style36"/>
        <w:keepNext w:val="0"/>
        <w:keepLines w:val="0"/>
        <w:widowControl w:val="0"/>
        <w:shd w:val="clear" w:color="auto" w:fill="auto"/>
        <w:tabs>
          <w:tab w:pos="741" w:val="left"/>
        </w:tabs>
        <w:bidi w:val="0"/>
        <w:spacing w:before="0" w:after="0" w:line="410" w:lineRule="exact"/>
        <w:ind w:left="0" w:right="0" w:firstLine="440"/>
        <w:jc w:val="both"/>
      </w:pPr>
      <w:bookmarkStart w:id="406" w:name="bookmark406"/>
      <w:r>
        <w:rPr>
          <w:color w:val="000000"/>
          <w:spacing w:val="0"/>
          <w:w w:val="100"/>
          <w:position w:val="0"/>
        </w:rPr>
        <w:t>5</w:t>
      </w:r>
      <w:bookmarkEnd w:id="406"/>
      <w:r>
        <w:rPr>
          <w:color w:val="000000"/>
          <w:spacing w:val="0"/>
          <w:w w:val="100"/>
          <w:position w:val="0"/>
        </w:rPr>
        <w:t>、</w:t>
        <w:tab/>
        <w:t>在关联交易管理控制方面，公司制定了《关联交易管理办法》，对关联人的认定、交易范围、决 策程序及信息披露原则均作了明确规定，并建立独立董事的审查机制。报告期内，公司与界首达实置业有 限公司发生的关联交易已遵照相关规定执行，与东兴企业澳门离岸商业服务有限公司组建融资租赁公司事 项也经过了严格的审批程序。独立董事、监事会分别对关联交易事项进行了监督核查。</w:t>
      </w:r>
    </w:p>
    <w:p>
      <w:pPr>
        <w:pStyle w:val="Style36"/>
        <w:keepNext w:val="0"/>
        <w:keepLines w:val="0"/>
        <w:widowControl w:val="0"/>
        <w:shd w:val="clear" w:color="auto" w:fill="auto"/>
        <w:tabs>
          <w:tab w:pos="736" w:val="left"/>
        </w:tabs>
        <w:bidi w:val="0"/>
        <w:spacing w:before="0" w:after="0" w:line="410" w:lineRule="exact"/>
        <w:ind w:left="0" w:right="0" w:firstLine="440"/>
        <w:jc w:val="both"/>
      </w:pPr>
      <w:bookmarkStart w:id="407" w:name="bookmark407"/>
      <w:r>
        <w:rPr>
          <w:color w:val="000000"/>
          <w:spacing w:val="0"/>
          <w:w w:val="100"/>
          <w:position w:val="0"/>
        </w:rPr>
        <w:t>6</w:t>
      </w:r>
      <w:bookmarkEnd w:id="407"/>
      <w:r>
        <w:rPr>
          <w:color w:val="000000"/>
          <w:spacing w:val="0"/>
          <w:w w:val="100"/>
          <w:position w:val="0"/>
        </w:rPr>
        <w:t>、</w:t>
        <w:tab/>
        <w:t>在募集资金管理控制方面，公司根据中国证监会关于加强募集资金管理的有关规定，制定了《募 集资金管理制度》，公司对募集资金采取专户存储、专款专用的原则，明确了募集资金的管理、使用、审 批程序、监督和责任追究等内容。报告期内，公司不存在违规使用募集资金的现象。</w:t>
      </w:r>
    </w:p>
    <w:p>
      <w:pPr>
        <w:pStyle w:val="Style36"/>
        <w:keepNext w:val="0"/>
        <w:keepLines w:val="0"/>
        <w:widowControl w:val="0"/>
        <w:shd w:val="clear" w:color="auto" w:fill="auto"/>
        <w:tabs>
          <w:tab w:pos="719" w:val="left"/>
        </w:tabs>
        <w:bidi w:val="0"/>
        <w:spacing w:before="0" w:after="0" w:line="410" w:lineRule="exact"/>
        <w:ind w:left="0" w:right="0" w:firstLine="440"/>
        <w:jc w:val="both"/>
      </w:pPr>
      <w:bookmarkStart w:id="408" w:name="bookmark408"/>
      <w:r>
        <w:rPr>
          <w:color w:val="000000"/>
          <w:spacing w:val="0"/>
          <w:w w:val="100"/>
          <w:position w:val="0"/>
        </w:rPr>
        <w:t>7</w:t>
      </w:r>
      <w:bookmarkEnd w:id="408"/>
      <w:r>
        <w:rPr>
          <w:color w:val="000000"/>
          <w:spacing w:val="0"/>
          <w:w w:val="100"/>
          <w:position w:val="0"/>
        </w:rPr>
        <w:t>、</w:t>
        <w:tab/>
        <w:t>在信息披露管理控制方面，公司制定了《信息披露管理办法》、《内幕信息知情人登记管理制度》、 《年报信息披露重大差错责任追究制度》及《重大信息内部报告制度》，分别对信息披露的基本原则，信</w:t>
      </w:r>
    </w:p>
    <w:p>
      <w:pPr>
        <w:pStyle w:val="Style36"/>
        <w:keepNext w:val="0"/>
        <w:keepLines w:val="0"/>
        <w:widowControl w:val="0"/>
        <w:shd w:val="clear" w:color="auto" w:fill="auto"/>
        <w:bidi w:val="0"/>
        <w:spacing w:before="0" w:after="0" w:line="410" w:lineRule="exact"/>
        <w:ind w:left="0" w:right="0" w:firstLine="0"/>
        <w:jc w:val="both"/>
      </w:pPr>
      <w:r>
        <w:rPr>
          <w:color w:val="000000"/>
          <w:spacing w:val="0"/>
          <w:w w:val="100"/>
          <w:position w:val="0"/>
        </w:rPr>
        <w:t xml:space="preserve">息披露的内容、信息披露程序与传递、信息披露的责任划分、信息披露的方式、档案管理、内幕信息知情 </w:t>
      </w:r>
      <w:r>
        <w:rPr>
          <w:color w:val="000000"/>
          <w:spacing w:val="0"/>
          <w:w w:val="100"/>
          <w:position w:val="0"/>
        </w:rPr>
        <w:t>人范围和保密措施以及责任追究做了明确规定。报告期内，公司按要求履行了信息披露义务，未发生违规 行为。</w:t>
      </w:r>
    </w:p>
    <w:p>
      <w:pPr>
        <w:pStyle w:val="Style36"/>
        <w:keepNext w:val="0"/>
        <w:keepLines w:val="0"/>
        <w:widowControl w:val="0"/>
        <w:shd w:val="clear" w:color="auto" w:fill="auto"/>
        <w:tabs>
          <w:tab w:pos="734" w:val="left"/>
        </w:tabs>
        <w:bidi w:val="0"/>
        <w:spacing w:before="0" w:after="0" w:line="418" w:lineRule="exact"/>
        <w:ind w:left="0" w:right="0" w:firstLine="440"/>
        <w:jc w:val="both"/>
      </w:pPr>
      <w:bookmarkStart w:id="409" w:name="bookmark409"/>
      <w:r>
        <w:rPr>
          <w:color w:val="000000"/>
          <w:spacing w:val="0"/>
          <w:w w:val="100"/>
          <w:position w:val="0"/>
        </w:rPr>
        <w:t>8</w:t>
      </w:r>
      <w:bookmarkEnd w:id="409"/>
      <w:r>
        <w:rPr>
          <w:color w:val="000000"/>
          <w:spacing w:val="0"/>
          <w:w w:val="100"/>
          <w:position w:val="0"/>
        </w:rPr>
        <w:t>、</w:t>
        <w:tab/>
        <w:t>在子公司管理控制方面，公司制定了《子公司管理制度》，规定子公司的经营及发展必须服从于 公司的发展战略和总体规划，其重要人事变动、重大经济活动等均需报公司相关职能部门审核和备案。公 司通过财务报表、经营会议等方式及时掌握子公司的生产经营情况，重点关注和控制财务风险和经营风险。</w:t>
      </w:r>
    </w:p>
    <w:p>
      <w:pPr>
        <w:pStyle w:val="Style36"/>
        <w:keepNext w:val="0"/>
        <w:keepLines w:val="0"/>
        <w:widowControl w:val="0"/>
        <w:shd w:val="clear" w:color="auto" w:fill="auto"/>
        <w:tabs>
          <w:tab w:pos="738" w:val="left"/>
        </w:tabs>
        <w:bidi w:val="0"/>
        <w:spacing w:before="0" w:after="480" w:line="414" w:lineRule="exact"/>
        <w:ind w:left="0" w:right="0" w:firstLine="440"/>
        <w:jc w:val="both"/>
      </w:pPr>
      <w:bookmarkStart w:id="410" w:name="bookmark410"/>
      <w:r>
        <w:rPr>
          <w:color w:val="000000"/>
          <w:spacing w:val="0"/>
          <w:w w:val="100"/>
          <w:position w:val="0"/>
        </w:rPr>
        <w:t>9</w:t>
      </w:r>
      <w:bookmarkEnd w:id="410"/>
      <w:r>
        <w:rPr>
          <w:color w:val="000000"/>
          <w:spacing w:val="0"/>
          <w:w w:val="100"/>
          <w:position w:val="0"/>
        </w:rPr>
        <w:t>、</w:t>
        <w:tab/>
        <w:t>在内部监督控制活动方面，公司指定审计部履行内部控制监督职责。审计部定期开展针对内控管 理、募集资金的存放和使用、对外投资与担保、关联交易等事项的审计，向董事会审计委员会报告相关审 计工作情况，由其监督审计计划的实施和审计工作的完成情况，促进内部监督控制工作更趋于规范化、制 度化。</w:t>
      </w:r>
    </w:p>
    <w:p>
      <w:pPr>
        <w:pStyle w:val="Style27"/>
        <w:keepNext/>
        <w:keepLines/>
        <w:widowControl w:val="0"/>
        <w:shd w:val="clear" w:color="auto" w:fill="auto"/>
        <w:tabs>
          <w:tab w:pos="485" w:val="left"/>
        </w:tabs>
        <w:bidi w:val="0"/>
        <w:spacing w:before="0" w:after="14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二</w:t>
      </w:r>
      <w:bookmarkEnd w:id="413"/>
      <w:r>
        <w:rPr>
          <w:color w:val="000000"/>
          <w:spacing w:val="0"/>
          <w:w w:val="100"/>
          <w:position w:val="0"/>
        </w:rPr>
        <w:t>、</w:t>
        <w:tab/>
        <w:t>董事会关于内部控制责任的声明</w:t>
      </w:r>
      <w:bookmarkEnd w:id="411"/>
      <w:bookmarkEnd w:id="412"/>
      <w:bookmarkEnd w:id="414"/>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 公司内部控制的目标是合理保证经营管理合法合规、资产安全、财务报告及相关信息真实完整，提高经营 效率和效果，促进实现发展战略。由于内部控制存在的固有局限性，故仅能为实现上述目标提供合理保证。 此外，由于情况的变化可能导致内部控制变得不恰当，或对控制政策和程序遵循的程度降低，根据内部控 制评价结果推测未来内部控制的有效性具有一定的风险。</w:t>
      </w:r>
    </w:p>
    <w:p>
      <w:pPr>
        <w:pStyle w:val="Style36"/>
        <w:keepNext w:val="0"/>
        <w:keepLines w:val="0"/>
        <w:widowControl w:val="0"/>
        <w:shd w:val="clear" w:color="auto" w:fill="auto"/>
        <w:bidi w:val="0"/>
        <w:spacing w:before="0" w:after="480" w:line="418" w:lineRule="exact"/>
        <w:ind w:left="0" w:right="0" w:firstLine="440"/>
        <w:jc w:val="both"/>
      </w:pPr>
      <w:r>
        <w:rPr>
          <w:color w:val="000000"/>
          <w:spacing w:val="0"/>
          <w:w w:val="100"/>
          <w:position w:val="0"/>
        </w:rPr>
        <w:t>董事会出具了</w:t>
      </w:r>
      <w:r>
        <w:rPr>
          <w:i/>
          <w:iCs/>
          <w:color w:val="000000"/>
          <w:spacing w:val="0"/>
          <w:w w:val="100"/>
          <w:position w:val="0"/>
        </w:rPr>
        <w:t>《</w:t>
      </w:r>
      <w:r>
        <w:rPr>
          <w:color w:val="000000"/>
          <w:spacing w:val="0"/>
          <w:w w:val="100"/>
          <w:position w:val="0"/>
        </w:rPr>
        <w:t>2013</w:t>
      </w:r>
      <w:r>
        <w:rPr>
          <w:color w:val="000000"/>
          <w:spacing w:val="0"/>
          <w:w w:val="100"/>
          <w:position w:val="0"/>
        </w:rPr>
        <w:t>年度内部控制的自我评价报告》</w:t>
      </w:r>
      <w:r>
        <w:rPr>
          <w:color w:val="000000"/>
          <w:spacing w:val="0"/>
          <w:w w:val="100"/>
          <w:position w:val="0"/>
        </w:rPr>
        <w:t>，</w:t>
      </w:r>
      <w:r>
        <w:rPr>
          <w:color w:val="000000"/>
          <w:spacing w:val="0"/>
          <w:w w:val="100"/>
          <w:position w:val="0"/>
        </w:rPr>
        <w:t>刊登在</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 xml:space="preserve">日巨潮资讯网 </w:t>
      </w:r>
      <w:r>
        <w:rPr>
          <w:color w:val="000000"/>
          <w:spacing w:val="0"/>
          <w:w w:val="100"/>
          <w:position w:val="0"/>
        </w:rPr>
        <w:t>(www.cninfo.com.cn)</w:t>
      </w:r>
      <w:r>
        <w:rPr>
          <w:color w:val="000000"/>
          <w:spacing w:val="0"/>
          <w:w w:val="100"/>
          <w:position w:val="0"/>
        </w:rPr>
        <w:t>上，公司董事会及全体董事保证报告内容不存在任何虚假记载、误导性陈述或重大 遗漏，并对报告内容的真实性、准确性和完整性承担个别及连带责任。</w:t>
      </w:r>
    </w:p>
    <w:p>
      <w:pPr>
        <w:pStyle w:val="Style27"/>
        <w:keepNext/>
        <w:keepLines/>
        <w:widowControl w:val="0"/>
        <w:shd w:val="clear" w:color="auto" w:fill="auto"/>
        <w:tabs>
          <w:tab w:pos="485" w:val="left"/>
        </w:tabs>
        <w:bidi w:val="0"/>
        <w:spacing w:before="0" w:after="14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三</w:t>
      </w:r>
      <w:bookmarkEnd w:id="417"/>
      <w:r>
        <w:rPr>
          <w:color w:val="000000"/>
          <w:spacing w:val="0"/>
          <w:w w:val="100"/>
          <w:position w:val="0"/>
        </w:rPr>
        <w:t>、</w:t>
        <w:tab/>
        <w:t>建立财务报告内部控制的依据</w:t>
      </w:r>
      <w:bookmarkEnd w:id="415"/>
      <w:bookmarkEnd w:id="416"/>
      <w:bookmarkEnd w:id="418"/>
    </w:p>
    <w:p>
      <w:pPr>
        <w:pStyle w:val="Style36"/>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公司依据《公司法》、《会计法》、《企业会计准则》和《企业内部控制基本规范》以及监管部门的 相关规范性文件为依据，建立了财务报告内部控制。报告期内，公司财务报告内部控制不存在重大缺陷。</w:t>
      </w:r>
    </w:p>
    <w:p>
      <w:pPr>
        <w:pStyle w:val="Style27"/>
        <w:keepNext/>
        <w:keepLines/>
        <w:widowControl w:val="0"/>
        <w:shd w:val="clear" w:color="auto" w:fill="auto"/>
        <w:tabs>
          <w:tab w:pos="485" w:val="left"/>
        </w:tabs>
        <w:bidi w:val="0"/>
        <w:spacing w:before="0" w:after="32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四</w:t>
      </w:r>
      <w:bookmarkEnd w:id="421"/>
      <w:r>
        <w:rPr>
          <w:color w:val="000000"/>
          <w:spacing w:val="0"/>
          <w:w w:val="100"/>
          <w:position w:val="0"/>
        </w:rPr>
        <w:t>、</w:t>
        <w:tab/>
        <w:t>内部控制自我评价报告</w:t>
      </w:r>
      <w:bookmarkEnd w:id="419"/>
      <w:bookmarkEnd w:id="420"/>
      <w:bookmarkEnd w:id="422"/>
    </w:p>
    <w:tbl>
      <w:tblPr>
        <w:tblOverlap w:val="never"/>
        <w:jc w:val="center"/>
        <w:tblLayout w:type="fixed"/>
      </w:tblPr>
      <w:tblGrid>
        <w:gridCol w:w="3130"/>
        <w:gridCol w:w="6456"/>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年度内部控制评价报告》刊登于巨潮资讯网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五</w:t>
      </w:r>
      <w:bookmarkEnd w:id="425"/>
      <w:r>
        <w:rPr>
          <w:color w:val="000000"/>
          <w:spacing w:val="0"/>
          <w:w w:val="100"/>
          <w:position w:val="0"/>
        </w:rPr>
        <w:t>、内部控制审计报告</w:t>
      </w:r>
      <w:bookmarkEnd w:id="423"/>
      <w:bookmarkEnd w:id="424"/>
      <w:bookmarkEnd w:id="426"/>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51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深圳达实智能股份有限公司全体股东：</w:t>
            </w:r>
          </w:p>
          <w:p>
            <w:pPr>
              <w:pStyle w:val="Style2"/>
              <w:keepNext w:val="0"/>
              <w:keepLines w:val="0"/>
              <w:widowControl w:val="0"/>
              <w:shd w:val="clear" w:color="auto" w:fill="auto"/>
              <w:bidi w:val="0"/>
              <w:spacing w:before="0" w:after="40" w:line="288" w:lineRule="exact"/>
              <w:ind w:left="0" w:right="0" w:firstLine="380"/>
              <w:jc w:val="both"/>
            </w:pPr>
            <w:r>
              <w:rPr>
                <w:color w:val="000000"/>
                <w:spacing w:val="0"/>
                <w:w w:val="100"/>
                <w:position w:val="0"/>
              </w:rPr>
              <w:t>我们接受委托，审核了后附的深圳达实智能股份有限公司（以下简称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达实智能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）管理层按照财政部颁发的《企业内 部控制基本规范》及相关具体规范对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日与财务报表相关的内部控制有效性作出的认定。</w:t>
            </w:r>
          </w:p>
          <w:p>
            <w:pPr>
              <w:pStyle w:val="Style2"/>
              <w:keepNext w:val="0"/>
              <w:keepLines w:val="0"/>
              <w:widowControl w:val="0"/>
              <w:shd w:val="clear" w:color="auto" w:fill="auto"/>
              <w:tabs>
                <w:tab w:pos="759" w:val="left"/>
              </w:tabs>
              <w:bidi w:val="0"/>
              <w:spacing w:before="0" w:after="40" w:line="310" w:lineRule="exact"/>
              <w:ind w:left="0" w:right="0" w:firstLine="380"/>
              <w:jc w:val="both"/>
            </w:pPr>
            <w:r>
              <w:rPr>
                <w:color w:val="000000"/>
                <w:spacing w:val="0"/>
                <w:w w:val="100"/>
                <w:position w:val="0"/>
              </w:rPr>
              <w:t>一、</w:t>
              <w:tab/>
              <w:t>内部控制的固有局限性</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内部控制具有固有局限性，存在不能防止和发现错报的可能性。此外，由于情况的变化可能导致内部控制变得不恰当， 或对控制政策和程序遵循的程度降低，根据内部控制审计结果推测未来内部控制的有效性具有一定风险。</w:t>
            </w:r>
          </w:p>
          <w:p>
            <w:pPr>
              <w:pStyle w:val="Style2"/>
              <w:keepNext w:val="0"/>
              <w:keepLines w:val="0"/>
              <w:widowControl w:val="0"/>
              <w:shd w:val="clear" w:color="auto" w:fill="auto"/>
              <w:tabs>
                <w:tab w:pos="735" w:val="left"/>
              </w:tabs>
              <w:bidi w:val="0"/>
              <w:spacing w:before="0" w:after="40" w:line="310" w:lineRule="exact"/>
              <w:ind w:left="0" w:right="0" w:firstLine="380"/>
              <w:jc w:val="both"/>
            </w:pPr>
            <w:r>
              <w:rPr>
                <w:color w:val="000000"/>
                <w:spacing w:val="0"/>
                <w:w w:val="100"/>
                <w:position w:val="0"/>
              </w:rPr>
              <w:t>二、</w:t>
              <w:tab/>
              <w:t>对报告使用者和使用目的的限定</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本报告仅供达实智能为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年度报告披露之目的使用，不得用于任何其他目的。</w:t>
            </w:r>
          </w:p>
          <w:p>
            <w:pPr>
              <w:pStyle w:val="Style2"/>
              <w:keepNext w:val="0"/>
              <w:keepLines w:val="0"/>
              <w:widowControl w:val="0"/>
              <w:shd w:val="clear" w:color="auto" w:fill="auto"/>
              <w:tabs>
                <w:tab w:pos="745" w:val="left"/>
              </w:tabs>
              <w:bidi w:val="0"/>
              <w:spacing w:before="0" w:after="40" w:line="310" w:lineRule="exact"/>
              <w:ind w:left="0" w:right="0" w:firstLine="380"/>
              <w:jc w:val="both"/>
            </w:pPr>
            <w:r>
              <w:rPr>
                <w:color w:val="000000"/>
                <w:spacing w:val="0"/>
                <w:w w:val="100"/>
                <w:position w:val="0"/>
              </w:rPr>
              <w:t>三、</w:t>
              <w:tab/>
              <w:t>管理层对内部控制的责任</w:t>
            </w:r>
          </w:p>
          <w:p>
            <w:pPr>
              <w:pStyle w:val="Style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贵公司管理层的责任是建立健全内部控制并保持其有效性，同时按照财政部颁布的《企业内部控制基本规范》及相关 具体规范对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日与财务报表相关的内部控制有效性作出认定，并对上述认定负责。</w:t>
            </w:r>
          </w:p>
          <w:p>
            <w:pPr>
              <w:pStyle w:val="Style2"/>
              <w:keepNext w:val="0"/>
              <w:keepLines w:val="0"/>
              <w:widowControl w:val="0"/>
              <w:shd w:val="clear" w:color="auto" w:fill="auto"/>
              <w:tabs>
                <w:tab w:pos="721" w:val="left"/>
              </w:tabs>
              <w:bidi w:val="0"/>
              <w:spacing w:before="0" w:after="40" w:line="310" w:lineRule="exact"/>
              <w:ind w:left="0" w:right="0" w:firstLine="380"/>
              <w:jc w:val="both"/>
            </w:pPr>
            <w:r>
              <w:rPr>
                <w:color w:val="000000"/>
                <w:spacing w:val="0"/>
                <w:w w:val="100"/>
                <w:position w:val="0"/>
              </w:rPr>
              <w:t>四、</w:t>
              <w:tab/>
              <w:t>注册会计师的责任我们的责任是在实施鉴证工作的基础上对内部控制有效性发表鉴证意见。</w:t>
            </w:r>
          </w:p>
          <w:p>
            <w:pPr>
              <w:pStyle w:val="Style2"/>
              <w:keepNext w:val="0"/>
              <w:keepLines w:val="0"/>
              <w:widowControl w:val="0"/>
              <w:shd w:val="clear" w:color="auto" w:fill="auto"/>
              <w:tabs>
                <w:tab w:pos="735" w:val="left"/>
              </w:tabs>
              <w:bidi w:val="0"/>
              <w:spacing w:before="0" w:after="40" w:line="310" w:lineRule="exact"/>
              <w:ind w:left="0" w:right="0" w:firstLine="380"/>
              <w:jc w:val="both"/>
            </w:pPr>
            <w:r>
              <w:rPr>
                <w:color w:val="000000"/>
                <w:spacing w:val="0"/>
                <w:w w:val="100"/>
                <w:position w:val="0"/>
              </w:rPr>
              <w:t>五、</w:t>
              <w:tab/>
              <w:t>工作概述</w:t>
            </w:r>
          </w:p>
          <w:p>
            <w:pPr>
              <w:pStyle w:val="Style2"/>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我们按照《中国注册会计师其他签证业务准则第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号——历史财务信息审计或审阅以外的鉴证业务》和《企业内 部控制审计指引》的规定执行了鉴证业务。上述准则要求我们遵守职业道德规范，计划和实施鉴证工作，以对鉴证对象信 息是否不存在重大错报获取合理保证。在鉴证过程中，我们实施了包括了解、测试和评价内部控制系统设计的合理性和执 行的有效性，以及我们认为必要的其他程序。</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我们相信，我们的鉴证工作为发表意见提供了合理的基础。</w:t>
            </w:r>
          </w:p>
          <w:p>
            <w:pPr>
              <w:pStyle w:val="Style2"/>
              <w:keepNext w:val="0"/>
              <w:keepLines w:val="0"/>
              <w:widowControl w:val="0"/>
              <w:shd w:val="clear" w:color="auto" w:fill="auto"/>
              <w:tabs>
                <w:tab w:pos="740" w:val="left"/>
              </w:tabs>
              <w:bidi w:val="0"/>
              <w:spacing w:before="0" w:after="40" w:line="310" w:lineRule="exact"/>
              <w:ind w:left="0" w:right="0" w:firstLine="380"/>
              <w:jc w:val="both"/>
            </w:pPr>
            <w:r>
              <w:rPr>
                <w:color w:val="000000"/>
                <w:spacing w:val="0"/>
                <w:w w:val="100"/>
                <w:position w:val="0"/>
              </w:rPr>
              <w:t>六、</w:t>
              <w:tab/>
              <w:t>鉴证结论</w:t>
            </w:r>
          </w:p>
          <w:p>
            <w:pPr>
              <w:pStyle w:val="Style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我们认为，达实智能管理层按照财政部颁发的《企业内部控制基本规范》及相关具体规范的控制标准于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日在所有重大方面保持了与财务报表相关的有效的内部控制。</w:t>
            </w:r>
          </w:p>
          <w:p>
            <w:pPr>
              <w:pStyle w:val="Style2"/>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本结论是在受到鉴证报告中指出的固有限制条件下形成的。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《深圳达实智能股份有限公司内部控制鉴证报告》</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keepLines/>
        <w:widowControl w:val="0"/>
        <w:shd w:val="clear" w:color="auto" w:fill="auto"/>
        <w:bidi w:val="0"/>
        <w:spacing w:before="0" w:after="14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六</w:t>
      </w:r>
      <w:bookmarkEnd w:id="429"/>
      <w:r>
        <w:rPr>
          <w:color w:val="000000"/>
          <w:spacing w:val="0"/>
          <w:w w:val="100"/>
          <w:position w:val="0"/>
        </w:rPr>
        <w:t>、年度报告重大差错责任追究制度的建立与执行情况</w:t>
      </w:r>
      <w:bookmarkEnd w:id="427"/>
      <w:bookmarkEnd w:id="428"/>
      <w:bookmarkEnd w:id="430"/>
    </w:p>
    <w:p>
      <w:pPr>
        <w:pStyle w:val="Style3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经公司第三届董事会第十三次会议审议批准，公司建立了《年报信息披露重大差错责任追究制度》和</w:t>
      </w:r>
    </w:p>
    <w:p>
      <w:pPr>
        <w:pStyle w:val="Style36"/>
        <w:keepNext w:val="0"/>
        <w:keepLines w:val="0"/>
        <w:widowControl w:val="0"/>
        <w:shd w:val="clear" w:color="auto" w:fill="auto"/>
        <w:bidi w:val="0"/>
        <w:spacing w:before="0" w:after="140" w:line="406" w:lineRule="exact"/>
        <w:ind w:left="0" w:right="0" w:firstLine="0"/>
        <w:jc w:val="both"/>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282" w:right="1019" w:bottom="1479" w:left="1088" w:header="0" w:footer="3" w:gutter="0"/>
          <w:cols w:space="720"/>
          <w:noEndnote/>
          <w:rtlGutter w:val="0"/>
          <w:docGrid w:linePitch="360"/>
        </w:sectPr>
      </w:pPr>
      <w:r>
        <w:rPr>
          <w:color w:val="000000"/>
          <w:spacing w:val="0"/>
          <w:w w:val="100"/>
          <w:position w:val="0"/>
        </w:rPr>
        <w:t>《董事会审计委员会年度财务报告工作制度》，经第四届董事会第五次会议审议批准，公司建立了《独立 董事年报工作制度》。在</w:t>
      </w:r>
      <w:r>
        <w:rPr>
          <w:color w:val="000000"/>
          <w:spacing w:val="0"/>
          <w:w w:val="100"/>
          <w:position w:val="0"/>
        </w:rPr>
        <w:t>2013</w:t>
      </w:r>
      <w:r>
        <w:rPr>
          <w:color w:val="000000"/>
          <w:spacing w:val="0"/>
          <w:w w:val="100"/>
          <w:position w:val="0"/>
        </w:rPr>
        <w:t>年年度报告的编制期间，独立董事、董事会审计委员会均能按照相关制度的 要求，认真履行职责。召集公司管理层、独立董事与年审会计师的年报协调会，通过听取公司管理层对上 一年度的经营情况汇报，与审计会计师就年度审计的工作安排进行充分沟通等方式，确保年审丁作的顺利</w:t>
      </w:r>
    </w:p>
    <w:p>
      <w:pPr>
        <w:widowControl w:val="0"/>
        <w:spacing w:line="239" w:lineRule="exact"/>
        <w:rPr>
          <w:sz w:val="19"/>
          <w:szCs w:val="19"/>
        </w:rPr>
      </w:pPr>
    </w:p>
    <w:p>
      <w:pPr>
        <w:widowControl w:val="0"/>
        <w:spacing w:line="1" w:lineRule="exac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152" w:right="0" w:bottom="1162" w:left="1110" w:header="0" w:footer="3" w:gutter="0"/>
          <w:cols w:space="720"/>
          <w:noEndnote/>
          <w:rtlGutter w:val="0"/>
          <w:docGrid w:linePitch="360"/>
        </w:sectPr>
      </w:pPr>
    </w:p>
    <w:p>
      <w:pPr>
        <w:pStyle w:val="Style36"/>
        <w:keepNext w:val="0"/>
        <w:keepLines w:val="0"/>
        <w:framePr w:w="7181" w:h="264" w:wrap="none" w:vAnchor="text" w:hAnchor="page" w:x="1111" w:y="21"/>
        <w:widowControl w:val="0"/>
        <w:shd w:val="clear" w:color="auto" w:fill="auto"/>
        <w:bidi w:val="0"/>
        <w:spacing w:before="0" w:after="0" w:line="240" w:lineRule="auto"/>
        <w:ind w:left="0" w:right="0" w:firstLine="0"/>
        <w:jc w:val="left"/>
      </w:pPr>
      <w:r>
        <w:rPr>
          <w:color w:val="000000"/>
          <w:spacing w:val="0"/>
          <w:w w:val="100"/>
          <w:position w:val="0"/>
        </w:rPr>
        <w:t>开展。报告期内，公司未发生重大会计差错更正、重大遗漏信息补充的情况。</w:t>
      </w:r>
    </w:p>
    <w:p>
      <w:pPr>
        <w:widowControl w:val="0"/>
        <w:spacing w:line="360" w:lineRule="exact"/>
      </w:pPr>
      <w:r>
        <w:drawing>
          <wp:anchor distT="0" distB="0" distL="0" distR="0" simplePos="0" relativeHeight="62914994" behindDoc="1" locked="0" layoutInCell="1" allowOverlap="1">
            <wp:simplePos x="0" y="0"/>
            <wp:positionH relativeFrom="page">
              <wp:posOffset>5840730</wp:posOffset>
            </wp:positionH>
            <wp:positionV relativeFrom="paragraph">
              <wp:posOffset>8793480</wp:posOffset>
            </wp:positionV>
            <wp:extent cx="1718945" cy="981710"/>
            <wp:wrapNone/>
            <wp:docPr id="372" name="Shape 372"/>
            <a:graphic xmlns:a="http://schemas.openxmlformats.org/drawingml/2006/main">
              <a:graphicData uri="http://schemas.openxmlformats.org/drawingml/2006/picture">
                <pic:pic xmlns:pic="http://schemas.openxmlformats.org/drawingml/2006/picture">
                  <pic:nvPicPr>
                    <pic:cNvPr id="373" name="Picture box 373"/>
                    <pic:cNvPicPr/>
                  </pic:nvPicPr>
                  <pic:blipFill>
                    <a:blip r:embed="rId139"/>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decimal"/>
            <w:numRestart w:val="continuous"/>
          </w:footnotePr>
          <w:type w:val="continuous"/>
          <w:pgSz w:w="11900" w:h="16840"/>
          <w:pgMar w:top="1152" w:right="0" w:bottom="1162" w:left="1110" w:header="0" w:footer="3" w:gutter="0"/>
          <w:cols w:space="720"/>
          <w:noEndnote/>
          <w:rtlGutter w:val="0"/>
          <w:docGrid w:linePitch="360"/>
        </w:sectPr>
      </w:pPr>
    </w:p>
    <w:p>
      <w:pPr>
        <w:pStyle w:val="Style12"/>
        <w:keepNext/>
        <w:keepLines/>
        <w:widowControl w:val="0"/>
        <w:shd w:val="clear" w:color="auto" w:fill="auto"/>
        <w:bidi w:val="0"/>
        <w:spacing w:before="640" w:after="540" w:line="240" w:lineRule="auto"/>
        <w:ind w:left="0" w:right="0" w:firstLine="0"/>
        <w:jc w:val="center"/>
      </w:pPr>
      <w:bookmarkStart w:id="431" w:name="bookmark431"/>
      <w:bookmarkStart w:id="432" w:name="bookmark432"/>
      <w:bookmarkStart w:id="433" w:name="bookmark433"/>
      <w:r>
        <w:rPr>
          <w:color w:val="000000"/>
          <w:spacing w:val="0"/>
          <w:w w:val="100"/>
          <w:position w:val="0"/>
        </w:rPr>
        <w:t>第十节财务报告</w:t>
      </w:r>
      <w:bookmarkEnd w:id="431"/>
      <w:bookmarkEnd w:id="432"/>
      <w:bookmarkEnd w:id="433"/>
    </w:p>
    <w:p>
      <w:pPr>
        <w:pStyle w:val="Style27"/>
        <w:keepNext/>
        <w:keepLines/>
        <w:widowControl w:val="0"/>
        <w:shd w:val="clear" w:color="auto" w:fill="auto"/>
        <w:bidi w:val="0"/>
        <w:spacing w:before="0" w:after="300" w:line="240" w:lineRule="auto"/>
        <w:ind w:left="0" w:right="0" w:firstLine="260"/>
        <w:jc w:val="both"/>
      </w:pPr>
      <w:bookmarkStart w:id="434" w:name="bookmark434"/>
      <w:bookmarkStart w:id="435" w:name="bookmark435"/>
      <w:bookmarkStart w:id="436" w:name="bookmark436"/>
      <w:r>
        <w:rPr>
          <w:color w:val="000000"/>
          <w:spacing w:val="0"/>
          <w:w w:val="100"/>
          <w:position w:val="0"/>
        </w:rPr>
        <w:t>、审计报告</w:t>
      </w:r>
      <w:bookmarkEnd w:id="434"/>
      <w:bookmarkEnd w:id="435"/>
      <w:bookmarkEnd w:id="4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潘忠民、龙哲</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6"/>
        <w:keepNext w:val="0"/>
        <w:keepLines w:val="0"/>
        <w:widowControl w:val="0"/>
        <w:shd w:val="clear" w:color="auto" w:fill="auto"/>
        <w:bidi w:val="0"/>
        <w:spacing w:before="0" w:after="0" w:line="408" w:lineRule="exact"/>
        <w:ind w:left="0" w:right="0" w:firstLine="0"/>
        <w:jc w:val="both"/>
      </w:pPr>
      <w:r>
        <w:rPr>
          <w:color w:val="000000"/>
          <w:spacing w:val="0"/>
          <w:w w:val="100"/>
          <w:position w:val="0"/>
        </w:rPr>
        <w:t>深圳达实智能股份有限公司全体股东：</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我们审计了后附的深圳达实智能股份有限公司（以下简称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达实智能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日的资产负债表和合并资产负债表，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年度的利润表和合并利润表、股东权益变动表和合并股东权益变 动表、现金流量表和合并现金流量表以及财务报表附注。</w:t>
      </w:r>
    </w:p>
    <w:p>
      <w:pPr>
        <w:pStyle w:val="Style36"/>
        <w:keepNext w:val="0"/>
        <w:keepLines w:val="0"/>
        <w:widowControl w:val="0"/>
        <w:shd w:val="clear" w:color="auto" w:fill="auto"/>
        <w:tabs>
          <w:tab w:pos="909" w:val="left"/>
        </w:tabs>
        <w:bidi w:val="0"/>
        <w:spacing w:before="0" w:after="0" w:line="408" w:lineRule="exact"/>
        <w:ind w:left="0" w:right="0" w:firstLine="440"/>
        <w:jc w:val="both"/>
      </w:pPr>
      <w:bookmarkStart w:id="437" w:name="bookmark437"/>
      <w:r>
        <w:rPr>
          <w:color w:val="000000"/>
          <w:spacing w:val="0"/>
          <w:w w:val="100"/>
          <w:position w:val="0"/>
        </w:rPr>
        <w:t>一</w:t>
      </w:r>
      <w:bookmarkEnd w:id="437"/>
      <w:r>
        <w:rPr>
          <w:color w:val="000000"/>
          <w:spacing w:val="0"/>
          <w:w w:val="100"/>
          <w:position w:val="0"/>
        </w:rPr>
        <w:t>、</w:t>
        <w:tab/>
        <w:t>管理层对财务报表的责任</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编制和公允列报财务报表是达实智能管理层的责任。这种责任包括：（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36"/>
        <w:keepNext w:val="0"/>
        <w:keepLines w:val="0"/>
        <w:widowControl w:val="0"/>
        <w:shd w:val="clear" w:color="auto" w:fill="auto"/>
        <w:tabs>
          <w:tab w:pos="909" w:val="left"/>
        </w:tabs>
        <w:bidi w:val="0"/>
        <w:spacing w:before="0" w:after="0" w:line="408" w:lineRule="exact"/>
        <w:ind w:left="0" w:right="0" w:firstLine="440"/>
        <w:jc w:val="both"/>
      </w:pPr>
      <w:bookmarkStart w:id="438" w:name="bookmark438"/>
      <w:r>
        <w:rPr>
          <w:color w:val="000000"/>
          <w:spacing w:val="0"/>
          <w:w w:val="100"/>
          <w:position w:val="0"/>
        </w:rPr>
        <w:t>二</w:t>
      </w:r>
      <w:bookmarkEnd w:id="438"/>
      <w:r>
        <w:rPr>
          <w:color w:val="000000"/>
          <w:spacing w:val="0"/>
          <w:w w:val="100"/>
          <w:position w:val="0"/>
        </w:rPr>
        <w:t>、</w:t>
        <w:tab/>
        <w:t>注册会计师的责任</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我们相信，我们获取的审计证据是充分、适当的，为发表审计意见提供了基础。</w:t>
      </w:r>
    </w:p>
    <w:p>
      <w:pPr>
        <w:pStyle w:val="Style36"/>
        <w:keepNext w:val="0"/>
        <w:keepLines w:val="0"/>
        <w:widowControl w:val="0"/>
        <w:shd w:val="clear" w:color="auto" w:fill="auto"/>
        <w:tabs>
          <w:tab w:pos="914" w:val="left"/>
        </w:tabs>
        <w:bidi w:val="0"/>
        <w:spacing w:before="0" w:after="0" w:line="408" w:lineRule="exact"/>
        <w:ind w:left="0" w:right="0" w:firstLine="440"/>
        <w:jc w:val="both"/>
      </w:pPr>
      <w:bookmarkStart w:id="439" w:name="bookmark439"/>
      <w:r>
        <w:rPr>
          <w:color w:val="000000"/>
          <w:spacing w:val="0"/>
          <w:w w:val="100"/>
          <w:position w:val="0"/>
        </w:rPr>
        <w:t>三</w:t>
      </w:r>
      <w:bookmarkEnd w:id="439"/>
      <w:r>
        <w:rPr>
          <w:color w:val="000000"/>
          <w:spacing w:val="0"/>
          <w:w w:val="100"/>
          <w:position w:val="0"/>
        </w:rPr>
        <w:t>、</w:t>
        <w:tab/>
        <w:t>审计意见</w:t>
      </w:r>
    </w:p>
    <w:p>
      <w:pPr>
        <w:pStyle w:val="Style36"/>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 xml:space="preserve">我们认为，达实智能财务报表在所有重大方面按照企业会计准则的规定编制，公允反映了达实智能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r>
        <w:br w:type="page"/>
      </w:r>
    </w:p>
    <w:p>
      <w:pPr>
        <w:pStyle w:val="Style27"/>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r>
        <w:rPr>
          <w:color w:val="000000"/>
          <w:spacing w:val="0"/>
          <w:w w:val="100"/>
          <w:position w:val="0"/>
        </w:rPr>
        <w:t>二、财务报表</w:t>
      </w:r>
      <w:bookmarkEnd w:id="440"/>
      <w:bookmarkEnd w:id="441"/>
      <w:bookmarkEnd w:id="4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9"/>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、合并资产负债表</w:t>
      </w:r>
      <w:bookmarkEnd w:id="443"/>
      <w:bookmarkEnd w:id="444"/>
      <w:bookmarkEnd w:id="44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3014"/>
        <w:gridCol w:w="301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224,722,216.54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232,046,262.87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17,915,599.00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7,579,255.00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524,318,643.58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382,434,910.18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50,027,864.33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19,667,082.26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31,113,811.99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19,563,812.48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187,907,336.27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120,555,330.22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1,036,175,776.29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782,346,483.00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141,224,624.90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146,240,343.22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90,547,984.44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79,421,434.08</w:t>
            </w:r>
          </w:p>
        </w:tc>
      </w:tr>
    </w:tbl>
    <w:p>
      <w:pPr>
        <w:widowControl w:val="0"/>
        <w:spacing w:line="1" w:lineRule="exact"/>
      </w:pPr>
      <w:r>
        <w:br w:type="page"/>
      </w:r>
    </w:p>
    <w:tbl>
      <w:tblPr>
        <w:tblOverlap w:val="never"/>
        <w:jc w:val="center"/>
        <w:tblLayout w:type="fixed"/>
      </w:tblPr>
      <w:tblGrid>
        <w:gridCol w:w="3552"/>
        <w:gridCol w:w="3014"/>
        <w:gridCol w:w="301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13,393,610.01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18,026,185.51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2,120,681.53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166,026,118.73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166,026,118.73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15,539,301.83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19,246,509.85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5,347,244.88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434,433,631.15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436,448,386.33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1,470,609,407.44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1,218,794,869.33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18,891,301.12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6,734,437.76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344,640,635.99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260,735,387.71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79,908,902.14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62,968,177.12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13,550,955.08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11,560,019.99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23,197,793.69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19,097,291.58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21,609,620.59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36,333,025.41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284" w:right="1098" w:bottom="1449" w:left="1011" w:header="0" w:footer="3" w:gutter="0"/>
          <w:cols w:space="720"/>
          <w:noEndnote/>
          <w:rtlGutter w:val="0"/>
          <w:docGrid w:linePitch="360"/>
        </w:sectPr>
      </w:pPr>
    </w:p>
    <w:tbl>
      <w:tblPr>
        <w:tblOverlap w:val="never"/>
        <w:jc w:val="center"/>
        <w:tblLayout w:type="fixed"/>
      </w:tblPr>
      <w:tblGrid>
        <w:gridCol w:w="3552"/>
        <w:gridCol w:w="3014"/>
        <w:gridCol w:w="301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5,579,832.17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556,652,172.66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403,008,171.74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45,449,788.00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45,500,726.74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602,101,960.66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448,508,898.48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208,800,000.00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288,998,524.67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283,179,409.03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27,163,933.74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22,385,301.31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248,883,757.67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181,808,180.23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773,846,216.08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696,172,890.57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94,661,230.70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74,113,080.28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868,507,446.78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770,285,970.85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1,470,609,407.44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1,218,794,869.33</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78" behindDoc="0" locked="0" layoutInCell="1" allowOverlap="1">
                <wp:simplePos x="0" y="0"/>
                <wp:positionH relativeFrom="page">
                  <wp:posOffset>678180</wp:posOffset>
                </wp:positionH>
                <wp:positionV relativeFrom="margin">
                  <wp:posOffset>6717030</wp:posOffset>
                </wp:positionV>
                <wp:extent cx="938530" cy="149225"/>
                <wp:wrapTopAndBottom/>
                <wp:docPr id="388" name="Shape 38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414" type="#_x0000_t202" style="position:absolute;margin-left:53.399999999999999pt;margin-top:528.89999999999998pt;width:73.900000000000006pt;height:11.75pt;z-index:-125829375;mso-wrap-distance-left:9.pt;mso-wrap-distance-top:11.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39700" distB="0" distL="2235835" distR="2574290" simplePos="0" relativeHeight="125829380" behindDoc="0" locked="0" layoutInCell="1" allowOverlap="1">
                <wp:simplePos x="0" y="0"/>
                <wp:positionH relativeFrom="page">
                  <wp:posOffset>2799715</wp:posOffset>
                </wp:positionH>
                <wp:positionV relativeFrom="margin">
                  <wp:posOffset>6717030</wp:posOffset>
                </wp:positionV>
                <wp:extent cx="1505585" cy="149225"/>
                <wp:wrapTopAndBottom/>
                <wp:docPr id="390" name="Shape 39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416" type="#_x0000_t202" style="position:absolute;margin-left:220.45000000000002pt;margin-top:528.89999999999998pt;width:118.55pt;height:11.75pt;z-index:-125829373;mso-wrap-distance-left:176.05000000000001pt;mso-wrap-distance-top:11.pt;mso-wrap-distance-right:202.7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39700" distB="0" distL="4914900" distR="114300" simplePos="0" relativeHeight="125829382" behindDoc="0" locked="0" layoutInCell="1" allowOverlap="1">
                <wp:simplePos x="0" y="0"/>
                <wp:positionH relativeFrom="page">
                  <wp:posOffset>5478780</wp:posOffset>
                </wp:positionH>
                <wp:positionV relativeFrom="margin">
                  <wp:posOffset>6717030</wp:posOffset>
                </wp:positionV>
                <wp:extent cx="1286510" cy="149225"/>
                <wp:wrapTopAndBottom/>
                <wp:docPr id="392" name="Shape 39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418" type="#_x0000_t202" style="position:absolute;margin-left:431.40000000000003pt;margin-top:528.89999999999998pt;width:101.3pt;height:11.75pt;z-index:-125829371;mso-wrap-distance-left:387.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、母公司资产负债表</w:t>
      </w:r>
      <w:bookmarkEnd w:id="447"/>
      <w:bookmarkEnd w:id="448"/>
      <w:bookmarkEnd w:id="45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3010"/>
        <w:gridCol w:w="30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106,341,101.70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191,211,133.55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13,640,914.60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6,997,681.00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408,837,534.57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272,625,260.64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41,306,295.64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17,714,410.91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54,319,358.58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55,613,658.86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149,542,385.42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96,758,768.70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773,987,590.51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640,973,530.34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307,972,144.91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285,472,144.91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236,456.84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320,826.32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54,035,536.14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35,625,099.33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13,393,610.01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18,026,185.51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2,083,753.11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2,120,681.53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8,340,245.92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9,497,736.40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4,492,791.88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4,399,925.30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390,554,538.81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355,482,467.83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1,164,542,129.32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996,455,998.17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18,891,301.12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6,734,437.76</w:t>
            </w:r>
          </w:p>
        </w:tc>
      </w:tr>
    </w:tbl>
    <w:p>
      <w:pPr>
        <w:widowControl w:val="0"/>
        <w:spacing w:line="1" w:lineRule="exact"/>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11900" w:h="16840"/>
          <w:pgMar w:top="1284" w:right="1098" w:bottom="1449" w:left="1011" w:header="0" w:footer="3" w:gutter="0"/>
          <w:cols w:space="720"/>
          <w:noEndnote/>
          <w:titlePg/>
          <w:rtlGutter w:val="0"/>
          <w:docGrid w:linePitch="360"/>
        </w:sectPr>
      </w:pPr>
    </w:p>
    <w:p>
      <w:pPr>
        <w:widowControl w:val="0"/>
        <w:spacing w:line="1" w:lineRule="exact"/>
      </w:pPr>
      <w:r>
        <mc:AlternateContent>
          <mc:Choice Requires="wps">
            <w:drawing>
              <wp:anchor distT="152400" distB="1490345" distL="114300" distR="6030595" simplePos="0" relativeHeight="125829384" behindDoc="0" locked="0" layoutInCell="1" allowOverlap="1">
                <wp:simplePos x="0" y="0"/>
                <wp:positionH relativeFrom="page">
                  <wp:posOffset>701040</wp:posOffset>
                </wp:positionH>
                <wp:positionV relativeFrom="margin">
                  <wp:posOffset>8235950</wp:posOffset>
                </wp:positionV>
                <wp:extent cx="938530" cy="149225"/>
                <wp:wrapTopAndBottom/>
                <wp:docPr id="415" name="Shape 41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441" type="#_x0000_t202" style="position:absolute;margin-left:55.200000000000003pt;margin-top:648.5pt;width:73.900000000000006pt;height:11.75pt;z-index:-125829369;mso-wrap-distance-left:9.pt;mso-wrap-distance-top:12.pt;mso-wrap-distance-right:474.85000000000002pt;mso-wrap-distance-bottom:117.3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1490345" distL="2235835" distR="3342005" simplePos="0" relativeHeight="125829386" behindDoc="0" locked="0" layoutInCell="1" allowOverlap="1">
                <wp:simplePos x="0" y="0"/>
                <wp:positionH relativeFrom="page">
                  <wp:posOffset>2822575</wp:posOffset>
                </wp:positionH>
                <wp:positionV relativeFrom="margin">
                  <wp:posOffset>8235950</wp:posOffset>
                </wp:positionV>
                <wp:extent cx="1505585" cy="149225"/>
                <wp:wrapTopAndBottom/>
                <wp:docPr id="417" name="Shape 41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443" type="#_x0000_t202" style="position:absolute;margin-left:222.25pt;margin-top:648.5pt;width:118.55pt;height:11.75pt;z-index:-125829367;mso-wrap-distance-left:176.05000000000001pt;mso-wrap-distance-top:12.pt;mso-wrap-distance-right:263.14999999999998pt;mso-wrap-distance-bottom:117.3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52400" distB="1490345" distL="4914900" distR="882015" simplePos="0" relativeHeight="125829388" behindDoc="0" locked="0" layoutInCell="1" allowOverlap="1">
                <wp:simplePos x="0" y="0"/>
                <wp:positionH relativeFrom="page">
                  <wp:posOffset>5501640</wp:posOffset>
                </wp:positionH>
                <wp:positionV relativeFrom="margin">
                  <wp:posOffset>8235950</wp:posOffset>
                </wp:positionV>
                <wp:extent cx="1286510" cy="149225"/>
                <wp:wrapTopAndBottom/>
                <wp:docPr id="419" name="Shape 4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445" type="#_x0000_t202" style="position:absolute;margin-left:433.19999999999999pt;margin-top:648.5pt;width:101.3pt;height:11.75pt;z-index:-125829365;mso-wrap-distance-left:387.pt;mso-wrap-distance-top:12.pt;mso-wrap-distance-right:69.450000000000003pt;mso-wrap-distance-bottom:117.35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r>
        <w:drawing>
          <wp:anchor distT="814070" distB="0" distL="5253355" distR="114300" simplePos="0" relativeHeight="125829390" behindDoc="0" locked="0" layoutInCell="1" allowOverlap="1">
            <wp:simplePos x="0" y="0"/>
            <wp:positionH relativeFrom="page">
              <wp:posOffset>5840095</wp:posOffset>
            </wp:positionH>
            <wp:positionV relativeFrom="margin">
              <wp:posOffset>8897620</wp:posOffset>
            </wp:positionV>
            <wp:extent cx="1718945" cy="981710"/>
            <wp:wrapTopAndBottom/>
            <wp:docPr id="421" name="Shape 421"/>
            <a:graphic xmlns:a="http://schemas.openxmlformats.org/drawingml/2006/main">
              <a:graphicData uri="http://schemas.openxmlformats.org/drawingml/2006/picture">
                <pic:pic xmlns:pic="http://schemas.openxmlformats.org/drawingml/2006/picture">
                  <pic:nvPicPr>
                    <pic:cNvPr id="422" name="Picture box 422"/>
                    <pic:cNvPicPr/>
                  </pic:nvPicPr>
                  <pic:blipFill>
                    <a:blip r:embed="rId151"/>
                    <a:stretch/>
                  </pic:blipFill>
                  <pic:spPr>
                    <a:xfrm>
                      <a:ext cx="1718945" cy="981710"/>
                    </a:xfrm>
                    <a:prstGeom prst="rect"/>
                  </pic:spPr>
                </pic:pic>
              </a:graphicData>
            </a:graphic>
          </wp:anchor>
        </w:drawing>
      </w: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274,033,157.28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204,554,083.38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54,889,448.80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40,848,276.75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9,618,206.12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8,636,051.64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7,070,805.57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6,885,931.17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19,203,360.40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30,296,440.20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4,653,464.05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5,579,832.17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428,559,243.34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303,535,053.07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45,449,788.00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45,449,788.00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474,009,031.34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348,984,841.07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288,895,025.66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283,179,409.03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27,003,566.15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22,224,933.72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165,834,506.17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133,266,814.35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690,533,097.98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647,471,157.10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1,164,542,129.32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996,455,998.17</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、合并利润表</w:t>
      </w:r>
      <w:bookmarkEnd w:id="451"/>
      <w:bookmarkEnd w:id="452"/>
      <w:bookmarkEnd w:id="45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3010"/>
        <w:gridCol w:w="30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1,011,892,653.89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824,070,264.21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1,011,892,653.89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824,070,264.21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893,497,047.68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707,788,365.56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713,210,855.38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570,537,078.75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26,774,027.94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23,354,549.35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74,887,869.12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56,462,601.93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75,644,448.00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50,900,322.79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-3,718,914.03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4,537,277.83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10,252,726.77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118,396,096.90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116,259,098.20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8,531,945.65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8,993,707.52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126,818,800.74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125,246,045.24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19,625,612.45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22,152,551.38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107,193,188.29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103,093,493.86</w:t>
            </w:r>
          </w:p>
        </w:tc>
      </w:tr>
    </w:tbl>
    <w:p>
      <w:pPr>
        <w:widowControl w:val="0"/>
        <w:spacing w:line="1" w:lineRule="exact"/>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Restart w:val="continuous"/>
          </w:footnotePr>
          <w:pgSz w:w="11900" w:h="16840"/>
          <w:pgMar w:top="1284" w:right="1098" w:bottom="1449" w:left="1011" w:header="0" w:footer="3" w:gutter="0"/>
          <w:cols w:space="720"/>
          <w:noEndnote/>
          <w:titlePg/>
          <w:rtlGutter w:val="0"/>
          <w:docGrid w:linePitch="360"/>
        </w:sectPr>
      </w:pP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77,801,320.40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24,898,978.42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25,292,173.46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107,193,188.29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103,093,493.86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77,801,320.40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24,898,978.42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25,292,173.46</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91" behindDoc="0" locked="0" layoutInCell="1" allowOverlap="1">
                <wp:simplePos x="0" y="0"/>
                <wp:positionH relativeFrom="page">
                  <wp:posOffset>678180</wp:posOffset>
                </wp:positionH>
                <wp:positionV relativeFrom="margin">
                  <wp:posOffset>2889250</wp:posOffset>
                </wp:positionV>
                <wp:extent cx="938530" cy="149225"/>
                <wp:wrapTopAndBottom/>
                <wp:docPr id="442" name="Shape 44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468" type="#_x0000_t202" style="position:absolute;margin-left:53.399999999999999pt;margin-top:227.5pt;width:73.900000000000006pt;height:11.75pt;z-index:-125829362;mso-wrap-distance-left:9.pt;mso-wrap-distance-top:12.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0" distL="2235835" distR="2574290" simplePos="0" relativeHeight="125829393" behindDoc="0" locked="0" layoutInCell="1" allowOverlap="1">
                <wp:simplePos x="0" y="0"/>
                <wp:positionH relativeFrom="page">
                  <wp:posOffset>2799715</wp:posOffset>
                </wp:positionH>
                <wp:positionV relativeFrom="margin">
                  <wp:posOffset>2889250</wp:posOffset>
                </wp:positionV>
                <wp:extent cx="1505585" cy="149225"/>
                <wp:wrapTopAndBottom/>
                <wp:docPr id="444" name="Shape 44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470" type="#_x0000_t202" style="position:absolute;margin-left:220.45000000000002pt;margin-top:227.5pt;width:118.55pt;height:11.75pt;z-index:-125829360;mso-wrap-distance-left:176.05000000000001pt;mso-wrap-distance-top:12.pt;mso-wrap-distance-right:202.7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52400" distB="0" distL="4914900" distR="114300" simplePos="0" relativeHeight="125829395" behindDoc="0" locked="0" layoutInCell="1" allowOverlap="1">
                <wp:simplePos x="0" y="0"/>
                <wp:positionH relativeFrom="page">
                  <wp:posOffset>5478780</wp:posOffset>
                </wp:positionH>
                <wp:positionV relativeFrom="margin">
                  <wp:posOffset>2889250</wp:posOffset>
                </wp:positionV>
                <wp:extent cx="1286510" cy="149225"/>
                <wp:wrapTopAndBottom/>
                <wp:docPr id="446" name="Shape 4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472" type="#_x0000_t202" style="position:absolute;margin-left:431.40000000000003pt;margin-top:227.5pt;width:101.3pt;height:11.75pt;z-index:-125829358;mso-wrap-distance-left:387.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4</w:t>
      </w:r>
      <w:bookmarkEnd w:id="457"/>
      <w:r>
        <w:rPr>
          <w:color w:val="000000"/>
          <w:spacing w:val="0"/>
          <w:w w:val="100"/>
          <w:position w:val="0"/>
        </w:rPr>
        <w:t>、母公司利润表</w:t>
      </w:r>
      <w:bookmarkEnd w:id="455"/>
      <w:bookmarkEnd w:id="456"/>
      <w:bookmarkEnd w:id="45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3010"/>
        <w:gridCol w:w="30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690,909,072.50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560,313,908.45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535,953,910.87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427,962,661.66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18,458,451.21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16,571,039.55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59,578,054.15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45,280,757.49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37,607,152.48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30,091,642.53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-3,374,364.38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-7,472,901.77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3,748,564.52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6,784,219.38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12,280,359.00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51,217,662.65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41,096,489.61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2,617,999.01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8,583,269.11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53,738,219.22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49,677,209.66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5,951,894.97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7,407,573.34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47,786,324.25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42,269,636.32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47,786,324.25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42,269,636.32</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397" behindDoc="0" locked="0" layoutInCell="1" allowOverlap="1">
                <wp:simplePos x="0" y="0"/>
                <wp:positionH relativeFrom="page">
                  <wp:posOffset>678180</wp:posOffset>
                </wp:positionH>
                <wp:positionV relativeFrom="margin">
                  <wp:posOffset>1341120</wp:posOffset>
                </wp:positionV>
                <wp:extent cx="938530" cy="149225"/>
                <wp:wrapTopAndBottom/>
                <wp:docPr id="448" name="Shape 44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474" type="#_x0000_t202" style="position:absolute;margin-left:53.399999999999999pt;margin-top:105.60000000000001pt;width:73.900000000000006pt;height:11.75pt;z-index:-125829356;mso-wrap-distance-left:9.pt;mso-wrap-distance-top:11.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39700" distB="3175" distL="2235835" distR="2574290" simplePos="0" relativeHeight="125829399" behindDoc="0" locked="0" layoutInCell="1" allowOverlap="1">
                <wp:simplePos x="0" y="0"/>
                <wp:positionH relativeFrom="page">
                  <wp:posOffset>2799715</wp:posOffset>
                </wp:positionH>
                <wp:positionV relativeFrom="margin">
                  <wp:posOffset>1341120</wp:posOffset>
                </wp:positionV>
                <wp:extent cx="1505585" cy="146050"/>
                <wp:wrapTopAndBottom/>
                <wp:docPr id="450" name="Shape 45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476" type="#_x0000_t202" style="position:absolute;margin-left:220.45000000000002pt;margin-top:105.60000000000001pt;width:118.55pt;height:11.5pt;z-index:-125829354;mso-wrap-distance-left:176.05000000000001pt;mso-wrap-distance-top:11.pt;mso-wrap-distance-right:202.70000000000002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39700" distB="0" distL="4914900" distR="114300" simplePos="0" relativeHeight="125829401" behindDoc="0" locked="0" layoutInCell="1" allowOverlap="1">
                <wp:simplePos x="0" y="0"/>
                <wp:positionH relativeFrom="page">
                  <wp:posOffset>5478780</wp:posOffset>
                </wp:positionH>
                <wp:positionV relativeFrom="margin">
                  <wp:posOffset>1341120</wp:posOffset>
                </wp:positionV>
                <wp:extent cx="1286510" cy="149225"/>
                <wp:wrapTopAndBottom/>
                <wp:docPr id="452" name="Shape 4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478" type="#_x0000_t202" style="position:absolute;margin-left:431.40000000000003pt;margin-top:105.60000000000001pt;width:101.3pt;height:11.75pt;z-index:-125829352;mso-wrap-distance-left:387.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5</w:t>
      </w:r>
      <w:bookmarkEnd w:id="461"/>
      <w:r>
        <w:rPr>
          <w:color w:val="000000"/>
          <w:spacing w:val="0"/>
          <w:w w:val="100"/>
          <w:position w:val="0"/>
        </w:rPr>
        <w:t>、合并现金流量表</w:t>
      </w:r>
      <w:bookmarkEnd w:id="459"/>
      <w:bookmarkEnd w:id="460"/>
      <w:bookmarkEnd w:id="46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3010"/>
        <w:gridCol w:w="30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908,480,326.18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649,906,472.32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1,966,611.37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2,469,746.41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21,275,752.14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26,664,502.85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931,722,689.69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679,040,721.58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705,767,074.23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401,885,760.44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93,489,608.77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58,628,145.24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62,157,304.44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43,009,119.04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65,787,879.09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71,207,764.24</w:t>
            </w:r>
          </w:p>
        </w:tc>
      </w:tr>
    </w:tbl>
    <w:p>
      <w:pPr>
        <w:widowControl w:val="0"/>
        <w:spacing w:line="1" w:lineRule="exact"/>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284" w:right="1098" w:bottom="1449" w:left="1011" w:header="0" w:footer="3" w:gutter="0"/>
          <w:cols w:space="720"/>
          <w:noEndnote/>
          <w:titlePg/>
          <w:rtlGutter w:val="0"/>
          <w:docGrid w:linePitch="360"/>
        </w:sectPr>
      </w:pP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927,201,866.53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574,730,788.96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4,520,823.16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104,309,932.62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400,882.27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80,465.71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984,040.26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426,382.27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18,564,505.97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27,775,336.43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25,078,138.27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15,149,929.00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168,544,282.00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43,025,265.43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194,002,420.27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-42,598,883.16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-175,437,914.30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7,637,998.68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7,637,998.68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57,637,998.68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22,330,294.34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30,323,135.70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其中：子公司支付给少数股东的股利、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11,885,327.67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1,178,763.35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22,410,294.34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31,501,899.05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35,227,704.34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-5,971,899.05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-2,850,355.66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-77,099,880.73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221,681,366.30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298,781,247.03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218,831,010.64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221,681,366.30</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03" behindDoc="0" locked="0" layoutInCell="1" allowOverlap="1">
                <wp:simplePos x="0" y="0"/>
                <wp:positionH relativeFrom="page">
                  <wp:posOffset>678180</wp:posOffset>
                </wp:positionH>
                <wp:positionV relativeFrom="margin">
                  <wp:posOffset>1088390</wp:posOffset>
                </wp:positionV>
                <wp:extent cx="938530" cy="149225"/>
                <wp:wrapTopAndBottom/>
                <wp:docPr id="475" name="Shape 47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501" type="#_x0000_t202" style="position:absolute;margin-left:53.399999999999999pt;margin-top:85.700000000000003pt;width:73.900000000000006pt;height:11.75pt;z-index:-125829350;mso-wrap-distance-left:9.pt;mso-wrap-distance-top:12.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0" distL="2235835" distR="2574290" simplePos="0" relativeHeight="125829405" behindDoc="0" locked="0" layoutInCell="1" allowOverlap="1">
                <wp:simplePos x="0" y="0"/>
                <wp:positionH relativeFrom="page">
                  <wp:posOffset>2799715</wp:posOffset>
                </wp:positionH>
                <wp:positionV relativeFrom="margin">
                  <wp:posOffset>1088390</wp:posOffset>
                </wp:positionV>
                <wp:extent cx="1505585" cy="149225"/>
                <wp:wrapTopAndBottom/>
                <wp:docPr id="477" name="Shape 47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503" type="#_x0000_t202" style="position:absolute;margin-left:220.45000000000002pt;margin-top:85.700000000000003pt;width:118.55pt;height:11.75pt;z-index:-125829348;mso-wrap-distance-left:176.05000000000001pt;mso-wrap-distance-top:12.pt;mso-wrap-distance-right:202.7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52400" distB="0" distL="4914900" distR="114300" simplePos="0" relativeHeight="125829407" behindDoc="0" locked="0" layoutInCell="1" allowOverlap="1">
                <wp:simplePos x="0" y="0"/>
                <wp:positionH relativeFrom="page">
                  <wp:posOffset>5478780</wp:posOffset>
                </wp:positionH>
                <wp:positionV relativeFrom="margin">
                  <wp:posOffset>1088390</wp:posOffset>
                </wp:positionV>
                <wp:extent cx="1286510" cy="149225"/>
                <wp:wrapTopAndBottom/>
                <wp:docPr id="479" name="Shape 47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505" type="#_x0000_t202" style="position:absolute;margin-left:431.40000000000003pt;margin-top:85.700000000000003pt;width:101.3pt;height:11.75pt;z-index:-125829346;mso-wrap-distance-left:387.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6</w:t>
      </w:r>
      <w:bookmarkEnd w:id="465"/>
      <w:r>
        <w:rPr>
          <w:color w:val="000000"/>
          <w:spacing w:val="0"/>
          <w:w w:val="100"/>
          <w:position w:val="0"/>
        </w:rPr>
        <w:t>、母公司现金流量表</w:t>
      </w:r>
      <w:bookmarkEnd w:id="463"/>
      <w:bookmarkEnd w:id="464"/>
      <w:bookmarkEnd w:id="46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581,987,576.86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483,918,318.59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546,969.00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9,779,452.28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23,118,775.16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592,313,998.14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507,037,093.75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542,836,533.40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359,417,113.28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58,219,376.79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41,978,361.52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29,165,874.32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25,332,536.73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36,894,071.07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33,277,898.46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667,115,855.58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460,005,909.99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-74,801,857.44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47,031,183.76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14,949,595.15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4,036,481.95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24,973,195.15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29,038,231.95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23,701,025.73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24,191,037.79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37,649,929.00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154,044,282.00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bl>
    <w:p>
      <w:pPr>
        <w:widowControl w:val="0"/>
        <w:spacing w:line="1" w:lineRule="exact"/>
      </w:pPr>
      <w:r>
        <w:br w:type="page"/>
      </w:r>
    </w:p>
    <w:tbl>
      <w:tblPr>
        <w:tblOverlap w:val="never"/>
        <w:jc w:val="center"/>
        <w:tblLayout w:type="fixed"/>
      </w:tblPr>
      <w:tblGrid>
        <w:gridCol w:w="3552"/>
        <w:gridCol w:w="3010"/>
        <w:gridCol w:w="302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61,450,954.73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178,615,319.79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-36,477,759.58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-149,577,087.84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25,530,000.00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25,530,000.00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10,428,166.67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20,280,000.00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10,508,166.67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20,458,763.35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29,491,833.33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5,071,236.65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-81,787,783.69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-97,474,667.43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182,892,437.47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280,367,104.90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101,104,653.78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182,892,437.47</w:t>
            </w:r>
          </w:p>
        </w:tc>
      </w:tr>
    </w:tbl>
    <w:p>
      <w:pPr>
        <w:pStyle w:val="Style39"/>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409" behindDoc="0" locked="0" layoutInCell="1" allowOverlap="1">
                <wp:simplePos x="0" y="0"/>
                <wp:positionH relativeFrom="page">
                  <wp:posOffset>676910</wp:posOffset>
                </wp:positionH>
                <wp:positionV relativeFrom="margin">
                  <wp:posOffset>4660265</wp:posOffset>
                </wp:positionV>
                <wp:extent cx="938530" cy="149225"/>
                <wp:wrapTopAndBottom/>
                <wp:docPr id="481" name="Shape 48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507" type="#_x0000_t202" style="position:absolute;margin-left:53.300000000000004pt;margin-top:366.94999999999999pt;width:73.900000000000006pt;height:11.75pt;z-index:-125829344;mso-wrap-distance-left:9.pt;mso-wrap-distance-top:11.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39700" distB="0" distL="2235835" distR="2574290" simplePos="0" relativeHeight="125829411" behindDoc="0" locked="0" layoutInCell="1" allowOverlap="1">
                <wp:simplePos x="0" y="0"/>
                <wp:positionH relativeFrom="page">
                  <wp:posOffset>2798445</wp:posOffset>
                </wp:positionH>
                <wp:positionV relativeFrom="margin">
                  <wp:posOffset>4660265</wp:posOffset>
                </wp:positionV>
                <wp:extent cx="1505585" cy="149225"/>
                <wp:wrapTopAndBottom/>
                <wp:docPr id="483" name="Shape 48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509" type="#_x0000_t202" style="position:absolute;margin-left:220.34999999999999pt;margin-top:366.94999999999999pt;width:118.55pt;height:11.75pt;z-index:-125829342;mso-wrap-distance-left:176.05000000000001pt;mso-wrap-distance-top:11.pt;mso-wrap-distance-right:202.7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39700" distB="0" distL="4914900" distR="114300" simplePos="0" relativeHeight="125829413" behindDoc="0" locked="0" layoutInCell="1" allowOverlap="1">
                <wp:simplePos x="0" y="0"/>
                <wp:positionH relativeFrom="page">
                  <wp:posOffset>5477510</wp:posOffset>
                </wp:positionH>
                <wp:positionV relativeFrom="margin">
                  <wp:posOffset>4660265</wp:posOffset>
                </wp:positionV>
                <wp:extent cx="1286510" cy="149225"/>
                <wp:wrapTopAndBottom/>
                <wp:docPr id="485" name="Shape 48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511" type="#_x0000_t202" style="position:absolute;margin-left:431.30000000000001pt;margin-top:366.94999999999999pt;width:101.3pt;height:11.75pt;z-index:-125829340;mso-wrap-distance-left:387.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7</w:t>
      </w:r>
      <w:bookmarkEnd w:id="469"/>
      <w:r>
        <w:rPr>
          <w:color w:val="000000"/>
          <w:spacing w:val="0"/>
          <w:w w:val="100"/>
          <w:position w:val="0"/>
        </w:rPr>
        <w:t>、合并所有者权益变动表</w:t>
      </w:r>
      <w:bookmarkEnd w:id="467"/>
      <w:bookmarkEnd w:id="468"/>
      <w:bookmarkEnd w:id="47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283,179,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181,808,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770,285,97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283,179,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181,808,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770,285,97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bl>
    <w:p>
      <w:pPr>
        <w:widowControl w:val="0"/>
        <w:spacing w:line="1" w:lineRule="exac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284" w:right="1098" w:bottom="1449" w:left="1011" w:header="0" w:footer="3" w:gutter="0"/>
          <w:cols w:space="720"/>
          <w:noEndnote/>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5,819,11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67,075,5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20,548,15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98,221,475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82,294,2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24,898,97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82,294,2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24,898,97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5,819,11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7,534,499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7,534,499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5,715,61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94,661,23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608,353,54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608,353,54</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161,932,42</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103,093,49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77,801,3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25,292,17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103,093,49</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30,775,309</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5,245,309.</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963.63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48,343,619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283,179,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770,285,97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415" behindDoc="0" locked="0" layoutInCell="1" allowOverlap="1">
                <wp:simplePos x="0" y="0"/>
                <wp:positionH relativeFrom="page">
                  <wp:posOffset>678180</wp:posOffset>
                </wp:positionH>
                <wp:positionV relativeFrom="margin">
                  <wp:posOffset>3410585</wp:posOffset>
                </wp:positionV>
                <wp:extent cx="938530" cy="149225"/>
                <wp:wrapTopAndBottom/>
                <wp:docPr id="501" name="Shape 50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527" type="#_x0000_t202" style="position:absolute;margin-left:53.399999999999999pt;margin-top:268.55000000000001pt;width:73.900000000000006pt;height:11.75pt;z-index:-125829338;mso-wrap-distance-left:9.pt;mso-wrap-distance-top:11.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39700" distB="0" distL="2235835" distR="2574290" simplePos="0" relativeHeight="125829417" behindDoc="0" locked="0" layoutInCell="1" allowOverlap="1">
                <wp:simplePos x="0" y="0"/>
                <wp:positionH relativeFrom="page">
                  <wp:posOffset>2799715</wp:posOffset>
                </wp:positionH>
                <wp:positionV relativeFrom="margin">
                  <wp:posOffset>3410585</wp:posOffset>
                </wp:positionV>
                <wp:extent cx="1505585" cy="149225"/>
                <wp:wrapTopAndBottom/>
                <wp:docPr id="503" name="Shape 50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529" type="#_x0000_t202" style="position:absolute;margin-left:220.45000000000002pt;margin-top:268.55000000000001pt;width:118.55pt;height:11.75pt;z-index:-125829336;mso-wrap-distance-left:176.05000000000001pt;mso-wrap-distance-top:11.pt;mso-wrap-distance-right:202.7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39700" distB="0" distL="4914900" distR="114300" simplePos="0" relativeHeight="125829419" behindDoc="0" locked="0" layoutInCell="1" allowOverlap="1">
                <wp:simplePos x="0" y="0"/>
                <wp:positionH relativeFrom="page">
                  <wp:posOffset>5478780</wp:posOffset>
                </wp:positionH>
                <wp:positionV relativeFrom="margin">
                  <wp:posOffset>3410585</wp:posOffset>
                </wp:positionV>
                <wp:extent cx="1286510" cy="149225"/>
                <wp:wrapTopAndBottom/>
                <wp:docPr id="505" name="Shape 50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wps:txbx>
                      <wps:bodyPr wrap="none" lIns="0" tIns="0" rIns="0" bIns="0">
                        <a:noAutoFit/>
                      </wps:bodyPr>
                    </wps:wsp>
                  </a:graphicData>
                </a:graphic>
              </wp:anchor>
            </w:drawing>
          </mc:Choice>
          <mc:Fallback>
            <w:pict>
              <v:shape id="_x0000_s1531" type="#_x0000_t202" style="position:absolute;margin-left:431.40000000000003pt;margin-top:268.55000000000001pt;width:101.3pt;height:11.75pt;z-index:-125829334;mso-wrap-distance-left:387.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会计机构负责人：蒋国清</w:t>
                      </w:r>
                    </w:p>
                  </w:txbxContent>
                </v:textbox>
                <w10:wrap type="topAndBottom" anchorx="page" anchory="margin"/>
              </v:shape>
            </w:pict>
          </mc:Fallback>
        </mc:AlternateContent>
      </w: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8</w:t>
      </w:r>
      <w:bookmarkEnd w:id="473"/>
      <w:r>
        <w:rPr>
          <w:color w:val="000000"/>
          <w:spacing w:val="0"/>
          <w:w w:val="100"/>
          <w:position w:val="0"/>
        </w:rPr>
        <w:t>、母公司所有者权益变动表</w:t>
      </w:r>
      <w:bookmarkEnd w:id="471"/>
      <w:bookmarkEnd w:id="472"/>
      <w:bookmarkEnd w:id="47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编制单位：深圳达实智能股份有限公司</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283,179,40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133,266,81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647,471,15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283,179,40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133,266,81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647,471,15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32,567,691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43,061,940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47,786,324</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47,786,324</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284" w:right="1098" w:bottom="1449" w:left="1011" w:header="0" w:footer="3" w:gutter="0"/>
          <w:cols w:space="720"/>
          <w:noEndnote/>
          <w:titlePg/>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27,003,566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165,834,50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690,533,09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359,804,10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594,706,21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359,804,10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594,706,21</w:t>
            </w:r>
          </w:p>
        </w:tc>
      </w:tr>
    </w:tbl>
    <w:p>
      <w:pPr>
        <w:widowControl w:val="0"/>
        <w:spacing w:line="1" w:lineRule="exact"/>
      </w:pPr>
      <w:r>
        <w:br w:type="page"/>
      </w:r>
    </w:p>
    <w:p>
      <w:pPr>
        <w:widowControl w:val="0"/>
        <w:spacing w:line="1" w:lineRule="exact"/>
      </w:pPr>
      <w:r>
        <mc:AlternateContent>
          <mc:Choice Requires="wps">
            <w:drawing>
              <wp:anchor distT="152400" distB="804545" distL="114300" distR="4723130" simplePos="0" relativeHeight="125829421" behindDoc="0" locked="0" layoutInCell="1" allowOverlap="1">
                <wp:simplePos x="0" y="0"/>
                <wp:positionH relativeFrom="page">
                  <wp:posOffset>701040</wp:posOffset>
                </wp:positionH>
                <wp:positionV relativeFrom="margin">
                  <wp:posOffset>8799830</wp:posOffset>
                </wp:positionV>
                <wp:extent cx="938530" cy="149225"/>
                <wp:wrapTopAndBottom/>
                <wp:docPr id="528" name="Shape 52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554" type="#_x0000_t202" style="position:absolute;margin-left:55.200000000000003pt;margin-top:692.89999999999998pt;width:73.900000000000006pt;height:11.75pt;z-index:-125829332;mso-wrap-distance-left:9.pt;mso-wrap-distance-top:12.pt;mso-wrap-distance-right:371.90000000000003pt;mso-wrap-distance-bottom:63.35000000000000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828675" distL="2235835" distR="2034540" simplePos="0" relativeHeight="125829423" behindDoc="0" locked="0" layoutInCell="1" allowOverlap="1">
                <wp:simplePos x="0" y="0"/>
                <wp:positionH relativeFrom="page">
                  <wp:posOffset>2822575</wp:posOffset>
                </wp:positionH>
                <wp:positionV relativeFrom="margin">
                  <wp:posOffset>8799830</wp:posOffset>
                </wp:positionV>
                <wp:extent cx="1505585" cy="125095"/>
                <wp:wrapTopAndBottom/>
                <wp:docPr id="530" name="Shape 530"/>
                <a:graphic xmlns:a="http://schemas.openxmlformats.org/drawingml/2006/main">
                  <a:graphicData uri="http://schemas.microsoft.com/office/word/2010/wordprocessingShape">
                    <wps:wsp>
                      <wps:cNvSpPr txBox="1"/>
                      <wps:spPr>
                        <a:xfrm>
                          <a:ext cx="1505585" cy="1250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556" type="#_x0000_t202" style="position:absolute;margin-left:222.25pt;margin-top:692.89999999999998pt;width:118.55pt;height:9.8499999999999996pt;z-index:-125829330;mso-wrap-distance-left:176.05000000000001pt;mso-wrap-distance-top:12.pt;mso-wrap-distance-right:160.20000000000002pt;mso-wrap-distance-bottom:65.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w:drawing>
          <wp:anchor distT="960120" distB="0" distL="5259070" distR="114300" simplePos="0" relativeHeight="125829425" behindDoc="0" locked="0" layoutInCell="1" allowOverlap="1">
            <wp:simplePos x="0" y="0"/>
            <wp:positionH relativeFrom="page">
              <wp:posOffset>5845810</wp:posOffset>
            </wp:positionH>
            <wp:positionV relativeFrom="margin">
              <wp:posOffset>9607550</wp:posOffset>
            </wp:positionV>
            <wp:extent cx="402590" cy="146050"/>
            <wp:wrapTopAndBottom/>
            <wp:docPr id="532" name="Shape 532"/>
            <a:graphic xmlns:a="http://schemas.openxmlformats.org/drawingml/2006/main">
              <a:graphicData uri="http://schemas.openxmlformats.org/drawingml/2006/picture">
                <pic:pic xmlns:pic="http://schemas.openxmlformats.org/drawingml/2006/picture">
                  <pic:nvPicPr>
                    <pic:cNvPr id="533" name="Picture box 533"/>
                    <pic:cNvPicPr/>
                  </pic:nvPicPr>
                  <pic:blipFill>
                    <a:blip r:embed="rId175"/>
                    <a:stretch/>
                  </pic:blipFill>
                  <pic:spPr>
                    <a:xfrm>
                      <a:ext cx="402590" cy="146050"/>
                    </a:xfrm>
                    <a:prstGeom prst="rect"/>
                  </pic:spPr>
                </pic:pic>
              </a:graphicData>
            </a:graphic>
          </wp:anchor>
        </w:drawing>
      </w: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-76,624,69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17,762,672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52,764,945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27,775,309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30,775,309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5,245,309.</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283,179,40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133,266,81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647,471,15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bl>
    <w:p>
      <w:pPr>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284" w:right="1098" w:bottom="1449" w:left="1011" w:header="0" w:footer="3" w:gutter="0"/>
          <w:cols w:space="720"/>
          <w:noEndnote/>
          <w:titlePg/>
          <w:rtlGutter w:val="0"/>
          <w:docGrid w:linePitch="360"/>
        </w:sectPr>
      </w:pPr>
    </w:p>
    <w:p>
      <w:pPr>
        <w:pStyle w:val="Style27"/>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r>
        <w:rPr>
          <w:color w:val="000000"/>
          <w:spacing w:val="0"/>
          <w:w w:val="100"/>
          <w:position w:val="0"/>
        </w:rPr>
        <w:t>三、公司基本情况</w:t>
      </w:r>
      <w:bookmarkEnd w:id="475"/>
      <w:bookmarkEnd w:id="476"/>
      <w:bookmarkEnd w:id="477"/>
    </w:p>
    <w:p>
      <w:pPr>
        <w:pStyle w:val="Style36"/>
        <w:keepNext w:val="0"/>
        <w:keepLines w:val="0"/>
        <w:widowControl w:val="0"/>
        <w:shd w:val="clear" w:color="auto" w:fill="auto"/>
        <w:bidi w:val="0"/>
        <w:spacing w:before="0" w:after="0" w:line="425" w:lineRule="auto"/>
        <w:ind w:left="0" w:right="0" w:firstLine="0"/>
        <w:jc w:val="left"/>
      </w:pPr>
      <w:bookmarkStart w:id="478" w:name="bookmark478"/>
      <w:r>
        <w:rPr>
          <w:rFonts w:ascii="Times New Roman" w:eastAsia="Times New Roman" w:hAnsi="Times New Roman" w:cs="Times New Roman"/>
          <w:b/>
          <w:bCs/>
          <w:color w:val="000000"/>
          <w:spacing w:val="0"/>
          <w:w w:val="100"/>
          <w:position w:val="0"/>
        </w:rPr>
        <w:t>1</w:t>
      </w:r>
      <w:bookmarkEnd w:id="478"/>
      <w:r>
        <w:rPr>
          <w:b/>
          <w:bCs/>
          <w:color w:val="000000"/>
          <w:spacing w:val="0"/>
          <w:w w:val="100"/>
          <w:position w:val="0"/>
        </w:rPr>
        <w:t>、公司历史沿革</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深圳达实智能股份有限公司（以下简称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达实智能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，持深圳市工商行政管理局核发的注册 号为</w:t>
      </w:r>
      <w:r>
        <w:rPr>
          <w:rFonts w:ascii="Times New Roman" w:eastAsia="Times New Roman" w:hAnsi="Times New Roman" w:cs="Times New Roman"/>
          <w:color w:val="000000"/>
          <w:spacing w:val="0"/>
          <w:w w:val="100"/>
          <w:position w:val="0"/>
        </w:rPr>
        <w:t>440301102717424</w:t>
      </w:r>
      <w:r>
        <w:rPr>
          <w:color w:val="000000"/>
          <w:spacing w:val="0"/>
          <w:w w:val="100"/>
          <w:position w:val="0"/>
        </w:rPr>
        <w:t>号企业法人营业执照。</w:t>
      </w:r>
    </w:p>
    <w:p>
      <w:pPr>
        <w:pStyle w:val="Style73"/>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组织机构代码：</w:t>
      </w:r>
      <w:r>
        <w:rPr>
          <w:color w:val="000000"/>
          <w:spacing w:val="0"/>
          <w:w w:val="100"/>
          <w:position w:val="0"/>
        </w:rPr>
        <w:t>618886181</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公司注册地址：深圳市南山区高新技术工业村</w:t>
      </w:r>
      <w:r>
        <w:rPr>
          <w:rFonts w:ascii="Times New Roman" w:eastAsia="Times New Roman" w:hAnsi="Times New Roman" w:cs="Times New Roman"/>
          <w:color w:val="000000"/>
          <w:spacing w:val="0"/>
          <w:w w:val="100"/>
          <w:position w:val="0"/>
        </w:rPr>
        <w:t>W1</w:t>
      </w:r>
      <w:r>
        <w:rPr>
          <w:color w:val="000000"/>
          <w:spacing w:val="0"/>
          <w:w w:val="100"/>
          <w:position w:val="0"/>
        </w:rPr>
        <w:t>栋</w:t>
      </w:r>
      <w:r>
        <w:rPr>
          <w:rFonts w:ascii="Times New Roman" w:eastAsia="Times New Roman" w:hAnsi="Times New Roman" w:cs="Times New Roman"/>
          <w:color w:val="000000"/>
          <w:spacing w:val="0"/>
          <w:w w:val="100"/>
          <w:position w:val="0"/>
        </w:rPr>
        <w:t>A</w:t>
      </w:r>
      <w:r>
        <w:rPr>
          <w:color w:val="000000"/>
          <w:spacing w:val="0"/>
          <w:w w:val="100"/>
          <w:position w:val="0"/>
        </w:rPr>
        <w:t>座五楼</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公司总部地址：深圳市南山区高新技术产业园达实智能大厦</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法定代表人：刘磅</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20,880</w:t>
      </w:r>
      <w:r>
        <w:rPr>
          <w:color w:val="000000"/>
          <w:spacing w:val="0"/>
          <w:w w:val="100"/>
          <w:position w:val="0"/>
        </w:rPr>
        <w:t>万元</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公司前身为深圳达实自动化工程有限公司，系经深圳市政府外经贸深合资证字</w:t>
      </w:r>
      <w:r>
        <w:rPr>
          <w:rFonts w:ascii="Times New Roman" w:eastAsia="Times New Roman" w:hAnsi="Times New Roman" w:cs="Times New Roman"/>
          <w:color w:val="000000"/>
          <w:spacing w:val="0"/>
          <w:w w:val="100"/>
          <w:position w:val="0"/>
        </w:rPr>
        <w:t>[1995]0077</w:t>
      </w:r>
      <w:r>
        <w:rPr>
          <w:color w:val="000000"/>
          <w:spacing w:val="0"/>
          <w:w w:val="100"/>
          <w:position w:val="0"/>
        </w:rPr>
        <w:t>号批准证书 核准，于</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日在国家工商行政管理局注册登记的外商投资企业。</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月，经深圳市政府深 府函</w:t>
      </w:r>
      <w:r>
        <w:rPr>
          <w:rFonts w:ascii="Times New Roman" w:eastAsia="Times New Roman" w:hAnsi="Times New Roman" w:cs="Times New Roman"/>
          <w:color w:val="000000"/>
          <w:spacing w:val="0"/>
          <w:w w:val="100"/>
          <w:position w:val="0"/>
        </w:rPr>
        <w:t>[2000]67</w:t>
      </w:r>
      <w:r>
        <w:rPr>
          <w:color w:val="000000"/>
          <w:spacing w:val="0"/>
          <w:w w:val="100"/>
          <w:position w:val="0"/>
        </w:rPr>
        <w:t>号和深圳市外商投资局深外资复</w:t>
      </w:r>
      <w:r>
        <w:rPr>
          <w:rFonts w:ascii="Times New Roman" w:eastAsia="Times New Roman" w:hAnsi="Times New Roman" w:cs="Times New Roman"/>
          <w:color w:val="000000"/>
          <w:spacing w:val="0"/>
          <w:w w:val="100"/>
          <w:position w:val="0"/>
        </w:rPr>
        <w:t>[2000]B1576</w:t>
      </w:r>
      <w:r>
        <w:rPr>
          <w:color w:val="000000"/>
          <w:spacing w:val="0"/>
          <w:w w:val="100"/>
          <w:position w:val="0"/>
        </w:rPr>
        <w:t>号文批准，达实自动化以截至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r>
      <w:r>
        <w:rPr>
          <w:color w:val="000000"/>
          <w:spacing w:val="0"/>
          <w:w w:val="100"/>
          <w:position w:val="0"/>
        </w:rPr>
        <w:t>经 天勤会计师事务所审计的净资产</w:t>
      </w:r>
      <w:r>
        <w:rPr>
          <w:rFonts w:ascii="Times New Roman" w:eastAsia="Times New Roman" w:hAnsi="Times New Roman" w:cs="Times New Roman"/>
          <w:color w:val="000000"/>
          <w:spacing w:val="0"/>
          <w:w w:val="100"/>
          <w:position w:val="0"/>
        </w:rPr>
        <w:t>3,700</w:t>
      </w:r>
      <w:r>
        <w:rPr>
          <w:color w:val="000000"/>
          <w:spacing w:val="0"/>
          <w:w w:val="100"/>
          <w:position w:val="0"/>
        </w:rPr>
        <w:t>万元按</w:t>
      </w:r>
      <w:r>
        <w:rPr>
          <w:rFonts w:ascii="Times New Roman" w:eastAsia="Times New Roman" w:hAnsi="Times New Roman" w:cs="Times New Roman"/>
          <w:color w:val="000000"/>
          <w:spacing w:val="0"/>
          <w:w w:val="100"/>
          <w:position w:val="0"/>
        </w:rPr>
        <w:t>1:1</w:t>
      </w:r>
      <w:r>
        <w:rPr>
          <w:color w:val="000000"/>
          <w:spacing w:val="0"/>
          <w:w w:val="100"/>
          <w:position w:val="0"/>
        </w:rPr>
        <w:t>的折股比例折为</w:t>
      </w:r>
      <w:r>
        <w:rPr>
          <w:rFonts w:ascii="Times New Roman" w:eastAsia="Times New Roman" w:hAnsi="Times New Roman" w:cs="Times New Roman"/>
          <w:color w:val="000000"/>
          <w:spacing w:val="0"/>
          <w:w w:val="100"/>
          <w:position w:val="0"/>
        </w:rPr>
        <w:t>3,700</w:t>
      </w:r>
      <w:r>
        <w:rPr>
          <w:color w:val="000000"/>
          <w:spacing w:val="0"/>
          <w:w w:val="100"/>
          <w:position w:val="0"/>
        </w:rPr>
        <w:t>万股，整体变更为股份有限公司。改 制后的公司名称为深圳达实智能股份有限公司。</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其后，经过多次股权转让及增资，至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月注册资本达到</w:t>
      </w:r>
      <w:r>
        <w:rPr>
          <w:rFonts w:ascii="Times New Roman" w:eastAsia="Times New Roman" w:hAnsi="Times New Roman" w:cs="Times New Roman"/>
          <w:color w:val="000000"/>
          <w:spacing w:val="0"/>
          <w:w w:val="100"/>
          <w:position w:val="0"/>
        </w:rPr>
        <w:t>4,378</w:t>
      </w:r>
      <w:r>
        <w:rPr>
          <w:color w:val="000000"/>
          <w:spacing w:val="0"/>
          <w:w w:val="100"/>
          <w:position w:val="0"/>
        </w:rPr>
        <w:t>万元。根据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年度股东大会决议，并经深圳市贸易工业局深贸工资复</w:t>
      </w:r>
      <w:r>
        <w:rPr>
          <w:rFonts w:ascii="Times New Roman" w:eastAsia="Times New Roman" w:hAnsi="Times New Roman" w:cs="Times New Roman"/>
          <w:color w:val="000000"/>
          <w:spacing w:val="0"/>
          <w:w w:val="100"/>
          <w:position w:val="0"/>
        </w:rPr>
        <w:t>[2007]1554</w:t>
      </w:r>
      <w:r>
        <w:rPr>
          <w:color w:val="000000"/>
          <w:spacing w:val="0"/>
          <w:w w:val="100"/>
          <w:position w:val="0"/>
        </w:rPr>
        <w:t>号文批准，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日，安进企业有 限公司和盛安机电设备（深圳）有限公司（现已更名为盛安机电设备（昌都）有限公司）（以下简称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盛 安机电</w:t>
      </w:r>
      <w:r>
        <w:rPr>
          <w:color w:val="000000"/>
          <w:spacing w:val="0"/>
          <w:w w:val="100"/>
          <w:position w:val="0"/>
        </w:rPr>
        <w:t>''）</w:t>
      </w:r>
      <w:r>
        <w:rPr>
          <w:color w:val="000000"/>
          <w:spacing w:val="0"/>
          <w:w w:val="100"/>
          <w:position w:val="0"/>
        </w:rPr>
        <w:t>签订《股权转让协议》，安进企业将其持有的本公司</w:t>
      </w:r>
      <w:r>
        <w:rPr>
          <w:rFonts w:ascii="Times New Roman" w:eastAsia="Times New Roman" w:hAnsi="Times New Roman" w:cs="Times New Roman"/>
          <w:color w:val="000000"/>
          <w:spacing w:val="0"/>
          <w:w w:val="100"/>
          <w:position w:val="0"/>
        </w:rPr>
        <w:t>25.126%</w:t>
      </w:r>
      <w:r>
        <w:rPr>
          <w:color w:val="000000"/>
          <w:spacing w:val="0"/>
          <w:w w:val="100"/>
          <w:position w:val="0"/>
        </w:rPr>
        <w:t>股份计</w:t>
      </w:r>
      <w:r>
        <w:rPr>
          <w:rFonts w:ascii="Times New Roman" w:eastAsia="Times New Roman" w:hAnsi="Times New Roman" w:cs="Times New Roman"/>
          <w:color w:val="000000"/>
          <w:spacing w:val="0"/>
          <w:w w:val="100"/>
          <w:position w:val="0"/>
        </w:rPr>
        <w:t>1,100</w:t>
      </w:r>
      <w:r>
        <w:rPr>
          <w:color w:val="000000"/>
          <w:spacing w:val="0"/>
          <w:w w:val="100"/>
          <w:position w:val="0"/>
        </w:rPr>
        <w:t>万股以港币</w:t>
      </w:r>
      <w:r>
        <w:rPr>
          <w:rFonts w:ascii="Times New Roman" w:eastAsia="Times New Roman" w:hAnsi="Times New Roman" w:cs="Times New Roman"/>
          <w:color w:val="000000"/>
          <w:spacing w:val="0"/>
          <w:w w:val="100"/>
          <w:position w:val="0"/>
        </w:rPr>
        <w:t>1,056</w:t>
      </w:r>
      <w:r>
        <w:rPr>
          <w:color w:val="000000"/>
          <w:spacing w:val="0"/>
          <w:w w:val="100"/>
          <w:position w:val="0"/>
        </w:rPr>
        <w:t>万元 转让给境内企业一盛安机电。本次股权转让后，公司由中外合资股份有限公司变更为内资股份有限公司。 根据公司</w:t>
      </w:r>
      <w:r>
        <w:rPr>
          <w:rFonts w:ascii="Times New Roman" w:eastAsia="Times New Roman" w:hAnsi="Times New Roman" w:cs="Times New Roman"/>
          <w:color w:val="000000"/>
          <w:spacing w:val="0"/>
          <w:w w:val="100"/>
          <w:position w:val="0"/>
        </w:rPr>
        <w:t>2006</w:t>
      </w:r>
      <w:r>
        <w:rPr>
          <w:color w:val="000000"/>
          <w:spacing w:val="0"/>
          <w:w w:val="100"/>
          <w:position w:val="0"/>
        </w:rPr>
        <w:t>年度股东大会决议批准，公司以业经深圳鹏城审计的截止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日可供股东分配利润 中的</w:t>
      </w:r>
      <w:r>
        <w:rPr>
          <w:rFonts w:ascii="Times New Roman" w:eastAsia="Times New Roman" w:hAnsi="Times New Roman" w:cs="Times New Roman"/>
          <w:color w:val="000000"/>
          <w:spacing w:val="0"/>
          <w:w w:val="100"/>
          <w:position w:val="0"/>
        </w:rPr>
        <w:t>1,422</w:t>
      </w:r>
      <w:r>
        <w:rPr>
          <w:color w:val="000000"/>
          <w:spacing w:val="0"/>
          <w:w w:val="100"/>
          <w:position w:val="0"/>
        </w:rPr>
        <w:t>万元转增资本，注册资本增至</w:t>
      </w:r>
      <w:r>
        <w:rPr>
          <w:rFonts w:ascii="Times New Roman" w:eastAsia="Times New Roman" w:hAnsi="Times New Roman" w:cs="Times New Roman"/>
          <w:color w:val="000000"/>
          <w:spacing w:val="0"/>
          <w:w w:val="100"/>
          <w:position w:val="0"/>
        </w:rPr>
        <w:t>5,800</w:t>
      </w:r>
      <w:r>
        <w:rPr>
          <w:color w:val="000000"/>
          <w:spacing w:val="0"/>
          <w:w w:val="100"/>
          <w:position w:val="0"/>
        </w:rPr>
        <w:t>万元。</w:t>
      </w:r>
    </w:p>
    <w:p>
      <w:pPr>
        <w:pStyle w:val="Style36"/>
        <w:keepNext w:val="0"/>
        <w:keepLines w:val="0"/>
        <w:widowControl w:val="0"/>
        <w:shd w:val="clear" w:color="auto" w:fill="auto"/>
        <w:bidi w:val="0"/>
        <w:spacing w:before="0" w:after="0" w:line="407"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达实智能股东深圳市达实投资发展有限公司和盛安机电设备（深圳）有限公 司（现已更名为盛安机电设备（昌都）有限公司）分别与公司</w:t>
      </w:r>
      <w:r>
        <w:rPr>
          <w:rFonts w:ascii="Times New Roman" w:eastAsia="Times New Roman" w:hAnsi="Times New Roman" w:cs="Times New Roman"/>
          <w:color w:val="000000"/>
          <w:spacing w:val="0"/>
          <w:w w:val="100"/>
          <w:position w:val="0"/>
        </w:rPr>
        <w:t>96</w:t>
      </w:r>
      <w:r>
        <w:rPr>
          <w:color w:val="000000"/>
          <w:spacing w:val="0"/>
          <w:w w:val="100"/>
          <w:position w:val="0"/>
        </w:rPr>
        <w:t>名员工及邓欣签署《股份转让协议》，</w:t>
      </w:r>
      <w:r>
        <w:rPr>
          <w:rFonts w:ascii="Times New Roman" w:eastAsia="Times New Roman" w:hAnsi="Times New Roman" w:cs="Times New Roman"/>
          <w:color w:val="000000"/>
          <w:spacing w:val="0"/>
          <w:w w:val="100"/>
          <w:position w:val="0"/>
        </w:rPr>
        <w:t xml:space="preserve">97 </w:t>
      </w:r>
      <w:r>
        <w:rPr>
          <w:color w:val="000000"/>
          <w:spacing w:val="0"/>
          <w:w w:val="100"/>
          <w:position w:val="0"/>
        </w:rPr>
        <w:t>名自然人合计受让达实智能股份</w:t>
      </w:r>
      <w:r>
        <w:rPr>
          <w:rFonts w:ascii="Times New Roman" w:eastAsia="Times New Roman" w:hAnsi="Times New Roman" w:cs="Times New Roman"/>
          <w:color w:val="000000"/>
          <w:spacing w:val="0"/>
          <w:w w:val="100"/>
          <w:position w:val="0"/>
        </w:rPr>
        <w:t>8,075,240</w:t>
      </w:r>
      <w:r>
        <w:rPr>
          <w:color w:val="000000"/>
          <w:spacing w:val="0"/>
          <w:w w:val="100"/>
          <w:position w:val="0"/>
        </w:rPr>
        <w:t>股。上述股权转让事宜业经深圳市高新技术产权交易所予以见 证，并于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日在深圳市工商行政管理局办理了工商变更登记手续。</w:t>
      </w:r>
    </w:p>
    <w:p>
      <w:pPr>
        <w:pStyle w:val="Style36"/>
        <w:keepNext w:val="0"/>
        <w:keepLines w:val="0"/>
        <w:widowControl w:val="0"/>
        <w:shd w:val="clear" w:color="auto" w:fill="auto"/>
        <w:bidi w:val="0"/>
        <w:spacing w:before="0" w:after="0" w:line="407"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月，经中国证券监督管理委员会《关于核准深圳达实智能股份有限公司首次公开发行股票的 批复》（证监许可</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596</w:t>
      </w:r>
      <w:r>
        <w:rPr>
          <w:color w:val="000000"/>
          <w:spacing w:val="0"/>
          <w:w w:val="100"/>
          <w:position w:val="0"/>
        </w:rPr>
        <w:t>号）核准，达实智能向社会公开发行人民币普通股</w:t>
      </w:r>
      <w:r>
        <w:rPr>
          <w:rFonts w:ascii="Times New Roman" w:eastAsia="Times New Roman" w:hAnsi="Times New Roman" w:cs="Times New Roman"/>
          <w:color w:val="000000"/>
          <w:spacing w:val="0"/>
          <w:w w:val="100"/>
          <w:position w:val="0"/>
        </w:rPr>
        <w:t>2,000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 此次公开发行增加公司股本</w:t>
      </w:r>
      <w:r>
        <w:rPr>
          <w:rFonts w:ascii="Times New Roman" w:eastAsia="Times New Roman" w:hAnsi="Times New Roman" w:cs="Times New Roman"/>
          <w:color w:val="000000"/>
          <w:spacing w:val="0"/>
          <w:w w:val="100"/>
          <w:position w:val="0"/>
        </w:rPr>
        <w:t>2,000</w:t>
      </w:r>
      <w:r>
        <w:rPr>
          <w:color w:val="000000"/>
          <w:spacing w:val="0"/>
          <w:w w:val="100"/>
          <w:position w:val="0"/>
        </w:rPr>
        <w:t>万元，变更后的注册资本为</w:t>
      </w:r>
      <w:r>
        <w:rPr>
          <w:rFonts w:ascii="Times New Roman" w:eastAsia="Times New Roman" w:hAnsi="Times New Roman" w:cs="Times New Roman"/>
          <w:color w:val="000000"/>
          <w:spacing w:val="0"/>
          <w:w w:val="100"/>
          <w:position w:val="0"/>
        </w:rPr>
        <w:t>7,800</w:t>
      </w:r>
      <w:r>
        <w:rPr>
          <w:color w:val="000000"/>
          <w:spacing w:val="0"/>
          <w:w w:val="100"/>
          <w:position w:val="0"/>
        </w:rPr>
        <w:t>万元。</w:t>
      </w:r>
    </w:p>
    <w:p>
      <w:pPr>
        <w:pStyle w:val="Style36"/>
        <w:keepNext w:val="0"/>
        <w:keepLines w:val="0"/>
        <w:widowControl w:val="0"/>
        <w:shd w:val="clear" w:color="auto" w:fill="auto"/>
        <w:bidi w:val="0"/>
        <w:spacing w:before="0" w:after="0" w:line="407"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年度股东大会决议和经该次股东大会授权修改 后的章程规定，公司以截止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7,800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3</w:t>
      </w:r>
      <w:r>
        <w:rPr>
          <w:color w:val="000000"/>
          <w:spacing w:val="0"/>
          <w:w w:val="100"/>
          <w:position w:val="0"/>
        </w:rPr>
        <w:t>股，增加股本</w:t>
      </w:r>
      <w:r>
        <w:rPr>
          <w:rFonts w:ascii="Times New Roman" w:eastAsia="Times New Roman" w:hAnsi="Times New Roman" w:cs="Times New Roman"/>
          <w:color w:val="000000"/>
          <w:spacing w:val="0"/>
          <w:w w:val="100"/>
          <w:position w:val="0"/>
        </w:rPr>
        <w:t>2,340</w:t>
      </w:r>
      <w:r>
        <w:rPr>
          <w:color w:val="000000"/>
          <w:spacing w:val="0"/>
          <w:w w:val="100"/>
          <w:position w:val="0"/>
        </w:rPr>
        <w:t>万元，变更后的总股本为</w:t>
      </w:r>
      <w:r>
        <w:rPr>
          <w:rFonts w:ascii="Times New Roman" w:eastAsia="Times New Roman" w:hAnsi="Times New Roman" w:cs="Times New Roman"/>
          <w:color w:val="000000"/>
          <w:spacing w:val="0"/>
          <w:w w:val="100"/>
          <w:position w:val="0"/>
        </w:rPr>
        <w:t>10,140</w:t>
      </w:r>
      <w:r>
        <w:rPr>
          <w:color w:val="000000"/>
          <w:spacing w:val="0"/>
          <w:w w:val="100"/>
          <w:position w:val="0"/>
        </w:rPr>
        <w:t>万元，变更后注册资本为</w:t>
      </w:r>
      <w:r>
        <w:rPr>
          <w:rFonts w:ascii="Times New Roman" w:eastAsia="Times New Roman" w:hAnsi="Times New Roman" w:cs="Times New Roman"/>
          <w:color w:val="000000"/>
          <w:spacing w:val="0"/>
          <w:w w:val="100"/>
          <w:position w:val="0"/>
        </w:rPr>
        <w:t>10,140</w:t>
      </w:r>
      <w:r>
        <w:rPr>
          <w:color w:val="000000"/>
          <w:spacing w:val="0"/>
          <w:w w:val="100"/>
          <w:position w:val="0"/>
        </w:rPr>
        <w:t>万元。</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年第一次临时股东大会审议通过的《关于</w:t>
      </w:r>
      <w:r>
        <w:rPr>
          <w:color w:val="000000"/>
          <w:spacing w:val="0"/>
          <w:w w:val="100"/>
          <w:position w:val="0"/>
        </w:rPr>
        <w:t>〈</w:t>
      </w:r>
      <w:r>
        <w:rPr>
          <w:color w:val="000000"/>
          <w:spacing w:val="0"/>
          <w:w w:val="100"/>
          <w:position w:val="0"/>
        </w:rPr>
        <w:t>深圳达实智能股份有限公司限制性股票激励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及其摘要的议案》，以及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日第四届董事会第十七次会议审议通过的《关于对限 </w:t>
      </w:r>
      <w:r>
        <w:rPr>
          <w:color w:val="000000"/>
          <w:spacing w:val="0"/>
          <w:w w:val="100"/>
          <w:position w:val="0"/>
        </w:rPr>
        <w:t>制性股票计划进行调整的议案》和《关于向激励对象授予限制性股票的议案》的规定，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公司以每股</w:t>
      </w:r>
      <w:r>
        <w:rPr>
          <w:rFonts w:ascii="Times New Roman" w:eastAsia="Times New Roman" w:hAnsi="Times New Roman" w:cs="Times New Roman"/>
          <w:color w:val="000000"/>
          <w:spacing w:val="0"/>
          <w:w w:val="100"/>
          <w:position w:val="0"/>
        </w:rPr>
        <w:t>8.51</w:t>
      </w:r>
      <w:r>
        <w:rPr>
          <w:color w:val="000000"/>
          <w:spacing w:val="0"/>
          <w:w w:val="100"/>
          <w:position w:val="0"/>
        </w:rPr>
        <w:t>元的价格授予</w:t>
      </w:r>
      <w:r>
        <w:rPr>
          <w:rFonts w:ascii="Times New Roman" w:eastAsia="Times New Roman" w:hAnsi="Times New Roman" w:cs="Times New Roman"/>
          <w:color w:val="000000"/>
          <w:spacing w:val="0"/>
          <w:w w:val="100"/>
          <w:position w:val="0"/>
        </w:rPr>
        <w:t>76</w:t>
      </w:r>
      <w:r>
        <w:rPr>
          <w:color w:val="000000"/>
          <w:spacing w:val="0"/>
          <w:w w:val="100"/>
          <w:position w:val="0"/>
        </w:rPr>
        <w:t>位激励对象</w:t>
      </w:r>
      <w:r>
        <w:rPr>
          <w:rFonts w:ascii="Times New Roman" w:eastAsia="Times New Roman" w:hAnsi="Times New Roman" w:cs="Times New Roman"/>
          <w:color w:val="000000"/>
          <w:spacing w:val="0"/>
          <w:w w:val="100"/>
          <w:position w:val="0"/>
        </w:rPr>
        <w:t>300</w:t>
      </w:r>
      <w:r>
        <w:rPr>
          <w:color w:val="000000"/>
          <w:spacing w:val="0"/>
          <w:w w:val="100"/>
          <w:position w:val="0"/>
        </w:rPr>
        <w:t>万股限制性股票，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日收到增资款，增加股本</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万元，变更后的总股本</w:t>
      </w:r>
      <w:r>
        <w:rPr>
          <w:rFonts w:ascii="Times New Roman" w:eastAsia="Times New Roman" w:hAnsi="Times New Roman" w:cs="Times New Roman"/>
          <w:color w:val="000000"/>
          <w:spacing w:val="0"/>
          <w:w w:val="100"/>
          <w:position w:val="0"/>
        </w:rPr>
        <w:t>10,440</w:t>
      </w:r>
      <w:r>
        <w:rPr>
          <w:color w:val="000000"/>
          <w:spacing w:val="0"/>
          <w:w w:val="100"/>
          <w:position w:val="0"/>
        </w:rPr>
        <w:t>万元，变更后注册资本</w:t>
      </w:r>
      <w:r>
        <w:rPr>
          <w:rFonts w:ascii="Times New Roman" w:eastAsia="Times New Roman" w:hAnsi="Times New Roman" w:cs="Times New Roman"/>
          <w:color w:val="000000"/>
          <w:spacing w:val="0"/>
          <w:w w:val="100"/>
          <w:position w:val="0"/>
        </w:rPr>
        <w:t>10,440</w:t>
      </w:r>
      <w:r>
        <w:rPr>
          <w:color w:val="000000"/>
          <w:spacing w:val="0"/>
          <w:w w:val="100"/>
          <w:position w:val="0"/>
        </w:rPr>
        <w:t>万元。</w:t>
      </w:r>
    </w:p>
    <w:p>
      <w:pPr>
        <w:pStyle w:val="Style36"/>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年第三次临时股东大会审议通过的</w:t>
      </w:r>
      <w:r>
        <w:rPr>
          <w:rFonts w:ascii="Times New Roman" w:eastAsia="Times New Roman" w:hAnsi="Times New Roman" w:cs="Times New Roman"/>
          <w:color w:val="000000"/>
          <w:spacing w:val="0"/>
          <w:w w:val="100"/>
          <w:position w:val="0"/>
        </w:rPr>
        <w:t>2012</w:t>
      </w:r>
      <w:r>
        <w:rPr>
          <w:color w:val="000000"/>
          <w:spacing w:val="0"/>
          <w:w w:val="100"/>
          <w:position w:val="0"/>
        </w:rPr>
        <w:t>年半年度公司权益分配方 案，公司以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日总股本</w:t>
      </w:r>
      <w:r>
        <w:rPr>
          <w:rFonts w:ascii="Times New Roman" w:eastAsia="Times New Roman" w:hAnsi="Times New Roman" w:cs="Times New Roman"/>
          <w:color w:val="000000"/>
          <w:spacing w:val="0"/>
          <w:w w:val="100"/>
          <w:position w:val="0"/>
        </w:rPr>
        <w:t>10,440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股，变更后的 总股本为</w:t>
      </w:r>
      <w:r>
        <w:rPr>
          <w:rFonts w:ascii="Times New Roman" w:eastAsia="Times New Roman" w:hAnsi="Times New Roman" w:cs="Times New Roman"/>
          <w:color w:val="000000"/>
          <w:spacing w:val="0"/>
          <w:w w:val="100"/>
          <w:position w:val="0"/>
        </w:rPr>
        <w:t>20,880</w:t>
      </w:r>
      <w:r>
        <w:rPr>
          <w:color w:val="000000"/>
          <w:spacing w:val="0"/>
          <w:w w:val="100"/>
          <w:position w:val="0"/>
        </w:rPr>
        <w:t>万元，变更后注册资本为</w:t>
      </w:r>
      <w:r>
        <w:rPr>
          <w:rFonts w:ascii="Times New Roman" w:eastAsia="Times New Roman" w:hAnsi="Times New Roman" w:cs="Times New Roman"/>
          <w:color w:val="000000"/>
          <w:spacing w:val="0"/>
          <w:w w:val="100"/>
          <w:position w:val="0"/>
        </w:rPr>
        <w:t>20,880</w:t>
      </w:r>
      <w:r>
        <w:rPr>
          <w:color w:val="000000"/>
          <w:spacing w:val="0"/>
          <w:w w:val="100"/>
          <w:position w:val="0"/>
        </w:rPr>
        <w:t>万元。</w:t>
      </w:r>
    </w:p>
    <w:p>
      <w:pPr>
        <w:pStyle w:val="Style39"/>
        <w:keepNext/>
        <w:keepLines/>
        <w:widowControl w:val="0"/>
        <w:shd w:val="clear" w:color="auto" w:fill="auto"/>
        <w:tabs>
          <w:tab w:pos="378" w:val="left"/>
        </w:tabs>
        <w:bidi w:val="0"/>
        <w:spacing w:before="0" w:after="0" w:line="427"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公司经营范围</w:t>
      </w:r>
      <w:bookmarkEnd w:id="479"/>
      <w:bookmarkEnd w:id="480"/>
      <w:bookmarkEnd w:id="482"/>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本公司基于智能化技术开展业务，属于</w:t>
      </w:r>
      <w:r>
        <w:rPr>
          <w:rFonts w:ascii="Times New Roman" w:eastAsia="Times New Roman" w:hAnsi="Times New Roman" w:cs="Times New Roman"/>
          <w:color w:val="000000"/>
          <w:spacing w:val="0"/>
          <w:w w:val="100"/>
          <w:position w:val="0"/>
        </w:rPr>
        <w:t>“</w:t>
      </w:r>
      <w:r>
        <w:rPr>
          <w:color w:val="000000"/>
          <w:spacing w:val="0"/>
          <w:w w:val="100"/>
          <w:position w:val="0"/>
        </w:rPr>
        <w:t>计算机服务业</w:t>
      </w:r>
      <w:r>
        <w:rPr>
          <w:rFonts w:ascii="Times New Roman" w:eastAsia="Times New Roman" w:hAnsi="Times New Roman" w:cs="Times New Roman"/>
          <w:color w:val="000000"/>
          <w:spacing w:val="0"/>
          <w:w w:val="100"/>
          <w:position w:val="0"/>
        </w:rPr>
        <w:t>''</w:t>
      </w:r>
      <w:r>
        <w:rPr>
          <w:color w:val="000000"/>
          <w:spacing w:val="0"/>
          <w:w w:val="100"/>
          <w:position w:val="0"/>
        </w:rPr>
        <w:t>大类下的</w:t>
      </w:r>
      <w:r>
        <w:rPr>
          <w:rFonts w:ascii="Times New Roman" w:eastAsia="Times New Roman" w:hAnsi="Times New Roman" w:cs="Times New Roman"/>
          <w:color w:val="000000"/>
          <w:spacing w:val="0"/>
          <w:w w:val="100"/>
          <w:position w:val="0"/>
        </w:rPr>
        <w:t>“</w:t>
      </w:r>
      <w:r>
        <w:rPr>
          <w:color w:val="000000"/>
          <w:spacing w:val="0"/>
          <w:w w:val="100"/>
          <w:position w:val="0"/>
        </w:rPr>
        <w:t>其它计算机服务业</w:t>
      </w:r>
      <w:r>
        <w:rPr>
          <w:rFonts w:ascii="Times New Roman" w:eastAsia="Times New Roman" w:hAnsi="Times New Roman" w:cs="Times New Roman"/>
          <w:color w:val="000000"/>
          <w:spacing w:val="0"/>
          <w:w w:val="100"/>
          <w:position w:val="0"/>
        </w:rPr>
        <w:t>''</w:t>
      </w:r>
      <w:r>
        <w:rPr>
          <w:color w:val="000000"/>
          <w:spacing w:val="0"/>
          <w:w w:val="100"/>
          <w:position w:val="0"/>
        </w:rPr>
        <w:t>小类，具体细分 为</w:t>
      </w:r>
      <w:r>
        <w:rPr>
          <w:rFonts w:ascii="Times New Roman" w:eastAsia="Times New Roman" w:hAnsi="Times New Roman" w:cs="Times New Roman"/>
          <w:color w:val="000000"/>
          <w:spacing w:val="0"/>
          <w:w w:val="100"/>
          <w:position w:val="0"/>
        </w:rPr>
        <w:t>"</w:t>
      </w:r>
      <w:r>
        <w:rPr>
          <w:color w:val="000000"/>
          <w:spacing w:val="0"/>
          <w:w w:val="100"/>
          <w:position w:val="0"/>
        </w:rPr>
        <w:t>建筑智能化及建筑节能服务行业</w:t>
      </w:r>
      <w:r>
        <w:rPr>
          <w:rFonts w:ascii="Times New Roman" w:eastAsia="Times New Roman" w:hAnsi="Times New Roman" w:cs="Times New Roman"/>
          <w:color w:val="000000"/>
          <w:spacing w:val="0"/>
          <w:w w:val="100"/>
          <w:position w:val="0"/>
        </w:rPr>
        <w:t>”</w:t>
      </w:r>
      <w:r>
        <w:rPr>
          <w:color w:val="000000"/>
          <w:spacing w:val="0"/>
          <w:w w:val="100"/>
          <w:position w:val="0"/>
        </w:rPr>
        <w:t>。本公司主要从事建筑智能化及建筑节能服务，同时提供工业自动化 系统集成和</w:t>
      </w:r>
      <w:r>
        <w:rPr>
          <w:rFonts w:ascii="Times New Roman" w:eastAsia="Times New Roman" w:hAnsi="Times New Roman" w:cs="Times New Roman"/>
          <w:color w:val="000000"/>
          <w:spacing w:val="0"/>
          <w:w w:val="100"/>
          <w:position w:val="0"/>
        </w:rPr>
        <w:t>IC</w:t>
      </w:r>
      <w:r>
        <w:rPr>
          <w:color w:val="000000"/>
          <w:spacing w:val="0"/>
          <w:w w:val="100"/>
          <w:position w:val="0"/>
        </w:rPr>
        <w:t>卡读写设备的生产、销售业务。</w:t>
      </w:r>
    </w:p>
    <w:p>
      <w:pPr>
        <w:pStyle w:val="Style36"/>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公司经营范围：组装生产、研发能源管理产品；</w:t>
      </w:r>
      <w:r>
        <w:rPr>
          <w:rFonts w:ascii="Times New Roman" w:eastAsia="Times New Roman" w:hAnsi="Times New Roman" w:cs="Times New Roman"/>
          <w:color w:val="000000"/>
          <w:spacing w:val="0"/>
          <w:w w:val="100"/>
          <w:position w:val="0"/>
        </w:rPr>
        <w:t>IC</w:t>
      </w:r>
      <w:r>
        <w:rPr>
          <w:color w:val="000000"/>
          <w:spacing w:val="0"/>
          <w:w w:val="100"/>
          <w:position w:val="0"/>
        </w:rPr>
        <w:t>卡读写机具产品、安防监控设备和信息终端、智能 大厦监控系统、现场网络控制设备、机电设备和仪器仪表的技术开发及相关系统软件的销售；承接建筑智 能化系统和工业自动化系统的设计、集成、安装、技术咨询；提供能源监测、节能咨询服务；电气系统网 络开发、电气产品及设备开发、销售、安装。</w:t>
      </w:r>
    </w:p>
    <w:p>
      <w:pPr>
        <w:pStyle w:val="Style39"/>
        <w:keepNext/>
        <w:keepLines/>
        <w:widowControl w:val="0"/>
        <w:shd w:val="clear" w:color="auto" w:fill="auto"/>
        <w:tabs>
          <w:tab w:pos="378" w:val="left"/>
        </w:tabs>
        <w:bidi w:val="0"/>
        <w:spacing w:before="0" w:after="0" w:line="427"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w:t>
        <w:tab/>
        <w:t>公司实际控制人</w:t>
      </w:r>
      <w:bookmarkEnd w:id="483"/>
      <w:bookmarkEnd w:id="484"/>
      <w:bookmarkEnd w:id="486"/>
    </w:p>
    <w:p>
      <w:pPr>
        <w:pStyle w:val="Style36"/>
        <w:keepNext w:val="0"/>
        <w:keepLines w:val="0"/>
        <w:widowControl w:val="0"/>
        <w:shd w:val="clear" w:color="auto" w:fill="auto"/>
        <w:bidi w:val="0"/>
        <w:spacing w:before="0" w:after="800" w:line="408" w:lineRule="exact"/>
        <w:ind w:left="0" w:right="0" w:firstLine="440"/>
        <w:jc w:val="both"/>
      </w:pPr>
      <w:r>
        <w:rPr>
          <w:color w:val="000000"/>
          <w:spacing w:val="0"/>
          <w:w w:val="100"/>
          <w:position w:val="0"/>
        </w:rPr>
        <w:t>本公司实际控制人为刘磅，系深圳市达实投资发展有限公司的第一大股东，本公司董事长、总经理。</w:t>
      </w:r>
    </w:p>
    <w:p>
      <w:pPr>
        <w:pStyle w:val="Style27"/>
        <w:keepNext/>
        <w:keepLines/>
        <w:widowControl w:val="0"/>
        <w:shd w:val="clear" w:color="auto" w:fill="auto"/>
        <w:bidi w:val="0"/>
        <w:spacing w:before="0" w:after="38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四</w:t>
      </w:r>
      <w:bookmarkEnd w:id="489"/>
      <w:r>
        <w:rPr>
          <w:color w:val="000000"/>
          <w:spacing w:val="0"/>
          <w:w w:val="100"/>
          <w:position w:val="0"/>
        </w:rPr>
        <w:t>、公司主要会计政策、会计估计和前期差错</w:t>
      </w:r>
      <w:bookmarkEnd w:id="487"/>
      <w:bookmarkEnd w:id="488"/>
      <w:bookmarkEnd w:id="490"/>
    </w:p>
    <w:p>
      <w:pPr>
        <w:pStyle w:val="Style39"/>
        <w:keepNext/>
        <w:keepLines/>
        <w:widowControl w:val="0"/>
        <w:shd w:val="clear" w:color="auto" w:fill="auto"/>
        <w:tabs>
          <w:tab w:pos="368" w:val="left"/>
        </w:tabs>
        <w:bidi w:val="0"/>
        <w:spacing w:before="0" w:after="0" w:line="427"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t>财务报表的编制基础</w:t>
      </w:r>
      <w:bookmarkEnd w:id="491"/>
      <w:bookmarkEnd w:id="492"/>
      <w:bookmarkEnd w:id="494"/>
    </w:p>
    <w:p>
      <w:pPr>
        <w:pStyle w:val="Style36"/>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本公司以持续经营为基础，根据实际发生的交易和事项，按照《企业会计准则一一基本准则》和其他 各项会计准则的规定进行确认和计量，在此基础上编制财务报表。</w:t>
      </w:r>
    </w:p>
    <w:p>
      <w:pPr>
        <w:pStyle w:val="Style39"/>
        <w:keepNext/>
        <w:keepLines/>
        <w:widowControl w:val="0"/>
        <w:shd w:val="clear" w:color="auto" w:fill="auto"/>
        <w:tabs>
          <w:tab w:pos="378" w:val="left"/>
        </w:tabs>
        <w:bidi w:val="0"/>
        <w:spacing w:before="0" w:after="0" w:line="427"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w:t>
        <w:tab/>
        <w:t>遵循企业会计准则的声明</w:t>
      </w:r>
      <w:bookmarkEnd w:id="495"/>
      <w:bookmarkEnd w:id="496"/>
      <w:bookmarkEnd w:id="498"/>
    </w:p>
    <w:p>
      <w:pPr>
        <w:pStyle w:val="Style36"/>
        <w:keepNext w:val="0"/>
        <w:keepLines w:val="0"/>
        <w:widowControl w:val="0"/>
        <w:shd w:val="clear" w:color="auto" w:fill="auto"/>
        <w:bidi w:val="0"/>
        <w:spacing w:before="0" w:after="500" w:line="398" w:lineRule="exact"/>
        <w:ind w:left="0" w:right="0" w:firstLine="440"/>
        <w:jc w:val="both"/>
      </w:pPr>
      <w:r>
        <w:rPr>
          <w:color w:val="000000"/>
          <w:spacing w:val="0"/>
          <w:w w:val="100"/>
          <w:position w:val="0"/>
        </w:rPr>
        <w:t xml:space="preserve">本公司基于上述编制基础编制的合并财务报表符合企业会计准则的要求，真实、完整地反映了本公司 </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日的合并财务状况，以及</w:t>
      </w:r>
      <w:r>
        <w:rPr>
          <w:color w:val="000000"/>
          <w:spacing w:val="0"/>
          <w:w w:val="100"/>
          <w:position w:val="0"/>
        </w:rPr>
        <w:t>2013</w:t>
      </w:r>
      <w:r>
        <w:rPr>
          <w:color w:val="000000"/>
          <w:spacing w:val="0"/>
          <w:w w:val="100"/>
          <w:position w:val="0"/>
        </w:rPr>
        <w:t>年的合并经营成果和合并现金流量等有关信息。</w:t>
      </w:r>
    </w:p>
    <w:p>
      <w:pPr>
        <w:pStyle w:val="Style39"/>
        <w:keepNext/>
        <w:keepLines/>
        <w:widowControl w:val="0"/>
        <w:shd w:val="clear" w:color="auto" w:fill="auto"/>
        <w:tabs>
          <w:tab w:pos="378" w:val="left"/>
        </w:tabs>
        <w:bidi w:val="0"/>
        <w:spacing w:before="0" w:after="0" w:line="427"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w:t>
        <w:tab/>
        <w:t>会计期间</w:t>
      </w:r>
      <w:bookmarkEnd w:id="499"/>
      <w:bookmarkEnd w:id="500"/>
      <w:bookmarkEnd w:id="502"/>
    </w:p>
    <w:p>
      <w:pPr>
        <w:pStyle w:val="Style36"/>
        <w:keepNext w:val="0"/>
        <w:keepLines w:val="0"/>
        <w:widowControl w:val="0"/>
        <w:shd w:val="clear" w:color="auto" w:fill="auto"/>
        <w:bidi w:val="0"/>
        <w:spacing w:before="0" w:after="380" w:line="408" w:lineRule="exact"/>
        <w:ind w:left="0" w:right="0" w:firstLine="0"/>
        <w:jc w:val="left"/>
      </w:pPr>
      <w:r>
        <w:rPr>
          <w:color w:val="000000"/>
          <w:spacing w:val="0"/>
          <w:w w:val="100"/>
          <w:position w:val="0"/>
        </w:rPr>
        <w:t>采用公历年度，即从每年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39"/>
        <w:keepNext/>
        <w:keepLines/>
        <w:widowControl w:val="0"/>
        <w:shd w:val="clear" w:color="auto" w:fill="auto"/>
        <w:tabs>
          <w:tab w:pos="378" w:val="left"/>
        </w:tabs>
        <w:bidi w:val="0"/>
        <w:spacing w:before="0" w:after="0" w:line="427"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4</w:t>
      </w:r>
      <w:bookmarkEnd w:id="505"/>
      <w:r>
        <w:rPr>
          <w:color w:val="000000"/>
          <w:spacing w:val="0"/>
          <w:w w:val="100"/>
          <w:position w:val="0"/>
        </w:rPr>
        <w:t>、</w:t>
        <w:tab/>
        <w:t>记账本位币</w:t>
      </w:r>
      <w:bookmarkEnd w:id="503"/>
      <w:bookmarkEnd w:id="504"/>
      <w:bookmarkEnd w:id="506"/>
    </w:p>
    <w:p>
      <w:pPr>
        <w:pStyle w:val="Style36"/>
        <w:keepNext w:val="0"/>
        <w:keepLines w:val="0"/>
        <w:widowControl w:val="0"/>
        <w:shd w:val="clear" w:color="auto" w:fill="auto"/>
        <w:bidi w:val="0"/>
        <w:spacing w:before="0" w:after="280" w:line="408" w:lineRule="exact"/>
        <w:ind w:left="0" w:right="0" w:firstLine="0"/>
        <w:jc w:val="left"/>
      </w:pPr>
      <w:r>
        <w:rPr>
          <w:color w:val="000000"/>
          <w:spacing w:val="0"/>
          <w:w w:val="100"/>
          <w:position w:val="0"/>
        </w:rPr>
        <w:t>以人民币为记账本位币。</w:t>
      </w:r>
    </w:p>
    <w:p>
      <w:pPr>
        <w:pStyle w:val="Style39"/>
        <w:keepNext/>
        <w:keepLines/>
        <w:widowControl w:val="0"/>
        <w:shd w:val="clear" w:color="auto" w:fill="auto"/>
        <w:tabs>
          <w:tab w:pos="375" w:val="left"/>
        </w:tabs>
        <w:bidi w:val="0"/>
        <w:spacing w:before="0" w:after="180" w:line="409" w:lineRule="exact"/>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5</w:t>
      </w:r>
      <w:bookmarkEnd w:id="509"/>
      <w:r>
        <w:rPr>
          <w:color w:val="000000"/>
          <w:spacing w:val="0"/>
          <w:w w:val="100"/>
          <w:position w:val="0"/>
        </w:rPr>
        <w:t>、</w:t>
        <w:tab/>
        <w:t>同一控制下和非同一控制下企业合并的会计处理方法</w:t>
      </w:r>
      <w:bookmarkEnd w:id="507"/>
      <w:bookmarkEnd w:id="508"/>
      <w:bookmarkEnd w:id="510"/>
    </w:p>
    <w:p>
      <w:pPr>
        <w:pStyle w:val="Style39"/>
        <w:keepNext/>
        <w:keepLines/>
        <w:widowControl w:val="0"/>
        <w:shd w:val="clear" w:color="auto" w:fill="auto"/>
        <w:tabs>
          <w:tab w:pos="456" w:val="left"/>
        </w:tabs>
        <w:bidi w:val="0"/>
        <w:spacing w:before="0" w:after="180" w:line="409" w:lineRule="exact"/>
        <w:ind w:left="0" w:right="0" w:firstLine="0"/>
        <w:jc w:val="left"/>
      </w:pPr>
      <w:bookmarkStart w:id="507" w:name="bookmark507"/>
      <w:bookmarkStart w:id="508" w:name="bookmark508"/>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07"/>
      <w:bookmarkEnd w:id="508"/>
      <w:bookmarkEnd w:id="512"/>
    </w:p>
    <w:p>
      <w:pPr>
        <w:pStyle w:val="Style36"/>
        <w:keepNext w:val="0"/>
        <w:keepLines w:val="0"/>
        <w:widowControl w:val="0"/>
        <w:shd w:val="clear" w:color="auto" w:fill="auto"/>
        <w:bidi w:val="0"/>
        <w:spacing w:before="0" w:after="320" w:line="409" w:lineRule="exact"/>
        <w:ind w:left="0" w:right="0" w:firstLine="440"/>
        <w:jc w:val="both"/>
      </w:pPr>
      <w:r>
        <w:rPr>
          <w:color w:val="000000"/>
          <w:spacing w:val="0"/>
          <w:w w:val="100"/>
          <w:position w:val="0"/>
        </w:rPr>
        <w:t>合并方在企业合并中取得的资产和负债，应当按照合并日在被合并方的账面价值计量。合并方取得的 净资产账面价值与支付的合并对价账面价值（或发行股份面值总额）的差额，应当调整资本公积；资本公 积不足冲减的，调整留存收益。合并方为进行企业合并发生的各项直接相关费用，包括为进行企业合并而 支付的审计费用、评估费用、法律服务费用等，应当于发生时计入当期损益。企业合并形成母子公司关系 的，母公司应当编制合并日的合并资产负债表、合并利润表和合并现金流量表。合并资产负债表中被合并 方的各项资产、负债，应当按其账面价值计量。因被合并方采用的会计政策与合并方不一致，按照本准则 规定进行调整的，应当以调整后的账面价值计量。合并利润表应当包括参与合并各方自合并当期期初至合 并日所发生的收入、费用和利润。被合并方在合并前实现的净利润，应当在合并利润表中单列项目反映。 合并现金流量表应当包括参与合并各方自合并当期期初至合并日的现金流量。</w:t>
      </w:r>
    </w:p>
    <w:p>
      <w:pPr>
        <w:pStyle w:val="Style39"/>
        <w:keepNext/>
        <w:keepLines/>
        <w:widowControl w:val="0"/>
        <w:shd w:val="clear" w:color="auto" w:fill="auto"/>
        <w:tabs>
          <w:tab w:pos="456" w:val="left"/>
        </w:tabs>
        <w:bidi w:val="0"/>
        <w:spacing w:before="0" w:after="180" w:line="409" w:lineRule="exact"/>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13"/>
      <w:bookmarkEnd w:id="514"/>
      <w:bookmarkEnd w:id="516"/>
    </w:p>
    <w:p>
      <w:pPr>
        <w:pStyle w:val="Style36"/>
        <w:keepNext w:val="0"/>
        <w:keepLines w:val="0"/>
        <w:widowControl w:val="0"/>
        <w:shd w:val="clear" w:color="auto" w:fill="auto"/>
        <w:bidi w:val="0"/>
        <w:spacing w:before="0" w:after="320" w:line="409" w:lineRule="exact"/>
        <w:ind w:left="0" w:right="0" w:firstLine="440"/>
        <w:jc w:val="left"/>
      </w:pPr>
      <w:r>
        <w:rPr>
          <w:color w:val="000000"/>
          <w:spacing w:val="0"/>
          <w:w w:val="100"/>
          <w:position w:val="0"/>
        </w:rPr>
        <w:t>购买方在购买日为取得对被购买方的控制权而付出的资产、发生或承担的负债以及发行的权益性证券 的公允价值作为合并成本，为企业合并发生的审计、法律服务、评估咨询等中介费用以及其他直接相关费 用于发生时计入当期损益。购买方在购买日对作为企业合并对价付出的资产、发生或承担的负债应当按照 公允价值计量，公允价值与其账面价值的差额，计入当期损益。购买方对合并成本大于合并中取得的被购 买方可辨认净资产公允价值份额的差额，应当确认为商誉。购买方对合并成本小于合并中取得的被购买方 可辨认净资产公允价值份额的差额，应对取得的被购买方各项可辨认资产、负债及或有负债的公允价值以 及合并成本的计量进行复核；经复核后合并成本仍小于合并中取得的被购买方可辨认净资产公允价值份额 的，其差额应当计入当期损益。企业合并形成母子公司关系的，母公司应当编制购买日的合并资产负债表, 因企业合并取得的被购买方各项可辨认资产、负债及或有负债应当以公允价值列示。</w:t>
      </w:r>
    </w:p>
    <w:p>
      <w:pPr>
        <w:pStyle w:val="Style36"/>
        <w:keepNext w:val="0"/>
        <w:keepLines w:val="0"/>
        <w:widowControl w:val="0"/>
        <w:shd w:val="clear" w:color="auto" w:fill="auto"/>
        <w:tabs>
          <w:tab w:pos="375" w:val="left"/>
        </w:tabs>
        <w:bidi w:val="0"/>
        <w:spacing w:before="0" w:after="180" w:line="409" w:lineRule="exact"/>
        <w:ind w:left="0" w:right="0" w:firstLine="0"/>
        <w:jc w:val="left"/>
      </w:pPr>
      <w:bookmarkStart w:id="517" w:name="bookmark517"/>
      <w:r>
        <w:rPr>
          <w:rFonts w:ascii="Times New Roman" w:eastAsia="Times New Roman" w:hAnsi="Times New Roman" w:cs="Times New Roman"/>
          <w:b/>
          <w:bCs/>
          <w:color w:val="000000"/>
          <w:spacing w:val="0"/>
          <w:w w:val="100"/>
          <w:position w:val="0"/>
        </w:rPr>
        <w:t>6</w:t>
      </w:r>
      <w:bookmarkEnd w:id="517"/>
      <w:r>
        <w:rPr>
          <w:b/>
          <w:bCs/>
          <w:color w:val="000000"/>
          <w:spacing w:val="0"/>
          <w:w w:val="100"/>
          <w:position w:val="0"/>
        </w:rPr>
        <w:t>、</w:t>
        <w:tab/>
        <w:t>分步处置股权至丧失控制权相关的具体会计政策</w:t>
      </w:r>
    </w:p>
    <w:p>
      <w:pPr>
        <w:pStyle w:val="Style36"/>
        <w:keepNext w:val="0"/>
        <w:keepLines w:val="0"/>
        <w:widowControl w:val="0"/>
        <w:shd w:val="clear" w:color="auto" w:fill="auto"/>
        <w:tabs>
          <w:tab w:pos="456" w:val="left"/>
        </w:tabs>
        <w:bidi w:val="0"/>
        <w:spacing w:before="0" w:after="180" w:line="409" w:lineRule="exact"/>
        <w:ind w:left="0" w:right="0" w:firstLine="0"/>
        <w:jc w:val="left"/>
      </w:pPr>
      <w:bookmarkStart w:id="518" w:name="bookmark518"/>
      <w:r>
        <w:rPr>
          <w:b/>
          <w:bCs/>
          <w:color w:val="000000"/>
          <w:spacing w:val="0"/>
          <w:w w:val="100"/>
          <w:position w:val="0"/>
        </w:rPr>
        <w:t>（</w:t>
      </w:r>
      <w:bookmarkEnd w:id="51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36"/>
        <w:keepNext w:val="0"/>
        <w:keepLines w:val="0"/>
        <w:widowControl w:val="0"/>
        <w:shd w:val="clear" w:color="auto" w:fill="auto"/>
        <w:tabs>
          <w:tab w:pos="456" w:val="left"/>
        </w:tabs>
        <w:bidi w:val="0"/>
        <w:spacing w:before="0" w:after="180" w:line="409" w:lineRule="exact"/>
        <w:ind w:left="0" w:right="0" w:firstLine="0"/>
        <w:jc w:val="left"/>
      </w:pPr>
      <w:bookmarkStart w:id="519" w:name="bookmark519"/>
      <w:r>
        <w:rPr>
          <w:b/>
          <w:bCs/>
          <w:color w:val="000000"/>
          <w:spacing w:val="0"/>
          <w:w w:val="100"/>
          <w:position w:val="0"/>
        </w:rPr>
        <w:t>（</w:t>
      </w:r>
      <w:bookmarkEnd w:id="5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36"/>
        <w:keepNext w:val="0"/>
        <w:keepLines w:val="0"/>
        <w:widowControl w:val="0"/>
        <w:shd w:val="clear" w:color="auto" w:fill="auto"/>
        <w:tabs>
          <w:tab w:pos="456" w:val="left"/>
        </w:tabs>
        <w:bidi w:val="0"/>
        <w:spacing w:before="0" w:after="180" w:line="409" w:lineRule="exact"/>
        <w:ind w:left="0" w:right="0" w:firstLine="0"/>
        <w:jc w:val="left"/>
      </w:pPr>
      <w:bookmarkStart w:id="520" w:name="bookmark520"/>
      <w:r>
        <w:rPr>
          <w:b/>
          <w:bCs/>
          <w:color w:val="000000"/>
          <w:spacing w:val="0"/>
          <w:w w:val="100"/>
          <w:position w:val="0"/>
        </w:rPr>
        <w:t>（</w:t>
      </w:r>
      <w:bookmarkEnd w:id="5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36"/>
        <w:keepNext w:val="0"/>
        <w:keepLines w:val="0"/>
        <w:widowControl w:val="0"/>
        <w:shd w:val="clear" w:color="auto" w:fill="auto"/>
        <w:tabs>
          <w:tab w:pos="375" w:val="left"/>
        </w:tabs>
        <w:bidi w:val="0"/>
        <w:spacing w:before="0" w:after="180" w:line="409" w:lineRule="exact"/>
        <w:ind w:left="0" w:right="0" w:firstLine="0"/>
        <w:jc w:val="left"/>
      </w:pPr>
      <w:bookmarkStart w:id="521" w:name="bookmark521"/>
      <w:r>
        <w:rPr>
          <w:rFonts w:ascii="Times New Roman" w:eastAsia="Times New Roman" w:hAnsi="Times New Roman" w:cs="Times New Roman"/>
          <w:b/>
          <w:bCs/>
          <w:color w:val="000000"/>
          <w:spacing w:val="0"/>
          <w:w w:val="100"/>
          <w:position w:val="0"/>
        </w:rPr>
        <w:t>7</w:t>
      </w:r>
      <w:bookmarkEnd w:id="521"/>
      <w:r>
        <w:rPr>
          <w:b/>
          <w:bCs/>
          <w:color w:val="000000"/>
          <w:spacing w:val="0"/>
          <w:w w:val="100"/>
          <w:position w:val="0"/>
        </w:rPr>
        <w:t>、</w:t>
        <w:tab/>
        <w:t>合并财务报表的编制方法</w:t>
      </w:r>
    </w:p>
    <w:p>
      <w:pPr>
        <w:pStyle w:val="Style36"/>
        <w:keepNext w:val="0"/>
        <w:keepLines w:val="0"/>
        <w:widowControl w:val="0"/>
        <w:shd w:val="clear" w:color="auto" w:fill="auto"/>
        <w:bidi w:val="0"/>
        <w:spacing w:before="0" w:after="180" w:line="409" w:lineRule="exact"/>
        <w:ind w:left="0" w:right="0" w:firstLine="0"/>
        <w:jc w:val="left"/>
      </w:pPr>
      <w:bookmarkStart w:id="522" w:name="bookmark522"/>
      <w:r>
        <w:rPr>
          <w:b/>
          <w:bCs/>
          <w:color w:val="000000"/>
          <w:spacing w:val="0"/>
          <w:w w:val="100"/>
          <w:position w:val="0"/>
        </w:rPr>
        <w:t>（</w:t>
      </w:r>
      <w:bookmarkEnd w:id="522"/>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36"/>
        <w:keepNext w:val="0"/>
        <w:keepLines w:val="0"/>
        <w:widowControl w:val="0"/>
        <w:numPr>
          <w:ilvl w:val="0"/>
          <w:numId w:val="5"/>
        </w:numPr>
        <w:shd w:val="clear" w:color="auto" w:fill="auto"/>
        <w:bidi w:val="0"/>
        <w:spacing w:before="0" w:after="180" w:line="409" w:lineRule="exact"/>
        <w:ind w:left="0" w:right="0" w:firstLine="440"/>
        <w:jc w:val="left"/>
        <w:sectPr>
          <w:headerReference w:type="default" r:id="rId183"/>
          <w:footerReference w:type="default" r:id="rId184"/>
          <w:headerReference w:type="even" r:id="rId185"/>
          <w:footerReference w:type="even" r:id="rId186"/>
          <w:footnotePr>
            <w:pos w:val="pageBottom"/>
            <w:numFmt w:val="decimal"/>
            <w:numRestart w:val="continuous"/>
          </w:footnotePr>
          <w:type w:val="continuous"/>
          <w:pgSz w:w="11900" w:h="16840"/>
          <w:pgMar w:top="1284" w:right="1098" w:bottom="1449" w:left="1011" w:header="0" w:footer="3" w:gutter="0"/>
          <w:cols w:space="720"/>
          <w:noEndnote/>
          <w:rtlGutter w:val="0"/>
          <w:docGrid w:linePitch="360"/>
        </w:sectPr>
      </w:pPr>
      <w:bookmarkStart w:id="523" w:name="bookmark523"/>
      <w:bookmarkEnd w:id="523"/>
      <w:r>
        <w:rPr>
          <w:color w:val="000000"/>
          <w:spacing w:val="0"/>
          <w:w w:val="100"/>
          <w:position w:val="0"/>
        </w:rPr>
        <w:t>合并财务报表的合并范围以控制为基础予以确定。</w:t>
      </w:r>
    </w:p>
    <w:p>
      <w:pPr>
        <w:pStyle w:val="Style36"/>
        <w:keepNext w:val="0"/>
        <w:keepLines w:val="0"/>
        <w:widowControl w:val="0"/>
        <w:numPr>
          <w:ilvl w:val="0"/>
          <w:numId w:val="5"/>
        </w:numPr>
        <w:shd w:val="clear" w:color="auto" w:fill="auto"/>
        <w:tabs>
          <w:tab w:pos="814" w:val="left"/>
        </w:tabs>
        <w:bidi w:val="0"/>
        <w:spacing w:before="0" w:after="0" w:line="408" w:lineRule="exact"/>
        <w:ind w:left="0" w:right="0" w:firstLine="440"/>
        <w:jc w:val="both"/>
      </w:pPr>
      <w:bookmarkStart w:id="524" w:name="bookmark524"/>
      <w:bookmarkEnd w:id="524"/>
      <w:r>
        <w:rPr>
          <w:color w:val="000000"/>
          <w:spacing w:val="0"/>
          <w:w w:val="100"/>
          <w:position w:val="0"/>
        </w:rPr>
        <w:t>合并财务报表以本公司和纳入合并财务报表范围的各子公司的财务报表及其他有关资料为合并依 据，按照权益法调整对子公司的长期股权投资，将本公司和纳入合并财务报表范围的各子公司之间的投资、 交易及往来等全部抵销，并计算少数股东损益及少数股东权益后合并编制而成。</w:t>
      </w:r>
    </w:p>
    <w:p>
      <w:pPr>
        <w:pStyle w:val="Style36"/>
        <w:keepNext w:val="0"/>
        <w:keepLines w:val="0"/>
        <w:widowControl w:val="0"/>
        <w:numPr>
          <w:ilvl w:val="0"/>
          <w:numId w:val="5"/>
        </w:numPr>
        <w:shd w:val="clear" w:color="auto" w:fill="auto"/>
        <w:tabs>
          <w:tab w:pos="814" w:val="left"/>
        </w:tabs>
        <w:bidi w:val="0"/>
        <w:spacing w:before="0" w:after="0" w:line="408" w:lineRule="exact"/>
        <w:ind w:left="0" w:right="0" w:firstLine="440"/>
        <w:jc w:val="both"/>
      </w:pPr>
      <w:bookmarkStart w:id="525" w:name="bookmark525"/>
      <w:bookmarkEnd w:id="525"/>
      <w:r>
        <w:rPr>
          <w:color w:val="000000"/>
          <w:spacing w:val="0"/>
          <w:w w:val="100"/>
          <w:position w:val="0"/>
        </w:rPr>
        <w:t>合并时，如纳入合并范围的子公司与本公司会计政策不一致，按本公司执行的会计政策对其进行调 整后合并。</w:t>
      </w:r>
    </w:p>
    <w:p>
      <w:pPr>
        <w:pStyle w:val="Style36"/>
        <w:keepNext w:val="0"/>
        <w:keepLines w:val="0"/>
        <w:widowControl w:val="0"/>
        <w:numPr>
          <w:ilvl w:val="0"/>
          <w:numId w:val="5"/>
        </w:numPr>
        <w:shd w:val="clear" w:color="auto" w:fill="auto"/>
        <w:tabs>
          <w:tab w:pos="800" w:val="left"/>
        </w:tabs>
        <w:bidi w:val="0"/>
        <w:spacing w:before="0" w:after="0" w:line="408" w:lineRule="exact"/>
        <w:ind w:left="0" w:right="0" w:firstLine="440"/>
        <w:jc w:val="both"/>
      </w:pPr>
      <w:bookmarkStart w:id="526" w:name="bookmark526"/>
      <w:bookmarkEnd w:id="526"/>
      <w:r>
        <w:rPr>
          <w:color w:val="000000"/>
          <w:spacing w:val="0"/>
          <w:w w:val="100"/>
          <w:position w:val="0"/>
        </w:rPr>
        <w:t>对于同一控制下企业合并取得的子公司，视同该企业合并于合并当期的期初已经发生，从合并当期 的期初起将其资产、负债、经营成果和现金流量纳入合并财务报表。</w:t>
      </w:r>
    </w:p>
    <w:p>
      <w:pPr>
        <w:pStyle w:val="Style36"/>
        <w:keepNext w:val="0"/>
        <w:keepLines w:val="0"/>
        <w:widowControl w:val="0"/>
        <w:numPr>
          <w:ilvl w:val="0"/>
          <w:numId w:val="5"/>
        </w:numPr>
        <w:shd w:val="clear" w:color="auto" w:fill="auto"/>
        <w:tabs>
          <w:tab w:pos="795" w:val="left"/>
        </w:tabs>
        <w:bidi w:val="0"/>
        <w:spacing w:before="0" w:after="0" w:line="408" w:lineRule="exact"/>
        <w:ind w:left="0" w:right="0" w:firstLine="440"/>
        <w:jc w:val="both"/>
      </w:pPr>
      <w:bookmarkStart w:id="527" w:name="bookmark527"/>
      <w:bookmarkEnd w:id="527"/>
      <w:r>
        <w:rPr>
          <w:color w:val="000000"/>
          <w:spacing w:val="0"/>
          <w:w w:val="100"/>
          <w:position w:val="0"/>
        </w:rPr>
        <w:t>同一控制下的企业合并事项的，被重组方合并前的净损益应计入非经常性损益，并在申报财务报表 中单独列示。</w:t>
      </w:r>
    </w:p>
    <w:p>
      <w:pPr>
        <w:pStyle w:val="Style36"/>
        <w:keepNext w:val="0"/>
        <w:keepLines w:val="0"/>
        <w:widowControl w:val="0"/>
        <w:numPr>
          <w:ilvl w:val="0"/>
          <w:numId w:val="5"/>
        </w:numPr>
        <w:shd w:val="clear" w:color="auto" w:fill="auto"/>
        <w:tabs>
          <w:tab w:pos="814" w:val="left"/>
        </w:tabs>
        <w:bidi w:val="0"/>
        <w:spacing w:before="0" w:after="0" w:line="408" w:lineRule="exact"/>
        <w:ind w:left="0" w:right="0" w:firstLine="440"/>
        <w:jc w:val="both"/>
      </w:pPr>
      <w:bookmarkStart w:id="528" w:name="bookmark528"/>
      <w:bookmarkEnd w:id="528"/>
      <w:r>
        <w:rPr>
          <w:color w:val="000000"/>
          <w:spacing w:val="0"/>
          <w:w w:val="100"/>
          <w:position w:val="0"/>
        </w:rPr>
        <w:t>重组属于同一公司控制权人下的非企业合并事项，但被重组方重组前一个会计年度末的资产总额或 前一个会计年度的营业收入或利润总额达到或超过重组前发行人相应项目</w:t>
      </w:r>
      <w:r>
        <w:rPr>
          <w:color w:val="000000"/>
          <w:spacing w:val="0"/>
          <w:w w:val="100"/>
          <w:position w:val="0"/>
        </w:rPr>
        <w:t>20%</w:t>
      </w:r>
      <w:r>
        <w:rPr>
          <w:color w:val="000000"/>
          <w:spacing w:val="0"/>
          <w:w w:val="100"/>
          <w:position w:val="0"/>
        </w:rPr>
        <w:t>的，从合并当期的期初起编 制备考利润表。</w:t>
      </w:r>
    </w:p>
    <w:p>
      <w:pPr>
        <w:pStyle w:val="Style36"/>
        <w:keepNext w:val="0"/>
        <w:keepLines w:val="0"/>
        <w:widowControl w:val="0"/>
        <w:numPr>
          <w:ilvl w:val="0"/>
          <w:numId w:val="5"/>
        </w:numPr>
        <w:shd w:val="clear" w:color="auto" w:fill="auto"/>
        <w:tabs>
          <w:tab w:pos="810" w:val="left"/>
        </w:tabs>
        <w:bidi w:val="0"/>
        <w:spacing w:before="0" w:after="300" w:line="408" w:lineRule="exact"/>
        <w:ind w:left="0" w:right="0" w:firstLine="440"/>
        <w:jc w:val="both"/>
      </w:pPr>
      <w:bookmarkStart w:id="529" w:name="bookmark529"/>
      <w:bookmarkEnd w:id="529"/>
      <w:r>
        <w:rPr>
          <w:color w:val="000000"/>
          <w:spacing w:val="0"/>
          <w:w w:val="100"/>
          <w:position w:val="0"/>
        </w:rPr>
        <w:t>对于因非同一控制下企业合并取得的子公司，在编制合并报表时，以购买日可辨认净资产公允价值 为基础对个别财务报表进行调整。</w:t>
      </w:r>
    </w:p>
    <w:p>
      <w:pPr>
        <w:pStyle w:val="Style39"/>
        <w:keepNext/>
        <w:keepLines/>
        <w:widowControl w:val="0"/>
        <w:shd w:val="clear" w:color="auto" w:fill="auto"/>
        <w:bidi w:val="0"/>
        <w:spacing w:before="0" w:after="400" w:line="408" w:lineRule="exact"/>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30"/>
      <w:bookmarkEnd w:id="531"/>
      <w:bookmarkEnd w:id="533"/>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378" w:val="left"/>
        </w:tabs>
        <w:bidi w:val="0"/>
        <w:spacing w:before="0" w:after="0" w:line="427"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8</w:t>
      </w:r>
      <w:bookmarkEnd w:id="536"/>
      <w:r>
        <w:rPr>
          <w:color w:val="000000"/>
          <w:spacing w:val="0"/>
          <w:w w:val="100"/>
          <w:position w:val="0"/>
        </w:rPr>
        <w:t>、</w:t>
        <w:tab/>
        <w:t>现金及现金等价物的确定标准</w:t>
      </w:r>
      <w:bookmarkEnd w:id="534"/>
      <w:bookmarkEnd w:id="535"/>
      <w:bookmarkEnd w:id="537"/>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现金是指本公司的库存现金以及随时用于支付的存款。</w:t>
      </w:r>
    </w:p>
    <w:p>
      <w:pPr>
        <w:pStyle w:val="Style36"/>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现金等价物为本公司持有的期限短（一般是指从购买日起三个月内到期）、流动性强、易于转换为已 知金额现金且价值变动风险很小的投资。</w:t>
      </w:r>
    </w:p>
    <w:p>
      <w:pPr>
        <w:pStyle w:val="Style39"/>
        <w:keepNext/>
        <w:keepLines/>
        <w:widowControl w:val="0"/>
        <w:shd w:val="clear" w:color="auto" w:fill="auto"/>
        <w:tabs>
          <w:tab w:pos="378" w:val="left"/>
        </w:tabs>
        <w:bidi w:val="0"/>
        <w:spacing w:before="0" w:after="0" w:line="427"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9</w:t>
      </w:r>
      <w:bookmarkEnd w:id="540"/>
      <w:r>
        <w:rPr>
          <w:color w:val="000000"/>
          <w:spacing w:val="0"/>
          <w:w w:val="100"/>
          <w:position w:val="0"/>
        </w:rPr>
        <w:t>、</w:t>
        <w:tab/>
        <w:t>外币业务和外币报表折算</w:t>
      </w:r>
      <w:bookmarkEnd w:id="538"/>
      <w:bookmarkEnd w:id="539"/>
      <w:bookmarkEnd w:id="541"/>
    </w:p>
    <w:p>
      <w:pPr>
        <w:pStyle w:val="Style39"/>
        <w:keepNext/>
        <w:keepLines/>
        <w:widowControl w:val="0"/>
        <w:shd w:val="clear" w:color="auto" w:fill="auto"/>
        <w:bidi w:val="0"/>
        <w:spacing w:before="0" w:after="180" w:line="408" w:lineRule="exact"/>
        <w:ind w:left="0" w:right="0" w:firstLine="0"/>
        <w:jc w:val="both"/>
      </w:pPr>
      <w:bookmarkStart w:id="538" w:name="bookmark538"/>
      <w:bookmarkStart w:id="539" w:name="bookmark539"/>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38"/>
      <w:bookmarkEnd w:id="539"/>
      <w:bookmarkEnd w:id="543"/>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本公司外币交易均按交易发生日的即期近似汇率折算为记账本位币。该即期近似汇率指交易发生日当 月月初的汇率。</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在资产负债表日，应当按照下列规定对外币货币性项目和外币非货币性项目进行处理：</w:t>
      </w:r>
    </w:p>
    <w:p>
      <w:pPr>
        <w:pStyle w:val="Style36"/>
        <w:keepNext w:val="0"/>
        <w:keepLines w:val="0"/>
        <w:widowControl w:val="0"/>
        <w:shd w:val="clear" w:color="auto" w:fill="auto"/>
        <w:tabs>
          <w:tab w:pos="786" w:val="left"/>
        </w:tabs>
        <w:bidi w:val="0"/>
        <w:spacing w:before="0" w:after="0" w:line="413" w:lineRule="exact"/>
        <w:ind w:left="0" w:right="0" w:firstLine="440"/>
        <w:jc w:val="both"/>
      </w:pPr>
      <w:bookmarkStart w:id="544" w:name="bookmark544"/>
      <w:r>
        <w:rPr>
          <w:color w:val="000000"/>
          <w:spacing w:val="0"/>
          <w:w w:val="100"/>
          <w:position w:val="0"/>
        </w:rPr>
        <w:t>a</w:t>
      </w:r>
      <w:bookmarkEnd w:id="544"/>
      <w:r>
        <w:rPr>
          <w:color w:val="000000"/>
          <w:spacing w:val="0"/>
          <w:w w:val="100"/>
          <w:position w:val="0"/>
        </w:rPr>
        <w:t>、</w:t>
        <w:tab/>
      </w:r>
      <w:r>
        <w:rPr>
          <w:color w:val="000000"/>
          <w:spacing w:val="0"/>
          <w:w w:val="100"/>
          <w:position w:val="0"/>
        </w:rPr>
        <w:t>外币货币性项目，采用资产负债表日即期汇率折算。因资产负债表日即期汇率与初始确认时或前 一资产负债表日即期汇率不同而产生的汇兑差额，计入当期损益。</w:t>
      </w:r>
    </w:p>
    <w:p>
      <w:pPr>
        <w:pStyle w:val="Style36"/>
        <w:keepNext w:val="0"/>
        <w:keepLines w:val="0"/>
        <w:widowControl w:val="0"/>
        <w:shd w:val="clear" w:color="auto" w:fill="auto"/>
        <w:tabs>
          <w:tab w:pos="790" w:val="left"/>
        </w:tabs>
        <w:bidi w:val="0"/>
        <w:spacing w:before="0" w:after="0" w:line="413" w:lineRule="exact"/>
        <w:ind w:left="0" w:right="0" w:firstLine="440"/>
        <w:jc w:val="both"/>
      </w:pPr>
      <w:bookmarkStart w:id="545" w:name="bookmark545"/>
      <w:r>
        <w:rPr>
          <w:color w:val="000000"/>
          <w:spacing w:val="0"/>
          <w:w w:val="100"/>
          <w:position w:val="0"/>
        </w:rPr>
        <w:t>b</w:t>
      </w:r>
      <w:bookmarkEnd w:id="545"/>
      <w:r>
        <w:rPr>
          <w:color w:val="000000"/>
          <w:spacing w:val="0"/>
          <w:w w:val="100"/>
          <w:position w:val="0"/>
        </w:rPr>
        <w:t>、</w:t>
        <w:tab/>
      </w:r>
      <w:r>
        <w:rPr>
          <w:color w:val="000000"/>
          <w:spacing w:val="0"/>
          <w:w w:val="100"/>
          <w:position w:val="0"/>
        </w:rPr>
        <w:t>以历史成本计量的外币非货币性项目，仍采用交易发生日的即期汇率折算，不改变其记账本位币 金额。</w:t>
      </w:r>
    </w:p>
    <w:p>
      <w:pPr>
        <w:pStyle w:val="Style36"/>
        <w:keepNext w:val="0"/>
        <w:keepLines w:val="0"/>
        <w:widowControl w:val="0"/>
        <w:shd w:val="clear" w:color="auto" w:fill="auto"/>
        <w:tabs>
          <w:tab w:pos="368" w:val="left"/>
        </w:tabs>
        <w:bidi w:val="0"/>
        <w:spacing w:before="0" w:after="300" w:line="413" w:lineRule="exact"/>
        <w:ind w:left="0" w:right="0" w:firstLine="440"/>
        <w:jc w:val="both"/>
      </w:pPr>
      <w:bookmarkStart w:id="546" w:name="bookmark546"/>
      <w:r>
        <w:rPr>
          <w:color w:val="000000"/>
          <w:spacing w:val="0"/>
          <w:w w:val="100"/>
          <w:position w:val="0"/>
        </w:rPr>
        <w:t>c</w:t>
      </w:r>
      <w:bookmarkEnd w:id="546"/>
      <w:r>
        <w:rPr>
          <w:color w:val="000000"/>
          <w:spacing w:val="0"/>
          <w:w w:val="100"/>
          <w:position w:val="0"/>
        </w:rPr>
        <w:t>、</w:t>
        <w:tab/>
      </w:r>
      <w:r>
        <w:rPr>
          <w:color w:val="000000"/>
          <w:spacing w:val="0"/>
          <w:w w:val="100"/>
          <w:position w:val="0"/>
        </w:rPr>
        <w:t xml:space="preserve">以公允价值计量的外币非货币性项目，采用公允价值确定日的即期汇率折算，折算后的记账本位 </w:t>
      </w:r>
      <w:r>
        <w:rPr>
          <w:color w:val="000000"/>
          <w:spacing w:val="0"/>
          <w:w w:val="100"/>
          <w:position w:val="0"/>
        </w:rPr>
        <w:t>币金额与原记账本位币金额的差额，作为公允价值变动处理，计入当期损益。</w:t>
      </w:r>
    </w:p>
    <w:p>
      <w:pPr>
        <w:pStyle w:val="Style39"/>
        <w:keepNext/>
        <w:keepLines/>
        <w:widowControl w:val="0"/>
        <w:shd w:val="clear" w:color="auto" w:fill="auto"/>
        <w:bidi w:val="0"/>
        <w:spacing w:before="0" w:after="180" w:line="407"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47"/>
      <w:bookmarkEnd w:id="548"/>
      <w:bookmarkEnd w:id="550"/>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公司对境外经营的财务报表进行折算时，遵循下列规定：</w:t>
      </w:r>
    </w:p>
    <w:p>
      <w:pPr>
        <w:pStyle w:val="Style36"/>
        <w:keepNext w:val="0"/>
        <w:keepLines w:val="0"/>
        <w:widowControl w:val="0"/>
        <w:shd w:val="clear" w:color="auto" w:fill="auto"/>
        <w:tabs>
          <w:tab w:pos="790" w:val="left"/>
        </w:tabs>
        <w:bidi w:val="0"/>
        <w:spacing w:before="0" w:after="0" w:line="422" w:lineRule="exact"/>
        <w:ind w:left="0" w:right="0" w:firstLine="440"/>
        <w:jc w:val="both"/>
      </w:pPr>
      <w:bookmarkStart w:id="551" w:name="bookmark551"/>
      <w:r>
        <w:rPr>
          <w:color w:val="000000"/>
          <w:spacing w:val="0"/>
          <w:w w:val="100"/>
          <w:position w:val="0"/>
        </w:rPr>
        <w:t>a</w:t>
      </w:r>
      <w:bookmarkEnd w:id="551"/>
      <w:r>
        <w:rPr>
          <w:color w:val="000000"/>
          <w:spacing w:val="0"/>
          <w:w w:val="100"/>
          <w:position w:val="0"/>
        </w:rPr>
        <w:t>、</w:t>
        <w:tab/>
      </w:r>
      <w:r>
        <w:rPr>
          <w:color w:val="000000"/>
          <w:spacing w:val="0"/>
          <w:w w:val="100"/>
          <w:position w:val="0"/>
        </w:rPr>
        <w:t>资产负债表中的资产和负债项目，采用资产负债表日的即期汇率折算，所有者权益项目除“未分 配利润”项目外，其他项目采用发生时的即期近似汇率折算。</w:t>
      </w:r>
    </w:p>
    <w:p>
      <w:pPr>
        <w:pStyle w:val="Style36"/>
        <w:keepNext w:val="0"/>
        <w:keepLines w:val="0"/>
        <w:widowControl w:val="0"/>
        <w:shd w:val="clear" w:color="auto" w:fill="auto"/>
        <w:tabs>
          <w:tab w:pos="808" w:val="left"/>
        </w:tabs>
        <w:bidi w:val="0"/>
        <w:spacing w:before="0" w:after="0" w:line="407" w:lineRule="exact"/>
        <w:ind w:left="0" w:right="0" w:firstLine="440"/>
        <w:jc w:val="both"/>
      </w:pPr>
      <w:bookmarkStart w:id="552" w:name="bookmark552"/>
      <w:r>
        <w:rPr>
          <w:color w:val="000000"/>
          <w:spacing w:val="0"/>
          <w:w w:val="100"/>
          <w:position w:val="0"/>
        </w:rPr>
        <w:t>b</w:t>
      </w:r>
      <w:bookmarkEnd w:id="552"/>
      <w:r>
        <w:rPr>
          <w:color w:val="000000"/>
          <w:spacing w:val="0"/>
          <w:w w:val="100"/>
          <w:position w:val="0"/>
        </w:rPr>
        <w:t>、</w:t>
        <w:tab/>
      </w:r>
      <w:r>
        <w:rPr>
          <w:color w:val="000000"/>
          <w:spacing w:val="0"/>
          <w:w w:val="100"/>
          <w:position w:val="0"/>
        </w:rPr>
        <w:t>利润表中的收入和费用项目，采用交易发生日的即期近似汇率折算。</w:t>
      </w:r>
    </w:p>
    <w:p>
      <w:pPr>
        <w:pStyle w:val="Style36"/>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按照上述方法折算产生的外币财务报表折算差额，在资产负债表中所有者权益项目下单独列示。</w:t>
      </w:r>
    </w:p>
    <w:p>
      <w:pPr>
        <w:pStyle w:val="Style39"/>
        <w:keepNext/>
        <w:keepLines/>
        <w:widowControl w:val="0"/>
        <w:shd w:val="clear" w:color="auto" w:fill="auto"/>
        <w:bidi w:val="0"/>
        <w:spacing w:before="0" w:after="0" w:line="425"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53"/>
      <w:bookmarkEnd w:id="554"/>
      <w:bookmarkEnd w:id="556"/>
    </w:p>
    <w:p>
      <w:pPr>
        <w:pStyle w:val="Style36"/>
        <w:keepNext w:val="0"/>
        <w:keepLines w:val="0"/>
        <w:widowControl w:val="0"/>
        <w:shd w:val="clear" w:color="auto" w:fill="auto"/>
        <w:bidi w:val="0"/>
        <w:spacing w:before="0" w:after="180" w:line="407" w:lineRule="exact"/>
        <w:ind w:left="0" w:right="0" w:firstLine="0"/>
        <w:jc w:val="left"/>
      </w:pPr>
      <w:r>
        <w:rPr>
          <w:color w:val="000000"/>
          <w:spacing w:val="0"/>
          <w:w w:val="100"/>
          <w:position w:val="0"/>
        </w:rPr>
        <w:t>金融工具包括金融资产、金融负债和权益工具。</w:t>
      </w:r>
    </w:p>
    <w:p>
      <w:pPr>
        <w:pStyle w:val="Style39"/>
        <w:keepNext/>
        <w:keepLines/>
        <w:widowControl w:val="0"/>
        <w:shd w:val="clear" w:color="auto" w:fill="auto"/>
        <w:tabs>
          <w:tab w:pos="493" w:val="left"/>
        </w:tabs>
        <w:bidi w:val="0"/>
        <w:spacing w:before="0" w:after="180" w:line="407" w:lineRule="exact"/>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57"/>
      <w:bookmarkEnd w:id="558"/>
      <w:bookmarkEnd w:id="560"/>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金融资产分为以公允价值计量且其变动计入当期损益的金融资产（包括交易性金融资产和指定为以公 允价值计量且其变动计入当期损益的金融资产）、持有至到期投资、贷款和应收款项、可供出售金融资产 等四类。</w:t>
      </w:r>
    </w:p>
    <w:p>
      <w:pPr>
        <w:pStyle w:val="Style36"/>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易性金融负债和指定为以公允价值计量且其变动计入当期损益的金融负债）、其他金融负债。</w:t>
      </w:r>
    </w:p>
    <w:p>
      <w:pPr>
        <w:pStyle w:val="Style39"/>
        <w:keepNext/>
        <w:keepLines/>
        <w:widowControl w:val="0"/>
        <w:shd w:val="clear" w:color="auto" w:fill="auto"/>
        <w:tabs>
          <w:tab w:pos="493" w:val="left"/>
        </w:tabs>
        <w:bidi w:val="0"/>
        <w:spacing w:before="0" w:after="180" w:line="407"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61"/>
      <w:bookmarkEnd w:id="562"/>
      <w:bookmarkEnd w:id="564"/>
    </w:p>
    <w:p>
      <w:pPr>
        <w:pStyle w:val="Style36"/>
        <w:keepNext w:val="0"/>
        <w:keepLines w:val="0"/>
        <w:widowControl w:val="0"/>
        <w:numPr>
          <w:ilvl w:val="0"/>
          <w:numId w:val="7"/>
        </w:numPr>
        <w:shd w:val="clear" w:color="auto" w:fill="auto"/>
        <w:tabs>
          <w:tab w:pos="832" w:val="left"/>
        </w:tabs>
        <w:bidi w:val="0"/>
        <w:spacing w:before="0" w:after="0" w:line="407" w:lineRule="exact"/>
        <w:ind w:left="0" w:right="0" w:firstLine="440"/>
        <w:jc w:val="both"/>
      </w:pPr>
      <w:bookmarkStart w:id="565" w:name="bookmark565"/>
      <w:bookmarkEnd w:id="565"/>
      <w:r>
        <w:rPr>
          <w:color w:val="000000"/>
          <w:spacing w:val="0"/>
          <w:w w:val="100"/>
          <w:position w:val="0"/>
        </w:rPr>
        <w:t>以公允价值计量且其变动计入当期损益的金融资产（金融负债）</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始确认金额，相关的交易费用计入当期损益。持有期间将取得的利息或现金股利确认为投资收益，期末将 公允价值变动计入当期损益。处置时，其公允价值与初始入账金额之间的差额确认为投资收益，同时调整 公允价值变动损益。</w:t>
      </w:r>
    </w:p>
    <w:p>
      <w:pPr>
        <w:pStyle w:val="Style36"/>
        <w:keepNext w:val="0"/>
        <w:keepLines w:val="0"/>
        <w:widowControl w:val="0"/>
        <w:numPr>
          <w:ilvl w:val="0"/>
          <w:numId w:val="7"/>
        </w:numPr>
        <w:shd w:val="clear" w:color="auto" w:fill="auto"/>
        <w:tabs>
          <w:tab w:pos="837" w:val="left"/>
        </w:tabs>
        <w:bidi w:val="0"/>
        <w:spacing w:before="0" w:after="0" w:line="407" w:lineRule="exact"/>
        <w:ind w:left="0" w:right="0" w:firstLine="440"/>
        <w:jc w:val="both"/>
      </w:pPr>
      <w:bookmarkStart w:id="566" w:name="bookmark566"/>
      <w:bookmarkEnd w:id="566"/>
      <w:r>
        <w:rPr>
          <w:color w:val="000000"/>
          <w:spacing w:val="0"/>
          <w:w w:val="100"/>
          <w:position w:val="0"/>
        </w:rPr>
        <w:t>持有至到期投资</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存续期间或适用的更短期间内保持不变。处置时，将所取得价款与该投资账面价值之间的差额计入投资收 益。</w:t>
      </w:r>
    </w:p>
    <w:p>
      <w:pPr>
        <w:pStyle w:val="Style36"/>
        <w:keepNext w:val="0"/>
        <w:keepLines w:val="0"/>
        <w:widowControl w:val="0"/>
        <w:numPr>
          <w:ilvl w:val="0"/>
          <w:numId w:val="7"/>
        </w:numPr>
        <w:shd w:val="clear" w:color="auto" w:fill="auto"/>
        <w:tabs>
          <w:tab w:pos="837" w:val="left"/>
        </w:tabs>
        <w:bidi w:val="0"/>
        <w:spacing w:before="0" w:after="0" w:line="407" w:lineRule="exact"/>
        <w:ind w:left="0" w:right="0" w:firstLine="440"/>
        <w:jc w:val="both"/>
      </w:pPr>
      <w:bookmarkStart w:id="567" w:name="bookmark567"/>
      <w:bookmarkEnd w:id="567"/>
      <w:r>
        <w:rPr>
          <w:color w:val="000000"/>
          <w:spacing w:val="0"/>
          <w:w w:val="100"/>
          <w:position w:val="0"/>
        </w:rPr>
        <w:t>应收款项</w:t>
      </w:r>
    </w:p>
    <w:p>
      <w:pPr>
        <w:pStyle w:val="Style36"/>
        <w:keepNext w:val="0"/>
        <w:keepLines w:val="0"/>
        <w:widowControl w:val="0"/>
        <w:shd w:val="clear" w:color="auto" w:fill="auto"/>
        <w:bidi w:val="0"/>
        <w:spacing w:before="0" w:after="180" w:line="407" w:lineRule="exact"/>
        <w:ind w:left="0" w:right="0" w:firstLine="440"/>
        <w:jc w:val="both"/>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284" w:right="1098" w:bottom="1449" w:left="1011" w:header="0" w:footer="3" w:gutter="0"/>
          <w:cols w:space="720"/>
          <w:noEndnote/>
          <w:titlePg/>
          <w:rtlGutter w:val="0"/>
          <w:docGrid w:linePitch="360"/>
        </w:sectPr>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w:t>
      </w:r>
    </w:p>
    <w:p>
      <w:pPr>
        <w:pStyle w:val="Style36"/>
        <w:keepNext w:val="0"/>
        <w:keepLines w:val="0"/>
        <w:widowControl w:val="0"/>
        <w:shd w:val="clear" w:color="auto" w:fill="auto"/>
        <w:bidi w:val="0"/>
        <w:spacing w:before="0" w:after="0" w:line="409" w:lineRule="exact"/>
        <w:ind w:left="0" w:right="0" w:firstLine="0"/>
        <w:jc w:val="both"/>
      </w:pPr>
      <w:r>
        <w:rPr>
          <w:color w:val="000000"/>
          <w:spacing w:val="0"/>
          <w:w w:val="100"/>
          <w:position w:val="0"/>
        </w:rPr>
        <w:t>额；具有融资性质的，按其现值进行初始确认。收回或处置时，将取得的价款与该应收款项账面价值之间 的差额计入当期损益。</w:t>
      </w:r>
    </w:p>
    <w:p>
      <w:pPr>
        <w:pStyle w:val="Style36"/>
        <w:keepNext w:val="0"/>
        <w:keepLines w:val="0"/>
        <w:widowControl w:val="0"/>
        <w:numPr>
          <w:ilvl w:val="0"/>
          <w:numId w:val="7"/>
        </w:numPr>
        <w:shd w:val="clear" w:color="auto" w:fill="auto"/>
        <w:tabs>
          <w:tab w:pos="837" w:val="left"/>
        </w:tabs>
        <w:bidi w:val="0"/>
        <w:spacing w:before="0" w:after="0" w:line="409" w:lineRule="exact"/>
        <w:ind w:left="0" w:right="0" w:firstLine="440"/>
        <w:jc w:val="both"/>
      </w:pPr>
      <w:bookmarkStart w:id="568" w:name="bookmark568"/>
      <w:bookmarkEnd w:id="568"/>
      <w:r>
        <w:rPr>
          <w:color w:val="000000"/>
          <w:spacing w:val="0"/>
          <w:w w:val="100"/>
          <w:position w:val="0"/>
        </w:rPr>
        <w:t>可供出售金融资产</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交易费用之和作为初始确认金额。持有期间将取得的利息或现金股利确认为投资收益。期末以公允价值计 量且将公允价值变动计入资本公积（其他资本公积）。处置时，将取得的价款与该金融资产账面价值之间 的差额，计入投资损益；同时，将原直接计入所有者权益的公允价值变动累计额对应处置部分的金额转出， 计入投资损益。</w:t>
      </w:r>
    </w:p>
    <w:p>
      <w:pPr>
        <w:pStyle w:val="Style36"/>
        <w:keepNext w:val="0"/>
        <w:keepLines w:val="0"/>
        <w:widowControl w:val="0"/>
        <w:numPr>
          <w:ilvl w:val="0"/>
          <w:numId w:val="7"/>
        </w:numPr>
        <w:shd w:val="clear" w:color="auto" w:fill="auto"/>
        <w:tabs>
          <w:tab w:pos="837" w:val="left"/>
        </w:tabs>
        <w:bidi w:val="0"/>
        <w:spacing w:before="0" w:after="0" w:line="409" w:lineRule="exact"/>
        <w:ind w:left="0" w:right="0" w:firstLine="440"/>
        <w:jc w:val="both"/>
      </w:pPr>
      <w:bookmarkStart w:id="569" w:name="bookmark569"/>
      <w:bookmarkEnd w:id="569"/>
      <w:r>
        <w:rPr>
          <w:color w:val="000000"/>
          <w:spacing w:val="0"/>
          <w:w w:val="100"/>
          <w:position w:val="0"/>
        </w:rPr>
        <w:t>其他金融负债</w:t>
      </w:r>
    </w:p>
    <w:p>
      <w:pPr>
        <w:pStyle w:val="Style36"/>
        <w:keepNext w:val="0"/>
        <w:keepLines w:val="0"/>
        <w:widowControl w:val="0"/>
        <w:shd w:val="clear" w:color="auto" w:fill="auto"/>
        <w:bidi w:val="0"/>
        <w:spacing w:before="0" w:after="300" w:line="409"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9"/>
        <w:keepNext/>
        <w:keepLines/>
        <w:widowControl w:val="0"/>
        <w:shd w:val="clear" w:color="auto" w:fill="auto"/>
        <w:tabs>
          <w:tab w:pos="493" w:val="left"/>
        </w:tabs>
        <w:bidi w:val="0"/>
        <w:spacing w:before="0" w:after="180" w:line="409"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70"/>
      <w:bookmarkEnd w:id="571"/>
      <w:bookmarkEnd w:id="573"/>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发生金融资产转移时，如已将金融资产所有权上几乎所有的风险和报酬转移给转入方，则终止确认该 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6"/>
        <w:keepNext w:val="0"/>
        <w:keepLines w:val="0"/>
        <w:widowControl w:val="0"/>
        <w:numPr>
          <w:ilvl w:val="0"/>
          <w:numId w:val="9"/>
        </w:numPr>
        <w:shd w:val="clear" w:color="auto" w:fill="auto"/>
        <w:tabs>
          <w:tab w:pos="832" w:val="left"/>
        </w:tabs>
        <w:bidi w:val="0"/>
        <w:spacing w:before="0" w:after="0" w:line="407" w:lineRule="exact"/>
        <w:ind w:left="0" w:right="0" w:firstLine="440"/>
        <w:jc w:val="both"/>
      </w:pPr>
      <w:bookmarkStart w:id="574" w:name="bookmark574"/>
      <w:bookmarkEnd w:id="574"/>
      <w:r>
        <w:rPr>
          <w:color w:val="000000"/>
          <w:spacing w:val="0"/>
          <w:w w:val="100"/>
          <w:position w:val="0"/>
        </w:rPr>
        <w:t>所转移金融资产的账面价值；</w:t>
      </w:r>
    </w:p>
    <w:p>
      <w:pPr>
        <w:pStyle w:val="Style36"/>
        <w:keepNext w:val="0"/>
        <w:keepLines w:val="0"/>
        <w:widowControl w:val="0"/>
        <w:numPr>
          <w:ilvl w:val="0"/>
          <w:numId w:val="9"/>
        </w:numPr>
        <w:shd w:val="clear" w:color="auto" w:fill="auto"/>
        <w:tabs>
          <w:tab w:pos="814" w:val="left"/>
        </w:tabs>
        <w:bidi w:val="0"/>
        <w:spacing w:before="0" w:after="0" w:line="407" w:lineRule="exact"/>
        <w:ind w:left="0" w:right="0" w:firstLine="440"/>
        <w:jc w:val="both"/>
      </w:pPr>
      <w:bookmarkStart w:id="575" w:name="bookmark575"/>
      <w:bookmarkEnd w:id="575"/>
      <w:r>
        <w:rPr>
          <w:color w:val="000000"/>
          <w:spacing w:val="0"/>
          <w:w w:val="100"/>
          <w:position w:val="0"/>
        </w:rPr>
        <w:t>因转移而收到的对价，与原直接计入所有者权益的公允价值变动累计额（涉及转移的金融资产为可 供出售金融资产的情形）之和。</w:t>
      </w:r>
    </w:p>
    <w:p>
      <w:pPr>
        <w:pStyle w:val="Style36"/>
        <w:keepNext w:val="0"/>
        <w:keepLines w:val="0"/>
        <w:widowControl w:val="0"/>
        <w:shd w:val="clear" w:color="auto" w:fill="auto"/>
        <w:bidi w:val="0"/>
        <w:spacing w:before="0" w:after="0" w:line="43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6"/>
        <w:keepNext w:val="0"/>
        <w:keepLines w:val="0"/>
        <w:widowControl w:val="0"/>
        <w:numPr>
          <w:ilvl w:val="0"/>
          <w:numId w:val="11"/>
        </w:numPr>
        <w:shd w:val="clear" w:color="auto" w:fill="auto"/>
        <w:tabs>
          <w:tab w:pos="832" w:val="left"/>
        </w:tabs>
        <w:bidi w:val="0"/>
        <w:spacing w:before="0" w:after="0" w:line="413" w:lineRule="exact"/>
        <w:ind w:left="0" w:right="0" w:firstLine="440"/>
        <w:jc w:val="both"/>
      </w:pPr>
      <w:bookmarkStart w:id="576" w:name="bookmark576"/>
      <w:bookmarkEnd w:id="576"/>
      <w:r>
        <w:rPr>
          <w:color w:val="000000"/>
          <w:spacing w:val="0"/>
          <w:w w:val="100"/>
          <w:position w:val="0"/>
        </w:rPr>
        <w:t>终止确认部分的账面价值；</w:t>
      </w:r>
    </w:p>
    <w:p>
      <w:pPr>
        <w:pStyle w:val="Style36"/>
        <w:keepNext w:val="0"/>
        <w:keepLines w:val="0"/>
        <w:widowControl w:val="0"/>
        <w:numPr>
          <w:ilvl w:val="0"/>
          <w:numId w:val="11"/>
        </w:numPr>
        <w:shd w:val="clear" w:color="auto" w:fill="auto"/>
        <w:tabs>
          <w:tab w:pos="704" w:val="left"/>
        </w:tabs>
        <w:bidi w:val="0"/>
        <w:spacing w:before="0" w:after="0" w:line="413" w:lineRule="exact"/>
        <w:ind w:left="0" w:right="0" w:firstLine="440"/>
        <w:jc w:val="both"/>
      </w:pPr>
      <w:bookmarkStart w:id="577" w:name="bookmark577"/>
      <w:bookmarkEnd w:id="577"/>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36"/>
        <w:keepNext w:val="0"/>
        <w:keepLines w:val="0"/>
        <w:widowControl w:val="0"/>
        <w:shd w:val="clear" w:color="auto" w:fill="auto"/>
        <w:bidi w:val="0"/>
        <w:spacing w:before="0" w:after="300" w:line="413"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9"/>
        <w:keepNext/>
        <w:keepLines/>
        <w:widowControl w:val="0"/>
        <w:shd w:val="clear" w:color="auto" w:fill="auto"/>
        <w:tabs>
          <w:tab w:pos="493" w:val="left"/>
        </w:tabs>
        <w:bidi w:val="0"/>
        <w:spacing w:before="0" w:after="180" w:line="409"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78"/>
      <w:bookmarkEnd w:id="579"/>
      <w:bookmarkEnd w:id="581"/>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6"/>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金融负债全部或部分终止确认时，终止确认的金融负债账面价值与支付对价（包括转中的韭聊金咨产</w:t>
      </w:r>
    </w:p>
    <w:p>
      <w:pPr>
        <w:pStyle w:val="Style76"/>
        <w:keepNext w:val="0"/>
        <w:keepLines w:val="0"/>
        <w:widowControl w:val="0"/>
        <w:shd w:val="clear" w:color="auto" w:fill="auto"/>
        <w:tabs>
          <w:tab w:pos="3835" w:val="left"/>
        </w:tabs>
        <w:bidi w:val="0"/>
        <w:spacing w:before="0" w:after="0" w:line="240" w:lineRule="auto"/>
        <w:ind w:left="0" w:right="0" w:firstLine="0"/>
        <w:jc w:val="lef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103" w:right="1033" w:bottom="1140" w:left="1079" w:header="0" w:footer="712" w:gutter="0"/>
          <w:pgNumType w:start="78"/>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77</w:t>
        <w:tab/>
      </w:r>
      <w:r>
        <w:rPr>
          <w:spacing w:val="0"/>
          <w:w w:val="100"/>
          <w:position w:val="0"/>
        </w:rPr>
        <w:t xml:space="preserve">cninf </w:t>
      </w:r>
    </w:p>
    <w:p>
      <w:pPr>
        <w:pStyle w:val="Style76"/>
        <w:keepNext w:val="0"/>
        <w:keepLines w:val="0"/>
        <w:widowControl w:val="0"/>
        <w:shd w:val="clear" w:color="auto" w:fill="auto"/>
        <w:tabs>
          <w:tab w:pos="3835" w:val="left"/>
        </w:tabs>
        <w:bidi w:val="0"/>
        <w:spacing w:before="0" w:after="0" w:line="240" w:lineRule="auto"/>
        <w:ind w:left="0" w:right="0" w:firstLine="0"/>
        <w:jc w:val="left"/>
        <w:rPr>
          <w:sz w:val="20"/>
          <w:szCs w:val="20"/>
        </w:rPr>
      </w:pPr>
      <w:r>
        <w:rPr>
          <w:rStyle w:val="CharStyle37"/>
          <w:b w:val="0"/>
          <w:bCs w:val="0"/>
        </w:rPr>
        <w:t>或承担的新金融负债）之间的差额，计入当期损益。</w:t>
      </w:r>
    </w:p>
    <w:p>
      <w:pPr>
        <w:pStyle w:val="Style36"/>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若回购部分金融负债的，在回购日按照继续确认部分与终止确认部分的相对公允价值，将该金融负债 整体的账面价值进行分配。分配给终止确认部分的账面价值与支付的对价（包括转出的非现金资产或承担 的新金融负债）之间的差额，计入当期损益。</w:t>
      </w:r>
    </w:p>
    <w:p>
      <w:pPr>
        <w:pStyle w:val="Style39"/>
        <w:keepNext/>
        <w:keepLines/>
        <w:widowControl w:val="0"/>
        <w:shd w:val="clear" w:color="auto" w:fill="auto"/>
        <w:tabs>
          <w:tab w:pos="487" w:val="left"/>
        </w:tabs>
        <w:bidi w:val="0"/>
        <w:spacing w:before="0" w:after="200" w:line="409"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82"/>
      <w:bookmarkEnd w:id="583"/>
      <w:bookmarkEnd w:id="585"/>
    </w:p>
    <w:p>
      <w:pPr>
        <w:pStyle w:val="Style36"/>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采用公允价值计量的金融资产和金融负债存在活跃市场的金融资产或金融负债，以活跃市场的报价确 定其公允价值；不存在活跃市场的金融资产或金融负债，采用估值技术（包括参考熟悉情况并自愿交易的 各方最近进行的市场交易中使用的价格、参照实质上相同的其他金融工具的当前公允价值、现金流量折现 法和期权定价模型等）确定其公允价值；初始取得或源生的金融资产或承担的金融负债，以市场交易价格 作为确定其公允价值的基础。</w:t>
      </w:r>
    </w:p>
    <w:p>
      <w:pPr>
        <w:pStyle w:val="Style39"/>
        <w:keepNext/>
        <w:keepLines/>
        <w:widowControl w:val="0"/>
        <w:shd w:val="clear" w:color="auto" w:fill="auto"/>
        <w:tabs>
          <w:tab w:pos="487" w:val="left"/>
        </w:tabs>
        <w:bidi w:val="0"/>
        <w:spacing w:before="0" w:after="200" w:line="409"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86"/>
      <w:bookmarkEnd w:id="587"/>
      <w:bookmarkEnd w:id="589"/>
    </w:p>
    <w:p>
      <w:pPr>
        <w:pStyle w:val="Style36"/>
        <w:keepNext w:val="0"/>
        <w:keepLines w:val="0"/>
        <w:widowControl w:val="0"/>
        <w:numPr>
          <w:ilvl w:val="0"/>
          <w:numId w:val="13"/>
        </w:numPr>
        <w:shd w:val="clear" w:color="auto" w:fill="auto"/>
        <w:tabs>
          <w:tab w:pos="826" w:val="left"/>
        </w:tabs>
        <w:bidi w:val="0"/>
        <w:spacing w:before="0" w:after="0" w:line="408" w:lineRule="exact"/>
        <w:ind w:left="0" w:right="0" w:firstLine="440"/>
        <w:jc w:val="both"/>
      </w:pPr>
      <w:bookmarkStart w:id="590" w:name="bookmark590"/>
      <w:bookmarkEnd w:id="590"/>
      <w:r>
        <w:rPr>
          <w:color w:val="000000"/>
          <w:spacing w:val="0"/>
          <w:w w:val="100"/>
          <w:position w:val="0"/>
        </w:rPr>
        <w:t>可供出售金融资产的减值准备：</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公允价值发生较大幅度下降，或在综合考虑各项因素后，预期这种下降趋势属于非暂时性的，可以认 定该可供出售金融资产已发生减值，应当确认减值损失。</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如果有客观证据表明可供出售金融资产发生减值，即使该金融资产没有终止确认，原直接计入所有者 权益的公允价值下降形成的累计损失，予以转出计入当期损益。累计损失是该可供出售金融资产的初始取 得成本，扣除已收回本金和摊销金额、发生减值时的公允价值和原计入损益的减值损失后的净额。</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可供出售权益工具投资发生的减值损失，在该权益工具价值回升时，应通过权益转回，不得通过损益 转回。</w:t>
      </w:r>
    </w:p>
    <w:p>
      <w:pPr>
        <w:pStyle w:val="Style36"/>
        <w:keepNext w:val="0"/>
        <w:keepLines w:val="0"/>
        <w:widowControl w:val="0"/>
        <w:numPr>
          <w:ilvl w:val="0"/>
          <w:numId w:val="13"/>
        </w:numPr>
        <w:shd w:val="clear" w:color="auto" w:fill="auto"/>
        <w:tabs>
          <w:tab w:pos="831" w:val="left"/>
        </w:tabs>
        <w:bidi w:val="0"/>
        <w:spacing w:before="0" w:after="0" w:line="408" w:lineRule="exact"/>
        <w:ind w:left="0" w:right="0" w:firstLine="440"/>
        <w:jc w:val="both"/>
      </w:pPr>
      <w:bookmarkStart w:id="591" w:name="bookmark591"/>
      <w:bookmarkEnd w:id="591"/>
      <w:r>
        <w:rPr>
          <w:color w:val="000000"/>
          <w:spacing w:val="0"/>
          <w:w w:val="100"/>
          <w:position w:val="0"/>
        </w:rPr>
        <w:t>持有至到期投资的减值准备：</w:t>
      </w:r>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如果有客观证据表明以摊余成本计量的金融资产发生减值，则将该金融资产的账面价值减记至预计未 来现金流量（不包括尚未发生的未来信用损失）现值，减记的金额确认为资产减值损失，计入当期损益。</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公司对单项金额重大的金融资产单独进行减值测试；对单项金额不重大的金融资产从单项或组合的角 度进行减值测试，对已确定不存在减值客观证据的单项金融资产，再与具有类似信用风险特性的金融资产 构成一个组合进行减值测试，对已以单项为基础计提减值准备的金融资产，不再纳入组合中进行减值测试。</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在后续期间，如有客观证据表明该金融资产价值已恢复，且客观上与确认该损失后发生的事项有关， 原确认的减值损失应当予以转回，计入当期损益。但转回后的账面价值不应当超过假定不计提减值准备情 况下该金融资产在转回日的摊余成本。</w:t>
      </w:r>
    </w:p>
    <w:p>
      <w:pPr>
        <w:pStyle w:val="Style36"/>
        <w:keepNext w:val="0"/>
        <w:keepLines w:val="0"/>
        <w:widowControl w:val="0"/>
        <w:shd w:val="clear" w:color="auto" w:fill="auto"/>
        <w:bidi w:val="0"/>
        <w:spacing w:before="0" w:after="560" w:line="418" w:lineRule="exact"/>
        <w:ind w:left="0" w:right="0" w:firstLine="440"/>
        <w:jc w:val="left"/>
      </w:pPr>
      <w:r>
        <w:rPr>
          <w:color w:val="000000"/>
          <w:spacing w:val="0"/>
          <w:w w:val="100"/>
          <w:position w:val="0"/>
        </w:rPr>
        <w:t>按摊余成本计量的金融资产实际发生损失时，冲减已计提的相关减值准备。</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各类可供出售金融资产减值的各项认定标准</w:t>
      </w:r>
      <w:r>
        <w:br w:type="page"/>
      </w:r>
    </w:p>
    <w:p>
      <w:pPr>
        <w:pStyle w:val="Style39"/>
        <w:keepNext/>
        <w:keepLines/>
        <w:widowControl w:val="0"/>
        <w:numPr>
          <w:ilvl w:val="0"/>
          <w:numId w:val="15"/>
        </w:numPr>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bookmarkEnd w:id="594"/>
      <w:r>
        <w:rPr>
          <w:color w:val="000000"/>
          <w:spacing w:val="0"/>
          <w:w w:val="100"/>
          <w:position w:val="0"/>
        </w:rPr>
        <w:t>将尚未到期的持有至到期投资重分类为可供出售金融资产的，说明持有意图或能力发生改变的依据</w:t>
      </w:r>
      <w:bookmarkEnd w:id="592"/>
      <w:bookmarkEnd w:id="593"/>
      <w:bookmarkEnd w:id="59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96"/>
      <w:bookmarkEnd w:id="597"/>
      <w:bookmarkEnd w:id="599"/>
    </w:p>
    <w:p>
      <w:pPr>
        <w:pStyle w:val="Style39"/>
        <w:keepNext/>
        <w:keepLines/>
        <w:widowControl w:val="0"/>
        <w:numPr>
          <w:ilvl w:val="0"/>
          <w:numId w:val="17"/>
        </w:numPr>
        <w:shd w:val="clear" w:color="auto" w:fill="auto"/>
        <w:bidi w:val="0"/>
        <w:spacing w:before="0" w:after="320" w:line="240" w:lineRule="auto"/>
        <w:ind w:left="0" w:right="0" w:firstLine="0"/>
        <w:jc w:val="left"/>
      </w:pPr>
      <w:bookmarkStart w:id="596" w:name="bookmark596"/>
      <w:bookmarkStart w:id="597" w:name="bookmark597"/>
      <w:bookmarkStart w:id="600" w:name="bookmark600"/>
      <w:bookmarkStart w:id="601" w:name="bookmark601"/>
      <w:bookmarkEnd w:id="600"/>
      <w:r>
        <w:rPr>
          <w:color w:val="000000"/>
          <w:spacing w:val="0"/>
          <w:w w:val="100"/>
          <w:position w:val="0"/>
        </w:rPr>
        <w:t>单项金额重大的应收款项坏账准备</w:t>
      </w:r>
      <w:bookmarkEnd w:id="596"/>
      <w:bookmarkEnd w:id="597"/>
      <w:bookmarkEnd w:id="601"/>
    </w:p>
    <w:tbl>
      <w:tblPr>
        <w:tblOverlap w:val="never"/>
        <w:jc w:val="center"/>
        <w:tblLayout w:type="fixed"/>
      </w:tblPr>
      <w:tblGrid>
        <w:gridCol w:w="4118"/>
        <w:gridCol w:w="54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单项金额重大的应收账款标准为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万元。单项金额重大的其他应收 款标准为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单独进行减值测试，如有客观证据表明其发生了减值的，根据其未来 现金流量现值低于其账面价值的差额，确认减值损失，计提坏账准备。</w:t>
            </w:r>
          </w:p>
        </w:tc>
      </w:tr>
    </w:tbl>
    <w:p>
      <w:pPr>
        <w:widowControl w:val="0"/>
        <w:spacing w:after="319" w:line="1" w:lineRule="exact"/>
      </w:pPr>
    </w:p>
    <w:p>
      <w:pPr>
        <w:pStyle w:val="Style39"/>
        <w:keepNext/>
        <w:keepLines/>
        <w:widowControl w:val="0"/>
        <w:numPr>
          <w:ilvl w:val="0"/>
          <w:numId w:val="17"/>
        </w:numPr>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bookmarkEnd w:id="604"/>
      <w:r>
        <w:rPr>
          <w:color w:val="000000"/>
          <w:spacing w:val="0"/>
          <w:w w:val="100"/>
          <w:position w:val="0"/>
        </w:rPr>
        <w:t>按组合计提坏账准备的应收款项</w:t>
      </w:r>
      <w:bookmarkEnd w:id="602"/>
      <w:bookmarkEnd w:id="603"/>
      <w:bookmarkEnd w:id="605"/>
    </w:p>
    <w:tbl>
      <w:tblPr>
        <w:tblOverlap w:val="never"/>
        <w:jc w:val="center"/>
        <w:tblLayout w:type="fixed"/>
      </w:tblPr>
      <w:tblGrid>
        <w:gridCol w:w="1426"/>
        <w:gridCol w:w="2693"/>
        <w:gridCol w:w="5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单项金额不重大的应收款项，与经单独测试后未减值的单项金额重大 的应收款项，以账龄为信用风险特征进行组合并结合现实的实际损失 率确定不同账龄应计提坏账准备的比例。</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17"/>
        </w:numPr>
        <w:shd w:val="clear" w:color="auto" w:fill="auto"/>
        <w:bidi w:val="0"/>
        <w:spacing w:before="0" w:after="320" w:line="240" w:lineRule="auto"/>
        <w:ind w:left="0" w:right="0" w:firstLine="0"/>
        <w:jc w:val="left"/>
      </w:pPr>
      <w:bookmarkStart w:id="606" w:name="bookmark606"/>
      <w:bookmarkStart w:id="607" w:name="bookmark607"/>
      <w:bookmarkStart w:id="608" w:name="bookmark608"/>
      <w:bookmarkStart w:id="609" w:name="bookmark609"/>
      <w:bookmarkEnd w:id="608"/>
      <w:r>
        <w:rPr>
          <w:color w:val="000000"/>
          <w:spacing w:val="0"/>
          <w:w w:val="100"/>
          <w:position w:val="0"/>
        </w:rPr>
        <w:t>单项金额虽不重大但单项计提坏账准备的应收账款</w:t>
      </w:r>
      <w:bookmarkEnd w:id="606"/>
      <w:bookmarkEnd w:id="607"/>
      <w:bookmarkEnd w:id="609"/>
    </w:p>
    <w:tbl>
      <w:tblPr>
        <w:tblOverlap w:val="never"/>
        <w:jc w:val="center"/>
        <w:tblLayout w:type="fixed"/>
      </w:tblPr>
      <w:tblGrid>
        <w:gridCol w:w="3365"/>
        <w:gridCol w:w="62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有客观原因表明未来现金流量现值有可能低于其账面价值。</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单独进行减值测试，根据其未来现金流量现值低于其账面价值的差额，确认减 值损失，计提坏账准备。</w:t>
            </w:r>
          </w:p>
        </w:tc>
      </w:tr>
    </w:tbl>
    <w:p>
      <w:pPr>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103" w:right="1033" w:bottom="1140" w:left="1079" w:header="0" w:footer="3" w:gutter="0"/>
          <w:pgNumType w:start="78"/>
          <w:cols w:space="720"/>
          <w:noEndnote/>
          <w:titlePg/>
          <w:rtlGutter w:val="0"/>
          <w:docGrid w:linePitch="360"/>
        </w:sectPr>
      </w:pPr>
    </w:p>
    <w:p>
      <w:pPr>
        <w:pStyle w:val="Style39"/>
        <w:keepNext/>
        <w:keepLines/>
        <w:widowControl w:val="0"/>
        <w:shd w:val="clear" w:color="auto" w:fill="auto"/>
        <w:bidi w:val="0"/>
        <w:spacing w:before="0" w:after="180" w:line="409" w:lineRule="exact"/>
        <w:ind w:left="0" w:right="0" w:firstLine="0"/>
        <w:jc w:val="both"/>
      </w:pPr>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10"/>
      <w:bookmarkEnd w:id="611"/>
      <w:bookmarkEnd w:id="612"/>
    </w:p>
    <w:p>
      <w:pPr>
        <w:pStyle w:val="Style39"/>
        <w:keepNext/>
        <w:keepLines/>
        <w:widowControl w:val="0"/>
        <w:shd w:val="clear" w:color="auto" w:fill="auto"/>
        <w:tabs>
          <w:tab w:pos="492" w:val="left"/>
        </w:tabs>
        <w:bidi w:val="0"/>
        <w:spacing w:before="0" w:after="180" w:line="409" w:lineRule="exact"/>
        <w:ind w:left="0" w:right="0" w:firstLine="0"/>
        <w:jc w:val="both"/>
      </w:pPr>
      <w:bookmarkStart w:id="610" w:name="bookmark610"/>
      <w:bookmarkStart w:id="611" w:name="bookmark611"/>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10"/>
      <w:bookmarkEnd w:id="611"/>
      <w:bookmarkEnd w:id="614"/>
    </w:p>
    <w:p>
      <w:pPr>
        <w:pStyle w:val="Style36"/>
        <w:keepNext w:val="0"/>
        <w:keepLines w:val="0"/>
        <w:widowControl w:val="0"/>
        <w:shd w:val="clear" w:color="auto" w:fill="auto"/>
        <w:bidi w:val="0"/>
        <w:spacing w:before="0" w:after="600" w:line="410" w:lineRule="exact"/>
        <w:ind w:left="0" w:right="0" w:firstLine="440"/>
        <w:jc w:val="both"/>
      </w:pPr>
      <w:r>
        <w:rPr>
          <w:color w:val="000000"/>
          <w:spacing w:val="0"/>
          <w:w w:val="100"/>
          <w:position w:val="0"/>
        </w:rPr>
        <w:t>存货分为原材料、生产成本、工程施工、库存商品、发出商品、低值易耗品、委托加工材料等七大类。 其中生产成本用于核算公司产品生产加工等业务的在产品，工程施工用于归集建造工程施工项目的成本费 用支出。</w:t>
      </w:r>
    </w:p>
    <w:p>
      <w:pPr>
        <w:pStyle w:val="Style39"/>
        <w:keepNext/>
        <w:keepLines/>
        <w:widowControl w:val="0"/>
        <w:shd w:val="clear" w:color="auto" w:fill="auto"/>
        <w:tabs>
          <w:tab w:pos="492" w:val="left"/>
        </w:tabs>
        <w:bidi w:val="0"/>
        <w:spacing w:before="0" w:after="400" w:line="409" w:lineRule="exact"/>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15"/>
      <w:bookmarkEnd w:id="616"/>
      <w:bookmarkEnd w:id="61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计价方法：加权平均法</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各类存货的购入与入库按实际成本计价，发出采用移动加权平均法计价。</w:t>
      </w:r>
    </w:p>
    <w:p>
      <w:pPr>
        <w:pStyle w:val="Style3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工程施工成本的具体核算方法为：按照单个项目为核算对象，分别核算工程施工成本；项目未完工前, 按单个项目归集所发生的实际成本。期末按完工百分比法确认合同收入，按配比原则结转营业成本。项目 完工时，按照累计实际发生的合同成本扣除以前会计期间累计已确认成本后的金额，确认为当期合同成本, 并结转工程施工成本。</w:t>
      </w:r>
    </w:p>
    <w:p>
      <w:pPr>
        <w:pStyle w:val="Style36"/>
        <w:keepNext w:val="0"/>
        <w:keepLines w:val="0"/>
        <w:widowControl w:val="0"/>
        <w:shd w:val="clear" w:color="auto" w:fill="auto"/>
        <w:bidi w:val="0"/>
        <w:spacing w:before="0" w:after="300" w:line="409" w:lineRule="exact"/>
        <w:ind w:left="0" w:right="0" w:firstLine="440"/>
        <w:jc w:val="left"/>
      </w:pPr>
      <w:r>
        <w:rPr>
          <w:color w:val="000000"/>
          <w:spacing w:val="0"/>
          <w:w w:val="100"/>
          <w:position w:val="0"/>
        </w:rPr>
        <w:t>本公司累计已发生的工程施工成本和累计已确认的工程施工毛利之和大于累计已办理结算的合同价 款的差额为已完工未结算款，在存货中列示；累计已发生的施工成本和累计已确认的毛利之和小于累计已 办理结算的合同价款的差额为已结算未完工款，在预收款项中反映。</w:t>
      </w:r>
    </w:p>
    <w:p>
      <w:pPr>
        <w:pStyle w:val="Style39"/>
        <w:keepNext/>
        <w:keepLines/>
        <w:widowControl w:val="0"/>
        <w:shd w:val="clear" w:color="auto" w:fill="auto"/>
        <w:tabs>
          <w:tab w:pos="492" w:val="left"/>
        </w:tabs>
        <w:bidi w:val="0"/>
        <w:spacing w:before="0" w:after="180" w:line="409" w:lineRule="exact"/>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19"/>
      <w:bookmarkEnd w:id="620"/>
      <w:bookmarkEnd w:id="622"/>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存货可变现净值系根据本公司在正常经营过程中，以估计售价减去至完工时估计将要发生的成本及销 售所必需的估计费用后的价值。</w:t>
      </w:r>
    </w:p>
    <w:p>
      <w:pPr>
        <w:pStyle w:val="Style36"/>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存货跌价准备的计提方法：本公司于每年中期期末及年度终了在对存货进行全面盘点的基础上，对遭 受损失，全部或部分陈旧过时或销售价格低于成本的存货，根据存货成本与可变现净值孰低计量，按单个 存货项目对同类存货项目的可变现净值低于存货成本的差额计提存货跌价准备，并计入当期损益。对于工 程施工成本，对预计工程总成本超过预计总收入的工程项目，按照预计工程总成本超过预计总收入的部分, 计提存货跌价准备。确定可变现净值时，除考虑持有目的和资产负债表日该存货的价格与成本波动外，还 需要考虑未来事项的影响。</w:t>
      </w:r>
    </w:p>
    <w:p>
      <w:pPr>
        <w:pStyle w:val="Style39"/>
        <w:keepNext/>
        <w:keepLines/>
        <w:widowControl w:val="0"/>
        <w:shd w:val="clear" w:color="auto" w:fill="auto"/>
        <w:tabs>
          <w:tab w:pos="492" w:val="left"/>
        </w:tabs>
        <w:bidi w:val="0"/>
        <w:spacing w:before="0" w:after="400" w:line="409"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23"/>
      <w:bookmarkEnd w:id="624"/>
      <w:bookmarkEnd w:id="626"/>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盘存制度：永续盘存制</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存货的盘存制度采用永续盘存制。</w:t>
      </w:r>
    </w:p>
    <w:p>
      <w:pPr>
        <w:pStyle w:val="Style39"/>
        <w:keepNext/>
        <w:keepLines/>
        <w:widowControl w:val="0"/>
        <w:numPr>
          <w:ilvl w:val="0"/>
          <w:numId w:val="19"/>
        </w:numPr>
        <w:shd w:val="clear" w:color="auto" w:fill="auto"/>
        <w:bidi w:val="0"/>
        <w:spacing w:before="0" w:after="380" w:line="409" w:lineRule="exact"/>
        <w:ind w:left="0" w:right="0" w:firstLine="0"/>
        <w:jc w:val="left"/>
      </w:pPr>
      <w:bookmarkStart w:id="627" w:name="bookmark627"/>
      <w:bookmarkStart w:id="628" w:name="bookmark628"/>
      <w:bookmarkStart w:id="629" w:name="bookmark629"/>
      <w:bookmarkStart w:id="630" w:name="bookmark630"/>
      <w:bookmarkEnd w:id="629"/>
      <w:r>
        <w:rPr>
          <w:color w:val="000000"/>
          <w:spacing w:val="0"/>
          <w:w w:val="100"/>
          <w:position w:val="0"/>
        </w:rPr>
        <w:t>低值易耗品和包装物的摊销方法</w:t>
      </w:r>
      <w:bookmarkEnd w:id="627"/>
      <w:bookmarkEnd w:id="628"/>
      <w:bookmarkEnd w:id="63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36"/>
        <w:keepNext w:val="0"/>
        <w:keepLines w:val="0"/>
        <w:widowControl w:val="0"/>
        <w:shd w:val="clear" w:color="auto" w:fill="auto"/>
        <w:bidi w:val="0"/>
        <w:spacing w:before="0" w:after="440" w:line="240" w:lineRule="auto"/>
        <w:ind w:left="0" w:right="0" w:firstLine="0"/>
        <w:jc w:val="left"/>
      </w:pPr>
      <w:r>
        <w:rPr>
          <w:color w:val="000000"/>
          <w:spacing w:val="0"/>
          <w:w w:val="100"/>
          <w:position w:val="0"/>
        </w:rPr>
        <w:t>低值易耗品于其领用时采用一次性摊销法摊销。</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3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包装物于其领用时采用一次性摊销法摊销。</w:t>
      </w:r>
    </w:p>
    <w:p>
      <w:pPr>
        <w:pStyle w:val="Style39"/>
        <w:keepNext/>
        <w:keepLines/>
        <w:widowControl w:val="0"/>
        <w:shd w:val="clear" w:color="auto" w:fill="auto"/>
        <w:bidi w:val="0"/>
        <w:spacing w:before="0" w:after="200" w:line="409" w:lineRule="exact"/>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31"/>
      <w:bookmarkEnd w:id="632"/>
      <w:bookmarkEnd w:id="634"/>
    </w:p>
    <w:p>
      <w:pPr>
        <w:pStyle w:val="Style39"/>
        <w:keepNext/>
        <w:keepLines/>
        <w:widowControl w:val="0"/>
        <w:numPr>
          <w:ilvl w:val="0"/>
          <w:numId w:val="21"/>
        </w:numPr>
        <w:shd w:val="clear" w:color="auto" w:fill="auto"/>
        <w:bidi w:val="0"/>
        <w:spacing w:before="0" w:after="140" w:line="409" w:lineRule="exact"/>
        <w:ind w:left="0" w:right="0" w:firstLine="0"/>
        <w:jc w:val="left"/>
      </w:pPr>
      <w:bookmarkStart w:id="631" w:name="bookmark631"/>
      <w:bookmarkStart w:id="632" w:name="bookmark632"/>
      <w:bookmarkStart w:id="635" w:name="bookmark635"/>
      <w:bookmarkStart w:id="636" w:name="bookmark636"/>
      <w:bookmarkEnd w:id="635"/>
      <w:r>
        <w:rPr>
          <w:color w:val="000000"/>
          <w:spacing w:val="0"/>
          <w:w w:val="100"/>
          <w:position w:val="0"/>
        </w:rPr>
        <w:t>投资成本的确定</w:t>
      </w:r>
      <w:bookmarkEnd w:id="631"/>
      <w:bookmarkEnd w:id="632"/>
      <w:bookmarkEnd w:id="636"/>
    </w:p>
    <w:p>
      <w:pPr>
        <w:pStyle w:val="Style36"/>
        <w:keepNext w:val="0"/>
        <w:keepLines w:val="0"/>
        <w:widowControl w:val="0"/>
        <w:shd w:val="clear" w:color="auto" w:fill="auto"/>
        <w:tabs>
          <w:tab w:pos="818" w:val="left"/>
        </w:tabs>
        <w:bidi w:val="0"/>
        <w:spacing w:before="0" w:after="0" w:line="409" w:lineRule="exact"/>
        <w:ind w:left="0" w:right="0" w:firstLine="440"/>
        <w:jc w:val="left"/>
      </w:pPr>
      <w:bookmarkStart w:id="637" w:name="bookmark637"/>
      <w:r>
        <w:rPr>
          <w:color w:val="000000"/>
          <w:spacing w:val="0"/>
          <w:w w:val="100"/>
          <w:position w:val="0"/>
        </w:rPr>
        <w:t>A</w:t>
      </w:r>
      <w:bookmarkEnd w:id="637"/>
      <w:r>
        <w:rPr>
          <w:color w:val="000000"/>
          <w:spacing w:val="0"/>
          <w:w w:val="100"/>
          <w:position w:val="0"/>
        </w:rPr>
        <w:t>、</w:t>
        <w:tab/>
      </w:r>
      <w:r>
        <w:rPr>
          <w:color w:val="000000"/>
          <w:spacing w:val="0"/>
          <w:w w:val="100"/>
          <w:position w:val="0"/>
        </w:rPr>
        <w:t>企业合并形成的长期股权投资，按照下列规定确定其投资成本：</w:t>
      </w:r>
    </w:p>
    <w:p>
      <w:pPr>
        <w:pStyle w:val="Style36"/>
        <w:keepNext w:val="0"/>
        <w:keepLines w:val="0"/>
        <w:widowControl w:val="0"/>
        <w:shd w:val="clear" w:color="auto" w:fill="auto"/>
        <w:tabs>
          <w:tab w:pos="790" w:val="left"/>
        </w:tabs>
        <w:bidi w:val="0"/>
        <w:spacing w:before="0" w:after="0" w:line="409" w:lineRule="exact"/>
        <w:ind w:left="0" w:right="0" w:firstLine="440"/>
        <w:jc w:val="both"/>
      </w:pPr>
      <w:bookmarkStart w:id="638" w:name="bookmark638"/>
      <w:r>
        <w:rPr>
          <w:color w:val="000000"/>
          <w:spacing w:val="0"/>
          <w:w w:val="100"/>
          <w:position w:val="0"/>
        </w:rPr>
        <w:t>a</w:t>
      </w:r>
      <w:bookmarkEnd w:id="638"/>
      <w:r>
        <w:rPr>
          <w:color w:val="000000"/>
          <w:spacing w:val="0"/>
          <w:w w:val="100"/>
          <w:position w:val="0"/>
        </w:rPr>
        <w:t>、</w:t>
        <w:tab/>
      </w:r>
      <w:r>
        <w:rPr>
          <w:color w:val="000000"/>
          <w:spacing w:val="0"/>
          <w:w w:val="100"/>
          <w:position w:val="0"/>
        </w:rPr>
        <w:t>同一控制下的企业合并，合并方以支付现金、转让非现金资产或承担债务方式作为合并对价的， 在合并日按照取得被合并方所有者权益账面价值的份额作为长期股权投资的投资成本。长期股权投资投资 成本与支付的现金、转让的非现金资产以及所承担债务账面价值之间的差额，调整资本公积；资本公积不 足冲减的，调整留存收益。合并方以发行权益性证券作为合并对价的，在合并日按照取得被合并方所有者 权益账面价值的份额作为长期股权投资的投资成本。按照发行股份的面值总额作为股本，长期股权投资投 资成本与所发行股份面值总额之间的差额，调整资本公积；资本公积不足冲减的，调整留存收益。</w:t>
      </w:r>
    </w:p>
    <w:p>
      <w:pPr>
        <w:pStyle w:val="Style36"/>
        <w:keepNext w:val="0"/>
        <w:keepLines w:val="0"/>
        <w:widowControl w:val="0"/>
        <w:shd w:val="clear" w:color="auto" w:fill="auto"/>
        <w:tabs>
          <w:tab w:pos="808" w:val="left"/>
        </w:tabs>
        <w:bidi w:val="0"/>
        <w:spacing w:before="0" w:after="0" w:line="409" w:lineRule="exact"/>
        <w:ind w:left="0" w:right="0" w:firstLine="440"/>
        <w:jc w:val="both"/>
      </w:pPr>
      <w:bookmarkStart w:id="639" w:name="bookmark639"/>
      <w:r>
        <w:rPr>
          <w:color w:val="000000"/>
          <w:spacing w:val="0"/>
          <w:w w:val="100"/>
          <w:position w:val="0"/>
        </w:rPr>
        <w:t>b</w:t>
      </w:r>
      <w:bookmarkEnd w:id="639"/>
      <w:r>
        <w:rPr>
          <w:color w:val="000000"/>
          <w:spacing w:val="0"/>
          <w:w w:val="100"/>
          <w:position w:val="0"/>
        </w:rPr>
        <w:t>、</w:t>
        <w:tab/>
      </w:r>
      <w:r>
        <w:rPr>
          <w:color w:val="000000"/>
          <w:spacing w:val="0"/>
          <w:w w:val="100"/>
          <w:position w:val="0"/>
        </w:rPr>
        <w:t>非同一控制下的企业合并，按照下列规定确定的合并成本作为长期股权投资的投资成本：</w:t>
      </w:r>
    </w:p>
    <w:p>
      <w:pPr>
        <w:pStyle w:val="Style36"/>
        <w:keepNext w:val="0"/>
        <w:keepLines w:val="0"/>
        <w:widowControl w:val="0"/>
        <w:numPr>
          <w:ilvl w:val="0"/>
          <w:numId w:val="23"/>
        </w:numPr>
        <w:shd w:val="clear" w:color="auto" w:fill="auto"/>
        <w:tabs>
          <w:tab w:pos="814" w:val="left"/>
        </w:tabs>
        <w:bidi w:val="0"/>
        <w:spacing w:before="0" w:after="0" w:line="409" w:lineRule="exact"/>
        <w:ind w:left="0" w:right="0" w:firstLine="440"/>
        <w:jc w:val="both"/>
      </w:pPr>
      <w:bookmarkStart w:id="640" w:name="bookmark640"/>
      <w:bookmarkEnd w:id="640"/>
      <w:r>
        <w:rPr>
          <w:color w:val="000000"/>
          <w:spacing w:val="0"/>
          <w:w w:val="100"/>
          <w:position w:val="0"/>
        </w:rPr>
        <w:t>一次交换交易实现的企业合并，合并成本为购买方在购买日为取得对被购买方的控制权而付出的资 产、发生或承担的负债以及发行的权益性证券的公允价值。</w:t>
      </w:r>
    </w:p>
    <w:p>
      <w:pPr>
        <w:pStyle w:val="Style36"/>
        <w:keepNext w:val="0"/>
        <w:keepLines w:val="0"/>
        <w:widowControl w:val="0"/>
        <w:numPr>
          <w:ilvl w:val="0"/>
          <w:numId w:val="23"/>
        </w:numPr>
        <w:shd w:val="clear" w:color="auto" w:fill="auto"/>
        <w:tabs>
          <w:tab w:pos="837" w:val="left"/>
        </w:tabs>
        <w:bidi w:val="0"/>
        <w:spacing w:before="0" w:after="0" w:line="409" w:lineRule="exact"/>
        <w:ind w:left="0" w:right="0" w:firstLine="440"/>
        <w:jc w:val="left"/>
      </w:pPr>
      <w:bookmarkStart w:id="641" w:name="bookmark641"/>
      <w:bookmarkEnd w:id="641"/>
      <w:r>
        <w:rPr>
          <w:color w:val="000000"/>
          <w:spacing w:val="0"/>
          <w:w w:val="100"/>
          <w:position w:val="0"/>
        </w:rPr>
        <w:t>通过多次交换交易分步实现的企业合并，合并成本为每一单项交易成本之和。</w:t>
      </w:r>
    </w:p>
    <w:p>
      <w:pPr>
        <w:pStyle w:val="Style36"/>
        <w:keepNext w:val="0"/>
        <w:keepLines w:val="0"/>
        <w:widowControl w:val="0"/>
        <w:numPr>
          <w:ilvl w:val="0"/>
          <w:numId w:val="23"/>
        </w:numPr>
        <w:shd w:val="clear" w:color="auto" w:fill="auto"/>
        <w:tabs>
          <w:tab w:pos="837" w:val="left"/>
        </w:tabs>
        <w:bidi w:val="0"/>
        <w:spacing w:before="0" w:after="0" w:line="409" w:lineRule="exact"/>
        <w:ind w:left="0" w:right="0" w:firstLine="440"/>
        <w:jc w:val="left"/>
      </w:pPr>
      <w:bookmarkStart w:id="642" w:name="bookmark642"/>
      <w:bookmarkEnd w:id="642"/>
      <w:r>
        <w:rPr>
          <w:color w:val="000000"/>
          <w:spacing w:val="0"/>
          <w:w w:val="100"/>
          <w:position w:val="0"/>
        </w:rPr>
        <w:t>购买方为进行企业合并发生的各项直接相关费用直接计入当期损益。</w:t>
      </w:r>
    </w:p>
    <w:p>
      <w:pPr>
        <w:pStyle w:val="Style36"/>
        <w:keepNext w:val="0"/>
        <w:keepLines w:val="0"/>
        <w:widowControl w:val="0"/>
        <w:numPr>
          <w:ilvl w:val="0"/>
          <w:numId w:val="23"/>
        </w:numPr>
        <w:shd w:val="clear" w:color="auto" w:fill="auto"/>
        <w:tabs>
          <w:tab w:pos="814" w:val="left"/>
        </w:tabs>
        <w:bidi w:val="0"/>
        <w:spacing w:before="0" w:after="0" w:line="409" w:lineRule="exact"/>
        <w:ind w:left="0" w:right="0" w:firstLine="440"/>
        <w:jc w:val="both"/>
      </w:pPr>
      <w:bookmarkStart w:id="643" w:name="bookmark643"/>
      <w:bookmarkEnd w:id="643"/>
      <w:r>
        <w:rPr>
          <w:color w:val="000000"/>
          <w:spacing w:val="0"/>
          <w:w w:val="100"/>
          <w:position w:val="0"/>
        </w:rPr>
        <w:t>在合并合同或协议中对可能影响合并成本的未来事项作出约定的，购买日如果估计未来事项很可能 发生并且对合并成本的影响金额能够可靠计量的，购买方将其计入合并成本。</w:t>
      </w:r>
    </w:p>
    <w:p>
      <w:pPr>
        <w:pStyle w:val="Style36"/>
        <w:keepNext w:val="0"/>
        <w:keepLines w:val="0"/>
        <w:widowControl w:val="0"/>
        <w:shd w:val="clear" w:color="auto" w:fill="auto"/>
        <w:tabs>
          <w:tab w:pos="800" w:val="left"/>
        </w:tabs>
        <w:bidi w:val="0"/>
        <w:spacing w:before="0" w:after="0" w:line="432" w:lineRule="exact"/>
        <w:ind w:left="0" w:right="0" w:firstLine="440"/>
        <w:jc w:val="both"/>
      </w:pPr>
      <w:bookmarkStart w:id="644" w:name="bookmark644"/>
      <w:r>
        <w:rPr>
          <w:color w:val="000000"/>
          <w:spacing w:val="0"/>
          <w:w w:val="100"/>
          <w:position w:val="0"/>
        </w:rPr>
        <w:t>B</w:t>
      </w:r>
      <w:bookmarkEnd w:id="644"/>
      <w:r>
        <w:rPr>
          <w:color w:val="000000"/>
          <w:spacing w:val="0"/>
          <w:w w:val="100"/>
          <w:position w:val="0"/>
        </w:rPr>
        <w:t>、</w:t>
        <w:tab/>
      </w:r>
      <w:r>
        <w:rPr>
          <w:color w:val="000000"/>
          <w:spacing w:val="0"/>
          <w:w w:val="100"/>
          <w:position w:val="0"/>
        </w:rPr>
        <w:t>除企业合并形成的长期股权投资以外，其它方式取得的长期股权投资，按照下列规定确定其投资 成本：</w:t>
      </w:r>
    </w:p>
    <w:p>
      <w:pPr>
        <w:pStyle w:val="Style36"/>
        <w:keepNext w:val="0"/>
        <w:keepLines w:val="0"/>
        <w:widowControl w:val="0"/>
        <w:shd w:val="clear" w:color="auto" w:fill="auto"/>
        <w:tabs>
          <w:tab w:pos="790" w:val="left"/>
        </w:tabs>
        <w:bidi w:val="0"/>
        <w:spacing w:before="0" w:after="0" w:line="422" w:lineRule="exact"/>
        <w:ind w:left="0" w:right="0" w:firstLine="440"/>
        <w:jc w:val="both"/>
      </w:pPr>
      <w:bookmarkStart w:id="645" w:name="bookmark645"/>
      <w:r>
        <w:rPr>
          <w:color w:val="000000"/>
          <w:spacing w:val="0"/>
          <w:w w:val="100"/>
          <w:position w:val="0"/>
        </w:rPr>
        <w:t>a</w:t>
      </w:r>
      <w:bookmarkEnd w:id="645"/>
      <w:r>
        <w:rPr>
          <w:color w:val="000000"/>
          <w:spacing w:val="0"/>
          <w:w w:val="100"/>
          <w:position w:val="0"/>
        </w:rPr>
        <w:t>、</w:t>
        <w:tab/>
      </w:r>
      <w:r>
        <w:rPr>
          <w:color w:val="000000"/>
          <w:spacing w:val="0"/>
          <w:w w:val="100"/>
          <w:position w:val="0"/>
        </w:rPr>
        <w:t>以支付现金取得的长期股权投资，按照实际支付的购买价款作为投资成本。投资成本包括与取得 长期股权投资直接相关的费用、税金及其它必要支出。</w:t>
      </w:r>
    </w:p>
    <w:p>
      <w:pPr>
        <w:pStyle w:val="Style36"/>
        <w:keepNext w:val="0"/>
        <w:keepLines w:val="0"/>
        <w:widowControl w:val="0"/>
        <w:shd w:val="clear" w:color="auto" w:fill="auto"/>
        <w:tabs>
          <w:tab w:pos="808" w:val="left"/>
        </w:tabs>
        <w:bidi w:val="0"/>
        <w:spacing w:before="0" w:after="0" w:line="413" w:lineRule="exact"/>
        <w:ind w:left="0" w:right="0" w:firstLine="440"/>
        <w:jc w:val="left"/>
      </w:pPr>
      <w:bookmarkStart w:id="646" w:name="bookmark646"/>
      <w:r>
        <w:rPr>
          <w:color w:val="000000"/>
          <w:spacing w:val="0"/>
          <w:w w:val="100"/>
          <w:position w:val="0"/>
        </w:rPr>
        <w:t>b</w:t>
      </w:r>
      <w:bookmarkEnd w:id="646"/>
      <w:r>
        <w:rPr>
          <w:color w:val="000000"/>
          <w:spacing w:val="0"/>
          <w:w w:val="100"/>
          <w:position w:val="0"/>
        </w:rPr>
        <w:t>、</w:t>
        <w:tab/>
      </w:r>
      <w:r>
        <w:rPr>
          <w:color w:val="000000"/>
          <w:spacing w:val="0"/>
          <w:w w:val="100"/>
          <w:position w:val="0"/>
        </w:rPr>
        <w:t>以发行权益性证券取得的长期股权投资，按照发行权益性证券的公允价值作为投资成本。</w:t>
      </w:r>
    </w:p>
    <w:p>
      <w:pPr>
        <w:pStyle w:val="Style36"/>
        <w:keepNext w:val="0"/>
        <w:keepLines w:val="0"/>
        <w:widowControl w:val="0"/>
        <w:shd w:val="clear" w:color="auto" w:fill="auto"/>
        <w:tabs>
          <w:tab w:pos="795" w:val="left"/>
        </w:tabs>
        <w:bidi w:val="0"/>
        <w:spacing w:before="0" w:after="0" w:line="413" w:lineRule="exact"/>
        <w:ind w:left="0" w:right="0" w:firstLine="440"/>
        <w:jc w:val="both"/>
      </w:pPr>
      <w:bookmarkStart w:id="647" w:name="bookmark647"/>
      <w:r>
        <w:rPr>
          <w:color w:val="000000"/>
          <w:spacing w:val="0"/>
          <w:w w:val="100"/>
          <w:position w:val="0"/>
        </w:rPr>
        <w:t>c</w:t>
      </w:r>
      <w:bookmarkEnd w:id="647"/>
      <w:r>
        <w:rPr>
          <w:color w:val="000000"/>
          <w:spacing w:val="0"/>
          <w:w w:val="100"/>
          <w:position w:val="0"/>
        </w:rPr>
        <w:t>、</w:t>
        <w:tab/>
      </w:r>
      <w:r>
        <w:rPr>
          <w:color w:val="000000"/>
          <w:spacing w:val="0"/>
          <w:w w:val="100"/>
          <w:position w:val="0"/>
        </w:rPr>
        <w:t>投资者投入的长期股权投资，按照投资合同或协议约定的价值作为投资成本，但合同或协议约定 价值不公允的除外。</w:t>
      </w:r>
    </w:p>
    <w:p>
      <w:pPr>
        <w:pStyle w:val="Style36"/>
        <w:keepNext w:val="0"/>
        <w:keepLines w:val="0"/>
        <w:widowControl w:val="0"/>
        <w:shd w:val="clear" w:color="auto" w:fill="auto"/>
        <w:tabs>
          <w:tab w:pos="795" w:val="left"/>
        </w:tabs>
        <w:bidi w:val="0"/>
        <w:spacing w:before="0" w:after="0" w:line="427" w:lineRule="exact"/>
        <w:ind w:left="0" w:right="0" w:firstLine="440"/>
        <w:jc w:val="both"/>
      </w:pPr>
      <w:bookmarkStart w:id="648" w:name="bookmark648"/>
      <w:r>
        <w:rPr>
          <w:color w:val="000000"/>
          <w:spacing w:val="0"/>
          <w:w w:val="100"/>
          <w:position w:val="0"/>
        </w:rPr>
        <w:t>d</w:t>
      </w:r>
      <w:bookmarkEnd w:id="648"/>
      <w:r>
        <w:rPr>
          <w:color w:val="000000"/>
          <w:spacing w:val="0"/>
          <w:w w:val="100"/>
          <w:position w:val="0"/>
        </w:rPr>
        <w:t>、</w:t>
        <w:tab/>
      </w:r>
      <w:r>
        <w:rPr>
          <w:color w:val="000000"/>
          <w:spacing w:val="0"/>
          <w:w w:val="100"/>
          <w:position w:val="0"/>
        </w:rPr>
        <w:t xml:space="preserve">通过非货币性资产交换取得的长期股权投资，如非货币性资产交换具有商业实质，换入的长期股 权投资按照公允价值和应支付的相关税费作为投资成本；如非货币资产交易不具有商业实质，换入的长期 </w:t>
      </w:r>
      <w:r>
        <w:rPr>
          <w:color w:val="000000"/>
          <w:spacing w:val="0"/>
          <w:w w:val="100"/>
          <w:position w:val="0"/>
        </w:rPr>
        <w:t>股权投资以换出资产的账面价值和应支付的相关税费作为投资成本。</w:t>
      </w:r>
    </w:p>
    <w:p>
      <w:pPr>
        <w:pStyle w:val="Style36"/>
        <w:keepNext w:val="0"/>
        <w:keepLines w:val="0"/>
        <w:widowControl w:val="0"/>
        <w:shd w:val="clear" w:color="auto" w:fill="auto"/>
        <w:bidi w:val="0"/>
        <w:spacing w:before="0" w:after="320" w:line="409" w:lineRule="exact"/>
        <w:ind w:left="0" w:right="0" w:firstLine="440"/>
        <w:jc w:val="both"/>
      </w:pPr>
      <w:bookmarkStart w:id="649" w:name="bookmark649"/>
      <w:r>
        <w:rPr>
          <w:color w:val="000000"/>
          <w:spacing w:val="0"/>
          <w:w w:val="100"/>
          <w:position w:val="0"/>
        </w:rPr>
        <w:t>e</w:t>
      </w:r>
      <w:bookmarkEnd w:id="649"/>
      <w:r>
        <w:rPr>
          <w:color w:val="000000"/>
          <w:spacing w:val="0"/>
          <w:w w:val="100"/>
          <w:position w:val="0"/>
        </w:rPr>
        <w:t>、</w:t>
      </w:r>
      <w:r>
        <w:rPr>
          <w:color w:val="000000"/>
          <w:spacing w:val="0"/>
          <w:w w:val="100"/>
          <w:position w:val="0"/>
        </w:rPr>
        <w:t>通过债务重组取得的长期股权投资，其投资成本按照公允价值和应付的相关税费确定。</w:t>
      </w:r>
    </w:p>
    <w:p>
      <w:pPr>
        <w:pStyle w:val="Style39"/>
        <w:keepNext/>
        <w:keepLines/>
        <w:widowControl w:val="0"/>
        <w:shd w:val="clear" w:color="auto" w:fill="auto"/>
        <w:tabs>
          <w:tab w:pos="486" w:val="left"/>
        </w:tabs>
        <w:bidi w:val="0"/>
        <w:spacing w:before="0" w:after="180" w:line="409" w:lineRule="exact"/>
        <w:ind w:left="0" w:right="0" w:firstLine="0"/>
        <w:jc w:val="both"/>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50"/>
      <w:bookmarkEnd w:id="651"/>
      <w:bookmarkEnd w:id="653"/>
    </w:p>
    <w:p>
      <w:pPr>
        <w:pStyle w:val="Style36"/>
        <w:keepNext w:val="0"/>
        <w:keepLines w:val="0"/>
        <w:widowControl w:val="0"/>
        <w:shd w:val="clear" w:color="auto" w:fill="auto"/>
        <w:tabs>
          <w:tab w:pos="779" w:val="left"/>
        </w:tabs>
        <w:bidi w:val="0"/>
        <w:spacing w:before="0" w:after="0" w:line="413" w:lineRule="exact"/>
        <w:ind w:left="0" w:right="0" w:firstLine="440"/>
        <w:jc w:val="both"/>
      </w:pPr>
      <w:bookmarkStart w:id="654" w:name="bookmark654"/>
      <w:r>
        <w:rPr>
          <w:color w:val="000000"/>
          <w:spacing w:val="0"/>
          <w:w w:val="100"/>
          <w:position w:val="0"/>
        </w:rPr>
        <w:t>A</w:t>
      </w:r>
      <w:bookmarkEnd w:id="654"/>
      <w:r>
        <w:rPr>
          <w:color w:val="000000"/>
          <w:spacing w:val="0"/>
          <w:w w:val="100"/>
          <w:position w:val="0"/>
        </w:rPr>
        <w:t>、</w:t>
        <w:tab/>
      </w:r>
      <w:r>
        <w:rPr>
          <w:color w:val="000000"/>
          <w:spacing w:val="0"/>
          <w:w w:val="100"/>
          <w:position w:val="0"/>
        </w:rPr>
        <w:t>本公司能够对被投资单位实施控制的长期股权投资或本公司对被投资单位不具有共同控制或重大 影响，并且在活跃市场中没有报价、公允价值不能可靠计量的长期股权投资采用成本法核算。</w:t>
      </w:r>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采用成本法核算的长期股权投资按照投资成本计价。追加或收回投资时调整长期股权投资的成本。被 投资单位宣告分派的现金股利或利润，除取得投资时实际支付的价款或对价中包含的已宣告但尚未发放的 现金股利或利润外，本公司按照享有被投资单位宣告发放的现金股利或利润确认当期投资收益。</w:t>
      </w:r>
    </w:p>
    <w:p>
      <w:pPr>
        <w:pStyle w:val="Style36"/>
        <w:keepNext w:val="0"/>
        <w:keepLines w:val="0"/>
        <w:widowControl w:val="0"/>
        <w:shd w:val="clear" w:color="auto" w:fill="auto"/>
        <w:tabs>
          <w:tab w:pos="811" w:val="left"/>
        </w:tabs>
        <w:bidi w:val="0"/>
        <w:spacing w:before="0" w:after="0" w:line="409" w:lineRule="exact"/>
        <w:ind w:left="0" w:right="0" w:firstLine="440"/>
        <w:jc w:val="both"/>
      </w:pPr>
      <w:bookmarkStart w:id="655" w:name="bookmark655"/>
      <w:r>
        <w:rPr>
          <w:color w:val="000000"/>
          <w:spacing w:val="0"/>
          <w:w w:val="100"/>
          <w:position w:val="0"/>
        </w:rPr>
        <w:t>B</w:t>
      </w:r>
      <w:bookmarkEnd w:id="655"/>
      <w:r>
        <w:rPr>
          <w:color w:val="000000"/>
          <w:spacing w:val="0"/>
          <w:w w:val="100"/>
          <w:position w:val="0"/>
        </w:rPr>
        <w:t>、</w:t>
        <w:tab/>
      </w:r>
      <w:r>
        <w:rPr>
          <w:color w:val="000000"/>
          <w:spacing w:val="0"/>
          <w:w w:val="100"/>
          <w:position w:val="0"/>
        </w:rPr>
        <w:t>本公司对被投资单位具有共同控制或重大影响的长期股权投资，采用权益法核算。</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长期股权投资的投资成本大于投资时应享有被投资单位可辨认净资产公允价值份额的，不调整长期股 权投资的投资成本；长期股权投资的投资成本小于投资时应享有被投资单位可辨认净资产公允价值份额 的，其差额应当计入当期损益，同时调整长期股权投资的成本。</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公司取得长期股权投资后，按照应享有或应分担的被投资单位实现的净损益的份额，确认投资损益并 调整长期股权投资的账面价值；按照被投资单位宣告分派的利润或现金股利计算应分得的部分，相应减少 长期股权投资的账面价值。公司确认被投资单位发生的净亏损，以长期股权投资的账面价值以及其他实质 上构成对被投资单位净投资的长期权益减记至零为限，公司负有承担额外损失义务的除外。被投资单位以 后实现净利润的，投资企业在其收益分享额弥补未确认的亏损分担额后，恢复确认收益分享额。</w:t>
      </w:r>
    </w:p>
    <w:p>
      <w:pPr>
        <w:pStyle w:val="Style3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在确认应享有被投资单位净损益的份额时，以取得投资时被投资单位各项可辨认资产等的公允价值为 基础，对被投资单位的净利润进行调整后确认。被投资单位采用的会计政策及会计期间与投资企业不一致 的，应当按照投资企业的会计政策及会计期间对被投资单位的财务报表进行调整，并据以确认投资损益。</w:t>
      </w:r>
    </w:p>
    <w:p>
      <w:pPr>
        <w:pStyle w:val="Style36"/>
        <w:keepNext w:val="0"/>
        <w:keepLines w:val="0"/>
        <w:widowControl w:val="0"/>
        <w:shd w:val="clear" w:color="auto" w:fill="auto"/>
        <w:tabs>
          <w:tab w:pos="811" w:val="left"/>
        </w:tabs>
        <w:bidi w:val="0"/>
        <w:spacing w:before="0" w:after="320" w:line="409" w:lineRule="exact"/>
        <w:ind w:left="0" w:right="0" w:firstLine="440"/>
        <w:jc w:val="both"/>
      </w:pPr>
      <w:bookmarkStart w:id="656" w:name="bookmark656"/>
      <w:r>
        <w:rPr>
          <w:color w:val="000000"/>
          <w:spacing w:val="0"/>
          <w:w w:val="100"/>
          <w:position w:val="0"/>
        </w:rPr>
        <w:t>C</w:t>
      </w:r>
      <w:bookmarkEnd w:id="656"/>
      <w:r>
        <w:rPr>
          <w:color w:val="000000"/>
          <w:spacing w:val="0"/>
          <w:w w:val="100"/>
          <w:position w:val="0"/>
        </w:rPr>
        <w:t>、</w:t>
        <w:tab/>
      </w:r>
      <w:r>
        <w:rPr>
          <w:color w:val="000000"/>
          <w:spacing w:val="0"/>
          <w:w w:val="100"/>
          <w:position w:val="0"/>
        </w:rPr>
        <w:t>处置长期股权投资，其账面价值与实际取得价款的差额，应当计入当期损益。</w:t>
      </w:r>
    </w:p>
    <w:p>
      <w:pPr>
        <w:pStyle w:val="Style39"/>
        <w:keepNext/>
        <w:keepLines/>
        <w:widowControl w:val="0"/>
        <w:shd w:val="clear" w:color="auto" w:fill="auto"/>
        <w:tabs>
          <w:tab w:pos="486" w:val="left"/>
        </w:tabs>
        <w:bidi w:val="0"/>
        <w:spacing w:before="0" w:after="180" w:line="409" w:lineRule="exact"/>
        <w:ind w:left="0" w:right="0" w:firstLine="0"/>
        <w:jc w:val="both"/>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57"/>
      <w:bookmarkEnd w:id="658"/>
      <w:bookmarkEnd w:id="660"/>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共同控制，是指按照合同约定对某项经济活动所共有的控制，仅在与该项经济活动相关的重要财务和 经营决策需要分享控制权的投资方一致同意时存在。</w:t>
      </w:r>
    </w:p>
    <w:p>
      <w:pPr>
        <w:pStyle w:val="Style36"/>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重大影响，是指对一个企业的财务和经营政策有参与决策的权力，但并不能够控制或者与其他方一起 共同控制这些政策的制定。</w:t>
      </w:r>
    </w:p>
    <w:p>
      <w:pPr>
        <w:pStyle w:val="Style39"/>
        <w:keepNext/>
        <w:keepLines/>
        <w:widowControl w:val="0"/>
        <w:shd w:val="clear" w:color="auto" w:fill="auto"/>
        <w:tabs>
          <w:tab w:pos="486" w:val="left"/>
        </w:tabs>
        <w:bidi w:val="0"/>
        <w:spacing w:before="0" w:after="180" w:line="409" w:lineRule="exact"/>
        <w:ind w:left="0" w:right="0" w:firstLine="0"/>
        <w:jc w:val="both"/>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61"/>
      <w:bookmarkEnd w:id="662"/>
      <w:bookmarkEnd w:id="664"/>
    </w:p>
    <w:p>
      <w:pPr>
        <w:pStyle w:val="Style36"/>
        <w:keepNext w:val="0"/>
        <w:keepLines w:val="0"/>
        <w:widowControl w:val="0"/>
        <w:shd w:val="clear" w:color="auto" w:fill="auto"/>
        <w:bidi w:val="0"/>
        <w:spacing w:before="0" w:after="240" w:line="408" w:lineRule="exact"/>
        <w:ind w:left="0" w:right="0" w:firstLine="440"/>
        <w:jc w:val="both"/>
        <w:sectPr>
          <w:headerReference w:type="default" r:id="rId203"/>
          <w:footerReference w:type="default" r:id="rId204"/>
          <w:headerReference w:type="even" r:id="rId205"/>
          <w:footerReference w:type="even" r:id="rId206"/>
          <w:footnotePr>
            <w:pos w:val="pageBottom"/>
            <w:numFmt w:val="decimal"/>
            <w:numRestart w:val="continuous"/>
          </w:footnotePr>
          <w:type w:val="continuous"/>
          <w:pgSz w:w="11900" w:h="16840"/>
          <w:pgMar w:top="1103" w:right="1033" w:bottom="1140" w:left="1079" w:header="0" w:footer="3" w:gutter="0"/>
          <w:cols w:space="720"/>
          <w:noEndnote/>
          <w:rtlGutter w:val="0"/>
          <w:docGrid w:linePitch="360"/>
        </w:sectPr>
      </w:pPr>
      <w:r>
        <w:rPr>
          <w:color w:val="000000"/>
          <w:spacing w:val="0"/>
          <w:w w:val="100"/>
          <w:position w:val="0"/>
        </w:rPr>
        <w:t>资产负债表日对长期股权投资逐项进行检查，判断长期股权投资是否存在可能发生减值的迹象。如果 存在被投资单位经营状况恶化等减值迹象的，则估计其可收回金额。可收回金额的计量结果表明，长期股 权投资的可收回金额低于其账面价值的，将长期股权投资的账面价值减记至可收回金额，减记的金额确认</w:t>
      </w:r>
    </w:p>
    <w:p>
      <w:pPr>
        <w:pStyle w:val="Style36"/>
        <w:keepNext w:val="0"/>
        <w:keepLines w:val="0"/>
        <w:widowControl w:val="0"/>
        <w:shd w:val="clear" w:color="auto" w:fill="auto"/>
        <w:bidi w:val="0"/>
        <w:spacing w:before="320" w:after="480" w:line="408" w:lineRule="exact"/>
        <w:ind w:left="0" w:right="0" w:firstLine="0"/>
        <w:jc w:val="left"/>
      </w:pPr>
      <w:r>
        <w:rPr>
          <w:color w:val="000000"/>
          <w:spacing w:val="0"/>
          <w:w w:val="100"/>
          <w:position w:val="0"/>
        </w:rPr>
        <w:t>为资产减值损失，计入当期损益，同时计提相应的长期投资减值准备。长期投资减值损失一经确认，在以 后会计期间不再转回。</w:t>
      </w:r>
    </w:p>
    <w:p>
      <w:pPr>
        <w:pStyle w:val="Style39"/>
        <w:keepNext/>
        <w:keepLines/>
        <w:widowControl w:val="0"/>
        <w:shd w:val="clear" w:color="auto" w:fill="auto"/>
        <w:tabs>
          <w:tab w:pos="474" w:val="left"/>
        </w:tabs>
        <w:bidi w:val="0"/>
        <w:spacing w:before="0" w:after="0" w:line="425"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65"/>
      <w:bookmarkEnd w:id="666"/>
      <w:bookmarkEnd w:id="668"/>
    </w:p>
    <w:p>
      <w:pPr>
        <w:pStyle w:val="Style36"/>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投资性房地产，是指为赚取租金或资本增值，或两者兼有而持有的房地产。</w:t>
      </w:r>
    </w:p>
    <w:p>
      <w:pPr>
        <w:pStyle w:val="Style36"/>
        <w:keepNext w:val="0"/>
        <w:keepLines w:val="0"/>
        <w:widowControl w:val="0"/>
        <w:shd w:val="clear" w:color="auto" w:fill="auto"/>
        <w:tabs>
          <w:tab w:pos="928" w:val="left"/>
        </w:tabs>
        <w:bidi w:val="0"/>
        <w:spacing w:before="0" w:after="0" w:line="406" w:lineRule="exact"/>
        <w:ind w:left="0" w:right="0" w:firstLine="440"/>
        <w:jc w:val="left"/>
      </w:pPr>
      <w:bookmarkStart w:id="669" w:name="bookmark669"/>
      <w:r>
        <w:rPr>
          <w:color w:val="000000"/>
          <w:spacing w:val="0"/>
          <w:w w:val="100"/>
          <w:position w:val="0"/>
        </w:rPr>
        <w:t>（</w:t>
      </w:r>
      <w:bookmarkEnd w:id="669"/>
      <w:r>
        <w:rPr>
          <w:color w:val="000000"/>
          <w:spacing w:val="0"/>
          <w:w w:val="100"/>
          <w:position w:val="0"/>
        </w:rPr>
        <w:t>1）</w:t>
        <w:tab/>
      </w:r>
      <w:r>
        <w:rPr>
          <w:color w:val="000000"/>
          <w:spacing w:val="0"/>
          <w:w w:val="100"/>
          <w:position w:val="0"/>
        </w:rPr>
        <w:t>投资性房地产按照成本进行初始计量：</w:t>
      </w:r>
    </w:p>
    <w:p>
      <w:pPr>
        <w:pStyle w:val="Style36"/>
        <w:keepNext w:val="0"/>
        <w:keepLines w:val="0"/>
        <w:widowControl w:val="0"/>
        <w:shd w:val="clear" w:color="auto" w:fill="auto"/>
        <w:tabs>
          <w:tab w:pos="814" w:val="left"/>
        </w:tabs>
        <w:bidi w:val="0"/>
        <w:spacing w:before="0" w:after="0" w:line="406" w:lineRule="exact"/>
        <w:ind w:left="0" w:right="0" w:firstLine="440"/>
        <w:jc w:val="left"/>
      </w:pPr>
      <w:bookmarkStart w:id="670" w:name="bookmark670"/>
      <w:r>
        <w:rPr>
          <w:color w:val="000000"/>
          <w:spacing w:val="0"/>
          <w:w w:val="100"/>
          <w:position w:val="0"/>
        </w:rPr>
        <w:t>a</w:t>
      </w:r>
      <w:bookmarkEnd w:id="670"/>
      <w:r>
        <w:rPr>
          <w:color w:val="000000"/>
          <w:spacing w:val="0"/>
          <w:w w:val="100"/>
          <w:position w:val="0"/>
        </w:rPr>
        <w:t>、</w:t>
        <w:tab/>
      </w:r>
      <w:r>
        <w:rPr>
          <w:color w:val="000000"/>
          <w:spacing w:val="0"/>
          <w:w w:val="100"/>
          <w:position w:val="0"/>
        </w:rPr>
        <w:t>外购投资性房地产的成本，包括购买价款、相关税费和可直接归属于该资产的其他支出。</w:t>
      </w:r>
    </w:p>
    <w:p>
      <w:pPr>
        <w:pStyle w:val="Style36"/>
        <w:keepNext w:val="0"/>
        <w:keepLines w:val="0"/>
        <w:widowControl w:val="0"/>
        <w:shd w:val="clear" w:color="auto" w:fill="auto"/>
        <w:tabs>
          <w:tab w:pos="814" w:val="left"/>
        </w:tabs>
        <w:bidi w:val="0"/>
        <w:spacing w:before="0" w:after="0" w:line="406" w:lineRule="exact"/>
        <w:ind w:left="0" w:right="0" w:firstLine="440"/>
        <w:jc w:val="left"/>
      </w:pPr>
      <w:bookmarkStart w:id="671" w:name="bookmark671"/>
      <w:r>
        <w:rPr>
          <w:color w:val="000000"/>
          <w:spacing w:val="0"/>
          <w:w w:val="100"/>
          <w:position w:val="0"/>
        </w:rPr>
        <w:t>b</w:t>
      </w:r>
      <w:bookmarkEnd w:id="671"/>
      <w:r>
        <w:rPr>
          <w:color w:val="000000"/>
          <w:spacing w:val="0"/>
          <w:w w:val="100"/>
          <w:position w:val="0"/>
        </w:rPr>
        <w:t>、</w:t>
        <w:tab/>
      </w:r>
      <w:r>
        <w:rPr>
          <w:color w:val="000000"/>
          <w:spacing w:val="0"/>
          <w:w w:val="100"/>
          <w:position w:val="0"/>
        </w:rPr>
        <w:t>自行建造投资性房地产的成本，由建造该项资产达到预定可使用状态前所发生的必要支出构成。</w:t>
      </w:r>
    </w:p>
    <w:p>
      <w:pPr>
        <w:pStyle w:val="Style36"/>
        <w:keepNext w:val="0"/>
        <w:keepLines w:val="0"/>
        <w:widowControl w:val="0"/>
        <w:shd w:val="clear" w:color="auto" w:fill="auto"/>
        <w:tabs>
          <w:tab w:pos="814" w:val="left"/>
        </w:tabs>
        <w:bidi w:val="0"/>
        <w:spacing w:before="0" w:after="0" w:line="406" w:lineRule="exact"/>
        <w:ind w:left="0" w:right="0" w:firstLine="440"/>
        <w:jc w:val="left"/>
      </w:pPr>
      <w:bookmarkStart w:id="672" w:name="bookmark672"/>
      <w:r>
        <w:rPr>
          <w:color w:val="000000"/>
          <w:spacing w:val="0"/>
          <w:w w:val="100"/>
          <w:position w:val="0"/>
        </w:rPr>
        <w:t>c</w:t>
      </w:r>
      <w:bookmarkEnd w:id="672"/>
      <w:r>
        <w:rPr>
          <w:color w:val="000000"/>
          <w:spacing w:val="0"/>
          <w:w w:val="100"/>
          <w:position w:val="0"/>
        </w:rPr>
        <w:t>、</w:t>
        <w:tab/>
      </w:r>
      <w:r>
        <w:rPr>
          <w:color w:val="000000"/>
          <w:spacing w:val="0"/>
          <w:w w:val="100"/>
          <w:position w:val="0"/>
        </w:rPr>
        <w:t>以其他方式取得的投资性房地产的成本，按照相关会计准则的规定确定。</w:t>
      </w:r>
    </w:p>
    <w:p>
      <w:pPr>
        <w:pStyle w:val="Style36"/>
        <w:keepNext w:val="0"/>
        <w:keepLines w:val="0"/>
        <w:widowControl w:val="0"/>
        <w:shd w:val="clear" w:color="auto" w:fill="auto"/>
        <w:tabs>
          <w:tab w:pos="928" w:val="left"/>
        </w:tabs>
        <w:bidi w:val="0"/>
        <w:spacing w:before="0" w:after="0" w:line="406" w:lineRule="exact"/>
        <w:ind w:left="0" w:right="0" w:firstLine="440"/>
        <w:jc w:val="left"/>
      </w:pPr>
      <w:bookmarkStart w:id="673" w:name="bookmark673"/>
      <w:r>
        <w:rPr>
          <w:color w:val="000000"/>
          <w:spacing w:val="0"/>
          <w:w w:val="100"/>
          <w:position w:val="0"/>
        </w:rPr>
        <w:t>（</w:t>
      </w:r>
      <w:bookmarkEnd w:id="673"/>
      <w:r>
        <w:rPr>
          <w:color w:val="000000"/>
          <w:spacing w:val="0"/>
          <w:w w:val="100"/>
          <w:position w:val="0"/>
        </w:rPr>
        <w:t>2）</w:t>
        <w:tab/>
      </w:r>
      <w:r>
        <w:rPr>
          <w:color w:val="000000"/>
          <w:spacing w:val="0"/>
          <w:w w:val="100"/>
          <w:position w:val="0"/>
        </w:rPr>
        <w:t>后续计量</w:t>
      </w:r>
    </w:p>
    <w:p>
      <w:pPr>
        <w:pStyle w:val="Style36"/>
        <w:keepNext w:val="0"/>
        <w:keepLines w:val="0"/>
        <w:widowControl w:val="0"/>
        <w:shd w:val="clear" w:color="auto" w:fill="auto"/>
        <w:bidi w:val="0"/>
        <w:spacing w:before="0" w:after="0" w:line="406" w:lineRule="exact"/>
        <w:ind w:left="0" w:right="0" w:firstLine="540"/>
        <w:jc w:val="both"/>
      </w:pPr>
      <w:r>
        <w:rPr>
          <w:color w:val="000000"/>
          <w:spacing w:val="0"/>
          <w:w w:val="100"/>
          <w:position w:val="0"/>
        </w:rPr>
        <w:t>与投资性房地产有关的后续支出，如与该投资性房地产有关的经济利益很可能流入企业且该投资性 房地产的成本能够可靠地计量，则计入投资性房地产成本；否则在发生时计入当期损益。</w:t>
      </w:r>
    </w:p>
    <w:p>
      <w:pPr>
        <w:pStyle w:val="Style3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公司在资产负债表日采用成本模式对投资性房地产进行后续计量，投资性房地产的折旧方法采用平均 年限法。</w:t>
      </w:r>
    </w:p>
    <w:p>
      <w:pPr>
        <w:pStyle w:val="Style36"/>
        <w:keepNext w:val="0"/>
        <w:keepLines w:val="0"/>
        <w:widowControl w:val="0"/>
        <w:shd w:val="clear" w:color="auto" w:fill="auto"/>
        <w:tabs>
          <w:tab w:pos="928" w:val="left"/>
        </w:tabs>
        <w:bidi w:val="0"/>
        <w:spacing w:before="0" w:after="0" w:line="406" w:lineRule="exact"/>
        <w:ind w:left="0" w:right="0" w:firstLine="440"/>
        <w:jc w:val="both"/>
      </w:pPr>
      <w:bookmarkStart w:id="674" w:name="bookmark674"/>
      <w:r>
        <w:rPr>
          <w:color w:val="000000"/>
          <w:spacing w:val="0"/>
          <w:w w:val="100"/>
          <w:position w:val="0"/>
        </w:rPr>
        <w:t>（</w:t>
      </w:r>
      <w:bookmarkEnd w:id="674"/>
      <w:r>
        <w:rPr>
          <w:color w:val="000000"/>
          <w:spacing w:val="0"/>
          <w:w w:val="100"/>
          <w:position w:val="0"/>
        </w:rPr>
        <w:t>3）</w:t>
        <w:tab/>
      </w:r>
      <w:r>
        <w:rPr>
          <w:color w:val="000000"/>
          <w:spacing w:val="0"/>
          <w:w w:val="100"/>
          <w:position w:val="0"/>
        </w:rPr>
        <w:t>投资性房地产减值准备的确认标准及计提方法</w:t>
      </w:r>
    </w:p>
    <w:p>
      <w:pPr>
        <w:pStyle w:val="Style36"/>
        <w:keepNext w:val="0"/>
        <w:keepLines w:val="0"/>
        <w:widowControl w:val="0"/>
        <w:shd w:val="clear" w:color="auto" w:fill="auto"/>
        <w:bidi w:val="0"/>
        <w:spacing w:before="0" w:after="800" w:line="406" w:lineRule="exact"/>
        <w:ind w:left="0" w:right="0" w:firstLine="440"/>
        <w:jc w:val="both"/>
      </w:pPr>
      <w:r>
        <w:rPr>
          <w:color w:val="000000"/>
          <w:spacing w:val="0"/>
          <w:w w:val="100"/>
          <w:position w:val="0"/>
        </w:rPr>
        <w:t>资产负债表日，投资性房地产由于市价持续下跌等原因导致其可收回金额低于账面价值的，按资产的 实际价值低于账面价值的差额计提减值准备。资产减值准备一经计提，在以后会计期间不再转回。</w:t>
      </w:r>
    </w:p>
    <w:p>
      <w:pPr>
        <w:pStyle w:val="Style39"/>
        <w:keepNext/>
        <w:keepLines/>
        <w:widowControl w:val="0"/>
        <w:shd w:val="clear" w:color="auto" w:fill="auto"/>
        <w:tabs>
          <w:tab w:pos="474" w:val="left"/>
        </w:tabs>
        <w:bidi w:val="0"/>
        <w:spacing w:before="0" w:after="0" w:line="425"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75"/>
      <w:bookmarkEnd w:id="676"/>
      <w:bookmarkEnd w:id="678"/>
    </w:p>
    <w:p>
      <w:pPr>
        <w:pStyle w:val="Style39"/>
        <w:keepNext/>
        <w:keepLines/>
        <w:widowControl w:val="0"/>
        <w:shd w:val="clear" w:color="auto" w:fill="auto"/>
        <w:tabs>
          <w:tab w:pos="493" w:val="left"/>
        </w:tabs>
        <w:bidi w:val="0"/>
        <w:spacing w:before="0" w:after="180" w:line="406" w:lineRule="exact"/>
        <w:ind w:left="0" w:right="0" w:firstLine="0"/>
        <w:jc w:val="left"/>
      </w:pPr>
      <w:bookmarkStart w:id="675" w:name="bookmark675"/>
      <w:bookmarkStart w:id="676" w:name="bookmark676"/>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75"/>
      <w:bookmarkEnd w:id="676"/>
      <w:bookmarkEnd w:id="680"/>
    </w:p>
    <w:p>
      <w:pPr>
        <w:pStyle w:val="Style36"/>
        <w:keepNext w:val="0"/>
        <w:keepLines w:val="0"/>
        <w:widowControl w:val="0"/>
        <w:shd w:val="clear" w:color="auto" w:fill="auto"/>
        <w:bidi w:val="0"/>
        <w:spacing w:before="0" w:after="300" w:line="406" w:lineRule="exact"/>
        <w:ind w:left="0" w:right="0" w:firstLine="0"/>
        <w:jc w:val="left"/>
      </w:pPr>
      <w:r>
        <w:rPr>
          <w:color w:val="000000"/>
          <w:spacing w:val="0"/>
          <w:w w:val="100"/>
          <w:position w:val="0"/>
        </w:rPr>
        <w:t>为生产商品、提供劳务、出租或经营管理而持有的、使用寿命超过一个会计年度的有形资产。</w:t>
      </w:r>
    </w:p>
    <w:p>
      <w:pPr>
        <w:pStyle w:val="Style39"/>
        <w:keepNext/>
        <w:keepLines/>
        <w:widowControl w:val="0"/>
        <w:shd w:val="clear" w:color="auto" w:fill="auto"/>
        <w:tabs>
          <w:tab w:pos="493" w:val="left"/>
        </w:tabs>
        <w:bidi w:val="0"/>
        <w:spacing w:before="0" w:after="180" w:line="406"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81"/>
      <w:bookmarkEnd w:id="682"/>
      <w:bookmarkEnd w:id="684"/>
    </w:p>
    <w:p>
      <w:pPr>
        <w:pStyle w:val="Style36"/>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如果与某项租入固定资产有关的全部风险和报酬实质上已经转移，本公司认定为融资租赁。融资租入 固定资产需按租赁开始日租赁资产的公允价值与最低租赁付款额现值两者中的较低者，加上可直接归属于 租赁项目的初始直接费用，作为租入资产的入账价值，将最低租赁付款额作为长期应付款的入账价值，其 差额作为未确认融资费用。未确认融资费用采用实际利率法在租赁期内分摊。租入固定资产按租赁期和估 计净残值确定折旧率，计提折旧。</w:t>
      </w:r>
    </w:p>
    <w:p>
      <w:pPr>
        <w:pStyle w:val="Style39"/>
        <w:keepNext/>
        <w:keepLines/>
        <w:widowControl w:val="0"/>
        <w:shd w:val="clear" w:color="auto" w:fill="auto"/>
        <w:tabs>
          <w:tab w:pos="493" w:val="left"/>
        </w:tabs>
        <w:bidi w:val="0"/>
        <w:spacing w:before="0" w:after="180" w:line="406"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85"/>
      <w:bookmarkEnd w:id="686"/>
      <w:bookmarkEnd w:id="688"/>
    </w:p>
    <w:p>
      <w:pPr>
        <w:pStyle w:val="Style36"/>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固定资产折旧采用年限平均法分类计提，根据固定资产类别、预计使用寿命和预计净残值率确定折旧 率。</w:t>
      </w:r>
    </w:p>
    <w:p>
      <w:pPr>
        <w:pStyle w:val="Style36"/>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主要受益期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9"/>
        <w:keepNext/>
        <w:keepLines/>
        <w:widowControl w:val="0"/>
        <w:shd w:val="clear" w:color="auto" w:fill="auto"/>
        <w:tabs>
          <w:tab w:pos="485" w:val="left"/>
        </w:tabs>
        <w:bidi w:val="0"/>
        <w:spacing w:before="0" w:after="160" w:line="408"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89"/>
      <w:bookmarkEnd w:id="690"/>
      <w:bookmarkEnd w:id="692"/>
    </w:p>
    <w:p>
      <w:pPr>
        <w:pStyle w:val="Style36"/>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资产负债表日判断固定资产是否存在可能发生减值的迹象。如果存在资产市价持续下跌，或技术陈旧、 损坏、长期闲置等减值迹象的，则估计其可收回金额。可收回金额的计量结果表明，固定资产的可收回金 额低于其账面价值的，将固定资产的账面价值减记至可收回金额，减记的金额确认为资产减值损失，计入 当期损益，同时计提相应的固定资产减值准备。固定资产减值损失一经确认，在以后会计期间不再转回。</w:t>
      </w:r>
    </w:p>
    <w:p>
      <w:pPr>
        <w:pStyle w:val="Style36"/>
        <w:keepNext w:val="0"/>
        <w:keepLines w:val="0"/>
        <w:widowControl w:val="0"/>
        <w:shd w:val="clear" w:color="auto" w:fill="auto"/>
        <w:tabs>
          <w:tab w:pos="485" w:val="left"/>
        </w:tabs>
        <w:bidi w:val="0"/>
        <w:spacing w:before="0" w:after="220" w:line="408" w:lineRule="exact"/>
        <w:ind w:left="0" w:right="0" w:firstLine="0"/>
        <w:jc w:val="left"/>
      </w:pPr>
      <w:bookmarkStart w:id="693" w:name="bookmark693"/>
      <w:r>
        <w:rPr>
          <w:b/>
          <w:bCs/>
          <w:color w:val="000000"/>
          <w:spacing w:val="0"/>
          <w:w w:val="100"/>
          <w:position w:val="0"/>
        </w:rPr>
        <w:t>（</w:t>
      </w:r>
      <w:bookmarkEnd w:id="69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其他说明</w:t>
      </w:r>
    </w:p>
    <w:p>
      <w:pPr>
        <w:pStyle w:val="Style36"/>
        <w:keepNext w:val="0"/>
        <w:keepLines w:val="0"/>
        <w:widowControl w:val="0"/>
        <w:shd w:val="clear" w:color="auto" w:fill="auto"/>
        <w:bidi w:val="0"/>
        <w:spacing w:before="0" w:after="220" w:line="408" w:lineRule="exact"/>
        <w:ind w:left="0" w:right="0" w:firstLine="0"/>
        <w:jc w:val="left"/>
      </w:pPr>
      <w:bookmarkStart w:id="694" w:name="bookmark694"/>
      <w:r>
        <w:rPr>
          <w:rFonts w:ascii="Times New Roman" w:eastAsia="Times New Roman" w:hAnsi="Times New Roman" w:cs="Times New Roman"/>
          <w:b/>
          <w:bCs/>
          <w:color w:val="000000"/>
          <w:spacing w:val="0"/>
          <w:w w:val="100"/>
          <w:position w:val="0"/>
        </w:rPr>
        <w:t>1</w:t>
      </w:r>
      <w:bookmarkEnd w:id="694"/>
      <w:r>
        <w:rPr>
          <w:rFonts w:ascii="Times New Roman" w:eastAsia="Times New Roman" w:hAnsi="Times New Roman" w:cs="Times New Roman"/>
          <w:b/>
          <w:bCs/>
          <w:color w:val="000000"/>
          <w:spacing w:val="0"/>
          <w:w w:val="100"/>
          <w:position w:val="0"/>
        </w:rPr>
        <w:t>6</w:t>
      </w:r>
      <w:r>
        <w:rPr>
          <w:b/>
          <w:bCs/>
          <w:color w:val="000000"/>
          <w:spacing w:val="0"/>
          <w:w w:val="100"/>
          <w:position w:val="0"/>
        </w:rPr>
        <w:t>、在建工程</w:t>
      </w:r>
    </w:p>
    <w:p>
      <w:pPr>
        <w:pStyle w:val="Style36"/>
        <w:keepNext w:val="0"/>
        <w:keepLines w:val="0"/>
        <w:widowControl w:val="0"/>
        <w:shd w:val="clear" w:color="auto" w:fill="auto"/>
        <w:tabs>
          <w:tab w:pos="485" w:val="left"/>
        </w:tabs>
        <w:bidi w:val="0"/>
        <w:spacing w:before="0" w:after="160" w:line="408" w:lineRule="exact"/>
        <w:ind w:left="0" w:right="0" w:firstLine="0"/>
        <w:jc w:val="left"/>
      </w:pPr>
      <w:bookmarkStart w:id="695" w:name="bookmark695"/>
      <w:r>
        <w:rPr>
          <w:b/>
          <w:bCs/>
          <w:color w:val="000000"/>
          <w:spacing w:val="0"/>
          <w:w w:val="100"/>
          <w:position w:val="0"/>
        </w:rPr>
        <w:t>（</w:t>
      </w:r>
      <w:bookmarkEnd w:id="69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在建工程的类别</w:t>
      </w:r>
    </w:p>
    <w:p>
      <w:pPr>
        <w:pStyle w:val="Style36"/>
        <w:keepNext w:val="0"/>
        <w:keepLines w:val="0"/>
        <w:widowControl w:val="0"/>
        <w:shd w:val="clear" w:color="auto" w:fill="auto"/>
        <w:bidi w:val="0"/>
        <w:spacing w:before="0" w:after="320" w:line="408" w:lineRule="exact"/>
        <w:ind w:left="0" w:right="0" w:firstLine="0"/>
        <w:jc w:val="left"/>
      </w:pPr>
      <w:r>
        <w:rPr>
          <w:color w:val="000000"/>
          <w:spacing w:val="0"/>
          <w:w w:val="100"/>
          <w:position w:val="0"/>
        </w:rPr>
        <w:t>在建工程包括施工前期准备、正在施工中的建筑工程、安装工程、技术改造工程和大修理工程等。</w:t>
      </w:r>
    </w:p>
    <w:p>
      <w:pPr>
        <w:pStyle w:val="Style39"/>
        <w:keepNext/>
        <w:keepLines/>
        <w:widowControl w:val="0"/>
        <w:shd w:val="clear" w:color="auto" w:fill="auto"/>
        <w:tabs>
          <w:tab w:pos="485" w:val="left"/>
        </w:tabs>
        <w:bidi w:val="0"/>
        <w:spacing w:before="0" w:after="160" w:line="408"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6"/>
      <w:bookmarkEnd w:id="697"/>
      <w:bookmarkEnd w:id="699"/>
    </w:p>
    <w:p>
      <w:pPr>
        <w:pStyle w:val="Style36"/>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在建工程按照实际发生的支出分项目核算，并在工程达到预定可使用状态时结转为固定资产。与在建 工程有关的借款费用（包括借款利息、溢折价摊销、汇兑损益等），在相关工程达到预定可使用状态前的 计入工程成本，在相关工程达到预定可使用状态后的计入当期财务费用。</w:t>
      </w:r>
    </w:p>
    <w:p>
      <w:pPr>
        <w:pStyle w:val="Style39"/>
        <w:keepNext/>
        <w:keepLines/>
        <w:widowControl w:val="0"/>
        <w:shd w:val="clear" w:color="auto" w:fill="auto"/>
        <w:tabs>
          <w:tab w:pos="485" w:val="left"/>
        </w:tabs>
        <w:bidi w:val="0"/>
        <w:spacing w:before="0" w:after="160" w:line="408" w:lineRule="exact"/>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00"/>
      <w:bookmarkEnd w:id="701"/>
      <w:bookmarkEnd w:id="703"/>
    </w:p>
    <w:p>
      <w:pPr>
        <w:pStyle w:val="Style36"/>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资产负债表日对在建工程进行全面检查，判断在建工程是否存在可能发生减值的迹象。如果存在：</w:t>
      </w:r>
      <w:r>
        <w:rPr>
          <w:color w:val="000000"/>
          <w:spacing w:val="0"/>
          <w:w w:val="100"/>
          <w:position w:val="0"/>
        </w:rPr>
        <w:t>a</w:t>
      </w:r>
      <w:r>
        <w:rPr>
          <w:color w:val="000000"/>
          <w:spacing w:val="0"/>
          <w:w w:val="100"/>
          <w:position w:val="0"/>
        </w:rPr>
        <w:t xml:space="preserve">、 </w:t>
      </w:r>
      <w:r>
        <w:rPr>
          <w:color w:val="000000"/>
          <w:spacing w:val="0"/>
          <w:w w:val="100"/>
          <w:position w:val="0"/>
        </w:rPr>
        <w:t>在建工程长期停建并且预计在未来</w:t>
      </w:r>
      <w:r>
        <w:rPr>
          <w:color w:val="000000"/>
          <w:spacing w:val="0"/>
          <w:w w:val="100"/>
          <w:position w:val="0"/>
        </w:rPr>
        <w:t>3</w:t>
      </w:r>
      <w:r>
        <w:rPr>
          <w:color w:val="000000"/>
          <w:spacing w:val="0"/>
          <w:w w:val="100"/>
          <w:position w:val="0"/>
        </w:rPr>
        <w:t>年内不会重新开工，</w:t>
      </w:r>
      <w:r>
        <w:rPr>
          <w:color w:val="000000"/>
          <w:spacing w:val="0"/>
          <w:w w:val="100"/>
          <w:position w:val="0"/>
        </w:rPr>
        <w:t>b</w:t>
      </w:r>
      <w:r>
        <w:rPr>
          <w:color w:val="000000"/>
          <w:spacing w:val="0"/>
          <w:w w:val="100"/>
          <w:position w:val="0"/>
        </w:rPr>
        <w:t>、</w:t>
      </w:r>
      <w:r>
        <w:rPr>
          <w:color w:val="000000"/>
          <w:spacing w:val="0"/>
          <w:w w:val="100"/>
          <w:position w:val="0"/>
        </w:rPr>
        <w:t xml:space="preserve">所建项目在性能上、技术上已经落后并且所带 来的经济效益具有很大的不确定性等减值迹象的，则估计其可收回金额。可收回金额的计量结果表明，在 建工程的可收回金额低于其账面价值的，将在建工程的账面价值减记至可收回金额，减记的金额确认为资 产减值损失，计入当期损益，同时计提相应的在建工程减值准备。在建工程减值损失一经确认，在以后会 </w:t>
      </w:r>
      <w:r>
        <w:rPr>
          <w:color w:val="000000"/>
          <w:spacing w:val="0"/>
          <w:w w:val="100"/>
          <w:position w:val="0"/>
        </w:rPr>
        <w:t>计期间不再转回。</w:t>
      </w:r>
    </w:p>
    <w:p>
      <w:pPr>
        <w:pStyle w:val="Style39"/>
        <w:keepNext/>
        <w:keepLines/>
        <w:widowControl w:val="0"/>
        <w:shd w:val="clear" w:color="auto" w:fill="auto"/>
        <w:bidi w:val="0"/>
        <w:spacing w:before="0" w:after="0" w:line="43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04"/>
      <w:bookmarkEnd w:id="705"/>
      <w:bookmarkEnd w:id="707"/>
    </w:p>
    <w:p>
      <w:pPr>
        <w:pStyle w:val="Style39"/>
        <w:keepNext/>
        <w:keepLines/>
        <w:widowControl w:val="0"/>
        <w:shd w:val="clear" w:color="auto" w:fill="auto"/>
        <w:tabs>
          <w:tab w:pos="493" w:val="left"/>
        </w:tabs>
        <w:bidi w:val="0"/>
        <w:spacing w:before="0" w:after="180" w:line="410" w:lineRule="exact"/>
        <w:ind w:left="0" w:right="0" w:firstLine="0"/>
        <w:jc w:val="left"/>
      </w:pPr>
      <w:bookmarkStart w:id="704" w:name="bookmark704"/>
      <w:bookmarkStart w:id="705" w:name="bookmark705"/>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04"/>
      <w:bookmarkEnd w:id="705"/>
      <w:bookmarkEnd w:id="709"/>
    </w:p>
    <w:p>
      <w:pPr>
        <w:pStyle w:val="Style36"/>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企业发生的借款费用，可直接归属于符合资本化条件的资产的购建或者生产的，予以资本化，计入相 关资产成本；其他借款费用，在发生时根据其发生额确认为费用，计入当期损益。借款费用同时满足下列 条件的，开始资本化：</w:t>
      </w:r>
    </w:p>
    <w:p>
      <w:pPr>
        <w:pStyle w:val="Style36"/>
        <w:keepNext w:val="0"/>
        <w:keepLines w:val="0"/>
        <w:widowControl w:val="0"/>
        <w:shd w:val="clear" w:color="auto" w:fill="auto"/>
        <w:tabs>
          <w:tab w:pos="790" w:val="left"/>
        </w:tabs>
        <w:bidi w:val="0"/>
        <w:spacing w:before="0" w:after="0" w:line="422" w:lineRule="exact"/>
        <w:ind w:left="0" w:right="0" w:firstLine="440"/>
        <w:jc w:val="both"/>
      </w:pPr>
      <w:bookmarkStart w:id="710" w:name="bookmark710"/>
      <w:r>
        <w:rPr>
          <w:color w:val="000000"/>
          <w:spacing w:val="0"/>
          <w:w w:val="100"/>
          <w:position w:val="0"/>
        </w:rPr>
        <w:t>a</w:t>
      </w:r>
      <w:bookmarkEnd w:id="710"/>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36"/>
        <w:keepNext w:val="0"/>
        <w:keepLines w:val="0"/>
        <w:widowControl w:val="0"/>
        <w:shd w:val="clear" w:color="auto" w:fill="auto"/>
        <w:tabs>
          <w:tab w:pos="808" w:val="left"/>
        </w:tabs>
        <w:bidi w:val="0"/>
        <w:spacing w:before="0" w:after="0" w:line="410" w:lineRule="exact"/>
        <w:ind w:left="0" w:right="0" w:firstLine="440"/>
        <w:jc w:val="both"/>
      </w:pPr>
      <w:bookmarkStart w:id="711" w:name="bookmark711"/>
      <w:r>
        <w:rPr>
          <w:color w:val="000000"/>
          <w:spacing w:val="0"/>
          <w:w w:val="100"/>
          <w:position w:val="0"/>
        </w:rPr>
        <w:t>b</w:t>
      </w:r>
      <w:bookmarkEnd w:id="711"/>
      <w:r>
        <w:rPr>
          <w:color w:val="000000"/>
          <w:spacing w:val="0"/>
          <w:w w:val="100"/>
          <w:position w:val="0"/>
        </w:rPr>
        <w:t>、</w:t>
        <w:tab/>
      </w:r>
      <w:r>
        <w:rPr>
          <w:color w:val="000000"/>
          <w:spacing w:val="0"/>
          <w:w w:val="100"/>
          <w:position w:val="0"/>
        </w:rPr>
        <w:t>借款费用已经发生；</w:t>
      </w:r>
    </w:p>
    <w:p>
      <w:pPr>
        <w:pStyle w:val="Style36"/>
        <w:keepNext w:val="0"/>
        <w:keepLines w:val="0"/>
        <w:widowControl w:val="0"/>
        <w:shd w:val="clear" w:color="auto" w:fill="auto"/>
        <w:tabs>
          <w:tab w:pos="808" w:val="left"/>
        </w:tabs>
        <w:bidi w:val="0"/>
        <w:spacing w:before="0" w:after="300" w:line="410" w:lineRule="exact"/>
        <w:ind w:left="0" w:right="0" w:firstLine="440"/>
        <w:jc w:val="both"/>
      </w:pPr>
      <w:bookmarkStart w:id="712" w:name="bookmark712"/>
      <w:r>
        <w:rPr>
          <w:color w:val="000000"/>
          <w:spacing w:val="0"/>
          <w:w w:val="100"/>
          <w:position w:val="0"/>
        </w:rPr>
        <w:t>c</w:t>
      </w:r>
      <w:bookmarkEnd w:id="712"/>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39"/>
        <w:keepNext/>
        <w:keepLines/>
        <w:widowControl w:val="0"/>
        <w:shd w:val="clear" w:color="auto" w:fill="auto"/>
        <w:tabs>
          <w:tab w:pos="493" w:val="left"/>
        </w:tabs>
        <w:bidi w:val="0"/>
        <w:spacing w:before="0" w:after="180" w:line="410" w:lineRule="exact"/>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13"/>
      <w:bookmarkEnd w:id="714"/>
      <w:bookmarkEnd w:id="716"/>
    </w:p>
    <w:p>
      <w:pPr>
        <w:pStyle w:val="Style36"/>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包括在内。当购建或者生产符合资本化条件的资产达到预定可使用或者可销售状态时，借款费用停止资本 化。当购建或者生产符合资本化条件的资产中部分项目分别完工且可单独使用时，该部分资产借款费用停 止资本化。购建或者生产的资产的各部分分别完工，但必须等到整体完工后才可使用或可对外销售的，在 该资产整体完工时停止借款费用资本化。</w:t>
      </w:r>
    </w:p>
    <w:p>
      <w:pPr>
        <w:pStyle w:val="Style39"/>
        <w:keepNext/>
        <w:keepLines/>
        <w:widowControl w:val="0"/>
        <w:shd w:val="clear" w:color="auto" w:fill="auto"/>
        <w:tabs>
          <w:tab w:pos="493" w:val="left"/>
        </w:tabs>
        <w:bidi w:val="0"/>
        <w:spacing w:before="0" w:after="180" w:line="410" w:lineRule="exact"/>
        <w:ind w:left="0" w:right="0" w:firstLine="0"/>
        <w:jc w:val="both"/>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17"/>
      <w:bookmarkEnd w:id="718"/>
      <w:bookmarkEnd w:id="720"/>
    </w:p>
    <w:p>
      <w:pPr>
        <w:pStyle w:val="Style36"/>
        <w:keepNext w:val="0"/>
        <w:keepLines w:val="0"/>
        <w:widowControl w:val="0"/>
        <w:shd w:val="clear" w:color="auto" w:fill="auto"/>
        <w:bidi w:val="0"/>
        <w:spacing w:before="0" w:after="300" w:line="414"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9"/>
        <w:keepNext/>
        <w:keepLines/>
        <w:widowControl w:val="0"/>
        <w:shd w:val="clear" w:color="auto" w:fill="auto"/>
        <w:tabs>
          <w:tab w:pos="493" w:val="left"/>
        </w:tabs>
        <w:bidi w:val="0"/>
        <w:spacing w:before="0" w:after="180" w:line="410"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21"/>
      <w:bookmarkEnd w:id="722"/>
      <w:bookmarkEnd w:id="724"/>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6"/>
        <w:keepNext w:val="0"/>
        <w:keepLines w:val="0"/>
        <w:widowControl w:val="0"/>
        <w:shd w:val="clear" w:color="auto" w:fill="auto"/>
        <w:bidi w:val="0"/>
        <w:spacing w:before="0" w:after="180" w:line="407" w:lineRule="exact"/>
        <w:ind w:left="0" w:right="0" w:firstLine="440"/>
        <w:jc w:val="both"/>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044" w:right="999" w:bottom="1171" w:left="1065" w:header="0" w:footer="3" w:gutter="0"/>
          <w:cols w:space="720"/>
          <w:noEndnote/>
          <w:rtlGutter w:val="0"/>
          <w:docGrid w:linePitch="360"/>
        </w:sectPr>
      </w:pPr>
      <w:r>
        <w:rPr>
          <w:color w:val="000000"/>
          <w:spacing w:val="0"/>
          <w:w w:val="100"/>
          <w:position w:val="0"/>
        </w:rPr>
        <w:t>借款存在折价或者溢价的，按照实际利率法确定每一会计期间应摊销的折价或者溢价金额，调整每期 利息金额。</w:t>
      </w:r>
    </w:p>
    <w:p>
      <w:pPr>
        <w:pStyle w:val="Style39"/>
        <w:keepNext/>
        <w:keepLines/>
        <w:widowControl w:val="0"/>
        <w:shd w:val="clear" w:color="auto" w:fill="auto"/>
        <w:bidi w:val="0"/>
        <w:spacing w:before="0" w:line="240" w:lineRule="auto"/>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725"/>
      <w:bookmarkEnd w:id="726"/>
      <w:bookmarkEnd w:id="728"/>
    </w:p>
    <w:p>
      <w:pPr>
        <w:pStyle w:val="Style39"/>
        <w:keepNext/>
        <w:keepLines/>
        <w:widowControl w:val="0"/>
        <w:shd w:val="clear" w:color="auto" w:fill="auto"/>
        <w:tabs>
          <w:tab w:pos="493" w:val="left"/>
        </w:tabs>
        <w:bidi w:val="0"/>
        <w:spacing w:before="0" w:line="240" w:lineRule="auto"/>
        <w:ind w:left="0" w:right="0" w:firstLine="0"/>
        <w:jc w:val="both"/>
      </w:pPr>
      <w:bookmarkStart w:id="725" w:name="bookmark725"/>
      <w:bookmarkStart w:id="726" w:name="bookmark726"/>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725"/>
      <w:bookmarkEnd w:id="726"/>
      <w:bookmarkEnd w:id="730"/>
    </w:p>
    <w:p>
      <w:pPr>
        <w:pStyle w:val="Style3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无形资产指企业拥有或控制的没有实物形态的可辨认非货币性资产，包括专有技术、土地使用权等。</w:t>
      </w:r>
    </w:p>
    <w:p>
      <w:pPr>
        <w:pStyle w:val="Style3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无形资产在取得时按照实际成本计价。</w:t>
      </w:r>
    </w:p>
    <w:p>
      <w:pPr>
        <w:pStyle w:val="Style39"/>
        <w:keepNext/>
        <w:keepLines/>
        <w:widowControl w:val="0"/>
        <w:shd w:val="clear" w:color="auto" w:fill="auto"/>
        <w:tabs>
          <w:tab w:pos="493" w:val="left"/>
        </w:tabs>
        <w:bidi w:val="0"/>
        <w:spacing w:before="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31"/>
      <w:bookmarkEnd w:id="732"/>
      <w:bookmarkEnd w:id="734"/>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对使用寿命确定的无形资产，自无形资产可供使用时起，在使用寿命内采用直线法摊销，计入当期损益。</w:t>
      </w:r>
    </w:p>
    <w:tbl>
      <w:tblPr>
        <w:tblOverlap w:val="never"/>
        <w:jc w:val="center"/>
        <w:tblLayout w:type="fixed"/>
      </w:tblPr>
      <w:tblGrid>
        <w:gridCol w:w="2290"/>
        <w:gridCol w:w="2227"/>
        <w:gridCol w:w="50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9"/>
        <w:keepNext/>
        <w:keepLines/>
        <w:widowControl w:val="0"/>
        <w:shd w:val="clear" w:color="auto" w:fill="auto"/>
        <w:tabs>
          <w:tab w:pos="493" w:val="left"/>
        </w:tabs>
        <w:bidi w:val="0"/>
        <w:spacing w:before="0" w:line="412" w:lineRule="exact"/>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35"/>
      <w:bookmarkEnd w:id="736"/>
      <w:bookmarkEnd w:id="738"/>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after="180" w:line="412"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39"/>
      <w:bookmarkEnd w:id="740"/>
      <w:bookmarkEnd w:id="742"/>
    </w:p>
    <w:p>
      <w:pPr>
        <w:pStyle w:val="Style3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期末检查各项无形资产预计给本公司带来未来经济利益的能力，当存在以下情形之一时：</w:t>
      </w:r>
    </w:p>
    <w:p>
      <w:pPr>
        <w:pStyle w:val="Style36"/>
        <w:keepNext w:val="0"/>
        <w:keepLines w:val="0"/>
        <w:widowControl w:val="0"/>
        <w:shd w:val="clear" w:color="auto" w:fill="auto"/>
        <w:tabs>
          <w:tab w:pos="808" w:val="left"/>
        </w:tabs>
        <w:bidi w:val="0"/>
        <w:spacing w:before="0" w:after="0" w:line="410" w:lineRule="exact"/>
        <w:ind w:left="0" w:right="0" w:firstLine="440"/>
        <w:jc w:val="left"/>
      </w:pPr>
      <w:bookmarkStart w:id="743" w:name="bookmark743"/>
      <w:r>
        <w:rPr>
          <w:color w:val="000000"/>
          <w:spacing w:val="0"/>
          <w:w w:val="100"/>
          <w:position w:val="0"/>
        </w:rPr>
        <w:t>a</w:t>
      </w:r>
      <w:bookmarkEnd w:id="743"/>
      <w:r>
        <w:rPr>
          <w:color w:val="000000"/>
          <w:spacing w:val="0"/>
          <w:w w:val="100"/>
          <w:position w:val="0"/>
        </w:rPr>
        <w:t>、</w:t>
        <w:tab/>
      </w:r>
      <w:r>
        <w:rPr>
          <w:color w:val="000000"/>
          <w:spacing w:val="0"/>
          <w:w w:val="100"/>
          <w:position w:val="0"/>
        </w:rPr>
        <w:t>某项无形资产已被其他新技术等所替代，使其为企业创造经济利益的能力受到重大不利影响；</w:t>
      </w:r>
    </w:p>
    <w:p>
      <w:pPr>
        <w:pStyle w:val="Style36"/>
        <w:keepNext w:val="0"/>
        <w:keepLines w:val="0"/>
        <w:widowControl w:val="0"/>
        <w:shd w:val="clear" w:color="auto" w:fill="auto"/>
        <w:tabs>
          <w:tab w:pos="808" w:val="left"/>
        </w:tabs>
        <w:bidi w:val="0"/>
        <w:spacing w:before="0" w:after="0" w:line="410" w:lineRule="exact"/>
        <w:ind w:left="0" w:right="0" w:firstLine="440"/>
        <w:jc w:val="left"/>
      </w:pPr>
      <w:bookmarkStart w:id="744" w:name="bookmark744"/>
      <w:r>
        <w:rPr>
          <w:color w:val="000000"/>
          <w:spacing w:val="0"/>
          <w:w w:val="100"/>
          <w:position w:val="0"/>
        </w:rPr>
        <w:t>b</w:t>
      </w:r>
      <w:bookmarkEnd w:id="744"/>
      <w:r>
        <w:rPr>
          <w:color w:val="000000"/>
          <w:spacing w:val="0"/>
          <w:w w:val="100"/>
          <w:position w:val="0"/>
        </w:rPr>
        <w:t>、</w:t>
        <w:tab/>
      </w:r>
      <w:r>
        <w:rPr>
          <w:color w:val="000000"/>
          <w:spacing w:val="0"/>
          <w:w w:val="100"/>
          <w:position w:val="0"/>
        </w:rPr>
        <w:t>某项无形资产的市价在当期大幅下跌，在剩余摊销年限内预期不会恢复；</w:t>
      </w:r>
    </w:p>
    <w:p>
      <w:pPr>
        <w:pStyle w:val="Style36"/>
        <w:keepNext w:val="0"/>
        <w:keepLines w:val="0"/>
        <w:widowControl w:val="0"/>
        <w:shd w:val="clear" w:color="auto" w:fill="auto"/>
        <w:tabs>
          <w:tab w:pos="795" w:val="left"/>
        </w:tabs>
        <w:bidi w:val="0"/>
        <w:spacing w:before="0" w:after="0" w:line="410" w:lineRule="exact"/>
        <w:ind w:left="0" w:right="0" w:firstLine="440"/>
        <w:jc w:val="left"/>
      </w:pPr>
      <w:bookmarkStart w:id="745" w:name="bookmark745"/>
      <w:r>
        <w:rPr>
          <w:color w:val="000000"/>
          <w:spacing w:val="0"/>
          <w:w w:val="100"/>
          <w:position w:val="0"/>
        </w:rPr>
        <w:t>c</w:t>
      </w:r>
      <w:bookmarkEnd w:id="745"/>
      <w:r>
        <w:rPr>
          <w:color w:val="000000"/>
          <w:spacing w:val="0"/>
          <w:w w:val="100"/>
          <w:position w:val="0"/>
        </w:rPr>
        <w:t>、</w:t>
        <w:tab/>
      </w:r>
      <w:r>
        <w:rPr>
          <w:color w:val="000000"/>
          <w:spacing w:val="0"/>
          <w:w w:val="100"/>
          <w:position w:val="0"/>
        </w:rPr>
        <w:t>某项无形资产已超过法律保护期限，但仍然具有部分使用价值等减值迹象的，则估计其可收回金 额。可收回金额的计量结果表明，无形资产的可收回金额低于其账面价值的，将无形资产的账面价值减记 至可收回金额，减记的金额确认为资产减值损失，计入当期损益，同时计提相应的无形资产减值准备；</w:t>
      </w:r>
    </w:p>
    <w:p>
      <w:pPr>
        <w:pStyle w:val="Style36"/>
        <w:keepNext w:val="0"/>
        <w:keepLines w:val="0"/>
        <w:widowControl w:val="0"/>
        <w:shd w:val="clear" w:color="auto" w:fill="auto"/>
        <w:tabs>
          <w:tab w:pos="795" w:val="left"/>
        </w:tabs>
        <w:bidi w:val="0"/>
        <w:spacing w:before="0" w:after="360" w:line="422" w:lineRule="exact"/>
        <w:ind w:left="0" w:right="0" w:firstLine="440"/>
        <w:jc w:val="left"/>
      </w:pPr>
      <w:bookmarkStart w:id="746" w:name="bookmark746"/>
      <w:r>
        <w:rPr>
          <w:color w:val="000000"/>
          <w:spacing w:val="0"/>
          <w:w w:val="100"/>
          <w:position w:val="0"/>
        </w:rPr>
        <w:t>d</w:t>
      </w:r>
      <w:bookmarkEnd w:id="746"/>
      <w:r>
        <w:rPr>
          <w:color w:val="000000"/>
          <w:spacing w:val="0"/>
          <w:w w:val="100"/>
          <w:position w:val="0"/>
        </w:rPr>
        <w:t>、</w:t>
        <w:tab/>
      </w:r>
      <w:r>
        <w:rPr>
          <w:color w:val="000000"/>
          <w:spacing w:val="0"/>
          <w:w w:val="100"/>
          <w:position w:val="0"/>
        </w:rPr>
        <w:t>其他足以证明某项无形资产实质上已发生了减值准备情形的情况，按预计可收回金额低于账面价 值的差额计提无形资产减值准备。无形资产减值损失一经确认，在以后会计期间不再转回。</w:t>
      </w:r>
    </w:p>
    <w:p>
      <w:pPr>
        <w:pStyle w:val="Style39"/>
        <w:keepNext/>
        <w:keepLines/>
        <w:widowControl w:val="0"/>
        <w:shd w:val="clear" w:color="auto" w:fill="auto"/>
        <w:tabs>
          <w:tab w:pos="493" w:val="left"/>
        </w:tabs>
        <w:bidi w:val="0"/>
        <w:spacing w:before="0" w:after="180" w:line="412" w:lineRule="exact"/>
        <w:ind w:left="0" w:right="0" w:firstLine="0"/>
        <w:jc w:val="left"/>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47"/>
      <w:bookmarkEnd w:id="748"/>
      <w:bookmarkEnd w:id="750"/>
    </w:p>
    <w:p>
      <w:pPr>
        <w:pStyle w:val="Style3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36"/>
        <w:keepNext w:val="0"/>
        <w:keepLines w:val="0"/>
        <w:widowControl w:val="0"/>
        <w:shd w:val="clear" w:color="auto" w:fill="auto"/>
        <w:bidi w:val="0"/>
        <w:spacing w:before="0" w:after="620" w:line="413" w:lineRule="exact"/>
        <w:ind w:left="0" w:right="0" w:firstLine="440"/>
        <w:jc w:val="left"/>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9"/>
        <w:keepNext/>
        <w:keepLines/>
        <w:widowControl w:val="0"/>
        <w:shd w:val="clear" w:color="auto" w:fill="auto"/>
        <w:tabs>
          <w:tab w:pos="493" w:val="left"/>
        </w:tabs>
        <w:bidi w:val="0"/>
        <w:spacing w:before="0" w:after="180" w:line="412" w:lineRule="exact"/>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51"/>
      <w:bookmarkEnd w:id="752"/>
      <w:bookmarkEnd w:id="754"/>
    </w:p>
    <w:p>
      <w:pPr>
        <w:pStyle w:val="Style36"/>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内部研究开发项目研究阶段的支出，在发生时计入当期损益。</w:t>
      </w:r>
    </w:p>
    <w:p>
      <w:pPr>
        <w:pStyle w:val="Style36"/>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内部研究开发项目开发阶段的支出，同时满足下列条件时确认为无形资产：</w:t>
      </w:r>
    </w:p>
    <w:p>
      <w:pPr>
        <w:pStyle w:val="Style36"/>
        <w:keepNext w:val="0"/>
        <w:keepLines w:val="0"/>
        <w:widowControl w:val="0"/>
        <w:shd w:val="clear" w:color="auto" w:fill="auto"/>
        <w:bidi w:val="0"/>
        <w:spacing w:before="0" w:after="180" w:line="412" w:lineRule="exact"/>
        <w:ind w:left="0" w:right="0" w:firstLine="440"/>
        <w:jc w:val="left"/>
      </w:pPr>
      <w:bookmarkStart w:id="755" w:name="bookmark755"/>
      <w:r>
        <w:rPr>
          <w:color w:val="000000"/>
          <w:spacing w:val="0"/>
          <w:w w:val="100"/>
          <w:position w:val="0"/>
        </w:rPr>
        <w:t>（</w:t>
      </w:r>
      <w:bookmarkEnd w:id="755"/>
      <w:r>
        <w:rPr>
          <w:color w:val="000000"/>
          <w:spacing w:val="0"/>
          <w:w w:val="100"/>
          <w:position w:val="0"/>
        </w:rPr>
        <w:t>1）</w:t>
      </w:r>
      <w:r>
        <w:rPr>
          <w:color w:val="000000"/>
          <w:spacing w:val="0"/>
          <w:w w:val="100"/>
          <w:position w:val="0"/>
        </w:rPr>
        <w:t>完成该无形资产以使其能够使用或出售在技术上具有可行性；</w:t>
      </w:r>
    </w:p>
    <w:p>
      <w:pPr>
        <w:pStyle w:val="Style76"/>
        <w:keepNext w:val="0"/>
        <w:keepLines w:val="0"/>
        <w:widowControl w:val="0"/>
        <w:shd w:val="clear" w:color="auto" w:fill="auto"/>
        <w:tabs>
          <w:tab w:pos="3830" w:val="left"/>
        </w:tabs>
        <w:bidi w:val="0"/>
        <w:spacing w:before="0" w:after="260" w:line="240" w:lineRule="auto"/>
        <w:ind w:left="0" w:right="0" w:firstLine="0"/>
        <w:jc w:val="right"/>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044" w:right="999" w:bottom="1171" w:left="1065" w:header="0" w:footer="743" w:gutter="0"/>
          <w:pgNumType w:start="87"/>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86</w:t>
        <w:tab/>
      </w:r>
      <w:r>
        <w:rPr>
          <w:spacing w:val="0"/>
          <w:w w:val="100"/>
          <w:position w:val="0"/>
        </w:rPr>
        <w:t>cnini</w:t>
      </w:r>
      <w:r>
        <w:rPr>
          <w:spacing w:val="0"/>
          <w:w w:val="100"/>
          <w:position w:val="0"/>
        </w:rPr>
        <w:t>«</w:t>
      </w:r>
    </w:p>
    <w:p>
      <w:pPr>
        <w:pStyle w:val="Style36"/>
        <w:keepNext w:val="0"/>
        <w:keepLines w:val="0"/>
        <w:widowControl w:val="0"/>
        <w:shd w:val="clear" w:color="auto" w:fill="auto"/>
        <w:tabs>
          <w:tab w:pos="947" w:val="left"/>
        </w:tabs>
        <w:bidi w:val="0"/>
        <w:spacing w:before="0" w:after="0" w:line="427" w:lineRule="exact"/>
        <w:ind w:left="0" w:right="0" w:firstLine="440"/>
        <w:jc w:val="both"/>
      </w:pPr>
      <w:bookmarkStart w:id="756" w:name="bookmark756"/>
      <w:r>
        <w:rPr>
          <w:color w:val="000000"/>
          <w:spacing w:val="0"/>
          <w:w w:val="100"/>
          <w:position w:val="0"/>
        </w:rPr>
        <w:t>（</w:t>
      </w:r>
      <w:bookmarkEnd w:id="756"/>
      <w:r>
        <w:rPr>
          <w:color w:val="000000"/>
          <w:spacing w:val="0"/>
          <w:w w:val="100"/>
          <w:position w:val="0"/>
        </w:rPr>
        <w:t>2）</w:t>
        <w:tab/>
      </w:r>
      <w:r>
        <w:rPr>
          <w:color w:val="000000"/>
          <w:spacing w:val="0"/>
          <w:w w:val="100"/>
          <w:position w:val="0"/>
        </w:rPr>
        <w:t>具有完成该无形资产并使用或出售的意图；</w:t>
      </w:r>
    </w:p>
    <w:p>
      <w:pPr>
        <w:pStyle w:val="Style36"/>
        <w:keepNext w:val="0"/>
        <w:keepLines w:val="0"/>
        <w:widowControl w:val="0"/>
        <w:shd w:val="clear" w:color="auto" w:fill="auto"/>
        <w:tabs>
          <w:tab w:pos="969" w:val="left"/>
        </w:tabs>
        <w:bidi w:val="0"/>
        <w:spacing w:before="0" w:after="0" w:line="427" w:lineRule="exact"/>
        <w:ind w:left="0" w:right="0" w:firstLine="440"/>
        <w:jc w:val="both"/>
      </w:pPr>
      <w:bookmarkStart w:id="757" w:name="bookmark757"/>
      <w:r>
        <w:rPr>
          <w:color w:val="000000"/>
          <w:spacing w:val="0"/>
          <w:w w:val="100"/>
          <w:position w:val="0"/>
        </w:rPr>
        <w:t>（</w:t>
      </w:r>
      <w:bookmarkEnd w:id="757"/>
      <w:r>
        <w:rPr>
          <w:color w:val="000000"/>
          <w:spacing w:val="0"/>
          <w:w w:val="100"/>
          <w:position w:val="0"/>
        </w:rPr>
        <w:t>3）</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6"/>
        <w:keepNext w:val="0"/>
        <w:keepLines w:val="0"/>
        <w:widowControl w:val="0"/>
        <w:shd w:val="clear" w:color="auto" w:fill="auto"/>
        <w:tabs>
          <w:tab w:pos="1002" w:val="left"/>
        </w:tabs>
        <w:bidi w:val="0"/>
        <w:spacing w:before="0" w:after="0" w:line="408" w:lineRule="exact"/>
        <w:ind w:left="0" w:right="0" w:firstLine="440"/>
        <w:jc w:val="both"/>
      </w:pPr>
      <w:bookmarkStart w:id="758" w:name="bookmark758"/>
      <w:r>
        <w:rPr>
          <w:color w:val="000000"/>
          <w:spacing w:val="0"/>
          <w:w w:val="100"/>
          <w:position w:val="0"/>
        </w:rPr>
        <w:t>（</w:t>
      </w:r>
      <w:bookmarkEnd w:id="758"/>
      <w:r>
        <w:rPr>
          <w:color w:val="000000"/>
          <w:spacing w:val="0"/>
          <w:w w:val="100"/>
          <w:position w:val="0"/>
        </w:rPr>
        <w:t>4）</w:t>
        <w:tab/>
      </w:r>
      <w:r>
        <w:rPr>
          <w:color w:val="000000"/>
          <w:spacing w:val="0"/>
          <w:w w:val="100"/>
          <w:position w:val="0"/>
        </w:rPr>
        <w:t>有足够的技术、财务资源和其他资源支持，以完成该无形资产的开发，并有能力使用或出售该 无形资产；</w:t>
      </w:r>
    </w:p>
    <w:p>
      <w:pPr>
        <w:pStyle w:val="Style36"/>
        <w:keepNext w:val="0"/>
        <w:keepLines w:val="0"/>
        <w:widowControl w:val="0"/>
        <w:shd w:val="clear" w:color="auto" w:fill="auto"/>
        <w:tabs>
          <w:tab w:pos="947" w:val="left"/>
        </w:tabs>
        <w:bidi w:val="0"/>
        <w:spacing w:before="0" w:after="320" w:line="408" w:lineRule="exact"/>
        <w:ind w:left="0" w:right="0" w:firstLine="440"/>
        <w:jc w:val="both"/>
      </w:pPr>
      <w:bookmarkStart w:id="759" w:name="bookmark759"/>
      <w:r>
        <w:rPr>
          <w:color w:val="000000"/>
          <w:spacing w:val="0"/>
          <w:w w:val="100"/>
          <w:position w:val="0"/>
        </w:rPr>
        <w:t>（</w:t>
      </w:r>
      <w:bookmarkEnd w:id="759"/>
      <w:r>
        <w:rPr>
          <w:color w:val="000000"/>
          <w:spacing w:val="0"/>
          <w:w w:val="100"/>
          <w:position w:val="0"/>
        </w:rPr>
        <w:t>5）</w:t>
        <w:tab/>
      </w:r>
      <w:r>
        <w:rPr>
          <w:color w:val="000000"/>
          <w:spacing w:val="0"/>
          <w:w w:val="100"/>
          <w:position w:val="0"/>
        </w:rPr>
        <w:t>归属于该无形资产开发阶段的支出能够可靠地计量。</w:t>
      </w:r>
    </w:p>
    <w:p>
      <w:pPr>
        <w:pStyle w:val="Style39"/>
        <w:keepNext/>
        <w:keepLines/>
        <w:widowControl w:val="0"/>
        <w:shd w:val="clear" w:color="auto" w:fill="auto"/>
        <w:tabs>
          <w:tab w:pos="460" w:val="left"/>
        </w:tabs>
        <w:bidi w:val="0"/>
        <w:spacing w:before="0" w:after="180" w:line="408" w:lineRule="exact"/>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760"/>
      <w:bookmarkEnd w:id="761"/>
      <w:bookmarkEnd w:id="763"/>
    </w:p>
    <w:p>
      <w:pPr>
        <w:pStyle w:val="Style36"/>
        <w:keepNext w:val="0"/>
        <w:keepLines w:val="0"/>
        <w:widowControl w:val="0"/>
        <w:shd w:val="clear" w:color="auto" w:fill="auto"/>
        <w:tabs>
          <w:tab w:pos="947" w:val="left"/>
        </w:tabs>
        <w:bidi w:val="0"/>
        <w:spacing w:before="0" w:after="0" w:line="408" w:lineRule="exact"/>
        <w:ind w:left="0" w:right="0" w:firstLine="440"/>
        <w:jc w:val="both"/>
      </w:pPr>
      <w:bookmarkStart w:id="764" w:name="bookmark764"/>
      <w:r>
        <w:rPr>
          <w:color w:val="000000"/>
          <w:spacing w:val="0"/>
          <w:w w:val="100"/>
          <w:position w:val="0"/>
        </w:rPr>
        <w:t>（</w:t>
      </w:r>
      <w:bookmarkEnd w:id="764"/>
      <w:r>
        <w:rPr>
          <w:color w:val="000000"/>
          <w:spacing w:val="0"/>
          <w:w w:val="100"/>
          <w:position w:val="0"/>
        </w:rPr>
        <w:t>1）</w:t>
        <w:tab/>
      </w:r>
      <w:r>
        <w:rPr>
          <w:color w:val="000000"/>
          <w:spacing w:val="0"/>
          <w:w w:val="100"/>
          <w:position w:val="0"/>
        </w:rPr>
        <w:t>长期待摊费用指应由本期和以后各期负担的分摊期限在一年以上的各项费用。</w:t>
      </w:r>
    </w:p>
    <w:p>
      <w:pPr>
        <w:pStyle w:val="Style36"/>
        <w:keepNext w:val="0"/>
        <w:keepLines w:val="0"/>
        <w:widowControl w:val="0"/>
        <w:shd w:val="clear" w:color="auto" w:fill="auto"/>
        <w:tabs>
          <w:tab w:pos="1007" w:val="left"/>
        </w:tabs>
        <w:bidi w:val="0"/>
        <w:spacing w:before="0" w:after="320" w:line="418" w:lineRule="exact"/>
        <w:ind w:left="0" w:right="0" w:firstLine="440"/>
        <w:jc w:val="both"/>
      </w:pPr>
      <w:bookmarkStart w:id="765" w:name="bookmark765"/>
      <w:r>
        <w:rPr>
          <w:color w:val="000000"/>
          <w:spacing w:val="0"/>
          <w:w w:val="100"/>
          <w:position w:val="0"/>
        </w:rPr>
        <w:t>（</w:t>
      </w:r>
      <w:bookmarkEnd w:id="765"/>
      <w:r>
        <w:rPr>
          <w:color w:val="000000"/>
          <w:spacing w:val="0"/>
          <w:w w:val="100"/>
          <w:position w:val="0"/>
        </w:rPr>
        <w:t>2）</w:t>
        <w:tab/>
      </w:r>
      <w:r>
        <w:rPr>
          <w:color w:val="000000"/>
          <w:spacing w:val="0"/>
          <w:w w:val="100"/>
          <w:position w:val="0"/>
        </w:rPr>
        <w:t>长期待摊费用在取得时按照实际成本计价，开办费在发生时计入当期损益；经营性租赁固定资 产的装修费用在租赁期内平均摊销，其他长期待摊费用按项目的受益期平均摊销。对于在以后会计期间已 无法带来预期经济利益的长期待摊费用，本公司对其尚未摊销的摊余价值全部转入当期损益。</w:t>
      </w:r>
    </w:p>
    <w:p>
      <w:pPr>
        <w:pStyle w:val="Style39"/>
        <w:keepNext/>
        <w:keepLines/>
        <w:widowControl w:val="0"/>
        <w:shd w:val="clear" w:color="auto" w:fill="auto"/>
        <w:tabs>
          <w:tab w:pos="469" w:val="left"/>
        </w:tabs>
        <w:bidi w:val="0"/>
        <w:spacing w:before="0" w:after="180" w:line="408" w:lineRule="exact"/>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766"/>
      <w:bookmarkEnd w:id="767"/>
      <w:bookmarkEnd w:id="769"/>
    </w:p>
    <w:p>
      <w:pPr>
        <w:pStyle w:val="Style36"/>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预计负债是与或有事项相关的义务。或有事项指过去的交易或事项形成的一种状况，其结果须通过未 来不确定事项的发生或不发生予以证实。预计负债包括对外提供担保、商业承兑汇票贴现、未决诉讼、产 品质量保证、亏损合同及重组义务等很可能发生的负债。</w:t>
      </w:r>
    </w:p>
    <w:p>
      <w:pPr>
        <w:pStyle w:val="Style39"/>
        <w:keepNext/>
        <w:keepLines/>
        <w:widowControl w:val="0"/>
        <w:shd w:val="clear" w:color="auto" w:fill="auto"/>
        <w:bidi w:val="0"/>
        <w:spacing w:before="0" w:after="180" w:line="408" w:lineRule="exact"/>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770"/>
      <w:bookmarkEnd w:id="771"/>
      <w:bookmarkEnd w:id="773"/>
    </w:p>
    <w:p>
      <w:pPr>
        <w:pStyle w:val="Style3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预计负债的确认必须同时符合以下三个条件：</w:t>
      </w:r>
    </w:p>
    <w:p>
      <w:pPr>
        <w:pStyle w:val="Style36"/>
        <w:keepNext w:val="0"/>
        <w:keepLines w:val="0"/>
        <w:widowControl w:val="0"/>
        <w:shd w:val="clear" w:color="auto" w:fill="auto"/>
        <w:tabs>
          <w:tab w:pos="1098" w:val="left"/>
        </w:tabs>
        <w:bidi w:val="0"/>
        <w:spacing w:before="0" w:after="0" w:line="408" w:lineRule="exact"/>
        <w:ind w:left="0" w:right="0" w:firstLine="440"/>
        <w:jc w:val="both"/>
      </w:pPr>
      <w:bookmarkStart w:id="774" w:name="bookmark774"/>
      <w:r>
        <w:rPr>
          <w:color w:val="000000"/>
          <w:spacing w:val="0"/>
          <w:w w:val="100"/>
          <w:position w:val="0"/>
        </w:rPr>
        <w:t>（</w:t>
      </w:r>
      <w:bookmarkEnd w:id="774"/>
      <w:r>
        <w:rPr>
          <w:color w:val="000000"/>
          <w:spacing w:val="0"/>
          <w:w w:val="100"/>
          <w:position w:val="0"/>
        </w:rPr>
        <w:t>一）</w:t>
        <w:tab/>
        <w:t>该义务是企业承担的现时义务，指与或有事项有关的义务，为企业承担的现时义务而非潜在义 务；</w:t>
      </w:r>
    </w:p>
    <w:p>
      <w:pPr>
        <w:pStyle w:val="Style36"/>
        <w:keepNext w:val="0"/>
        <w:keepLines w:val="0"/>
        <w:widowControl w:val="0"/>
        <w:shd w:val="clear" w:color="auto" w:fill="auto"/>
        <w:tabs>
          <w:tab w:pos="1113" w:val="left"/>
        </w:tabs>
        <w:bidi w:val="0"/>
        <w:spacing w:before="0" w:after="0" w:line="408" w:lineRule="exact"/>
        <w:ind w:left="0" w:right="0" w:firstLine="440"/>
        <w:jc w:val="both"/>
      </w:pPr>
      <w:bookmarkStart w:id="775" w:name="bookmark775"/>
      <w:r>
        <w:rPr>
          <w:color w:val="000000"/>
          <w:spacing w:val="0"/>
          <w:w w:val="100"/>
          <w:position w:val="0"/>
        </w:rPr>
        <w:t>（</w:t>
      </w:r>
      <w:bookmarkEnd w:id="775"/>
      <w:r>
        <w:rPr>
          <w:color w:val="000000"/>
          <w:spacing w:val="0"/>
          <w:w w:val="100"/>
          <w:position w:val="0"/>
        </w:rPr>
        <w:t>二）</w:t>
        <w:tab/>
        <w:t>履行该义务很可能导致经济利益流出企业。履行与或有事项相关的现时义务导致经济利益流出 企业的可能性超过</w:t>
      </w:r>
      <w:r>
        <w:rPr>
          <w:color w:val="000000"/>
          <w:spacing w:val="0"/>
          <w:w w:val="100"/>
          <w:position w:val="0"/>
        </w:rPr>
        <w:t>50%</w:t>
      </w:r>
      <w:r>
        <w:rPr>
          <w:color w:val="000000"/>
          <w:spacing w:val="0"/>
          <w:w w:val="100"/>
          <w:position w:val="0"/>
        </w:rPr>
        <w:t>但小于或等于</w:t>
      </w:r>
      <w:r>
        <w:rPr>
          <w:color w:val="000000"/>
          <w:spacing w:val="0"/>
          <w:w w:val="100"/>
          <w:position w:val="0"/>
        </w:rPr>
        <w:t>95%</w:t>
      </w:r>
      <w:r>
        <w:rPr>
          <w:color w:val="000000"/>
          <w:spacing w:val="0"/>
          <w:w w:val="100"/>
          <w:position w:val="0"/>
        </w:rPr>
        <w:t>时，可以确认该预计负债。当事项发生的概率区间为大于</w:t>
      </w:r>
      <w:r>
        <w:rPr>
          <w:color w:val="000000"/>
          <w:spacing w:val="0"/>
          <w:w w:val="100"/>
          <w:position w:val="0"/>
        </w:rPr>
        <w:t>95%</w:t>
      </w:r>
      <w:r>
        <w:rPr>
          <w:color w:val="000000"/>
          <w:spacing w:val="0"/>
          <w:w w:val="100"/>
          <w:position w:val="0"/>
        </w:rPr>
        <w:t>但小 于</w:t>
      </w:r>
      <w:r>
        <w:rPr>
          <w:color w:val="000000"/>
          <w:spacing w:val="0"/>
          <w:w w:val="100"/>
          <w:position w:val="0"/>
        </w:rPr>
        <w:t>100%</w:t>
      </w:r>
      <w:r>
        <w:rPr>
          <w:color w:val="000000"/>
          <w:spacing w:val="0"/>
          <w:w w:val="100"/>
          <w:position w:val="0"/>
        </w:rPr>
        <w:t>时，将结果的可能性定义为“基本确定”；当事项发生的概率区间为大于</w:t>
      </w:r>
      <w:r>
        <w:rPr>
          <w:color w:val="000000"/>
          <w:spacing w:val="0"/>
          <w:w w:val="100"/>
          <w:position w:val="0"/>
        </w:rPr>
        <w:t>50%</w:t>
      </w:r>
      <w:r>
        <w:rPr>
          <w:color w:val="000000"/>
          <w:spacing w:val="0"/>
          <w:w w:val="100"/>
          <w:position w:val="0"/>
        </w:rPr>
        <w:t>但小于或等于</w:t>
      </w:r>
      <w:r>
        <w:rPr>
          <w:color w:val="000000"/>
          <w:spacing w:val="0"/>
          <w:w w:val="100"/>
          <w:position w:val="0"/>
        </w:rPr>
        <w:t>95%</w:t>
      </w:r>
      <w:r>
        <w:rPr>
          <w:color w:val="000000"/>
          <w:spacing w:val="0"/>
          <w:w w:val="100"/>
          <w:position w:val="0"/>
        </w:rPr>
        <w:t>时， 将结果的可能性定义为“很可能”；当事项发生的概率区间为大于</w:t>
      </w:r>
      <w:r>
        <w:rPr>
          <w:color w:val="000000"/>
          <w:spacing w:val="0"/>
          <w:w w:val="100"/>
          <w:position w:val="0"/>
        </w:rPr>
        <w:t>5%</w:t>
      </w:r>
      <w:r>
        <w:rPr>
          <w:color w:val="000000"/>
          <w:spacing w:val="0"/>
          <w:w w:val="100"/>
          <w:position w:val="0"/>
        </w:rPr>
        <w:t>但小于或等于</w:t>
      </w:r>
      <w:r>
        <w:rPr>
          <w:color w:val="000000"/>
          <w:spacing w:val="0"/>
          <w:w w:val="100"/>
          <w:position w:val="0"/>
        </w:rPr>
        <w:t>50%</w:t>
      </w:r>
      <w:r>
        <w:rPr>
          <w:color w:val="000000"/>
          <w:spacing w:val="0"/>
          <w:w w:val="100"/>
          <w:position w:val="0"/>
        </w:rPr>
        <w:t>时，将结果的可能 性定义为“可能”；当事项发生的概率区间为大于</w:t>
      </w:r>
      <w:r>
        <w:rPr>
          <w:color w:val="000000"/>
          <w:spacing w:val="0"/>
          <w:w w:val="100"/>
          <w:position w:val="0"/>
        </w:rPr>
        <w:t>0</w:t>
      </w:r>
      <w:r>
        <w:rPr>
          <w:color w:val="000000"/>
          <w:spacing w:val="0"/>
          <w:w w:val="100"/>
          <w:position w:val="0"/>
        </w:rPr>
        <w:t>但小于或等于</w:t>
      </w:r>
      <w:r>
        <w:rPr>
          <w:color w:val="000000"/>
          <w:spacing w:val="0"/>
          <w:w w:val="100"/>
          <w:position w:val="0"/>
        </w:rPr>
        <w:t>5%</w:t>
      </w:r>
      <w:r>
        <w:rPr>
          <w:color w:val="000000"/>
          <w:spacing w:val="0"/>
          <w:w w:val="100"/>
          <w:position w:val="0"/>
        </w:rPr>
        <w:t>时，将结果的可能性定义为“极小可 能”。</w:t>
      </w:r>
    </w:p>
    <w:p>
      <w:pPr>
        <w:pStyle w:val="Style36"/>
        <w:keepNext w:val="0"/>
        <w:keepLines w:val="0"/>
        <w:widowControl w:val="0"/>
        <w:shd w:val="clear" w:color="auto" w:fill="auto"/>
        <w:tabs>
          <w:tab w:pos="1117" w:val="left"/>
        </w:tabs>
        <w:bidi w:val="0"/>
        <w:spacing w:before="0" w:after="180" w:line="408"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三）</w:t>
        <w:tab/>
        <w:t>该义务的金额能够可靠地计量。预计负债应当按照履行相关现时义务所需支出的最佳估计数进 行初始计量。最佳估计数应根据不同的情况计算确定。如公司清偿预计负债所需支出全部或部分预期由第 三方补偿的，补偿金额在基本确定能够收到时作为资产单独确认，不得冲预计负债，且不应当超过预计负 债的账面价值。</w:t>
      </w:r>
    </w:p>
    <w:p>
      <w:pPr>
        <w:pStyle w:val="Style39"/>
        <w:keepNext/>
        <w:keepLines/>
        <w:widowControl w:val="0"/>
        <w:shd w:val="clear" w:color="auto" w:fill="auto"/>
        <w:bidi w:val="0"/>
        <w:spacing w:before="0" w:after="160" w:line="410" w:lineRule="exact"/>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777"/>
      <w:bookmarkEnd w:id="778"/>
      <w:bookmarkEnd w:id="780"/>
    </w:p>
    <w:p>
      <w:pPr>
        <w:pStyle w:val="Style36"/>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公司在资产负债表日对预计负债的账面价值进行复核，对有确凿证据表明预计负债金额不再反映真实 情况时，需按照当前情况下公司清理和赔偿支出的最佳估计数做出相应的调整。本公司清偿预计负债所需 支出全部或部分预期由第三方补偿的，补偿金额只有在基本确定能够收到时，才能作为资产单独确认，同 时对该项单独核算的资产确认的补偿金额不超过对应的预计负债的账面金额。</w:t>
      </w:r>
    </w:p>
    <w:p>
      <w:pPr>
        <w:pStyle w:val="Style39"/>
        <w:keepNext/>
        <w:keepLines/>
        <w:widowControl w:val="0"/>
        <w:shd w:val="clear" w:color="auto" w:fill="auto"/>
        <w:bidi w:val="0"/>
        <w:spacing w:before="0" w:after="200" w:line="410"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rFonts w:ascii="Times New Roman" w:eastAsia="Times New Roman" w:hAnsi="Times New Roman" w:cs="Times New Roman"/>
          <w:color w:val="000000"/>
          <w:spacing w:val="0"/>
          <w:w w:val="100"/>
          <w:position w:val="0"/>
        </w:rPr>
        <w:t>1</w:t>
      </w:r>
      <w:r>
        <w:rPr>
          <w:color w:val="000000"/>
          <w:spacing w:val="0"/>
          <w:w w:val="100"/>
          <w:position w:val="0"/>
        </w:rPr>
        <w:t>、股份支付及权益工具</w:t>
      </w:r>
      <w:bookmarkEnd w:id="781"/>
      <w:bookmarkEnd w:id="782"/>
      <w:bookmarkEnd w:id="784"/>
    </w:p>
    <w:p>
      <w:pPr>
        <w:pStyle w:val="Style39"/>
        <w:keepNext/>
        <w:keepLines/>
        <w:widowControl w:val="0"/>
        <w:shd w:val="clear" w:color="auto" w:fill="auto"/>
        <w:tabs>
          <w:tab w:pos="473" w:val="left"/>
        </w:tabs>
        <w:bidi w:val="0"/>
        <w:spacing w:before="0" w:after="160" w:line="410" w:lineRule="exact"/>
        <w:ind w:left="0" w:right="0" w:firstLine="0"/>
        <w:jc w:val="left"/>
      </w:pPr>
      <w:bookmarkStart w:id="781" w:name="bookmark781"/>
      <w:bookmarkStart w:id="782" w:name="bookmark782"/>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81"/>
      <w:bookmarkEnd w:id="782"/>
      <w:bookmarkEnd w:id="786"/>
    </w:p>
    <w:p>
      <w:pPr>
        <w:pStyle w:val="Style36"/>
        <w:keepNext w:val="0"/>
        <w:keepLines w:val="0"/>
        <w:widowControl w:val="0"/>
        <w:shd w:val="clear" w:color="auto" w:fill="auto"/>
        <w:bidi w:val="0"/>
        <w:spacing w:before="0" w:after="320" w:line="410" w:lineRule="exact"/>
        <w:ind w:left="0" w:right="0" w:firstLine="0"/>
        <w:jc w:val="left"/>
      </w:pPr>
      <w:r>
        <w:rPr>
          <w:color w:val="000000"/>
          <w:spacing w:val="0"/>
          <w:w w:val="100"/>
          <w:position w:val="0"/>
        </w:rPr>
        <w:t>本公司的股份支付为以权益结算的股份支付。</w:t>
      </w:r>
    </w:p>
    <w:p>
      <w:pPr>
        <w:pStyle w:val="Style39"/>
        <w:keepNext/>
        <w:keepLines/>
        <w:widowControl w:val="0"/>
        <w:shd w:val="clear" w:color="auto" w:fill="auto"/>
        <w:tabs>
          <w:tab w:pos="473" w:val="left"/>
        </w:tabs>
        <w:bidi w:val="0"/>
        <w:spacing w:before="0" w:after="160" w:line="410" w:lineRule="exact"/>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87"/>
      <w:bookmarkEnd w:id="788"/>
      <w:bookmarkEnd w:id="790"/>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a</w:t>
      </w:r>
      <w:r>
        <w:rPr>
          <w:color w:val="000000"/>
          <w:spacing w:val="0"/>
          <w:w w:val="100"/>
          <w:position w:val="0"/>
        </w:rPr>
        <w:t>、</w:t>
      </w:r>
      <w:r>
        <w:rPr>
          <w:color w:val="000000"/>
          <w:spacing w:val="0"/>
          <w:w w:val="100"/>
          <w:position w:val="0"/>
        </w:rPr>
        <w:t>期权的行权价格；</w:t>
      </w:r>
      <w:r>
        <w:rPr>
          <w:color w:val="000000"/>
          <w:spacing w:val="0"/>
          <w:w w:val="100"/>
          <w:position w:val="0"/>
        </w:rPr>
        <w:t>b</w:t>
      </w:r>
      <w:r>
        <w:rPr>
          <w:color w:val="000000"/>
          <w:spacing w:val="0"/>
          <w:w w:val="100"/>
          <w:position w:val="0"/>
        </w:rPr>
        <w:t>、</w:t>
      </w:r>
      <w:r>
        <w:rPr>
          <w:color w:val="000000"/>
          <w:spacing w:val="0"/>
          <w:w w:val="100"/>
          <w:position w:val="0"/>
        </w:rPr>
        <w:t>期权的有效期；</w:t>
      </w:r>
      <w:r>
        <w:rPr>
          <w:color w:val="000000"/>
          <w:spacing w:val="0"/>
          <w:w w:val="100"/>
          <w:position w:val="0"/>
        </w:rPr>
        <w:t>c</w:t>
      </w:r>
      <w:r>
        <w:rPr>
          <w:color w:val="000000"/>
          <w:spacing w:val="0"/>
          <w:w w:val="100"/>
          <w:position w:val="0"/>
        </w:rPr>
        <w:t>、</w:t>
      </w:r>
      <w:r>
        <w:rPr>
          <w:color w:val="000000"/>
          <w:spacing w:val="0"/>
          <w:w w:val="100"/>
          <w:position w:val="0"/>
        </w:rPr>
        <w:t>标的股份的现行价格；</w:t>
      </w:r>
      <w:r>
        <w:rPr>
          <w:color w:val="000000"/>
          <w:spacing w:val="0"/>
          <w:w w:val="100"/>
          <w:position w:val="0"/>
        </w:rPr>
        <w:t>d</w:t>
      </w:r>
      <w:r>
        <w:rPr>
          <w:color w:val="000000"/>
          <w:spacing w:val="0"/>
          <w:w w:val="100"/>
          <w:position w:val="0"/>
        </w:rPr>
        <w:t>、</w:t>
      </w:r>
      <w:r>
        <w:rPr>
          <w:color w:val="000000"/>
          <w:spacing w:val="0"/>
          <w:w w:val="100"/>
          <w:position w:val="0"/>
        </w:rPr>
        <w:t>股份预计波动率；</w:t>
      </w:r>
      <w:r>
        <w:rPr>
          <w:color w:val="000000"/>
          <w:spacing w:val="0"/>
          <w:w w:val="100"/>
          <w:position w:val="0"/>
        </w:rPr>
        <w:t>e</w:t>
      </w:r>
      <w:r>
        <w:rPr>
          <w:color w:val="000000"/>
          <w:spacing w:val="0"/>
          <w:w w:val="100"/>
          <w:position w:val="0"/>
        </w:rPr>
        <w:t>、</w:t>
      </w:r>
      <w:r>
        <w:rPr>
          <w:color w:val="000000"/>
          <w:spacing w:val="0"/>
          <w:w w:val="100"/>
          <w:position w:val="0"/>
        </w:rPr>
        <w:t>股份的 预计股利；</w:t>
      </w:r>
      <w:r>
        <w:rPr>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6"/>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9"/>
        <w:keepNext/>
        <w:keepLines/>
        <w:widowControl w:val="0"/>
        <w:shd w:val="clear" w:color="auto" w:fill="auto"/>
        <w:tabs>
          <w:tab w:pos="473" w:val="left"/>
        </w:tabs>
        <w:bidi w:val="0"/>
        <w:spacing w:before="0" w:after="160" w:line="410"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91"/>
      <w:bookmarkEnd w:id="792"/>
      <w:bookmarkEnd w:id="794"/>
    </w:p>
    <w:p>
      <w:pPr>
        <w:pStyle w:val="Style36"/>
        <w:keepNext w:val="0"/>
        <w:keepLines w:val="0"/>
        <w:widowControl w:val="0"/>
        <w:shd w:val="clear" w:color="auto" w:fill="auto"/>
        <w:bidi w:val="0"/>
        <w:spacing w:before="0" w:after="320" w:line="403" w:lineRule="exact"/>
        <w:ind w:left="0" w:right="0" w:firstLine="440"/>
        <w:jc w:val="both"/>
      </w:pPr>
      <w:r>
        <w:rPr>
          <w:color w:val="000000"/>
          <w:spacing w:val="0"/>
          <w:w w:val="100"/>
          <w:position w:val="0"/>
        </w:rPr>
        <w:t>等待期内每个资产负债表日，根据最新取得的可行权职工人数变动等后续信息作出最佳估计，修正计 权的权益工具数量。在可行权日，最终预计可行权权益工具的数量与实际可行权数量一致。</w:t>
      </w:r>
    </w:p>
    <w:p>
      <w:pPr>
        <w:pStyle w:val="Style39"/>
        <w:keepNext/>
        <w:keepLines/>
        <w:widowControl w:val="0"/>
        <w:shd w:val="clear" w:color="auto" w:fill="auto"/>
        <w:tabs>
          <w:tab w:pos="473" w:val="left"/>
        </w:tabs>
        <w:bidi w:val="0"/>
        <w:spacing w:before="0" w:after="160" w:line="410"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95"/>
      <w:bookmarkEnd w:id="796"/>
      <w:bookmarkEnd w:id="798"/>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36"/>
        <w:keepNext w:val="0"/>
        <w:keepLines w:val="0"/>
        <w:widowControl w:val="0"/>
        <w:shd w:val="clear" w:color="auto" w:fill="auto"/>
        <w:bidi w:val="0"/>
        <w:spacing w:before="0" w:after="180" w:line="410" w:lineRule="exact"/>
        <w:ind w:left="0" w:right="0" w:firstLine="440"/>
        <w:jc w:val="both"/>
        <w:sectPr>
          <w:headerReference w:type="default" r:id="rId215"/>
          <w:footerReference w:type="default" r:id="rId216"/>
          <w:headerReference w:type="even" r:id="rId217"/>
          <w:footerReference w:type="even" r:id="rId218"/>
          <w:headerReference w:type="first" r:id="rId219"/>
          <w:footerReference w:type="first" r:id="rId220"/>
          <w:footnotePr>
            <w:pos w:val="pageBottom"/>
            <w:numFmt w:val="decimal"/>
            <w:numRestart w:val="continuous"/>
          </w:footnotePr>
          <w:pgSz w:w="11900" w:h="16840"/>
          <w:pgMar w:top="1044" w:right="999" w:bottom="1171" w:left="1065" w:header="0" w:footer="3" w:gutter="0"/>
          <w:pgNumType w:start="87"/>
          <w:cols w:space="720"/>
          <w:noEndnote/>
          <w:titlePg/>
          <w:rtlGutter w:val="0"/>
          <w:docGrid w:linePitch="360"/>
        </w:sectPr>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9"/>
        <w:keepNext/>
        <w:keepLines/>
        <w:widowControl w:val="0"/>
        <w:shd w:val="clear" w:color="auto" w:fill="auto"/>
        <w:tabs>
          <w:tab w:pos="483" w:val="left"/>
        </w:tabs>
        <w:bidi w:val="0"/>
        <w:spacing w:before="0" w:after="180" w:line="408" w:lineRule="exact"/>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回购本公司股份</w:t>
      </w:r>
      <w:bookmarkEnd w:id="799"/>
      <w:bookmarkEnd w:id="800"/>
      <w:bookmarkEnd w:id="802"/>
    </w:p>
    <w:p>
      <w:pPr>
        <w:pStyle w:val="Style36"/>
        <w:keepNext w:val="0"/>
        <w:keepLines w:val="0"/>
        <w:widowControl w:val="0"/>
        <w:shd w:val="clear" w:color="auto" w:fill="auto"/>
        <w:bidi w:val="0"/>
        <w:spacing w:before="0" w:after="300" w:line="408"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180" w:line="408" w:lineRule="exact"/>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803"/>
      <w:bookmarkEnd w:id="804"/>
      <w:bookmarkEnd w:id="806"/>
    </w:p>
    <w:p>
      <w:pPr>
        <w:pStyle w:val="Style39"/>
        <w:keepNext/>
        <w:keepLines/>
        <w:widowControl w:val="0"/>
        <w:shd w:val="clear" w:color="auto" w:fill="auto"/>
        <w:tabs>
          <w:tab w:pos="493" w:val="left"/>
        </w:tabs>
        <w:bidi w:val="0"/>
        <w:spacing w:before="0" w:after="180" w:line="408" w:lineRule="exact"/>
        <w:ind w:left="0" w:right="0" w:firstLine="0"/>
        <w:jc w:val="left"/>
      </w:pPr>
      <w:bookmarkStart w:id="803" w:name="bookmark803"/>
      <w:bookmarkStart w:id="804" w:name="bookmark804"/>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03"/>
      <w:bookmarkEnd w:id="804"/>
      <w:bookmarkEnd w:id="808"/>
    </w:p>
    <w:p>
      <w:pPr>
        <w:pStyle w:val="Style36"/>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在已将商品所有权上的重要风险和报酬转移给购货方，本公司不再对该商品实施继续管理权和实际控 制权，相关的收入已经收到或取得了收款的凭据，并且与销售该商品的成本能够可靠的计量时，确认收入 的实现。主要交易方式的具体销售确认的时间为：</w:t>
      </w:r>
    </w:p>
    <w:p>
      <w:pPr>
        <w:pStyle w:val="Style36"/>
        <w:keepNext w:val="0"/>
        <w:keepLines w:val="0"/>
        <w:widowControl w:val="0"/>
        <w:shd w:val="clear" w:color="auto" w:fill="auto"/>
        <w:tabs>
          <w:tab w:pos="786" w:val="left"/>
        </w:tabs>
        <w:bidi w:val="0"/>
        <w:spacing w:before="0" w:after="0" w:line="427" w:lineRule="exact"/>
        <w:ind w:left="0" w:right="0" w:firstLine="440"/>
        <w:jc w:val="left"/>
      </w:pPr>
      <w:bookmarkStart w:id="809" w:name="bookmark809"/>
      <w:r>
        <w:rPr>
          <w:color w:val="000000"/>
          <w:spacing w:val="0"/>
          <w:w w:val="100"/>
          <w:position w:val="0"/>
        </w:rPr>
        <w:t>a</w:t>
      </w:r>
      <w:bookmarkEnd w:id="809"/>
      <w:r>
        <w:rPr>
          <w:color w:val="000000"/>
          <w:spacing w:val="0"/>
          <w:w w:val="100"/>
          <w:position w:val="0"/>
        </w:rPr>
        <w:t>、</w:t>
        <w:tab/>
      </w:r>
      <w:r>
        <w:rPr>
          <w:color w:val="000000"/>
          <w:spacing w:val="0"/>
          <w:w w:val="100"/>
          <w:position w:val="0"/>
        </w:rPr>
        <w:t>以离岸价</w:t>
      </w:r>
      <w:r>
        <w:rPr>
          <w:color w:val="000000"/>
          <w:spacing w:val="0"/>
          <w:w w:val="100"/>
          <w:position w:val="0"/>
        </w:rPr>
        <w:t>（FOB）</w:t>
      </w:r>
      <w:r>
        <w:rPr>
          <w:color w:val="000000"/>
          <w:spacing w:val="0"/>
          <w:w w:val="100"/>
          <w:position w:val="0"/>
        </w:rPr>
        <w:t>、</w:t>
      </w:r>
      <w:r>
        <w:rPr>
          <w:color w:val="000000"/>
          <w:spacing w:val="0"/>
          <w:w w:val="100"/>
          <w:position w:val="0"/>
        </w:rPr>
        <w:t>成本加运费</w:t>
      </w:r>
      <w:r>
        <w:rPr>
          <w:color w:val="000000"/>
          <w:spacing w:val="0"/>
          <w:w w:val="100"/>
          <w:position w:val="0"/>
        </w:rPr>
        <w:t>（CNF）</w:t>
      </w:r>
      <w:r>
        <w:rPr>
          <w:color w:val="000000"/>
          <w:spacing w:val="0"/>
          <w:w w:val="100"/>
          <w:position w:val="0"/>
        </w:rPr>
        <w:t>结算的出口销售，以在合同规定的装运港将货物装箱上船 并船只越过船舷时的时间为收入确认时点；</w:t>
      </w:r>
    </w:p>
    <w:p>
      <w:pPr>
        <w:pStyle w:val="Style36"/>
        <w:keepNext w:val="0"/>
        <w:keepLines w:val="0"/>
        <w:widowControl w:val="0"/>
        <w:shd w:val="clear" w:color="auto" w:fill="auto"/>
        <w:tabs>
          <w:tab w:pos="808" w:val="left"/>
        </w:tabs>
        <w:bidi w:val="0"/>
        <w:spacing w:before="0" w:after="0" w:line="408" w:lineRule="exact"/>
        <w:ind w:left="0" w:right="0" w:firstLine="440"/>
        <w:jc w:val="left"/>
      </w:pPr>
      <w:bookmarkStart w:id="810" w:name="bookmark810"/>
      <w:r>
        <w:rPr>
          <w:color w:val="000000"/>
          <w:spacing w:val="0"/>
          <w:w w:val="100"/>
          <w:position w:val="0"/>
        </w:rPr>
        <w:t>b</w:t>
      </w:r>
      <w:bookmarkEnd w:id="810"/>
      <w:r>
        <w:rPr>
          <w:color w:val="000000"/>
          <w:spacing w:val="0"/>
          <w:w w:val="100"/>
          <w:position w:val="0"/>
        </w:rPr>
        <w:t>、</w:t>
        <w:tab/>
      </w:r>
      <w:r>
        <w:rPr>
          <w:color w:val="000000"/>
          <w:spacing w:val="0"/>
          <w:w w:val="100"/>
          <w:position w:val="0"/>
        </w:rPr>
        <w:t>以到岸价</w:t>
      </w:r>
      <w:r>
        <w:rPr>
          <w:color w:val="000000"/>
          <w:spacing w:val="0"/>
          <w:w w:val="100"/>
          <w:position w:val="0"/>
        </w:rPr>
        <w:t>（CIF</w:t>
      </w:r>
      <w:r>
        <w:rPr>
          <w:color w:val="000000"/>
          <w:spacing w:val="0"/>
          <w:w w:val="100"/>
          <w:position w:val="0"/>
        </w:rPr>
        <w:t>）</w:t>
      </w:r>
      <w:r>
        <w:rPr>
          <w:color w:val="000000"/>
          <w:spacing w:val="0"/>
          <w:w w:val="100"/>
          <w:position w:val="0"/>
        </w:rPr>
        <w:t>结算的出口销售，以货物越过在合同规定的目的港的船舷的时间为收入确认时点；</w:t>
      </w:r>
    </w:p>
    <w:p>
      <w:pPr>
        <w:pStyle w:val="Style36"/>
        <w:keepNext w:val="0"/>
        <w:keepLines w:val="0"/>
        <w:widowControl w:val="0"/>
        <w:shd w:val="clear" w:color="auto" w:fill="auto"/>
        <w:tabs>
          <w:tab w:pos="808" w:val="left"/>
        </w:tabs>
        <w:bidi w:val="0"/>
        <w:spacing w:before="0" w:after="300" w:line="408" w:lineRule="exact"/>
        <w:ind w:left="0" w:right="0" w:firstLine="440"/>
        <w:jc w:val="left"/>
      </w:pPr>
      <w:bookmarkStart w:id="811" w:name="bookmark811"/>
      <w:r>
        <w:rPr>
          <w:color w:val="000000"/>
          <w:spacing w:val="0"/>
          <w:w w:val="100"/>
          <w:position w:val="0"/>
        </w:rPr>
        <w:t>c</w:t>
      </w:r>
      <w:bookmarkEnd w:id="811"/>
      <w:r>
        <w:rPr>
          <w:color w:val="000000"/>
          <w:spacing w:val="0"/>
          <w:w w:val="100"/>
          <w:position w:val="0"/>
        </w:rPr>
        <w:t>、</w:t>
        <w:tab/>
      </w:r>
      <w:r>
        <w:rPr>
          <w:color w:val="000000"/>
          <w:spacing w:val="0"/>
          <w:w w:val="100"/>
          <w:position w:val="0"/>
        </w:rPr>
        <w:t>国内销售部分按转移商品所有权凭证或交付实物的时间为收入确认时点。</w:t>
      </w:r>
    </w:p>
    <w:p>
      <w:pPr>
        <w:pStyle w:val="Style39"/>
        <w:keepNext/>
        <w:keepLines/>
        <w:widowControl w:val="0"/>
        <w:shd w:val="clear" w:color="auto" w:fill="auto"/>
        <w:tabs>
          <w:tab w:pos="493" w:val="left"/>
        </w:tabs>
        <w:bidi w:val="0"/>
        <w:spacing w:before="0" w:after="180" w:line="408" w:lineRule="exact"/>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12"/>
      <w:bookmarkEnd w:id="813"/>
      <w:bookmarkEnd w:id="815"/>
    </w:p>
    <w:p>
      <w:pPr>
        <w:pStyle w:val="Style3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让渡资产使用权收入包括利息收入和使用费收入等；</w:t>
      </w:r>
    </w:p>
    <w:p>
      <w:pPr>
        <w:pStyle w:val="Style36"/>
        <w:keepNext w:val="0"/>
        <w:keepLines w:val="0"/>
        <w:widowControl w:val="0"/>
        <w:shd w:val="clear" w:color="auto" w:fill="auto"/>
        <w:bidi w:val="0"/>
        <w:spacing w:before="0" w:after="620" w:line="413" w:lineRule="exact"/>
        <w:ind w:left="0" w:right="0" w:firstLine="440"/>
        <w:jc w:val="left"/>
      </w:pPr>
      <w:r>
        <w:rPr>
          <w:color w:val="000000"/>
          <w:spacing w:val="0"/>
          <w:w w:val="100"/>
          <w:position w:val="0"/>
        </w:rPr>
        <w:t>利息收入金额，按照他人使用本公司货币资金的时间和实际利率计算确定；使用费收入金额，按照有 关合同或协议约定的收费时间和方法计算确定。</w:t>
      </w:r>
    </w:p>
    <w:p>
      <w:pPr>
        <w:pStyle w:val="Style39"/>
        <w:keepNext/>
        <w:keepLines/>
        <w:widowControl w:val="0"/>
        <w:shd w:val="clear" w:color="auto" w:fill="auto"/>
        <w:tabs>
          <w:tab w:pos="493" w:val="left"/>
        </w:tabs>
        <w:bidi w:val="0"/>
        <w:spacing w:before="0" w:after="180" w:line="408" w:lineRule="exact"/>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16"/>
      <w:bookmarkEnd w:id="817"/>
      <w:bookmarkEnd w:id="819"/>
    </w:p>
    <w:p>
      <w:pPr>
        <w:pStyle w:val="Style36"/>
        <w:keepNext w:val="0"/>
        <w:keepLines w:val="0"/>
        <w:widowControl w:val="0"/>
        <w:shd w:val="clear" w:color="auto" w:fill="auto"/>
        <w:bidi w:val="0"/>
        <w:spacing w:before="0" w:after="620" w:line="408" w:lineRule="exact"/>
        <w:ind w:left="0" w:right="0" w:firstLine="440"/>
        <w:jc w:val="left"/>
      </w:pPr>
      <w:r>
        <w:rPr>
          <w:color w:val="000000"/>
          <w:spacing w:val="0"/>
          <w:w w:val="100"/>
          <w:position w:val="0"/>
        </w:rPr>
        <w:t>对在同一会计年度内开始并完成的劳务，于完成劳务时确认收入；如果劳务的开始和完成分属不同的 会计年度，则在提供劳务交易的结果能够可靠估计的情况下，于期末按完工百分比法确认相关的劳务收入。</w:t>
      </w:r>
    </w:p>
    <w:p>
      <w:pPr>
        <w:pStyle w:val="Style39"/>
        <w:keepNext/>
        <w:keepLines/>
        <w:widowControl w:val="0"/>
        <w:shd w:val="clear" w:color="auto" w:fill="auto"/>
        <w:tabs>
          <w:tab w:pos="493" w:val="left"/>
        </w:tabs>
        <w:bidi w:val="0"/>
        <w:spacing w:before="0" w:after="180" w:line="408"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20"/>
      <w:bookmarkEnd w:id="821"/>
      <w:bookmarkEnd w:id="823"/>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依据《企业会计准则一建造合同》的规定，本公司的建造合同收入确认原则为完工百分比法。完工百 分比法是指根据合同完工进度确认合同收入和费用的方法。具体原则为：</w:t>
      </w:r>
    </w:p>
    <w:p>
      <w:pPr>
        <w:pStyle w:val="Style36"/>
        <w:keepNext w:val="0"/>
        <w:keepLines w:val="0"/>
        <w:widowControl w:val="0"/>
        <w:shd w:val="clear" w:color="auto" w:fill="auto"/>
        <w:tabs>
          <w:tab w:pos="808" w:val="left"/>
        </w:tabs>
        <w:bidi w:val="0"/>
        <w:spacing w:before="0" w:after="0" w:line="408" w:lineRule="exact"/>
        <w:ind w:left="0" w:right="0" w:firstLine="440"/>
        <w:jc w:val="left"/>
      </w:pPr>
      <w:bookmarkStart w:id="824" w:name="bookmark824"/>
      <w:r>
        <w:rPr>
          <w:color w:val="000000"/>
          <w:spacing w:val="0"/>
          <w:w w:val="100"/>
          <w:position w:val="0"/>
        </w:rPr>
        <w:t>a</w:t>
      </w:r>
      <w:bookmarkEnd w:id="824"/>
      <w:r>
        <w:rPr>
          <w:color w:val="000000"/>
          <w:spacing w:val="0"/>
          <w:w w:val="100"/>
          <w:position w:val="0"/>
        </w:rPr>
        <w:t>、</w:t>
        <w:tab/>
      </w:r>
      <w:r>
        <w:rPr>
          <w:color w:val="000000"/>
          <w:spacing w:val="0"/>
          <w:w w:val="100"/>
          <w:position w:val="0"/>
        </w:rPr>
        <w:t>建造合同收入，按下列条件均能满足时按完工百分比法予以确认：</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合同总收入能够可靠地计量；</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与合同相关的经济利益很可能流入企业；</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实际发生的合同成本能够清楚地区分和可靠地计量；</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合同完工进度和为完成合同尚需发生的成本能够可靠地确定。</w:t>
      </w:r>
    </w:p>
    <w:p>
      <w:pPr>
        <w:pStyle w:val="Style36"/>
        <w:keepNext w:val="0"/>
        <w:keepLines w:val="0"/>
        <w:widowControl w:val="0"/>
        <w:shd w:val="clear" w:color="auto" w:fill="auto"/>
        <w:tabs>
          <w:tab w:pos="808" w:val="left"/>
        </w:tabs>
        <w:bidi w:val="0"/>
        <w:spacing w:before="0" w:after="180" w:line="408" w:lineRule="exact"/>
        <w:ind w:left="0" w:right="0" w:firstLine="440"/>
        <w:jc w:val="left"/>
      </w:pPr>
      <w:bookmarkStart w:id="825" w:name="bookmark825"/>
      <w:r>
        <w:rPr>
          <w:color w:val="000000"/>
          <w:spacing w:val="0"/>
          <w:w w:val="100"/>
          <w:position w:val="0"/>
        </w:rPr>
        <w:t>b</w:t>
      </w:r>
      <w:bookmarkEnd w:id="825"/>
      <w:r>
        <w:rPr>
          <w:color w:val="000000"/>
          <w:spacing w:val="0"/>
          <w:w w:val="100"/>
          <w:position w:val="0"/>
        </w:rPr>
        <w:t>、</w:t>
        <w:tab/>
      </w:r>
      <w:r>
        <w:rPr>
          <w:color w:val="000000"/>
          <w:spacing w:val="0"/>
          <w:w w:val="100"/>
          <w:position w:val="0"/>
        </w:rPr>
        <w:t>完工百分比计算办法和智能化工程收入确认原则</w:t>
      </w:r>
    </w:p>
    <w:p>
      <w:pPr>
        <w:pStyle w:val="Style36"/>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智能化工程的完工进度=已完成的合同工作量</w:t>
      </w:r>
      <w:r>
        <w:rPr>
          <w:color w:val="000000"/>
          <w:spacing w:val="0"/>
          <w:w w:val="100"/>
          <w:position w:val="0"/>
        </w:rPr>
        <w:t>/</w:t>
      </w:r>
      <w:r>
        <w:rPr>
          <w:color w:val="000000"/>
          <w:spacing w:val="0"/>
          <w:w w:val="100"/>
          <w:position w:val="0"/>
        </w:rPr>
        <w:t>合同预计总工作量</w:t>
      </w:r>
      <w:r>
        <w:rPr>
          <w:color w:val="000000"/>
          <w:spacing w:val="0"/>
          <w:w w:val="100"/>
          <w:position w:val="0"/>
        </w:rPr>
        <w:t>X100%</w:t>
      </w:r>
    </w:p>
    <w:p>
      <w:pPr>
        <w:pStyle w:val="Style36"/>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智能化工程项目已完成的工作量主要是以监理或甲方签字认可的工作量为依据来确认。</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智能化工程项目预计的总工作量根据智能化工程预算资料合理预计，智能化工程预算资料是由达实智 能工程预算部门按工程合同约定的工程材料和工程量等进行计算、编制。</w:t>
      </w:r>
    </w:p>
    <w:p>
      <w:pPr>
        <w:pStyle w:val="Style3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智能化工程收入确认原则：</w:t>
      </w:r>
    </w:p>
    <w:p>
      <w:pPr>
        <w:pStyle w:val="Style3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未完工智能化工程的工程收入=完工进度</w:t>
      </w:r>
      <w:r>
        <w:rPr>
          <w:color w:val="000000"/>
          <w:spacing w:val="0"/>
          <w:w w:val="100"/>
          <w:position w:val="0"/>
        </w:rPr>
        <w:t>X</w:t>
      </w:r>
      <w:r>
        <w:rPr>
          <w:color w:val="000000"/>
          <w:spacing w:val="0"/>
          <w:w w:val="100"/>
          <w:position w:val="0"/>
        </w:rPr>
        <w:t>合同总收入一以前会计年度累计已确认的工程收入</w:t>
      </w:r>
    </w:p>
    <w:p>
      <w:pPr>
        <w:pStyle w:val="Style36"/>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已完工未决算智能化工程的工程收入=合同总收入一以前会计年度累计已确认的工程收入</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已完工已决算智能化工程的工程收入=决算收入（或已全额结算收入）一以前会计年度累计已确认的 工程收入</w:t>
      </w:r>
    </w:p>
    <w:p>
      <w:pPr>
        <w:pStyle w:val="Style36"/>
        <w:keepNext w:val="0"/>
        <w:keepLines w:val="0"/>
        <w:widowControl w:val="0"/>
        <w:shd w:val="clear" w:color="auto" w:fill="auto"/>
        <w:tabs>
          <w:tab w:pos="761" w:val="left"/>
        </w:tabs>
        <w:bidi w:val="0"/>
        <w:spacing w:before="0" w:after="0" w:line="407" w:lineRule="exact"/>
        <w:ind w:left="0" w:right="0" w:firstLine="440"/>
        <w:jc w:val="both"/>
      </w:pPr>
      <w:bookmarkStart w:id="826" w:name="bookmark826"/>
      <w:r>
        <w:rPr>
          <w:color w:val="000000"/>
          <w:spacing w:val="0"/>
          <w:w w:val="100"/>
          <w:position w:val="0"/>
        </w:rPr>
        <w:t>c</w:t>
      </w:r>
      <w:bookmarkEnd w:id="826"/>
      <w:r>
        <w:rPr>
          <w:color w:val="000000"/>
          <w:spacing w:val="0"/>
          <w:w w:val="100"/>
          <w:position w:val="0"/>
        </w:rPr>
        <w:t>、</w:t>
        <w:tab/>
      </w:r>
      <w:r>
        <w:rPr>
          <w:color w:val="000000"/>
          <w:spacing w:val="0"/>
          <w:w w:val="100"/>
          <w:position w:val="0"/>
        </w:rPr>
        <w:t>如果建造合同的结果不能可靠地估计，且合同成本能够收回的，合同收入根据能够收回的实际合 同成本加以确认，合同成本在其发生的当期确认为合同费用；合同成本不能收回的，于发生时立即确认为 费用，不确认收入。</w:t>
      </w:r>
    </w:p>
    <w:p>
      <w:pPr>
        <w:pStyle w:val="Style36"/>
        <w:keepNext w:val="0"/>
        <w:keepLines w:val="0"/>
        <w:widowControl w:val="0"/>
        <w:shd w:val="clear" w:color="auto" w:fill="auto"/>
        <w:tabs>
          <w:tab w:pos="783" w:val="left"/>
        </w:tabs>
        <w:bidi w:val="0"/>
        <w:spacing w:before="0" w:after="0" w:line="407" w:lineRule="exact"/>
        <w:ind w:left="0" w:right="0" w:firstLine="440"/>
        <w:jc w:val="left"/>
      </w:pPr>
      <w:bookmarkStart w:id="827" w:name="bookmark827"/>
      <w:r>
        <w:rPr>
          <w:color w:val="000000"/>
          <w:spacing w:val="0"/>
          <w:w w:val="100"/>
          <w:position w:val="0"/>
        </w:rPr>
        <w:t>d</w:t>
      </w:r>
      <w:bookmarkEnd w:id="827"/>
      <w:r>
        <w:rPr>
          <w:color w:val="000000"/>
          <w:spacing w:val="0"/>
          <w:w w:val="100"/>
          <w:position w:val="0"/>
        </w:rPr>
        <w:t>、</w:t>
        <w:tab/>
      </w:r>
      <w:r>
        <w:rPr>
          <w:color w:val="000000"/>
          <w:spacing w:val="0"/>
          <w:w w:val="100"/>
          <w:position w:val="0"/>
        </w:rPr>
        <w:t>如果合同预计总成本将超过合同预计总收入，超过部分作为预计损失立即计入当期费用。</w:t>
      </w:r>
    </w:p>
    <w:p>
      <w:pPr>
        <w:pStyle w:val="Style36"/>
        <w:keepNext w:val="0"/>
        <w:keepLines w:val="0"/>
        <w:widowControl w:val="0"/>
        <w:shd w:val="clear" w:color="auto" w:fill="auto"/>
        <w:bidi w:val="0"/>
        <w:spacing w:before="0" w:after="0" w:line="407" w:lineRule="exact"/>
        <w:ind w:left="0" w:right="0" w:firstLine="440"/>
        <w:jc w:val="left"/>
      </w:pPr>
      <w:bookmarkStart w:id="828" w:name="bookmark828"/>
      <w:r>
        <w:rPr>
          <w:color w:val="000000"/>
          <w:spacing w:val="0"/>
          <w:w w:val="100"/>
          <w:position w:val="0"/>
        </w:rPr>
        <w:t>（</w:t>
      </w:r>
      <w:bookmarkEnd w:id="828"/>
      <w:r>
        <w:rPr>
          <w:color w:val="000000"/>
          <w:spacing w:val="0"/>
          <w:w w:val="100"/>
          <w:position w:val="0"/>
        </w:rPr>
        <w:t>5）</w:t>
      </w:r>
      <w:r>
        <w:rPr>
          <w:color w:val="000000"/>
          <w:spacing w:val="0"/>
          <w:w w:val="100"/>
          <w:position w:val="0"/>
        </w:rPr>
        <w:t>节能服务合同业务收入</w:t>
      </w:r>
    </w:p>
    <w:p>
      <w:pPr>
        <w:pStyle w:val="Style3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节能服务合同业务基本情况：公司利用自身技术，通过为客户节约能源，获得节能分成来达到盈利目 的；项目服务期通常为</w:t>
      </w:r>
      <w:r>
        <w:rPr>
          <w:color w:val="000000"/>
          <w:spacing w:val="0"/>
          <w:w w:val="100"/>
          <w:position w:val="0"/>
        </w:rPr>
        <w:t>3-15</w:t>
      </w:r>
      <w:r>
        <w:rPr>
          <w:color w:val="000000"/>
          <w:spacing w:val="0"/>
          <w:w w:val="100"/>
          <w:position w:val="0"/>
        </w:rPr>
        <w:t>年；在经营过程中，公司为节能项目提供相应的设备；在经营期间，相应设备 由客户代为保管；在项目进行过程中，公司为客户提供相关节能的服务；在项目结束后，公司会将相应设 备转移给其客户，不再另行收费；在项目结束后，客户如需后续服务，公司会予以提供，但需另行收费。</w:t>
      </w:r>
    </w:p>
    <w:p>
      <w:pPr>
        <w:pStyle w:val="Style36"/>
        <w:keepNext w:val="0"/>
        <w:keepLines w:val="0"/>
        <w:widowControl w:val="0"/>
        <w:shd w:val="clear" w:color="auto" w:fill="auto"/>
        <w:bidi w:val="0"/>
        <w:spacing w:before="0" w:after="800" w:line="407" w:lineRule="exact"/>
        <w:ind w:left="0" w:right="0" w:firstLine="440"/>
        <w:jc w:val="both"/>
      </w:pPr>
      <w:r>
        <w:rPr>
          <w:color w:val="000000"/>
          <w:spacing w:val="0"/>
          <w:w w:val="100"/>
          <w:position w:val="0"/>
        </w:rPr>
        <w:t>节能服务合同业务收入在满足收入确认条件时按双方约定的节能效果来计算确定，公司用于节能项目 的设备作为固定资产处理，使用寿命按项目期确定，计提折旧的年限按项目主要受益期确定，计提的折旧 记入节能服务业务成本，与节能服务相关的费用记入当期费用。</w:t>
      </w:r>
    </w:p>
    <w:p>
      <w:pPr>
        <w:pStyle w:val="Style39"/>
        <w:keepNext/>
        <w:keepLines/>
        <w:widowControl w:val="0"/>
        <w:shd w:val="clear" w:color="auto" w:fill="auto"/>
        <w:bidi w:val="0"/>
        <w:spacing w:before="0" w:after="0" w:line="425"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829"/>
      <w:bookmarkEnd w:id="830"/>
      <w:bookmarkEnd w:id="832"/>
    </w:p>
    <w:p>
      <w:pPr>
        <w:pStyle w:val="Style39"/>
        <w:keepNext/>
        <w:keepLines/>
        <w:widowControl w:val="0"/>
        <w:shd w:val="clear" w:color="auto" w:fill="auto"/>
        <w:bidi w:val="0"/>
        <w:spacing w:before="0" w:after="180" w:line="408" w:lineRule="exact"/>
        <w:ind w:left="0" w:right="0" w:firstLine="0"/>
        <w:jc w:val="left"/>
      </w:pPr>
      <w:bookmarkStart w:id="829" w:name="bookmark829"/>
      <w:bookmarkStart w:id="830" w:name="bookmark830"/>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829"/>
      <w:bookmarkEnd w:id="830"/>
      <w:bookmarkEnd w:id="834"/>
    </w:p>
    <w:p>
      <w:pPr>
        <w:pStyle w:val="Style36"/>
        <w:keepNext w:val="0"/>
        <w:keepLines w:val="0"/>
        <w:widowControl w:val="0"/>
        <w:shd w:val="clear" w:color="auto" w:fill="auto"/>
        <w:bidi w:val="0"/>
        <w:spacing w:before="0" w:after="0" w:line="408" w:lineRule="exact"/>
        <w:ind w:left="0" w:right="0" w:firstLine="440"/>
        <w:jc w:val="both"/>
        <w:sectPr>
          <w:headerReference w:type="default" r:id="rId221"/>
          <w:footerReference w:type="default" r:id="rId222"/>
          <w:headerReference w:type="even" r:id="rId223"/>
          <w:footerReference w:type="even" r:id="rId224"/>
          <w:headerReference w:type="first" r:id="rId225"/>
          <w:footerReference w:type="first" r:id="rId226"/>
          <w:footnotePr>
            <w:pos w:val="pageBottom"/>
            <w:numFmt w:val="decimal"/>
            <w:numRestart w:val="continuous"/>
          </w:footnotePr>
          <w:pgSz w:w="11900" w:h="16840"/>
          <w:pgMar w:top="1044" w:right="999" w:bottom="1171" w:left="1065" w:header="0" w:footer="3" w:gutter="0"/>
          <w:cols w:space="720"/>
          <w:noEndnote/>
          <w:titlePg/>
          <w:rtlGutter w:val="0"/>
          <w:docGrid w:linePitch="360"/>
        </w:sectPr>
      </w:pPr>
      <w:r>
        <w:rPr>
          <w:color w:val="000000"/>
          <w:spacing w:val="0"/>
          <w:w w:val="100"/>
          <w:position w:val="0"/>
        </w:rPr>
        <w:t>政府补助是指本公司从政府无偿取得货币性资产和非货币性资产，不包括政府作为所有者投入的资 本。政府补助分为与资产相关的政府补助和与收益相关的政府补助。与资产相关的政府补助，是指企业取 得的、用于购建或以其他方式形成的长期资产，包括购买固定资产或无形资产的财政拨款、固定资产专门 借款的财政贴息等，但不包括公司合同能源管理对外投资形成的资产。与收益相关的政府补助，是指除与 资产相关的政府补助之外的政府补助。若政府文件未明确规定补助对象，则采用以下方式将补助款划分为 与收益相关的政府补助和与资产相关的政府补助：①政府文件明确了补助所针对的特定项目的，根据该特 定项目的预算中将形成资产的支出金额和计入费用的支出金额的相对比例进行划分，对该划分比例需在每 个资产负债表日进行复核，必要时进行变更；②政府文件中对用途仅作一般性表述，没有指明特定项目的， 作为与收益相关的政府补助。</w:t>
      </w:r>
    </w:p>
    <w:p>
      <w:pPr>
        <w:pStyle w:val="Style39"/>
        <w:keepNext/>
        <w:keepLines/>
        <w:widowControl w:val="0"/>
        <w:shd w:val="clear" w:color="auto" w:fill="auto"/>
        <w:bidi w:val="0"/>
        <w:spacing w:before="0" w:after="160" w:line="412" w:lineRule="exact"/>
        <w:ind w:left="0" w:right="0" w:firstLine="0"/>
        <w:jc w:val="both"/>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835"/>
      <w:bookmarkEnd w:id="836"/>
      <w:bookmarkEnd w:id="838"/>
    </w:p>
    <w:p>
      <w:pPr>
        <w:pStyle w:val="Style36"/>
        <w:keepNext w:val="0"/>
        <w:keepLines w:val="0"/>
        <w:widowControl w:val="0"/>
        <w:shd w:val="clear" w:color="auto" w:fill="auto"/>
        <w:tabs>
          <w:tab w:pos="818" w:val="left"/>
        </w:tabs>
        <w:bidi w:val="0"/>
        <w:spacing w:before="0" w:after="0" w:line="412" w:lineRule="exact"/>
        <w:ind w:left="0" w:right="0" w:firstLine="440"/>
        <w:jc w:val="both"/>
      </w:pPr>
      <w:bookmarkStart w:id="839" w:name="bookmark839"/>
      <w:r>
        <w:rPr>
          <w:color w:val="000000"/>
          <w:spacing w:val="0"/>
          <w:w w:val="100"/>
          <w:position w:val="0"/>
        </w:rPr>
        <w:t>A</w:t>
      </w:r>
      <w:bookmarkEnd w:id="839"/>
      <w:r>
        <w:rPr>
          <w:color w:val="000000"/>
          <w:spacing w:val="0"/>
          <w:w w:val="100"/>
          <w:position w:val="0"/>
        </w:rPr>
        <w:t>、</w:t>
        <w:tab/>
      </w:r>
      <w:r>
        <w:rPr>
          <w:color w:val="000000"/>
          <w:spacing w:val="0"/>
          <w:w w:val="100"/>
          <w:position w:val="0"/>
        </w:rPr>
        <w:t>资产相关政府补助和与收益相关政府补助的具体标准：</w:t>
      </w:r>
    </w:p>
    <w:p>
      <w:pPr>
        <w:pStyle w:val="Style36"/>
        <w:keepNext w:val="0"/>
        <w:keepLines w:val="0"/>
        <w:widowControl w:val="0"/>
        <w:numPr>
          <w:ilvl w:val="0"/>
          <w:numId w:val="25"/>
        </w:numPr>
        <w:shd w:val="clear" w:color="auto" w:fill="auto"/>
        <w:tabs>
          <w:tab w:pos="814" w:val="left"/>
        </w:tabs>
        <w:bidi w:val="0"/>
        <w:spacing w:before="0" w:after="0" w:line="412" w:lineRule="exact"/>
        <w:ind w:left="0" w:right="0" w:firstLine="440"/>
        <w:jc w:val="both"/>
      </w:pPr>
      <w:bookmarkStart w:id="840" w:name="bookmark840"/>
      <w:bookmarkEnd w:id="840"/>
      <w:r>
        <w:rPr>
          <w:color w:val="000000"/>
          <w:spacing w:val="0"/>
          <w:w w:val="100"/>
          <w:position w:val="0"/>
        </w:rPr>
        <w:t>政府补助为货币性资产的，按照收到或应收的金额计量。政府补助为非货币性资产的，按照公允 价值计量；公允价值不能可靠取得的，按照名义金额计量。</w:t>
      </w:r>
    </w:p>
    <w:p>
      <w:pPr>
        <w:pStyle w:val="Style36"/>
        <w:keepNext w:val="0"/>
        <w:keepLines w:val="0"/>
        <w:widowControl w:val="0"/>
        <w:numPr>
          <w:ilvl w:val="0"/>
          <w:numId w:val="25"/>
        </w:numPr>
        <w:shd w:val="clear" w:color="auto" w:fill="auto"/>
        <w:tabs>
          <w:tab w:pos="814" w:val="left"/>
        </w:tabs>
        <w:bidi w:val="0"/>
        <w:spacing w:before="0" w:after="0" w:line="412" w:lineRule="exact"/>
        <w:ind w:left="0" w:right="0" w:firstLine="440"/>
        <w:jc w:val="both"/>
      </w:pPr>
      <w:bookmarkStart w:id="841" w:name="bookmark841"/>
      <w:bookmarkEnd w:id="841"/>
      <w:r>
        <w:rPr>
          <w:color w:val="000000"/>
          <w:spacing w:val="0"/>
          <w:w w:val="100"/>
          <w:position w:val="0"/>
        </w:rPr>
        <w:t>与资产相关的政府补助，确认为递延收益，自相关资产达到预定可使用状态时起，在该资产使用 寿命内平均计入各期损益。相关资产在使用寿命结束前被出售、转让、报废或发生毁损的，将递延收益余 额一次性转入资产处置当期的损益。</w:t>
      </w:r>
    </w:p>
    <w:p>
      <w:pPr>
        <w:pStyle w:val="Style36"/>
        <w:keepNext w:val="0"/>
        <w:keepLines w:val="0"/>
        <w:widowControl w:val="0"/>
        <w:shd w:val="clear" w:color="auto" w:fill="auto"/>
        <w:tabs>
          <w:tab w:pos="818" w:val="left"/>
        </w:tabs>
        <w:bidi w:val="0"/>
        <w:spacing w:before="0" w:after="0" w:line="412" w:lineRule="exact"/>
        <w:ind w:left="0" w:right="0" w:firstLine="440"/>
        <w:jc w:val="both"/>
      </w:pPr>
      <w:bookmarkStart w:id="842" w:name="bookmark842"/>
      <w:r>
        <w:rPr>
          <w:color w:val="000000"/>
          <w:spacing w:val="0"/>
          <w:w w:val="100"/>
          <w:position w:val="0"/>
        </w:rPr>
        <w:t>B</w:t>
      </w:r>
      <w:bookmarkEnd w:id="842"/>
      <w:r>
        <w:rPr>
          <w:color w:val="000000"/>
          <w:spacing w:val="0"/>
          <w:w w:val="100"/>
          <w:position w:val="0"/>
        </w:rPr>
        <w:t>、</w:t>
        <w:tab/>
      </w:r>
      <w:r>
        <w:rPr>
          <w:color w:val="000000"/>
          <w:spacing w:val="0"/>
          <w:w w:val="100"/>
          <w:position w:val="0"/>
        </w:rPr>
        <w:t>政府补助的确认时点</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本公司在能够满足政府补助所附条件且实际收到时，确认为政府补助。</w:t>
      </w:r>
    </w:p>
    <w:p>
      <w:pPr>
        <w:pStyle w:val="Style36"/>
        <w:keepNext w:val="0"/>
        <w:keepLines w:val="0"/>
        <w:widowControl w:val="0"/>
        <w:shd w:val="clear" w:color="auto" w:fill="auto"/>
        <w:tabs>
          <w:tab w:pos="813" w:val="left"/>
        </w:tabs>
        <w:bidi w:val="0"/>
        <w:spacing w:before="0" w:after="0" w:line="412" w:lineRule="exact"/>
        <w:ind w:left="0" w:right="0" w:firstLine="440"/>
        <w:jc w:val="both"/>
      </w:pPr>
      <w:bookmarkStart w:id="843" w:name="bookmark843"/>
      <w:r>
        <w:rPr>
          <w:color w:val="000000"/>
          <w:spacing w:val="0"/>
          <w:w w:val="100"/>
          <w:position w:val="0"/>
        </w:rPr>
        <w:t>C</w:t>
      </w:r>
      <w:bookmarkEnd w:id="843"/>
      <w:r>
        <w:rPr>
          <w:color w:val="000000"/>
          <w:spacing w:val="0"/>
          <w:w w:val="100"/>
          <w:position w:val="0"/>
        </w:rPr>
        <w:t>、</w:t>
        <w:tab/>
      </w:r>
      <w:r>
        <w:rPr>
          <w:color w:val="000000"/>
          <w:spacing w:val="0"/>
          <w:w w:val="100"/>
          <w:position w:val="0"/>
        </w:rPr>
        <w:t>与收益相关的政府补助：</w:t>
      </w:r>
    </w:p>
    <w:p>
      <w:pPr>
        <w:pStyle w:val="Style36"/>
        <w:keepNext w:val="0"/>
        <w:keepLines w:val="0"/>
        <w:widowControl w:val="0"/>
        <w:numPr>
          <w:ilvl w:val="0"/>
          <w:numId w:val="27"/>
        </w:numPr>
        <w:shd w:val="clear" w:color="auto" w:fill="auto"/>
        <w:tabs>
          <w:tab w:pos="814" w:val="left"/>
        </w:tabs>
        <w:bidi w:val="0"/>
        <w:spacing w:before="0" w:after="0" w:line="412" w:lineRule="exact"/>
        <w:ind w:left="0" w:right="0" w:firstLine="440"/>
        <w:jc w:val="both"/>
      </w:pPr>
      <w:bookmarkStart w:id="844" w:name="bookmark844"/>
      <w:bookmarkEnd w:id="844"/>
      <w:r>
        <w:rPr>
          <w:color w:val="000000"/>
          <w:spacing w:val="0"/>
          <w:w w:val="100"/>
          <w:position w:val="0"/>
        </w:rPr>
        <w:t>用于补偿以后期间的相关费用或损失的，确认为递延收益，在确认相关费用的期间计入当期损益； 用于补偿已经发生的相关费用或损失的，取得时直接计入当期损益；</w:t>
      </w:r>
    </w:p>
    <w:p>
      <w:pPr>
        <w:pStyle w:val="Style36"/>
        <w:keepNext w:val="0"/>
        <w:keepLines w:val="0"/>
        <w:widowControl w:val="0"/>
        <w:numPr>
          <w:ilvl w:val="0"/>
          <w:numId w:val="27"/>
        </w:numPr>
        <w:shd w:val="clear" w:color="auto" w:fill="auto"/>
        <w:tabs>
          <w:tab w:pos="776" w:val="left"/>
        </w:tabs>
        <w:bidi w:val="0"/>
        <w:spacing w:before="0" w:after="0" w:line="412" w:lineRule="exact"/>
        <w:ind w:left="0" w:right="0" w:firstLine="440"/>
        <w:jc w:val="both"/>
      </w:pPr>
      <w:bookmarkStart w:id="845" w:name="bookmark845"/>
      <w:bookmarkEnd w:id="845"/>
      <w:r>
        <w:rPr>
          <w:color w:val="000000"/>
          <w:spacing w:val="0"/>
          <w:w w:val="100"/>
          <w:position w:val="0"/>
        </w:rPr>
        <w:t>与公司建筑智能化与建筑节能项目相关的政府补助，实际收到时确认为递延收益，以后根据工程项 目的进度按比例转入当期损益；</w:t>
      </w:r>
    </w:p>
    <w:p>
      <w:pPr>
        <w:pStyle w:val="Style36"/>
        <w:keepNext w:val="0"/>
        <w:keepLines w:val="0"/>
        <w:widowControl w:val="0"/>
        <w:numPr>
          <w:ilvl w:val="0"/>
          <w:numId w:val="27"/>
        </w:numPr>
        <w:shd w:val="clear" w:color="auto" w:fill="auto"/>
        <w:tabs>
          <w:tab w:pos="814" w:val="left"/>
        </w:tabs>
        <w:bidi w:val="0"/>
        <w:spacing w:before="0" w:after="0" w:line="412" w:lineRule="exact"/>
        <w:ind w:left="0" w:right="0" w:firstLine="440"/>
        <w:jc w:val="both"/>
      </w:pPr>
      <w:bookmarkStart w:id="846" w:name="bookmark846"/>
      <w:bookmarkEnd w:id="846"/>
      <w:r>
        <w:rPr>
          <w:color w:val="000000"/>
          <w:spacing w:val="0"/>
          <w:w w:val="100"/>
          <w:position w:val="0"/>
        </w:rPr>
        <w:t>与研发相关的政府补助，若需要相关部门验收的，则于实际收到时确认为递延收益，待验收通过后 转入当期损益。</w:t>
      </w:r>
    </w:p>
    <w:p>
      <w:pPr>
        <w:pStyle w:val="Style36"/>
        <w:keepNext w:val="0"/>
        <w:keepLines w:val="0"/>
        <w:widowControl w:val="0"/>
        <w:shd w:val="clear" w:color="auto" w:fill="auto"/>
        <w:tabs>
          <w:tab w:pos="813" w:val="left"/>
        </w:tabs>
        <w:bidi w:val="0"/>
        <w:spacing w:before="0" w:after="0" w:line="412" w:lineRule="exact"/>
        <w:ind w:left="0" w:right="0" w:firstLine="440"/>
        <w:jc w:val="both"/>
      </w:pPr>
      <w:bookmarkStart w:id="847" w:name="bookmark847"/>
      <w:r>
        <w:rPr>
          <w:color w:val="000000"/>
          <w:spacing w:val="0"/>
          <w:w w:val="100"/>
          <w:position w:val="0"/>
        </w:rPr>
        <w:t>D</w:t>
      </w:r>
      <w:bookmarkEnd w:id="847"/>
      <w:r>
        <w:rPr>
          <w:color w:val="000000"/>
          <w:spacing w:val="0"/>
          <w:w w:val="100"/>
          <w:position w:val="0"/>
        </w:rPr>
        <w:t>、</w:t>
        <w:tab/>
      </w:r>
      <w:r>
        <w:rPr>
          <w:color w:val="000000"/>
          <w:spacing w:val="0"/>
          <w:w w:val="100"/>
          <w:position w:val="0"/>
        </w:rPr>
        <w:t>已确认的政府补助需要返还的，分别下列情况处理：</w:t>
      </w:r>
    </w:p>
    <w:p>
      <w:pPr>
        <w:pStyle w:val="Style36"/>
        <w:keepNext w:val="0"/>
        <w:keepLines w:val="0"/>
        <w:widowControl w:val="0"/>
        <w:numPr>
          <w:ilvl w:val="0"/>
          <w:numId w:val="29"/>
        </w:numPr>
        <w:shd w:val="clear" w:color="auto" w:fill="auto"/>
        <w:tabs>
          <w:tab w:pos="832" w:val="left"/>
        </w:tabs>
        <w:bidi w:val="0"/>
        <w:spacing w:before="0" w:after="0" w:line="412" w:lineRule="exact"/>
        <w:ind w:left="0" w:right="0" w:firstLine="440"/>
        <w:jc w:val="both"/>
      </w:pPr>
      <w:bookmarkStart w:id="848" w:name="bookmark848"/>
      <w:bookmarkEnd w:id="848"/>
      <w:r>
        <w:rPr>
          <w:color w:val="000000"/>
          <w:spacing w:val="0"/>
          <w:w w:val="100"/>
          <w:position w:val="0"/>
        </w:rPr>
        <w:t>存在相关递延收益的，冲减相关递延收益账面余额，超出部分计入当期损益。</w:t>
      </w:r>
    </w:p>
    <w:p>
      <w:pPr>
        <w:pStyle w:val="Style36"/>
        <w:keepNext w:val="0"/>
        <w:keepLines w:val="0"/>
        <w:widowControl w:val="0"/>
        <w:numPr>
          <w:ilvl w:val="0"/>
          <w:numId w:val="29"/>
        </w:numPr>
        <w:shd w:val="clear" w:color="auto" w:fill="auto"/>
        <w:tabs>
          <w:tab w:pos="837" w:val="left"/>
        </w:tabs>
        <w:bidi w:val="0"/>
        <w:spacing w:before="0" w:after="300" w:line="412" w:lineRule="exact"/>
        <w:ind w:left="0" w:right="0" w:firstLine="440"/>
        <w:jc w:val="both"/>
      </w:pPr>
      <w:bookmarkStart w:id="849" w:name="bookmark849"/>
      <w:bookmarkEnd w:id="849"/>
      <w:r>
        <w:rPr>
          <w:color w:val="000000"/>
          <w:spacing w:val="0"/>
          <w:w w:val="100"/>
          <w:position w:val="0"/>
        </w:rPr>
        <w:t>不存在相关递延收益的，直接计入当期损益。</w:t>
      </w:r>
    </w:p>
    <w:p>
      <w:pPr>
        <w:pStyle w:val="Style39"/>
        <w:keepNext/>
        <w:keepLines/>
        <w:widowControl w:val="0"/>
        <w:shd w:val="clear" w:color="auto" w:fill="auto"/>
        <w:bidi w:val="0"/>
        <w:spacing w:before="0" w:after="220" w:line="412" w:lineRule="exact"/>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5</w:t>
      </w:r>
      <w:r>
        <w:rPr>
          <w:color w:val="000000"/>
          <w:spacing w:val="0"/>
          <w:w w:val="100"/>
          <w:position w:val="0"/>
        </w:rPr>
        <w:t>、递延所得税资产和递延所得税负债</w:t>
      </w:r>
      <w:bookmarkEnd w:id="850"/>
      <w:bookmarkEnd w:id="851"/>
      <w:bookmarkEnd w:id="853"/>
    </w:p>
    <w:p>
      <w:pPr>
        <w:pStyle w:val="Style39"/>
        <w:keepNext/>
        <w:keepLines/>
        <w:widowControl w:val="0"/>
        <w:shd w:val="clear" w:color="auto" w:fill="auto"/>
        <w:bidi w:val="0"/>
        <w:spacing w:before="0" w:after="120" w:line="412" w:lineRule="exact"/>
        <w:ind w:left="0" w:right="0" w:firstLine="0"/>
        <w:jc w:val="both"/>
      </w:pPr>
      <w:bookmarkStart w:id="850" w:name="bookmark850"/>
      <w:bookmarkStart w:id="851" w:name="bookmark851"/>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850"/>
      <w:bookmarkEnd w:id="851"/>
      <w:bookmarkEnd w:id="855"/>
    </w:p>
    <w:p>
      <w:pPr>
        <w:pStyle w:val="Style36"/>
        <w:keepNext w:val="0"/>
        <w:keepLines w:val="0"/>
        <w:widowControl w:val="0"/>
        <w:shd w:val="clear" w:color="auto" w:fill="auto"/>
        <w:tabs>
          <w:tab w:pos="790" w:val="left"/>
        </w:tabs>
        <w:bidi w:val="0"/>
        <w:spacing w:before="0" w:after="0" w:line="420" w:lineRule="exact"/>
        <w:ind w:left="0" w:right="0" w:firstLine="440"/>
        <w:jc w:val="both"/>
      </w:pPr>
      <w:bookmarkStart w:id="856" w:name="bookmark856"/>
      <w:r>
        <w:rPr>
          <w:color w:val="000000"/>
          <w:spacing w:val="0"/>
          <w:w w:val="100"/>
          <w:position w:val="0"/>
        </w:rPr>
        <w:t>a</w:t>
      </w:r>
      <w:bookmarkEnd w:id="856"/>
      <w:r>
        <w:rPr>
          <w:color w:val="000000"/>
          <w:spacing w:val="0"/>
          <w:w w:val="100"/>
          <w:position w:val="0"/>
        </w:rPr>
        <w:t>、</w:t>
        <w:tab/>
      </w:r>
      <w:r>
        <w:rPr>
          <w:color w:val="000000"/>
          <w:spacing w:val="0"/>
          <w:w w:val="100"/>
          <w:position w:val="0"/>
        </w:rPr>
        <w:t>本公司以很可能取得用来抵扣可抵扣暂时性差异的应纳税所得额为限，确认由可抵扣暂时性差异 产生的递延所得税资产。但是同时具有下列特征的交易中因资产或负债的初始确认所产生的递延所得税资 产不予确认：</w:t>
      </w:r>
    </w:p>
    <w:p>
      <w:pPr>
        <w:pStyle w:val="Style36"/>
        <w:keepNext w:val="0"/>
        <w:keepLines w:val="0"/>
        <w:widowControl w:val="0"/>
        <w:shd w:val="clear" w:color="auto" w:fill="auto"/>
        <w:bidi w:val="0"/>
        <w:spacing w:before="0" w:after="0" w:line="420" w:lineRule="exact"/>
        <w:ind w:left="0" w:right="0" w:firstLine="440"/>
        <w:jc w:val="both"/>
      </w:pPr>
      <w:r>
        <w:rPr>
          <w:color w:val="000000"/>
          <w:spacing w:val="0"/>
          <w:w w:val="100"/>
          <w:position w:val="0"/>
        </w:rPr>
        <w:t>1/</w:t>
      </w:r>
      <w:r>
        <w:rPr>
          <w:color w:val="000000"/>
          <w:spacing w:val="0"/>
          <w:w w:val="100"/>
          <w:position w:val="0"/>
        </w:rPr>
        <w:t>该项交易不是企业合并；</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36"/>
        <w:keepNext w:val="0"/>
        <w:keepLines w:val="0"/>
        <w:widowControl w:val="0"/>
        <w:shd w:val="clear" w:color="auto" w:fill="auto"/>
        <w:tabs>
          <w:tab w:pos="790" w:val="left"/>
        </w:tabs>
        <w:bidi w:val="0"/>
        <w:spacing w:before="0" w:after="0" w:line="427" w:lineRule="exact"/>
        <w:ind w:left="0" w:right="0" w:firstLine="440"/>
        <w:jc w:val="both"/>
      </w:pPr>
      <w:bookmarkStart w:id="857" w:name="bookmark857"/>
      <w:r>
        <w:rPr>
          <w:color w:val="000000"/>
          <w:spacing w:val="0"/>
          <w:w w:val="100"/>
          <w:position w:val="0"/>
        </w:rPr>
        <w:t>b</w:t>
      </w:r>
      <w:bookmarkEnd w:id="857"/>
      <w:r>
        <w:rPr>
          <w:color w:val="000000"/>
          <w:spacing w:val="0"/>
          <w:w w:val="100"/>
          <w:position w:val="0"/>
        </w:rPr>
        <w:t>、</w:t>
        <w:tab/>
      </w:r>
      <w:r>
        <w:rPr>
          <w:color w:val="000000"/>
          <w:spacing w:val="0"/>
          <w:w w:val="100"/>
          <w:position w:val="0"/>
        </w:rPr>
        <w:t>本公司对与子公司、联营公司及合营企业投资相关的可抵扣暂时性差异，同时满足下列条件的， 确认相应的递延所得税资产：</w:t>
      </w:r>
    </w:p>
    <w:p>
      <w:pPr>
        <w:pStyle w:val="Style36"/>
        <w:keepNext w:val="0"/>
        <w:keepLines w:val="0"/>
        <w:widowControl w:val="0"/>
        <w:shd w:val="clear" w:color="auto" w:fill="auto"/>
        <w:bidi w:val="0"/>
        <w:spacing w:before="0" w:after="0" w:line="427" w:lineRule="exact"/>
        <w:ind w:left="0" w:right="0" w:firstLine="440"/>
        <w:jc w:val="both"/>
      </w:pPr>
      <w:r>
        <w:rPr>
          <w:color w:val="000000"/>
          <w:spacing w:val="0"/>
          <w:w w:val="100"/>
          <w:position w:val="0"/>
        </w:rPr>
        <w:t>1/</w:t>
      </w:r>
      <w:r>
        <w:rPr>
          <w:color w:val="000000"/>
          <w:spacing w:val="0"/>
          <w:w w:val="100"/>
          <w:position w:val="0"/>
        </w:rPr>
        <w:t>暂时性差异在可预见的未来很可能转回；</w:t>
      </w:r>
    </w:p>
    <w:p>
      <w:pPr>
        <w:pStyle w:val="Style36"/>
        <w:keepNext w:val="0"/>
        <w:keepLines w:val="0"/>
        <w:widowControl w:val="0"/>
        <w:shd w:val="clear" w:color="auto" w:fill="auto"/>
        <w:bidi w:val="0"/>
        <w:spacing w:before="0" w:after="0" w:line="412" w:lineRule="exact"/>
        <w:ind w:left="0" w:right="0" w:firstLine="440"/>
        <w:jc w:val="both"/>
      </w:pPr>
      <w:r>
        <w:rPr>
          <w:color w:val="000000"/>
          <w:spacing w:val="0"/>
          <w:w w:val="100"/>
          <w:position w:val="0"/>
        </w:rPr>
        <w:t>2</w:t>
      </w:r>
      <w:r>
        <w:rPr>
          <w:color w:val="000000"/>
          <w:spacing w:val="0"/>
          <w:w w:val="100"/>
          <w:position w:val="0"/>
        </w:rPr>
        <w:t>/未来很可能获得用来抵扣暂时性差异的应纳税所得额。</w:t>
      </w:r>
    </w:p>
    <w:p>
      <w:pPr>
        <w:pStyle w:val="Style36"/>
        <w:keepNext w:val="0"/>
        <w:keepLines w:val="0"/>
        <w:widowControl w:val="0"/>
        <w:shd w:val="clear" w:color="auto" w:fill="auto"/>
        <w:tabs>
          <w:tab w:pos="795" w:val="left"/>
        </w:tabs>
        <w:bidi w:val="0"/>
        <w:spacing w:before="0" w:after="140" w:line="427" w:lineRule="exact"/>
        <w:ind w:left="0" w:right="0" w:firstLine="440"/>
        <w:jc w:val="both"/>
        <w:sectPr>
          <w:headerReference w:type="default" r:id="rId227"/>
          <w:footerReference w:type="default" r:id="rId228"/>
          <w:headerReference w:type="even" r:id="rId229"/>
          <w:footerReference w:type="even" r:id="rId230"/>
          <w:footnotePr>
            <w:pos w:val="pageBottom"/>
            <w:numFmt w:val="decimal"/>
            <w:numRestart w:val="continuous"/>
          </w:footnotePr>
          <w:type w:val="continuous"/>
          <w:pgSz w:w="11900" w:h="16840"/>
          <w:pgMar w:top="1044" w:right="999" w:bottom="1171" w:left="1065" w:header="0" w:footer="3" w:gutter="0"/>
          <w:cols w:space="720"/>
          <w:noEndnote/>
          <w:rtlGutter w:val="0"/>
          <w:docGrid w:linePitch="360"/>
        </w:sectPr>
      </w:pPr>
      <w:bookmarkStart w:id="858" w:name="bookmark858"/>
      <w:r>
        <w:rPr>
          <w:color w:val="000000"/>
          <w:spacing w:val="0"/>
          <w:w w:val="100"/>
          <w:position w:val="0"/>
        </w:rPr>
        <w:t>c</w:t>
      </w:r>
      <w:bookmarkEnd w:id="858"/>
      <w:r>
        <w:rPr>
          <w:color w:val="000000"/>
          <w:spacing w:val="0"/>
          <w:w w:val="100"/>
          <w:position w:val="0"/>
        </w:rPr>
        <w:t>、</w:t>
        <w:tab/>
      </w:r>
      <w:r>
        <w:rPr>
          <w:color w:val="000000"/>
          <w:spacing w:val="0"/>
          <w:w w:val="100"/>
          <w:position w:val="0"/>
        </w:rPr>
        <w:t>本公司对于能够结转以后年度的可抵扣亏损和税款抵减，以很可能获得用来抵扣可抵扣亏损和税 款抵减的未来应纳税所得额为限，确认相应的递延所得税资产。</w:t>
      </w:r>
    </w:p>
    <w:p>
      <w:pPr>
        <w:pStyle w:val="Style39"/>
        <w:keepNext/>
        <w:keepLines/>
        <w:widowControl w:val="0"/>
        <w:shd w:val="clear" w:color="auto" w:fill="auto"/>
        <w:bidi w:val="0"/>
        <w:spacing w:before="0" w:after="160" w:line="410" w:lineRule="exact"/>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859"/>
      <w:bookmarkEnd w:id="860"/>
      <w:bookmarkEnd w:id="862"/>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除下列情况产生的递延所得税负债以外，本公司确认所有应纳税暂时性差异产生的递延所得税负债：</w:t>
      </w:r>
    </w:p>
    <w:p>
      <w:pPr>
        <w:pStyle w:val="Style36"/>
        <w:keepNext w:val="0"/>
        <w:keepLines w:val="0"/>
        <w:widowControl w:val="0"/>
        <w:shd w:val="clear" w:color="auto" w:fill="auto"/>
        <w:tabs>
          <w:tab w:pos="808" w:val="left"/>
        </w:tabs>
        <w:bidi w:val="0"/>
        <w:spacing w:before="0" w:after="0" w:line="410" w:lineRule="exact"/>
        <w:ind w:left="0" w:right="0" w:firstLine="440"/>
        <w:jc w:val="both"/>
      </w:pPr>
      <w:bookmarkStart w:id="863" w:name="bookmark863"/>
      <w:r>
        <w:rPr>
          <w:color w:val="000000"/>
          <w:spacing w:val="0"/>
          <w:w w:val="100"/>
          <w:position w:val="0"/>
        </w:rPr>
        <w:t>a</w:t>
      </w:r>
      <w:bookmarkEnd w:id="863"/>
      <w:r>
        <w:rPr>
          <w:color w:val="000000"/>
          <w:spacing w:val="0"/>
          <w:w w:val="100"/>
          <w:position w:val="0"/>
        </w:rPr>
        <w:t>、</w:t>
        <w:tab/>
      </w:r>
      <w:r>
        <w:rPr>
          <w:color w:val="000000"/>
          <w:spacing w:val="0"/>
          <w:w w:val="100"/>
          <w:position w:val="0"/>
        </w:rPr>
        <w:t>商誉的初始确认；</w:t>
      </w:r>
    </w:p>
    <w:p>
      <w:pPr>
        <w:pStyle w:val="Style36"/>
        <w:keepNext w:val="0"/>
        <w:keepLines w:val="0"/>
        <w:widowControl w:val="0"/>
        <w:shd w:val="clear" w:color="auto" w:fill="auto"/>
        <w:tabs>
          <w:tab w:pos="808" w:val="left"/>
        </w:tabs>
        <w:bidi w:val="0"/>
        <w:spacing w:before="0" w:after="0" w:line="410" w:lineRule="exact"/>
        <w:ind w:left="0" w:right="0" w:firstLine="440"/>
        <w:jc w:val="both"/>
      </w:pPr>
      <w:bookmarkStart w:id="864" w:name="bookmark864"/>
      <w:r>
        <w:rPr>
          <w:color w:val="000000"/>
          <w:spacing w:val="0"/>
          <w:w w:val="100"/>
          <w:position w:val="0"/>
        </w:rPr>
        <w:t>b</w:t>
      </w:r>
      <w:bookmarkEnd w:id="864"/>
      <w:r>
        <w:rPr>
          <w:color w:val="000000"/>
          <w:spacing w:val="0"/>
          <w:w w:val="100"/>
          <w:position w:val="0"/>
        </w:rPr>
        <w:t>、</w:t>
        <w:tab/>
      </w:r>
      <w:r>
        <w:rPr>
          <w:color w:val="000000"/>
          <w:spacing w:val="0"/>
          <w:w w:val="100"/>
          <w:position w:val="0"/>
        </w:rPr>
        <w:t>同时满足具有下列特征的交易中产生的资产或负债的初始确认：</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该项交易不是企业合并；</w:t>
      </w:r>
    </w:p>
    <w:p>
      <w:pPr>
        <w:pStyle w:val="Style36"/>
        <w:keepNext w:val="0"/>
        <w:keepLines w:val="0"/>
        <w:widowControl w:val="0"/>
        <w:shd w:val="clear" w:color="auto" w:fill="auto"/>
        <w:bidi w:val="0"/>
        <w:spacing w:before="0" w:after="0" w:line="427" w:lineRule="exact"/>
        <w:ind w:left="0" w:right="0" w:firstLine="440"/>
        <w:jc w:val="both"/>
      </w:pP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36"/>
        <w:keepNext w:val="0"/>
        <w:keepLines w:val="0"/>
        <w:widowControl w:val="0"/>
        <w:shd w:val="clear" w:color="auto" w:fill="auto"/>
        <w:tabs>
          <w:tab w:pos="781" w:val="left"/>
        </w:tabs>
        <w:bidi w:val="0"/>
        <w:spacing w:before="0" w:after="0" w:line="427" w:lineRule="exact"/>
        <w:ind w:left="0" w:right="0" w:firstLine="440"/>
        <w:jc w:val="both"/>
      </w:pPr>
      <w:bookmarkStart w:id="865" w:name="bookmark865"/>
      <w:r>
        <w:rPr>
          <w:color w:val="000000"/>
          <w:spacing w:val="0"/>
          <w:w w:val="100"/>
          <w:position w:val="0"/>
        </w:rPr>
        <w:t>c</w:t>
      </w:r>
      <w:bookmarkEnd w:id="865"/>
      <w:r>
        <w:rPr>
          <w:color w:val="000000"/>
          <w:spacing w:val="0"/>
          <w:w w:val="100"/>
          <w:position w:val="0"/>
        </w:rPr>
        <w:t>、</w:t>
        <w:tab/>
      </w:r>
      <w:r>
        <w:rPr>
          <w:color w:val="000000"/>
          <w:spacing w:val="0"/>
          <w:w w:val="100"/>
          <w:position w:val="0"/>
        </w:rPr>
        <w:t>本公司对与子公司、联营公司及合营企业投资产生相关的应纳税暂时性差异，同时满足下列条件 的：</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投资企业能够控制暂时性差异的转回的时间；</w:t>
      </w:r>
    </w:p>
    <w:p>
      <w:pPr>
        <w:pStyle w:val="Style36"/>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2</w:t>
      </w:r>
      <w:r>
        <w:rPr>
          <w:color w:val="000000"/>
          <w:spacing w:val="0"/>
          <w:w w:val="100"/>
          <w:position w:val="0"/>
        </w:rPr>
        <w:t>/暂时性差异在可预见的未来很可能不会转回。</w:t>
      </w:r>
    </w:p>
    <w:p>
      <w:pPr>
        <w:pStyle w:val="Style39"/>
        <w:keepNext/>
        <w:keepLines/>
        <w:widowControl w:val="0"/>
        <w:shd w:val="clear" w:color="auto" w:fill="auto"/>
        <w:bidi w:val="0"/>
        <w:spacing w:before="0" w:after="200" w:line="410" w:lineRule="exact"/>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6</w:t>
      </w:r>
      <w:r>
        <w:rPr>
          <w:color w:val="000000"/>
          <w:spacing w:val="0"/>
          <w:w w:val="100"/>
          <w:position w:val="0"/>
        </w:rPr>
        <w:t>、经营租赁、融资租赁</w:t>
      </w:r>
      <w:bookmarkEnd w:id="866"/>
      <w:bookmarkEnd w:id="867"/>
      <w:bookmarkEnd w:id="869"/>
    </w:p>
    <w:p>
      <w:pPr>
        <w:pStyle w:val="Style39"/>
        <w:keepNext/>
        <w:keepLines/>
        <w:widowControl w:val="0"/>
        <w:shd w:val="clear" w:color="auto" w:fill="auto"/>
        <w:tabs>
          <w:tab w:pos="493" w:val="left"/>
        </w:tabs>
        <w:bidi w:val="0"/>
        <w:spacing w:before="0" w:after="160" w:line="410" w:lineRule="exact"/>
        <w:ind w:left="0" w:right="0" w:firstLine="0"/>
        <w:jc w:val="left"/>
      </w:pPr>
      <w:bookmarkStart w:id="866" w:name="bookmark866"/>
      <w:bookmarkStart w:id="867" w:name="bookmark867"/>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66"/>
      <w:bookmarkEnd w:id="867"/>
      <w:bookmarkEnd w:id="871"/>
    </w:p>
    <w:p>
      <w:pPr>
        <w:pStyle w:val="Style36"/>
        <w:keepNext w:val="0"/>
        <w:keepLines w:val="0"/>
        <w:widowControl w:val="0"/>
        <w:numPr>
          <w:ilvl w:val="0"/>
          <w:numId w:val="31"/>
        </w:numPr>
        <w:shd w:val="clear" w:color="auto" w:fill="auto"/>
        <w:tabs>
          <w:tab w:pos="814" w:val="left"/>
        </w:tabs>
        <w:bidi w:val="0"/>
        <w:spacing w:before="0" w:after="0" w:line="410" w:lineRule="exact"/>
        <w:ind w:left="0" w:right="0" w:firstLine="440"/>
        <w:jc w:val="both"/>
      </w:pPr>
      <w:bookmarkStart w:id="872" w:name="bookmark872"/>
      <w:bookmarkEnd w:id="872"/>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3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6"/>
        <w:keepNext w:val="0"/>
        <w:keepLines w:val="0"/>
        <w:widowControl w:val="0"/>
        <w:numPr>
          <w:ilvl w:val="0"/>
          <w:numId w:val="31"/>
        </w:numPr>
        <w:shd w:val="clear" w:color="auto" w:fill="auto"/>
        <w:tabs>
          <w:tab w:pos="814" w:val="left"/>
        </w:tabs>
        <w:bidi w:val="0"/>
        <w:spacing w:before="0" w:after="0" w:line="410" w:lineRule="exact"/>
        <w:ind w:left="0" w:right="0" w:firstLine="440"/>
        <w:jc w:val="both"/>
      </w:pPr>
      <w:bookmarkStart w:id="873" w:name="bookmark873"/>
      <w:bookmarkEnd w:id="873"/>
      <w:r>
        <w:rPr>
          <w:color w:val="000000"/>
          <w:spacing w:val="0"/>
          <w:w w:val="100"/>
          <w:position w:val="0"/>
        </w:rPr>
        <w:t>公司出租资产所收取的租赁费，在不扣除免租期的整个租赁期内，按直线法进行分摊，确认为租赁 收入。公司支付的与租赁交易相关的初始直接费用，计入当期费用；如金额较大的，则予以资本化，在整 个租赁期间内按照与租赁收入确认相同的基础分期计入当期收益。</w:t>
      </w:r>
    </w:p>
    <w:p>
      <w:pPr>
        <w:pStyle w:val="Style36"/>
        <w:keepNext w:val="0"/>
        <w:keepLines w:val="0"/>
        <w:widowControl w:val="0"/>
        <w:shd w:val="clear" w:color="auto" w:fill="auto"/>
        <w:bidi w:val="0"/>
        <w:spacing w:before="0" w:after="320" w:line="422"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9"/>
        <w:keepNext/>
        <w:keepLines/>
        <w:widowControl w:val="0"/>
        <w:shd w:val="clear" w:color="auto" w:fill="auto"/>
        <w:tabs>
          <w:tab w:pos="493" w:val="left"/>
        </w:tabs>
        <w:bidi w:val="0"/>
        <w:spacing w:before="0" w:after="160" w:line="410"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74"/>
      <w:bookmarkEnd w:id="875"/>
      <w:bookmarkEnd w:id="877"/>
    </w:p>
    <w:p>
      <w:pPr>
        <w:pStyle w:val="Style36"/>
        <w:keepNext w:val="0"/>
        <w:keepLines w:val="0"/>
        <w:widowControl w:val="0"/>
        <w:numPr>
          <w:ilvl w:val="0"/>
          <w:numId w:val="33"/>
        </w:numPr>
        <w:shd w:val="clear" w:color="auto" w:fill="auto"/>
        <w:tabs>
          <w:tab w:pos="814" w:val="left"/>
        </w:tabs>
        <w:bidi w:val="0"/>
        <w:spacing w:before="0" w:after="0" w:line="406" w:lineRule="exact"/>
        <w:ind w:left="0" w:right="0" w:firstLine="440"/>
        <w:jc w:val="left"/>
      </w:pPr>
      <w:bookmarkStart w:id="878" w:name="bookmark878"/>
      <w:bookmarkEnd w:id="878"/>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w:t>
      </w:r>
    </w:p>
    <w:p>
      <w:pPr>
        <w:pStyle w:val="Style36"/>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公司采用实际利率法对未确认的融资费用，在资产租赁期间内摊销，计入财务费用。</w:t>
      </w:r>
    </w:p>
    <w:p>
      <w:pPr>
        <w:pStyle w:val="Style36"/>
        <w:keepNext w:val="0"/>
        <w:keepLines w:val="0"/>
        <w:widowControl w:val="0"/>
        <w:numPr>
          <w:ilvl w:val="0"/>
          <w:numId w:val="33"/>
        </w:numPr>
        <w:shd w:val="clear" w:color="auto" w:fill="auto"/>
        <w:tabs>
          <w:tab w:pos="810" w:val="left"/>
        </w:tabs>
        <w:bidi w:val="0"/>
        <w:spacing w:before="0" w:after="1140" w:line="406" w:lineRule="exact"/>
        <w:ind w:left="0" w:right="0" w:firstLine="440"/>
        <w:jc w:val="left"/>
      </w:pPr>
      <w:bookmarkStart w:id="879" w:name="bookmark879"/>
      <w:bookmarkEnd w:id="879"/>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widowControl w:val="0"/>
        <w:jc w:val="center"/>
        <w:rPr>
          <w:sz w:val="2"/>
          <w:szCs w:val="2"/>
        </w:rPr>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306" w:right="1004" w:bottom="125" w:left="1104" w:header="0" w:footer="3" w:gutter="0"/>
          <w:cols w:space="720"/>
          <w:noEndnote/>
          <w:rtlGutter w:val="0"/>
          <w:docGrid w:linePitch="360"/>
        </w:sectPr>
      </w:pPr>
      <w:r>
        <w:drawing>
          <wp:inline>
            <wp:extent cx="1718945" cy="981710"/>
            <wp:docPr id="701" name="Picutre 701"/>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235"/>
                    <a:stretch/>
                  </pic:blipFill>
                  <pic:spPr>
                    <a:xfrm>
                      <a:ext cx="1718945" cy="981710"/>
                    </a:xfrm>
                    <a:prstGeom prst="rect"/>
                  </pic:spPr>
                </pic:pic>
              </a:graphicData>
            </a:graphic>
          </wp:inline>
        </w:drawing>
      </w:r>
    </w:p>
    <w:p>
      <w:pPr>
        <w:pStyle w:val="Style39"/>
        <w:keepNext/>
        <w:keepLines/>
        <w:widowControl w:val="0"/>
        <w:shd w:val="clear" w:color="auto" w:fill="auto"/>
        <w:bidi w:val="0"/>
        <w:spacing w:before="0" w:after="180" w:line="408"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880"/>
      <w:bookmarkEnd w:id="881"/>
      <w:bookmarkEnd w:id="883"/>
    </w:p>
    <w:p>
      <w:pPr>
        <w:pStyle w:val="Style36"/>
        <w:keepNext w:val="0"/>
        <w:keepLines w:val="0"/>
        <w:widowControl w:val="0"/>
        <w:shd w:val="clear" w:color="auto" w:fill="auto"/>
        <w:bidi w:val="0"/>
        <w:spacing w:before="0" w:after="320" w:line="408" w:lineRule="exact"/>
        <w:ind w:left="0" w:right="0" w:firstLine="0"/>
        <w:jc w:val="left"/>
      </w:pPr>
      <w:r>
        <w:rPr>
          <w:color w:val="000000"/>
          <w:spacing w:val="0"/>
          <w:w w:val="100"/>
          <w:position w:val="0"/>
        </w:rPr>
        <w:t>不适用</w:t>
      </w:r>
    </w:p>
    <w:p>
      <w:pPr>
        <w:pStyle w:val="Style39"/>
        <w:keepNext/>
        <w:keepLines/>
        <w:widowControl w:val="0"/>
        <w:shd w:val="clear" w:color="auto" w:fill="auto"/>
        <w:tabs>
          <w:tab w:pos="483" w:val="left"/>
        </w:tabs>
        <w:bidi w:val="0"/>
        <w:spacing w:before="0" w:after="380" w:line="408"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7</w:t>
      </w:r>
      <w:r>
        <w:rPr>
          <w:color w:val="000000"/>
          <w:spacing w:val="0"/>
          <w:w w:val="100"/>
          <w:position w:val="0"/>
        </w:rPr>
        <w:t>、</w:t>
        <w:tab/>
        <w:t>主要会计政策、会计估计的变更</w:t>
      </w:r>
      <w:bookmarkEnd w:id="884"/>
      <w:bookmarkEnd w:id="885"/>
      <w:bookmarkEnd w:id="88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本报告期主要会计政策、会计估计是否变更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本报告期未发生会计政策及会计估计变更。</w:t>
      </w:r>
    </w:p>
    <w:p>
      <w:pPr>
        <w:pStyle w:val="Style39"/>
        <w:keepNext/>
        <w:keepLines/>
        <w:widowControl w:val="0"/>
        <w:shd w:val="clear" w:color="auto" w:fill="auto"/>
        <w:tabs>
          <w:tab w:pos="493" w:val="left"/>
        </w:tabs>
        <w:bidi w:val="0"/>
        <w:spacing w:before="0" w:after="380" w:line="408"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88"/>
      <w:bookmarkEnd w:id="889"/>
      <w:bookmarkEnd w:id="89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本报告期主要会计政策是否变更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本报告期未发生会计政策变更。</w:t>
      </w:r>
    </w:p>
    <w:p>
      <w:pPr>
        <w:pStyle w:val="Style39"/>
        <w:keepNext/>
        <w:keepLines/>
        <w:widowControl w:val="0"/>
        <w:shd w:val="clear" w:color="auto" w:fill="auto"/>
        <w:tabs>
          <w:tab w:pos="493" w:val="left"/>
        </w:tabs>
        <w:bidi w:val="0"/>
        <w:spacing w:before="0" w:after="380" w:line="408"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92"/>
      <w:bookmarkEnd w:id="893"/>
      <w:bookmarkEnd w:id="89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本报告期主要会计估计是否变更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本报告期未发生会计估计变更。</w:t>
      </w:r>
    </w:p>
    <w:p>
      <w:pPr>
        <w:pStyle w:val="Style39"/>
        <w:keepNext/>
        <w:keepLines/>
        <w:widowControl w:val="0"/>
        <w:shd w:val="clear" w:color="auto" w:fill="auto"/>
        <w:tabs>
          <w:tab w:pos="483" w:val="left"/>
        </w:tabs>
        <w:bidi w:val="0"/>
        <w:spacing w:before="0" w:after="380" w:line="408"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8</w:t>
      </w:r>
      <w:r>
        <w:rPr>
          <w:color w:val="000000"/>
          <w:spacing w:val="0"/>
          <w:w w:val="100"/>
          <w:position w:val="0"/>
        </w:rPr>
        <w:t>、</w:t>
        <w:tab/>
        <w:t>前期会计差错更正</w:t>
      </w:r>
      <w:bookmarkEnd w:id="896"/>
      <w:bookmarkEnd w:id="897"/>
      <w:bookmarkEnd w:id="89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20" w:line="408" w:lineRule="exact"/>
        <w:ind w:left="0" w:right="0" w:firstLine="0"/>
        <w:jc w:val="left"/>
      </w:pPr>
      <w:r>
        <w:rPr>
          <w:color w:val="000000"/>
          <w:spacing w:val="0"/>
          <w:w w:val="100"/>
          <w:position w:val="0"/>
        </w:rPr>
        <w:t>本报告期未发现采用追溯重述法的前期会计差错。 本报告期未发现采用未来适用法的前期会计差错。</w:t>
      </w:r>
    </w:p>
    <w:p>
      <w:pPr>
        <w:pStyle w:val="Style39"/>
        <w:keepNext/>
        <w:keepLines/>
        <w:widowControl w:val="0"/>
        <w:shd w:val="clear" w:color="auto" w:fill="auto"/>
        <w:tabs>
          <w:tab w:pos="493" w:val="left"/>
        </w:tabs>
        <w:bidi w:val="0"/>
        <w:spacing w:before="0" w:after="380" w:line="408" w:lineRule="exact"/>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00"/>
      <w:bookmarkEnd w:id="901"/>
      <w:bookmarkEnd w:id="90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本报告期未发现采用追溯重述法的前期会计差错。</w:t>
      </w:r>
    </w:p>
    <w:p>
      <w:pPr>
        <w:pStyle w:val="Style39"/>
        <w:keepNext/>
        <w:keepLines/>
        <w:widowControl w:val="0"/>
        <w:shd w:val="clear" w:color="auto" w:fill="auto"/>
        <w:tabs>
          <w:tab w:pos="493" w:val="left"/>
        </w:tabs>
        <w:bidi w:val="0"/>
        <w:spacing w:before="0" w:after="380" w:line="408" w:lineRule="exact"/>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04"/>
      <w:bookmarkEnd w:id="905"/>
      <w:bookmarkEnd w:id="90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本报告期未发现采用未来适用法的前期会计差错。</w:t>
      </w:r>
    </w:p>
    <w:p>
      <w:pPr>
        <w:pStyle w:val="Style39"/>
        <w:keepNext/>
        <w:keepLines/>
        <w:widowControl w:val="0"/>
        <w:shd w:val="clear" w:color="auto" w:fill="auto"/>
        <w:bidi w:val="0"/>
        <w:spacing w:before="0" w:after="38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9</w:t>
      </w:r>
      <w:r>
        <w:rPr>
          <w:color w:val="000000"/>
          <w:spacing w:val="0"/>
          <w:w w:val="100"/>
          <w:position w:val="0"/>
        </w:rPr>
        <w:t>、其他主要会计政策、会计估计和财务报表编制方法</w:t>
      </w:r>
      <w:bookmarkEnd w:id="908"/>
      <w:bookmarkEnd w:id="909"/>
      <w:bookmarkEnd w:id="91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五</w:t>
      </w:r>
      <w:bookmarkEnd w:id="914"/>
      <w:r>
        <w:rPr>
          <w:color w:val="000000"/>
          <w:spacing w:val="0"/>
          <w:w w:val="100"/>
          <w:position w:val="0"/>
        </w:rPr>
        <w:t>、税项</w:t>
      </w:r>
      <w:bookmarkEnd w:id="912"/>
      <w:bookmarkEnd w:id="913"/>
      <w:bookmarkEnd w:id="915"/>
    </w:p>
    <w:p>
      <w:pPr>
        <w:pStyle w:val="Style39"/>
        <w:keepNext/>
        <w:keepLines/>
        <w:widowControl w:val="0"/>
        <w:shd w:val="clear" w:color="auto" w:fill="auto"/>
        <w:bidi w:val="0"/>
        <w:spacing w:before="0" w:after="320" w:line="240" w:lineRule="auto"/>
        <w:ind w:left="0" w:right="0" w:firstLine="0"/>
        <w:jc w:val="both"/>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16"/>
      <w:bookmarkEnd w:id="917"/>
      <w:bookmarkEnd w:id="918"/>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销售收入、加工及修理修配劳务收入、 现代服务业收入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工程安装收入、房屋租赁收入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应纳增值税及营业税额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179" w:line="1" w:lineRule="exact"/>
      </w:pPr>
    </w:p>
    <w:p>
      <w:pPr>
        <w:pStyle w:val="Style39"/>
        <w:keepNext/>
        <w:keepLines/>
        <w:widowControl w:val="0"/>
        <w:shd w:val="clear" w:color="auto" w:fill="auto"/>
        <w:tabs>
          <w:tab w:pos="378" w:val="left"/>
        </w:tabs>
        <w:bidi w:val="0"/>
        <w:spacing w:before="0" w:after="180" w:line="412" w:lineRule="exact"/>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color w:val="000000"/>
          <w:spacing w:val="0"/>
          <w:w w:val="100"/>
          <w:position w:val="0"/>
        </w:rPr>
        <w:t>、</w:t>
        <w:tab/>
        <w:t>税收优惠及批文</w:t>
      </w:r>
      <w:bookmarkEnd w:id="919"/>
      <w:bookmarkEnd w:id="920"/>
      <w:bookmarkEnd w:id="922"/>
    </w:p>
    <w:p>
      <w:pPr>
        <w:pStyle w:val="Style36"/>
        <w:keepNext w:val="0"/>
        <w:keepLines w:val="0"/>
        <w:widowControl w:val="0"/>
        <w:shd w:val="clear" w:color="auto" w:fill="auto"/>
        <w:tabs>
          <w:tab w:pos="1021" w:val="left"/>
        </w:tabs>
        <w:bidi w:val="0"/>
        <w:spacing w:before="0" w:after="0" w:line="412" w:lineRule="exact"/>
        <w:ind w:left="0" w:right="0" w:firstLine="440"/>
        <w:jc w:val="both"/>
      </w:pPr>
      <w:bookmarkStart w:id="923" w:name="bookmark923"/>
      <w:r>
        <w:rPr>
          <w:color w:val="000000"/>
          <w:spacing w:val="0"/>
          <w:w w:val="100"/>
          <w:position w:val="0"/>
        </w:rPr>
        <w:t>（</w:t>
      </w:r>
      <w:bookmarkEnd w:id="923"/>
      <w:r>
        <w:rPr>
          <w:color w:val="000000"/>
          <w:spacing w:val="0"/>
          <w:w w:val="100"/>
          <w:position w:val="0"/>
        </w:rPr>
        <w:t>1）</w:t>
        <w:tab/>
      </w:r>
      <w:r>
        <w:rPr>
          <w:color w:val="000000"/>
          <w:spacing w:val="0"/>
          <w:w w:val="100"/>
          <w:position w:val="0"/>
        </w:rPr>
        <w:t>根据</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日财政部、国家税务总局财税】</w:t>
      </w:r>
      <w:r>
        <w:rPr>
          <w:color w:val="000000"/>
          <w:spacing w:val="0"/>
          <w:w w:val="100"/>
          <w:position w:val="0"/>
        </w:rPr>
        <w:t>2010]110</w:t>
      </w:r>
      <w:r>
        <w:rPr>
          <w:color w:val="000000"/>
          <w:spacing w:val="0"/>
          <w:w w:val="100"/>
          <w:position w:val="0"/>
        </w:rPr>
        <w:t>号《关于促进节能服务业产业发展增 值税营业税和企业所得税政策问题的通知》规定，自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日起，对符合条件的节能服务公司实施合 同能源管理项目，取得的营业税应税收入，暂免征收营业税。节能服务公司实施符合条件的合同能源管理 项目，将项目中的增值税应税货物转让给用能企业，暂免征收增值税。对符合条件的节能服务公司实施合 同能源管理项目，符合企业所得税税法有关规定的，自项目取得第一笔生产经营收入所属纳税年度起，第 一年至第三年免征企业所得税，第四年至第六年按照</w:t>
      </w:r>
      <w:r>
        <w:rPr>
          <w:color w:val="000000"/>
          <w:spacing w:val="0"/>
          <w:w w:val="100"/>
          <w:position w:val="0"/>
        </w:rPr>
        <w:t>25%</w:t>
      </w:r>
      <w:r>
        <w:rPr>
          <w:color w:val="000000"/>
          <w:spacing w:val="0"/>
          <w:w w:val="100"/>
          <w:position w:val="0"/>
        </w:rPr>
        <w:t>的法定税率减半征收企业所得税。</w:t>
      </w:r>
    </w:p>
    <w:p>
      <w:pPr>
        <w:pStyle w:val="Style36"/>
        <w:keepNext w:val="0"/>
        <w:keepLines w:val="0"/>
        <w:widowControl w:val="0"/>
        <w:shd w:val="clear" w:color="auto" w:fill="auto"/>
        <w:bidi w:val="0"/>
        <w:spacing w:before="0" w:after="0" w:line="412" w:lineRule="exact"/>
        <w:ind w:left="0" w:right="0" w:firstLine="0"/>
        <w:jc w:val="left"/>
      </w:pPr>
      <w:r>
        <w:rPr>
          <w:color w:val="000000"/>
          <w:spacing w:val="0"/>
          <w:w w:val="100"/>
          <w:position w:val="0"/>
        </w:rPr>
        <w:t>本公司的节能服务业务，依据上述规定享受税收优惠。</w:t>
      </w:r>
    </w:p>
    <w:p>
      <w:pPr>
        <w:pStyle w:val="Style36"/>
        <w:keepNext w:val="0"/>
        <w:keepLines w:val="0"/>
        <w:widowControl w:val="0"/>
        <w:shd w:val="clear" w:color="auto" w:fill="auto"/>
        <w:tabs>
          <w:tab w:pos="1011" w:val="left"/>
        </w:tabs>
        <w:bidi w:val="0"/>
        <w:spacing w:before="0" w:after="0" w:line="412" w:lineRule="exact"/>
        <w:ind w:left="0" w:right="0" w:firstLine="440"/>
        <w:jc w:val="both"/>
      </w:pPr>
      <w:bookmarkStart w:id="924" w:name="bookmark924"/>
      <w:r>
        <w:rPr>
          <w:color w:val="000000"/>
          <w:spacing w:val="0"/>
          <w:w w:val="100"/>
          <w:position w:val="0"/>
        </w:rPr>
        <w:t>（</w:t>
      </w:r>
      <w:bookmarkEnd w:id="924"/>
      <w:r>
        <w:rPr>
          <w:color w:val="000000"/>
          <w:spacing w:val="0"/>
          <w:w w:val="100"/>
          <w:position w:val="0"/>
        </w:rPr>
        <w:t>2）</w:t>
        <w:tab/>
      </w:r>
      <w:r>
        <w:rPr>
          <w:color w:val="000000"/>
          <w:spacing w:val="0"/>
          <w:w w:val="100"/>
          <w:position w:val="0"/>
        </w:rPr>
        <w:t>本公司及子公司深圳达实信息技术有限公司、上海达实联欣科技发展有限公司、北京达实德润 能源科技有限公司均系国家级高新技术企业，依据企业所得税法的规定适用</w:t>
      </w:r>
      <w:r>
        <w:rPr>
          <w:color w:val="000000"/>
          <w:spacing w:val="0"/>
          <w:w w:val="100"/>
          <w:position w:val="0"/>
        </w:rPr>
        <w:t>15%</w:t>
      </w:r>
      <w:r>
        <w:rPr>
          <w:color w:val="000000"/>
          <w:spacing w:val="0"/>
          <w:w w:val="100"/>
          <w:position w:val="0"/>
        </w:rPr>
        <w:t>的企业所得税税率。</w:t>
      </w:r>
    </w:p>
    <w:p>
      <w:pPr>
        <w:pStyle w:val="Style36"/>
        <w:keepNext w:val="0"/>
        <w:keepLines w:val="0"/>
        <w:widowControl w:val="0"/>
        <w:shd w:val="clear" w:color="auto" w:fill="auto"/>
        <w:bidi w:val="0"/>
        <w:spacing w:before="0" w:after="320" w:line="412" w:lineRule="exact"/>
        <w:ind w:left="0" w:right="0" w:firstLine="440"/>
        <w:jc w:val="both"/>
      </w:pPr>
      <w:bookmarkStart w:id="925" w:name="bookmark925"/>
      <w:r>
        <w:rPr>
          <w:color w:val="000000"/>
          <w:spacing w:val="0"/>
          <w:w w:val="100"/>
          <w:position w:val="0"/>
        </w:rPr>
        <w:t>（</w:t>
      </w:r>
      <w:bookmarkEnd w:id="925"/>
      <w:r>
        <w:rPr>
          <w:color w:val="000000"/>
          <w:spacing w:val="0"/>
          <w:w w:val="100"/>
          <w:position w:val="0"/>
        </w:rPr>
        <w:t xml:space="preserve">3） </w:t>
      </w:r>
      <w:r>
        <w:rPr>
          <w:color w:val="000000"/>
          <w:spacing w:val="0"/>
          <w:w w:val="100"/>
          <w:position w:val="0"/>
        </w:rPr>
        <w:t>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日起根据财政部、国家税务总局财税</w:t>
      </w:r>
      <w:r>
        <w:rPr>
          <w:color w:val="000000"/>
          <w:spacing w:val="0"/>
          <w:w w:val="100"/>
          <w:position w:val="0"/>
        </w:rPr>
        <w:t>[2011]10</w:t>
      </w:r>
      <w:r>
        <w:rPr>
          <w:color w:val="000000"/>
          <w:spacing w:val="0"/>
          <w:w w:val="100"/>
          <w:position w:val="0"/>
        </w:rPr>
        <w:t>。号《关于软件产品增值税政策的通 知》执行软件产品增值税政策，增值税一般纳税人销售其自行开发生产的软件产品，按</w:t>
      </w:r>
      <w:r>
        <w:rPr>
          <w:color w:val="000000"/>
          <w:spacing w:val="0"/>
          <w:w w:val="100"/>
          <w:position w:val="0"/>
        </w:rPr>
        <w:t>17%</w:t>
      </w:r>
      <w:r>
        <w:rPr>
          <w:color w:val="000000"/>
          <w:spacing w:val="0"/>
          <w:w w:val="100"/>
          <w:position w:val="0"/>
        </w:rPr>
        <w:t>税率征收增值 税后，对其增值税实际税负超过</w:t>
      </w:r>
      <w:r>
        <w:rPr>
          <w:color w:val="000000"/>
          <w:spacing w:val="0"/>
          <w:w w:val="100"/>
          <w:position w:val="0"/>
        </w:rPr>
        <w:t>3%</w:t>
      </w:r>
      <w:r>
        <w:rPr>
          <w:color w:val="000000"/>
          <w:spacing w:val="0"/>
          <w:w w:val="100"/>
          <w:position w:val="0"/>
        </w:rPr>
        <w:t>的部分实行即征即退政策。</w:t>
      </w:r>
    </w:p>
    <w:p>
      <w:pPr>
        <w:pStyle w:val="Style39"/>
        <w:keepNext/>
        <w:keepLines/>
        <w:widowControl w:val="0"/>
        <w:shd w:val="clear" w:color="auto" w:fill="auto"/>
        <w:tabs>
          <w:tab w:pos="378" w:val="left"/>
        </w:tabs>
        <w:bidi w:val="0"/>
        <w:spacing w:before="0" w:after="180" w:line="412" w:lineRule="exact"/>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color w:val="000000"/>
          <w:spacing w:val="0"/>
          <w:w w:val="100"/>
          <w:position w:val="0"/>
        </w:rPr>
        <w:t>、</w:t>
        <w:tab/>
        <w:t>其他说明</w:t>
      </w:r>
      <w:bookmarkEnd w:id="926"/>
      <w:bookmarkEnd w:id="927"/>
      <w:bookmarkEnd w:id="929"/>
    </w:p>
    <w:p>
      <w:pPr>
        <w:pStyle w:val="Style36"/>
        <w:keepNext w:val="0"/>
        <w:keepLines w:val="0"/>
        <w:widowControl w:val="0"/>
        <w:shd w:val="clear" w:color="auto" w:fill="auto"/>
        <w:bidi w:val="0"/>
        <w:spacing w:before="0" w:after="320" w:line="394" w:lineRule="exact"/>
        <w:ind w:left="0" w:right="0" w:firstLine="440"/>
        <w:jc w:val="both"/>
      </w:pPr>
      <w:r>
        <w:rPr>
          <w:color w:val="000000"/>
          <w:spacing w:val="0"/>
          <w:w w:val="100"/>
          <w:position w:val="0"/>
        </w:rPr>
        <w:t>子公司上海达实联欣科技发展有限公司及其子公司上海联欣金山建筑科技发展有限公司适用</w:t>
      </w:r>
      <w:r>
        <w:rPr>
          <w:color w:val="000000"/>
          <w:spacing w:val="0"/>
          <w:w w:val="100"/>
          <w:position w:val="0"/>
        </w:rPr>
        <w:t>1%</w:t>
      </w:r>
      <w:r>
        <w:rPr>
          <w:color w:val="000000"/>
          <w:spacing w:val="0"/>
          <w:w w:val="100"/>
          <w:position w:val="0"/>
        </w:rPr>
        <w:t>的城 市维护建设税税率，本公司及本公司其他子公司适用</w:t>
      </w:r>
      <w:r>
        <w:rPr>
          <w:color w:val="000000"/>
          <w:spacing w:val="0"/>
          <w:w w:val="100"/>
          <w:position w:val="0"/>
        </w:rPr>
        <w:t>7%</w:t>
      </w:r>
      <w:r>
        <w:rPr>
          <w:color w:val="000000"/>
          <w:spacing w:val="0"/>
          <w:w w:val="100"/>
          <w:position w:val="0"/>
        </w:rPr>
        <w:t>的城市维护建设税税率。</w:t>
      </w:r>
      <w:r>
        <w:br w:type="page"/>
      </w:r>
    </w:p>
    <w:p>
      <w:pPr>
        <w:pStyle w:val="Style27"/>
        <w:keepNext/>
        <w:keepLines/>
        <w:widowControl w:val="0"/>
        <w:shd w:val="clear" w:color="auto" w:fill="auto"/>
        <w:bidi w:val="0"/>
        <w:spacing w:before="0" w:after="36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六</w:t>
      </w:r>
      <w:bookmarkEnd w:id="932"/>
      <w:r>
        <w:rPr>
          <w:color w:val="000000"/>
          <w:spacing w:val="0"/>
          <w:w w:val="100"/>
          <w:position w:val="0"/>
        </w:rPr>
        <w:t>、企业合并及合并财务报表</w:t>
      </w:r>
      <w:bookmarkEnd w:id="930"/>
      <w:bookmarkEnd w:id="931"/>
      <w:bookmarkEnd w:id="933"/>
    </w:p>
    <w:p>
      <w:pPr>
        <w:pStyle w:val="Style39"/>
        <w:keepNext/>
        <w:keepLines/>
        <w:widowControl w:val="0"/>
        <w:shd w:val="clear" w:color="auto" w:fill="auto"/>
        <w:bidi w:val="0"/>
        <w:spacing w:before="0" w:after="0" w:line="437" w:lineRule="auto"/>
        <w:ind w:left="0" w:right="0" w:firstLine="0"/>
        <w:jc w:val="left"/>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34"/>
      <w:bookmarkEnd w:id="935"/>
      <w:bookmarkEnd w:id="936"/>
    </w:p>
    <w:p>
      <w:pPr>
        <w:pStyle w:val="Style36"/>
        <w:keepNext w:val="0"/>
        <w:keepLines w:val="0"/>
        <w:widowControl w:val="0"/>
        <w:shd w:val="clear" w:color="auto" w:fill="auto"/>
        <w:bidi w:val="0"/>
        <w:spacing w:before="0" w:after="300" w:line="418" w:lineRule="exact"/>
        <w:ind w:left="0" w:right="0" w:firstLine="440"/>
        <w:jc w:val="both"/>
      </w:pPr>
      <w:r>
        <w:rPr>
          <w:color w:val="000000"/>
          <w:spacing w:val="0"/>
          <w:w w:val="100"/>
          <w:position w:val="0"/>
        </w:rPr>
        <w:t>公司共有</w:t>
      </w:r>
      <w:r>
        <w:rPr>
          <w:color w:val="000000"/>
          <w:spacing w:val="0"/>
          <w:w w:val="100"/>
          <w:position w:val="0"/>
        </w:rPr>
        <w:t>5</w:t>
      </w:r>
      <w:r>
        <w:rPr>
          <w:color w:val="000000"/>
          <w:spacing w:val="0"/>
          <w:w w:val="100"/>
          <w:position w:val="0"/>
        </w:rPr>
        <w:t>家子公司，分别是全资子公司达实信息、控股子公司达实自动化、达实德润、达实联欣以 及达实租赁。其中达实租赁是本报告期新设立的控股子公司，公司持有</w:t>
      </w:r>
      <w:r>
        <w:rPr>
          <w:color w:val="000000"/>
          <w:spacing w:val="0"/>
          <w:w w:val="100"/>
          <w:position w:val="0"/>
        </w:rPr>
        <w:t>75%</w:t>
      </w:r>
      <w:r>
        <w:rPr>
          <w:color w:val="000000"/>
          <w:spacing w:val="0"/>
          <w:w w:val="100"/>
          <w:position w:val="0"/>
        </w:rPr>
        <w:t>股权。</w:t>
      </w:r>
    </w:p>
    <w:p>
      <w:pPr>
        <w:pStyle w:val="Style39"/>
        <w:keepNext/>
        <w:keepLines/>
        <w:widowControl w:val="0"/>
        <w:numPr>
          <w:ilvl w:val="0"/>
          <w:numId w:val="35"/>
        </w:numPr>
        <w:shd w:val="clear" w:color="auto" w:fill="auto"/>
        <w:bidi w:val="0"/>
        <w:spacing w:before="0" w:line="418"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通过设立或投资等方式取得的子公司</w:t>
      </w:r>
      <w:bookmarkEnd w:id="937"/>
      <w:bookmarkEnd w:id="938"/>
      <w:bookmarkEnd w:id="9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 实融资 租赁有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 赁业 务；租 赁业 务；向 国内外 购买租 赁资 产；租 赁资产 的残值 处理及 维修； 租赁交 易咨询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 赁业 务；租 赁业 务；向 国内外 购买租 赁资 产；租 赁资产 的残值 处理及 维修； 租赁交 易咨询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237"/>
          <w:footerReference w:type="default" r:id="rId238"/>
          <w:headerReference w:type="even" r:id="rId239"/>
          <w:footerReference w:type="even" r:id="rId240"/>
          <w:headerReference w:type="first" r:id="rId241"/>
          <w:footerReference w:type="first" r:id="rId242"/>
          <w:footnotePr>
            <w:pos w:val="pageBottom"/>
            <w:numFmt w:val="decimal"/>
            <w:numRestart w:val="continuous"/>
          </w:footnotePr>
          <w:pgSz w:w="11900" w:h="16840"/>
          <w:pgMar w:top="1306" w:right="1039" w:bottom="1642" w:left="1069"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和担 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和担 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pStyle w:val="Style36"/>
        <w:keepNext w:val="0"/>
        <w:keepLines w:val="0"/>
        <w:widowControl w:val="0"/>
        <w:shd w:val="clear" w:color="auto" w:fill="auto"/>
        <w:bidi w:val="0"/>
        <w:spacing w:before="0" w:after="500" w:line="403" w:lineRule="exact"/>
        <w:ind w:left="0" w:right="0" w:firstLine="440"/>
        <w:jc w:val="left"/>
      </w:pPr>
      <w:r>
        <w:rPr>
          <w:color w:val="000000"/>
          <w:spacing w:val="0"/>
          <w:w w:val="100"/>
          <w:position w:val="0"/>
        </w:rPr>
        <w:t>公司与东兴企业澳门离岸商业服务有限公司组建的深圳达实融资租赁有限公司，其注册资本为</w:t>
      </w:r>
      <w:r>
        <w:rPr>
          <w:color w:val="000000"/>
          <w:spacing w:val="0"/>
          <w:w w:val="100"/>
          <w:position w:val="0"/>
        </w:rPr>
        <w:t xml:space="preserve">10,000 </w:t>
      </w:r>
      <w:r>
        <w:rPr>
          <w:color w:val="000000"/>
          <w:spacing w:val="0"/>
          <w:w w:val="100"/>
          <w:position w:val="0"/>
        </w:rPr>
        <w:t>万元，公司持股比例为</w:t>
      </w:r>
      <w:r>
        <w:rPr>
          <w:color w:val="000000"/>
          <w:spacing w:val="0"/>
          <w:w w:val="100"/>
          <w:position w:val="0"/>
        </w:rPr>
        <w:t>75%</w:t>
      </w:r>
      <w:r>
        <w:rPr>
          <w:color w:val="000000"/>
          <w:spacing w:val="0"/>
          <w:w w:val="100"/>
          <w:position w:val="0"/>
        </w:rPr>
        <w:t>，股东首期出资比例为</w:t>
      </w:r>
      <w:r>
        <w:rPr>
          <w:color w:val="000000"/>
          <w:spacing w:val="0"/>
          <w:w w:val="100"/>
          <w:position w:val="0"/>
        </w:rPr>
        <w:t>30%</w:t>
      </w:r>
      <w:r>
        <w:rPr>
          <w:color w:val="000000"/>
          <w:spacing w:val="0"/>
          <w:w w:val="100"/>
          <w:position w:val="0"/>
        </w:rPr>
        <w:t>。</w:t>
      </w:r>
    </w:p>
    <w:p>
      <w:pPr>
        <w:pStyle w:val="Style39"/>
        <w:keepNext/>
        <w:keepLines/>
        <w:widowControl w:val="0"/>
        <w:numPr>
          <w:ilvl w:val="0"/>
          <w:numId w:val="35"/>
        </w:numPr>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同一控制下企业合并取得的子公司</w:t>
      </w:r>
      <w:bookmarkEnd w:id="941"/>
      <w:bookmarkEnd w:id="942"/>
      <w:bookmarkEnd w:id="9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上海达 实自动 化工程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楼宇自 动化、 工业自 动化、 办公自 动化系 统的设 计、开 发、安 装、调 试及维 修服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楼宇自 动化、 工业自 动化、 办公自 动化系 统的设 计、开 发、安 装、调 试及维 修服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499" w:line="1" w:lineRule="exact"/>
      </w:pPr>
    </w:p>
    <w:p>
      <w:pPr>
        <w:widowControl w:val="0"/>
        <w:jc w:val="center"/>
        <w:rPr>
          <w:sz w:val="2"/>
          <w:szCs w:val="2"/>
        </w:rPr>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441" w:right="1109" w:bottom="125" w:left="1109" w:header="0" w:footer="3" w:gutter="0"/>
          <w:cols w:space="720"/>
          <w:noEndnote/>
          <w:rtlGutter w:val="0"/>
          <w:docGrid w:linePitch="360"/>
        </w:sectPr>
      </w:pPr>
      <w:r>
        <w:drawing>
          <wp:inline>
            <wp:extent cx="1718945" cy="981710"/>
            <wp:docPr id="733" name="Picutre 733"/>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247"/>
                    <a:stretch/>
                  </pic:blipFill>
                  <pic:spPr>
                    <a:xfrm>
                      <a:ext cx="1718945" cy="981710"/>
                    </a:xfrm>
                    <a:prstGeom prst="rect"/>
                  </pic:spPr>
                </pic:pic>
              </a:graphicData>
            </a:graphic>
          </wp:inline>
        </w:drawing>
      </w:r>
    </w:p>
    <w:p>
      <w:pPr>
        <w:pStyle w:val="Style39"/>
        <w:keepNext/>
        <w:keepLines/>
        <w:widowControl w:val="0"/>
        <w:numPr>
          <w:ilvl w:val="0"/>
          <w:numId w:val="35"/>
        </w:numPr>
        <w:shd w:val="clear" w:color="auto" w:fill="auto"/>
        <w:bidi w:val="0"/>
        <w:spacing w:before="0" w:after="38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非同一控制下企业合并取得的子公司</w:t>
      </w:r>
      <w:bookmarkEnd w:id="945"/>
      <w:bookmarkEnd w:id="946"/>
      <w:bookmarkEnd w:id="9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 实信息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安防行 业，智 能一卡 通和计 算机系 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安防行 业，智 能一卡 通和计 算机系 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北京达 实德润 能源科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 询服 务；计 算机系 统服务 及维 修，销 售计算 机、电 子、机 械产品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 询服 务；计 算机系 统服务 及维 修，销 售计算 机、电 子、机 械产品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上海达 实联欣 科技发 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建筑智 能化， 安防行 业，电 气及设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建筑智 能化， 安防行 业，电 气及设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备集成 系统， 技术咨 询服 务，销 售五金 电缆防 水装潢 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备集成 系统， 技术咨 询服 务，销 售五金 电缆防 水装潢 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39"/>
        <w:keepNext/>
        <w:keepLines/>
        <w:widowControl w:val="0"/>
        <w:shd w:val="clear" w:color="auto" w:fill="auto"/>
        <w:tabs>
          <w:tab w:pos="378" w:val="left"/>
        </w:tabs>
        <w:bidi w:val="0"/>
        <w:spacing w:before="0" w:after="240" w:line="42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color w:val="000000"/>
          <w:spacing w:val="0"/>
          <w:w w:val="100"/>
          <w:position w:val="0"/>
        </w:rPr>
        <w:t>、</w:t>
        <w:tab/>
        <w:t>合并范围发生变更的说明</w:t>
      </w:r>
      <w:bookmarkEnd w:id="949"/>
      <w:bookmarkEnd w:id="950"/>
      <w:bookmarkEnd w:id="95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合并报表范围发生变更说明</w:t>
      </w:r>
    </w:p>
    <w:p>
      <w:pPr>
        <w:pStyle w:val="Style36"/>
        <w:keepNext w:val="0"/>
        <w:keepLines w:val="0"/>
        <w:widowControl w:val="0"/>
        <w:shd w:val="clear" w:color="auto" w:fill="auto"/>
        <w:bidi w:val="0"/>
        <w:spacing w:before="0" w:after="240" w:line="403" w:lineRule="exact"/>
        <w:ind w:left="0" w:right="0" w:firstLine="440"/>
        <w:jc w:val="both"/>
      </w:pPr>
      <w:r>
        <w:rPr>
          <w:color w:val="000000"/>
          <w:spacing w:val="0"/>
          <w:w w:val="100"/>
          <w:position w:val="0"/>
        </w:rPr>
        <w:t>报告期内，公司与东兴企业澳门离岸商业服务有限公司组建的深圳达实融资租赁有限公司，本期纳入 合并报表范围。其注册资本为</w:t>
      </w:r>
      <w:r>
        <w:rPr>
          <w:color w:val="000000"/>
          <w:spacing w:val="0"/>
          <w:w w:val="100"/>
          <w:position w:val="0"/>
        </w:rPr>
        <w:t>10,000</w:t>
      </w:r>
      <w:r>
        <w:rPr>
          <w:color w:val="000000"/>
          <w:spacing w:val="0"/>
          <w:w w:val="100"/>
          <w:position w:val="0"/>
        </w:rPr>
        <w:t>万元，公司持股比例为</w:t>
      </w:r>
      <w:r>
        <w:rPr>
          <w:color w:val="000000"/>
          <w:spacing w:val="0"/>
          <w:w w:val="100"/>
          <w:position w:val="0"/>
        </w:rPr>
        <w:t>75%,</w:t>
      </w:r>
      <w:r>
        <w:rPr>
          <w:color w:val="000000"/>
          <w:spacing w:val="0"/>
          <w:w w:val="100"/>
          <w:position w:val="0"/>
        </w:rPr>
        <w:t>股东首期出资比例</w:t>
      </w:r>
      <w:r>
        <w:rPr>
          <w:color w:val="000000"/>
          <w:spacing w:val="0"/>
          <w:w w:val="100"/>
          <w:position w:val="0"/>
        </w:rPr>
        <w:t>30%</w:t>
      </w:r>
      <w:r>
        <w:rPr>
          <w:color w:val="000000"/>
          <w:spacing w:val="0"/>
          <w:w w:val="100"/>
          <w:position w:val="0"/>
        </w:rPr>
        <w:t>。</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36"/>
        <w:keepNext w:val="0"/>
        <w:keepLines w:val="0"/>
        <w:widowControl w:val="0"/>
        <w:shd w:val="clear" w:color="auto" w:fill="auto"/>
        <w:bidi w:val="0"/>
        <w:spacing w:before="0" w:after="340" w:line="403" w:lineRule="exact"/>
        <w:ind w:left="0" w:right="0" w:firstLine="440"/>
        <w:jc w:val="both"/>
      </w:pPr>
      <w:r>
        <w:rPr>
          <w:color w:val="000000"/>
          <w:spacing w:val="0"/>
          <w:w w:val="100"/>
          <w:position w:val="0"/>
        </w:rPr>
        <w:t>报告期内，公司与东兴企业澳门离岸商业服务有限公司组建的深圳达实融资租赁有限公司，本期纳入 合并报表范围。其注册资本为</w:t>
      </w:r>
      <w:r>
        <w:rPr>
          <w:color w:val="000000"/>
          <w:spacing w:val="0"/>
          <w:w w:val="100"/>
          <w:position w:val="0"/>
        </w:rPr>
        <w:t>10,000</w:t>
      </w:r>
      <w:r>
        <w:rPr>
          <w:color w:val="000000"/>
          <w:spacing w:val="0"/>
          <w:w w:val="100"/>
          <w:position w:val="0"/>
        </w:rPr>
        <w:t>万元，公司持股比例为</w:t>
      </w:r>
      <w:r>
        <w:rPr>
          <w:color w:val="000000"/>
          <w:spacing w:val="0"/>
          <w:w w:val="100"/>
          <w:position w:val="0"/>
        </w:rPr>
        <w:t>75%,</w:t>
      </w:r>
      <w:r>
        <w:rPr>
          <w:color w:val="000000"/>
          <w:spacing w:val="0"/>
          <w:w w:val="100"/>
          <w:position w:val="0"/>
        </w:rPr>
        <w:t>股东首期出资比例</w:t>
      </w:r>
      <w:r>
        <w:rPr>
          <w:color w:val="000000"/>
          <w:spacing w:val="0"/>
          <w:w w:val="100"/>
          <w:position w:val="0"/>
        </w:rPr>
        <w:t>30%</w:t>
      </w:r>
      <w:r>
        <w:rPr>
          <w:color w:val="000000"/>
          <w:spacing w:val="0"/>
          <w:w w:val="100"/>
          <w:position w:val="0"/>
        </w:rPr>
        <w:t>。</w:t>
      </w:r>
    </w:p>
    <w:p>
      <w:pPr>
        <w:pStyle w:val="Style39"/>
        <w:keepNext/>
        <w:keepLines/>
        <w:widowControl w:val="0"/>
        <w:shd w:val="clear" w:color="auto" w:fill="auto"/>
        <w:tabs>
          <w:tab w:pos="378" w:val="left"/>
        </w:tabs>
        <w:bidi w:val="0"/>
        <w:spacing w:before="0" w:after="380" w:line="403" w:lineRule="exact"/>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w:t>
        <w:tab/>
        <w:t>报告期内新纳入合并范围的主体和报告期内不再纳入合并范围的主体</w:t>
      </w:r>
      <w:bookmarkEnd w:id="953"/>
      <w:bookmarkEnd w:id="954"/>
      <w:bookmarkEnd w:id="95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30,121,509.98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-16,488.70</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七</w:t>
      </w:r>
      <w:bookmarkEnd w:id="959"/>
      <w:r>
        <w:rPr>
          <w:color w:val="000000"/>
          <w:spacing w:val="0"/>
          <w:w w:val="100"/>
          <w:position w:val="0"/>
        </w:rPr>
        <w:t>、合并财务报表主要项目注释</w:t>
      </w:r>
      <w:bookmarkEnd w:id="957"/>
      <w:bookmarkEnd w:id="958"/>
      <w:bookmarkEnd w:id="960"/>
    </w:p>
    <w:p>
      <w:pPr>
        <w:pStyle w:val="Style39"/>
        <w:keepNext/>
        <w:keepLines/>
        <w:widowControl w:val="0"/>
        <w:shd w:val="clear" w:color="auto" w:fill="auto"/>
        <w:bidi w:val="0"/>
        <w:spacing w:before="0" w:after="340" w:line="240" w:lineRule="auto"/>
        <w:ind w:left="0" w:right="0" w:firstLine="0"/>
        <w:jc w:val="left"/>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1"/>
      <w:bookmarkEnd w:id="962"/>
      <w:bookmarkEnd w:id="9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149,346.63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249,811.13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130,225.70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230,954.63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18,856.50</w:t>
            </w:r>
          </w:p>
        </w:tc>
      </w:tr>
    </w:tbl>
    <w:p>
      <w:pPr>
        <w:spacing w:lineRule="exact" w:line="1"/>
        <w:rPr>
          <w:sz w:val="2"/>
          <w:szCs w:val="2"/>
        </w:rPr>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218,598,814.01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221,348,705.17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210,891,177.30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221,259,434.37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40,486.06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40,482.35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1,258,968.75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7,675,806.57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5,974,055.90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10,447,746.57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5,974,055.90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10,447,746.57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224,722,216.54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232,046,262.87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6"/>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日其他货币资金中存放于指定账户的保函保证金存款共计</w:t>
      </w:r>
      <w:r>
        <w:rPr>
          <w:color w:val="000000"/>
          <w:spacing w:val="0"/>
          <w:w w:val="100"/>
          <w:position w:val="0"/>
        </w:rPr>
        <w:t>5,974,055.90</w:t>
      </w:r>
      <w:r>
        <w:rPr>
          <w:color w:val="000000"/>
          <w:spacing w:val="0"/>
          <w:w w:val="100"/>
          <w:position w:val="0"/>
        </w:rPr>
        <w:t>元，其中到期保 函保证金存款</w:t>
      </w:r>
      <w:r>
        <w:rPr>
          <w:color w:val="000000"/>
          <w:spacing w:val="0"/>
          <w:w w:val="100"/>
          <w:position w:val="0"/>
        </w:rPr>
        <w:t xml:space="preserve">5, 415, </w:t>
      </w:r>
      <w:r>
        <w:rPr>
          <w:color w:val="000000"/>
          <w:spacing w:val="0"/>
          <w:w w:val="100"/>
          <w:position w:val="0"/>
        </w:rPr>
        <w:t>983.4</w:t>
      </w:r>
      <w:r>
        <w:rPr>
          <w:color w:val="000000"/>
          <w:spacing w:val="0"/>
          <w:w w:val="100"/>
          <w:position w:val="0"/>
        </w:rPr>
        <w:t>0</w:t>
      </w:r>
      <w:r>
        <w:rPr>
          <w:color w:val="000000"/>
          <w:spacing w:val="0"/>
          <w:w w:val="100"/>
          <w:position w:val="0"/>
        </w:rPr>
        <w:t>元，未到期保函保证金存款</w:t>
      </w:r>
      <w:r>
        <w:rPr>
          <w:color w:val="000000"/>
          <w:spacing w:val="0"/>
          <w:w w:val="100"/>
          <w:position w:val="0"/>
        </w:rPr>
        <w:t xml:space="preserve">475, </w:t>
      </w:r>
      <w:r>
        <w:rPr>
          <w:color w:val="000000"/>
          <w:spacing w:val="0"/>
          <w:w w:val="100"/>
          <w:position w:val="0"/>
        </w:rPr>
        <w:t xml:space="preserve">222. </w:t>
      </w:r>
      <w:r>
        <w:rPr>
          <w:color w:val="000000"/>
          <w:spacing w:val="0"/>
          <w:w w:val="100"/>
          <w:position w:val="0"/>
        </w:rPr>
        <w:t>50</w:t>
      </w:r>
      <w:r>
        <w:rPr>
          <w:color w:val="000000"/>
          <w:spacing w:val="0"/>
          <w:w w:val="100"/>
          <w:position w:val="0"/>
        </w:rPr>
        <w:t>元，信用卡保证金</w:t>
      </w:r>
      <w:r>
        <w:rPr>
          <w:color w:val="000000"/>
          <w:spacing w:val="0"/>
          <w:w w:val="100"/>
          <w:position w:val="0"/>
        </w:rPr>
        <w:t>82,850.0</w:t>
      </w:r>
      <w:r>
        <w:rPr>
          <w:color w:val="000000"/>
          <w:spacing w:val="0"/>
          <w:w w:val="100"/>
          <w:position w:val="0"/>
        </w:rPr>
        <w:t>0</w:t>
      </w:r>
      <w:r>
        <w:rPr>
          <w:color w:val="000000"/>
          <w:spacing w:val="0"/>
          <w:w w:val="100"/>
          <w:position w:val="0"/>
        </w:rPr>
        <w:t>元。</w:t>
      </w:r>
    </w:p>
    <w:p>
      <w:pPr>
        <w:pStyle w:val="Style39"/>
        <w:keepNext/>
        <w:keepLines/>
        <w:widowControl w:val="0"/>
        <w:shd w:val="clear" w:color="auto" w:fill="auto"/>
        <w:bidi w:val="0"/>
        <w:spacing w:before="0" w:after="220" w:line="408" w:lineRule="exact"/>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64"/>
      <w:bookmarkEnd w:id="965"/>
      <w:bookmarkEnd w:id="966"/>
    </w:p>
    <w:p>
      <w:pPr>
        <w:pStyle w:val="Style39"/>
        <w:keepNext/>
        <w:keepLines/>
        <w:widowControl w:val="0"/>
        <w:shd w:val="clear" w:color="auto" w:fill="auto"/>
        <w:bidi w:val="0"/>
        <w:spacing w:before="0" w:line="408" w:lineRule="exact"/>
        <w:ind w:left="0" w:right="0" w:firstLine="0"/>
        <w:jc w:val="left"/>
      </w:pPr>
      <w:bookmarkStart w:id="964" w:name="bookmark964"/>
      <w:bookmarkStart w:id="965" w:name="bookmark965"/>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64"/>
      <w:bookmarkEnd w:id="965"/>
      <w:bookmarkEnd w:id="9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color w:val="000000"/>
          <w:spacing w:val="0"/>
          <w:w w:val="100"/>
          <w:position w:val="0"/>
        </w:rPr>
        <w:t>、应收票据</w:t>
      </w:r>
      <w:bookmarkEnd w:id="969"/>
      <w:bookmarkEnd w:id="970"/>
      <w:bookmarkEnd w:id="972"/>
    </w:p>
    <w:p>
      <w:pPr>
        <w:pStyle w:val="Style39"/>
        <w:keepNext/>
        <w:keepLines/>
        <w:widowControl w:val="0"/>
        <w:shd w:val="clear" w:color="auto" w:fill="auto"/>
        <w:bidi w:val="0"/>
        <w:spacing w:before="0" w:line="240" w:lineRule="auto"/>
        <w:ind w:left="0" w:right="0" w:firstLine="0"/>
        <w:jc w:val="left"/>
      </w:pPr>
      <w:bookmarkStart w:id="969" w:name="bookmark969"/>
      <w:bookmarkStart w:id="970" w:name="bookmark970"/>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69"/>
      <w:bookmarkEnd w:id="970"/>
      <w:bookmarkEnd w:id="9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5,678,210.79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12,237,388.21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7,449,324.00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17,915,599.00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7,579,255.00</w:t>
            </w:r>
          </w:p>
        </w:tc>
      </w:tr>
    </w:tbl>
    <w:p>
      <w:pPr>
        <w:widowControl w:val="0"/>
        <w:spacing w:after="219" w:line="1" w:lineRule="exact"/>
      </w:pPr>
    </w:p>
    <w:p>
      <w:pPr>
        <w:pStyle w:val="Style39"/>
        <w:keepNext/>
        <w:keepLines/>
        <w:widowControl w:val="0"/>
        <w:shd w:val="clear" w:color="auto" w:fill="auto"/>
        <w:bidi w:val="0"/>
        <w:spacing w:before="0" w:line="336" w:lineRule="exact"/>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）因出票人无力履约而将票据转为应收账款的票据，以及期末公司已经背书给他方但尚未到期的票据 情况</w:t>
      </w:r>
      <w:bookmarkEnd w:id="975"/>
      <w:bookmarkEnd w:id="976"/>
      <w:bookmarkEnd w:id="9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58"/>
        <w:gridCol w:w="1762"/>
        <w:gridCol w:w="1747"/>
        <w:gridCol w:w="1738"/>
        <w:gridCol w:w="17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公司已经背书给其他方但尚未到期的票据</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57"/>
        <w:gridCol w:w="1752"/>
        <w:gridCol w:w="1757"/>
        <w:gridCol w:w="17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1,632,065.00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建业住宅集团(中国)有限公司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恒大地产集团大邑有限公司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519,330.46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深圳市方大装饰工程有限公司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444,194.00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成都晨明置业有限公司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305,980.97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3,601,570.43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日，公司已经背书给他方但尚未到期的票据金额为</w:t>
      </w:r>
      <w:r>
        <w:rPr>
          <w:rFonts w:ascii="Times New Roman" w:eastAsia="Times New Roman" w:hAnsi="Times New Roman" w:cs="Times New Roman"/>
          <w:color w:val="000000"/>
          <w:spacing w:val="0"/>
          <w:w w:val="100"/>
          <w:position w:val="0"/>
        </w:rPr>
        <w:t>7,122,371.78</w:t>
      </w:r>
      <w:r>
        <w:rPr>
          <w:color w:val="000000"/>
          <w:spacing w:val="0"/>
          <w:w w:val="100"/>
          <w:position w:val="0"/>
        </w:rPr>
        <w:t>元。</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9"/>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color w:val="000000"/>
          <w:spacing w:val="0"/>
          <w:w w:val="100"/>
          <w:position w:val="0"/>
        </w:rPr>
        <w:t>、应收利息</w:t>
      </w:r>
      <w:bookmarkEnd w:id="979"/>
      <w:bookmarkEnd w:id="980"/>
      <w:bookmarkEnd w:id="982"/>
    </w:p>
    <w:p>
      <w:pPr>
        <w:pStyle w:val="Style39"/>
        <w:keepNext/>
        <w:keepLines/>
        <w:widowControl w:val="0"/>
        <w:numPr>
          <w:ilvl w:val="0"/>
          <w:numId w:val="37"/>
        </w:numPr>
        <w:shd w:val="clear" w:color="auto" w:fill="auto"/>
        <w:bidi w:val="0"/>
        <w:spacing w:before="0" w:line="240" w:lineRule="auto"/>
        <w:ind w:left="0" w:right="0" w:firstLine="140"/>
        <w:jc w:val="left"/>
      </w:pPr>
      <w:bookmarkStart w:id="979" w:name="bookmark979"/>
      <w:bookmarkStart w:id="980" w:name="bookmark980"/>
      <w:bookmarkStart w:id="983" w:name="bookmark983"/>
      <w:bookmarkStart w:id="984" w:name="bookmark984"/>
      <w:bookmarkEnd w:id="983"/>
      <w:r>
        <w:rPr>
          <w:color w:val="000000"/>
          <w:spacing w:val="0"/>
          <w:w w:val="100"/>
          <w:position w:val="0"/>
        </w:rPr>
        <w:t>应收利息</w:t>
      </w:r>
      <w:bookmarkEnd w:id="979"/>
      <w:bookmarkEnd w:id="980"/>
      <w:bookmarkEnd w:id="9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52,616.68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52,616.68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5</w:t>
      </w:r>
      <w:bookmarkEnd w:id="987"/>
      <w:r>
        <w:rPr>
          <w:color w:val="000000"/>
          <w:spacing w:val="0"/>
          <w:w w:val="100"/>
          <w:position w:val="0"/>
        </w:rPr>
        <w:t>、应收账款</w:t>
      </w:r>
      <w:bookmarkEnd w:id="985"/>
      <w:bookmarkEnd w:id="986"/>
      <w:bookmarkEnd w:id="988"/>
    </w:p>
    <w:p>
      <w:pPr>
        <w:pStyle w:val="Style39"/>
        <w:keepNext/>
        <w:keepLines/>
        <w:widowControl w:val="0"/>
        <w:shd w:val="clear" w:color="auto" w:fill="auto"/>
        <w:bidi w:val="0"/>
        <w:spacing w:before="0" w:line="240" w:lineRule="auto"/>
        <w:ind w:left="0" w:right="0" w:firstLine="0"/>
        <w:jc w:val="left"/>
      </w:pPr>
      <w:bookmarkStart w:id="985" w:name="bookmark985"/>
      <w:bookmarkStart w:id="986" w:name="bookmark986"/>
      <w:bookmarkStart w:id="989" w:name="bookmark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985"/>
      <w:bookmarkEnd w:id="986"/>
      <w:bookmarkEnd w:id="9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210"/>
        <w:gridCol w:w="653"/>
        <w:gridCol w:w="1229"/>
        <w:gridCol w:w="629"/>
        <w:gridCol w:w="1229"/>
        <w:gridCol w:w="710"/>
        <w:gridCol w:w="1205"/>
        <w:gridCol w:w="7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548,781,739.56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24,463,095.98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403,147,138.57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20,712,228.39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548,781,739.56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24,463,095.98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403,147,138.57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20,712,228.39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548,907,219.05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24,588,575.47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403,272,618.06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20,837,707.88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440"/>
        <w:jc w:val="left"/>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441" w:right="1042" w:bottom="1580" w:left="1067" w:header="0" w:footer="3" w:gutter="0"/>
          <w:cols w:space="720"/>
          <w:noEndnote/>
          <w:rtlGutter w:val="0"/>
          <w:docGrid w:linePitch="360"/>
        </w:sectPr>
      </w:pPr>
      <w:r>
        <w:rPr>
          <w:color w:val="000000"/>
          <w:spacing w:val="0"/>
          <w:w w:val="100"/>
          <w:position w:val="0"/>
        </w:rPr>
        <w:t>本公司根据公司经营规模、业务性质及客户结算状况等确定单项金额重大的应收账款标准为</w:t>
      </w:r>
      <w:r>
        <w:rPr>
          <w:color w:val="000000"/>
          <w:spacing w:val="0"/>
          <w:w w:val="100"/>
          <w:position w:val="0"/>
        </w:rPr>
        <w:t>10</w:t>
      </w:r>
      <w:r>
        <w:rPr>
          <w:color w:val="000000"/>
          <w:spacing w:val="0"/>
          <w:w w:val="100"/>
          <w:position w:val="0"/>
        </w:rPr>
        <w:t>。万元。</w:t>
      </w:r>
    </w:p>
    <w:p>
      <w:pPr>
        <w:pStyle w:val="Style36"/>
        <w:keepNext w:val="0"/>
        <w:keepLines w:val="0"/>
        <w:widowControl w:val="0"/>
        <w:shd w:val="clear" w:color="auto" w:fill="auto"/>
        <w:bidi w:val="0"/>
        <w:spacing w:before="0" w:after="560" w:line="240" w:lineRule="auto"/>
        <w:ind w:left="0" w:right="0" w:firstLine="0"/>
        <w:jc w:val="both"/>
      </w:pPr>
      <w:r>
        <w:rPr>
          <w:color w:val="000000"/>
          <w:spacing w:val="0"/>
          <w:w w:val="100"/>
          <w:position w:val="0"/>
        </w:rPr>
        <w:t>单项金额重大的应收账款期末不存在减值情形，按账龄分析法计提坏账准备。</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410,573,101.42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12,317,193.02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342,931,137.15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10,287,934.11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113,858,723.64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5,692,936.18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29,901,641.40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1,495,082.07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14,304,976.22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1,430,497.63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15,569,919.51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1,556,991.95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10,044,938.28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5,022,469.15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14,744,440.51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7,372,220.26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4,655,851.17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2,327,925.58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13,094,885.67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6,547,442.84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3,685,473.03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1,842,736.52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824,777.42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1,703,614.08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548,781,739.56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24,463,095.98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403,147,138.57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20,712,228.39</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69"/>
        <w:gridCol w:w="1579"/>
        <w:gridCol w:w="1574"/>
        <w:gridCol w:w="1382"/>
        <w:gridCol w:w="1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诸暨市招投标中心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港中旅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海洋温泉有限公司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27,287.19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27,287.19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广州颐和南湖高尔夫会员住所有限公司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13,342.30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13,342.30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125,479.49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990"/>
      <w:bookmarkEnd w:id="991"/>
      <w:bookmarkEnd w:id="993"/>
    </w:p>
    <w:p>
      <w:pPr>
        <w:pStyle w:val="Style31"/>
        <w:keepNext w:val="0"/>
        <w:keepLines w:val="0"/>
        <w:widowControl w:val="0"/>
        <w:shd w:val="clear" w:color="auto" w:fill="auto"/>
        <w:bidi w:val="0"/>
        <w:spacing w:before="0" w:after="1120" w:line="240" w:lineRule="auto"/>
        <w:ind w:left="0" w:right="0" w:firstLine="0"/>
        <w:jc w:val="right"/>
      </w:pPr>
      <w:r>
        <w:rPr>
          <w:color w:val="000000"/>
          <w:spacing w:val="0"/>
          <w:w w:val="100"/>
          <w:position w:val="0"/>
        </w:rPr>
        <w:t>单位：元</w:t>
      </w:r>
    </w:p>
    <w:p>
      <w:pPr>
        <w:widowControl w:val="0"/>
        <w:jc w:val="center"/>
        <w:rPr>
          <w:sz w:val="2"/>
          <w:szCs w:val="2"/>
        </w:r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450" w:right="1109" w:bottom="192" w:left="1109" w:header="0" w:footer="3" w:gutter="0"/>
          <w:cols w:space="720"/>
          <w:noEndnote/>
          <w:rtlGutter w:val="0"/>
          <w:docGrid w:linePitch="360"/>
        </w:sectPr>
      </w:pPr>
      <w:r>
        <w:drawing>
          <wp:inline>
            <wp:extent cx="402590" cy="146050"/>
            <wp:docPr id="760" name="Picutre 760"/>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257"/>
                    <a:stretch/>
                  </pic:blipFill>
                  <pic:spPr>
                    <a:xfrm>
                      <a:ext cx="402590" cy="146050"/>
                    </a:xfrm>
                    <a:prstGeom prst="rect"/>
                  </pic:spPr>
                </pic:pic>
              </a:graphicData>
            </a:graphic>
          </wp:inline>
        </w:drawing>
      </w:r>
    </w:p>
    <w:tbl>
      <w:tblPr>
        <w:tblOverlap w:val="never"/>
        <w:jc w:val="center"/>
        <w:tblLayout w:type="fixed"/>
      </w:tblPr>
      <w:tblGrid>
        <w:gridCol w:w="1603"/>
        <w:gridCol w:w="1594"/>
        <w:gridCol w:w="1594"/>
        <w:gridCol w:w="1598"/>
        <w:gridCol w:w="1699"/>
        <w:gridCol w:w="14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是否因关联交易 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深圳市新世界投资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9"/>
        <w:keepNext/>
        <w:keepLines/>
        <w:widowControl w:val="0"/>
        <w:numPr>
          <w:ilvl w:val="0"/>
          <w:numId w:val="39"/>
        </w:numPr>
        <w:shd w:val="clear" w:color="auto" w:fill="auto"/>
        <w:tabs>
          <w:tab w:pos="493" w:val="left"/>
        </w:tabs>
        <w:bidi w:val="0"/>
        <w:spacing w:before="0" w:after="16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94"/>
      <w:bookmarkEnd w:id="995"/>
      <w:bookmarkEnd w:id="997"/>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本报告期应收账款中无持有公司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p>
    <w:p>
      <w:pPr>
        <w:pStyle w:val="Style39"/>
        <w:keepNext/>
        <w:keepLines/>
        <w:widowControl w:val="0"/>
        <w:numPr>
          <w:ilvl w:val="0"/>
          <w:numId w:val="39"/>
        </w:numPr>
        <w:shd w:val="clear" w:color="auto" w:fill="auto"/>
        <w:tabs>
          <w:tab w:pos="493" w:val="left"/>
        </w:tabs>
        <w:bidi w:val="0"/>
        <w:spacing w:before="0" w:after="16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本报告期应收账款中应收关联方上海金杖房地产开发有限公司</w:t>
      </w:r>
      <w:r>
        <w:rPr>
          <w:rFonts w:ascii="Times New Roman" w:eastAsia="Times New Roman" w:hAnsi="Times New Roman" w:cs="Times New Roman"/>
          <w:color w:val="000000"/>
          <w:spacing w:val="0"/>
          <w:w w:val="100"/>
          <w:position w:val="0"/>
        </w:rPr>
        <w:t>1,633,832.40</w:t>
      </w:r>
      <w:r>
        <w:rPr>
          <w:color w:val="000000"/>
          <w:spacing w:val="0"/>
          <w:w w:val="100"/>
          <w:position w:val="0"/>
        </w:rPr>
        <w:t>元，占应收账款总额比</w:t>
      </w:r>
      <w:bookmarkEnd w:id="1001"/>
      <w:bookmarkEnd w:id="998"/>
      <w:bookmarkEnd w:id="999"/>
    </w:p>
    <w:p>
      <w:pPr>
        <w:pStyle w:val="Style39"/>
        <w:keepNext/>
        <w:keepLines/>
        <w:widowControl w:val="0"/>
        <w:shd w:val="clear" w:color="auto" w:fill="auto"/>
        <w:bidi w:val="0"/>
        <w:spacing w:before="0" w:after="160" w:line="240" w:lineRule="auto"/>
        <w:ind w:left="0" w:right="0" w:firstLine="0"/>
        <w:jc w:val="left"/>
      </w:pPr>
      <w:bookmarkStart w:id="1002" w:name="bookmark1002"/>
      <w:bookmarkStart w:id="998" w:name="bookmark998"/>
      <w:bookmarkStart w:id="999" w:name="bookmark999"/>
      <w:r>
        <w:rPr>
          <w:color w:val="000000"/>
          <w:spacing w:val="0"/>
          <w:w w:val="100"/>
          <w:position w:val="0"/>
        </w:rPr>
        <w:t>例为</w:t>
      </w:r>
      <w:r>
        <w:rPr>
          <w:rFonts w:ascii="Times New Roman" w:eastAsia="Times New Roman" w:hAnsi="Times New Roman" w:cs="Times New Roman"/>
          <w:color w:val="000000"/>
          <w:spacing w:val="0"/>
          <w:w w:val="100"/>
          <w:position w:val="0"/>
        </w:rPr>
        <w:t>0.30%</w:t>
      </w:r>
      <w:r>
        <w:rPr>
          <w:color w:val="000000"/>
          <w:spacing w:val="0"/>
          <w:w w:val="100"/>
          <w:position w:val="0"/>
        </w:rPr>
        <w:t>。</w:t>
      </w:r>
      <w:bookmarkEnd w:id="1002"/>
      <w:bookmarkEnd w:id="998"/>
      <w:bookmarkEnd w:id="999"/>
    </w:p>
    <w:p>
      <w:pPr>
        <w:pStyle w:val="Style39"/>
        <w:keepNext/>
        <w:keepLines/>
        <w:widowControl w:val="0"/>
        <w:numPr>
          <w:ilvl w:val="0"/>
          <w:numId w:val="39"/>
        </w:numPr>
        <w:shd w:val="clear" w:color="auto" w:fill="auto"/>
        <w:tabs>
          <w:tab w:pos="493" w:val="left"/>
        </w:tabs>
        <w:bidi w:val="0"/>
        <w:spacing w:before="0" w:after="240" w:line="240" w:lineRule="auto"/>
        <w:ind w:left="0" w:right="0" w:firstLine="0"/>
        <w:jc w:val="left"/>
      </w:pPr>
      <w:bookmarkStart w:id="1003" w:name="bookmark1003"/>
      <w:bookmarkStart w:id="1004" w:name="bookmark1004"/>
      <w:bookmarkStart w:id="998" w:name="bookmark998"/>
      <w:bookmarkStart w:id="999" w:name="bookmark999"/>
      <w:bookmarkEnd w:id="1003"/>
      <w:r>
        <w:rPr>
          <w:color w:val="000000"/>
          <w:spacing w:val="0"/>
          <w:w w:val="100"/>
          <w:position w:val="0"/>
        </w:rPr>
        <w:t>应收账款中金额前五名单位情况</w:t>
      </w:r>
      <w:bookmarkEnd w:id="1004"/>
      <w:bookmarkEnd w:id="998"/>
      <w:bookmarkEnd w:id="9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718"/>
        <w:gridCol w:w="1718"/>
        <w:gridCol w:w="1718"/>
        <w:gridCol w:w="173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38,484,182.10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10,810,467.79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11,036,337.96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11,077,033.41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国网上海市电力公司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13,787,315.70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河南升龙置业有限公司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103,329,436.96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6</w:t>
      </w:r>
      <w:bookmarkEnd w:id="1007"/>
      <w:r>
        <w:rPr>
          <w:color w:val="000000"/>
          <w:spacing w:val="0"/>
          <w:w w:val="100"/>
          <w:position w:val="0"/>
        </w:rPr>
        <w:t>、其他应收款</w:t>
      </w:r>
      <w:bookmarkEnd w:id="1005"/>
      <w:bookmarkEnd w:id="1006"/>
      <w:bookmarkEnd w:id="1008"/>
    </w:p>
    <w:p>
      <w:pPr>
        <w:pStyle w:val="Style39"/>
        <w:keepNext/>
        <w:keepLines/>
        <w:widowControl w:val="0"/>
        <w:shd w:val="clear" w:color="auto" w:fill="auto"/>
        <w:bidi w:val="0"/>
        <w:spacing w:before="0" w:after="340" w:line="240" w:lineRule="auto"/>
        <w:ind w:left="0" w:right="0" w:firstLine="0"/>
        <w:jc w:val="left"/>
      </w:pPr>
      <w:bookmarkStart w:id="1005" w:name="bookmark1005"/>
      <w:bookmarkStart w:id="1006" w:name="bookmark1006"/>
      <w:bookmarkStart w:id="1009" w:name="bookmark1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005"/>
      <w:bookmarkEnd w:id="1006"/>
      <w:bookmarkEnd w:id="10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166"/>
        <w:gridCol w:w="758"/>
        <w:gridCol w:w="1061"/>
        <w:gridCol w:w="715"/>
        <w:gridCol w:w="1200"/>
        <w:gridCol w:w="787"/>
        <w:gridCol w:w="1190"/>
        <w:gridCol w:w="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34,062,416.53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2,948,604.54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21,652,926.78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34,062,416.53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2,948,604.54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21,652,926.78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1910"/>
        <w:gridCol w:w="1166"/>
        <w:gridCol w:w="758"/>
        <w:gridCol w:w="1061"/>
        <w:gridCol w:w="715"/>
        <w:gridCol w:w="1200"/>
        <w:gridCol w:w="787"/>
        <w:gridCol w:w="1190"/>
        <w:gridCol w:w="7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34,092,416.53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2,978,604.54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21,801,041.78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2,237,229.30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其他应收款种类的说明</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本公司根据公司经营规模及业务性质确定单项金额重大的其他应收款标准为</w:t>
      </w:r>
      <w:r>
        <w:rPr>
          <w:rFonts w:ascii="Times New Roman" w:eastAsia="Times New Roman" w:hAnsi="Times New Roman" w:cs="Times New Roman"/>
          <w:color w:val="000000"/>
          <w:spacing w:val="0"/>
          <w:w w:val="100"/>
          <w:position w:val="0"/>
        </w:rPr>
        <w:t>50</w:t>
      </w:r>
      <w:r>
        <w:rPr>
          <w:color w:val="000000"/>
          <w:spacing w:val="0"/>
          <w:w w:val="100"/>
          <w:position w:val="0"/>
        </w:rPr>
        <w:t>万元。单项金额重大的其他 应收款期末不存在减值，按账龄分析法计提坏账准备。</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22" w:lineRule="exact"/>
        <w:ind w:left="0" w:right="0" w:firstLine="0"/>
        <w:jc w:val="both"/>
      </w:pPr>
      <w:r>
        <w:rPr>
          <w:color w:val="000000"/>
          <w:spacing w:val="0"/>
          <w:w w:val="100"/>
          <w:position w:val="0"/>
        </w:rPr>
        <w:t>组合中，采用账龄分析法计提坏账准备的其他应收款</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22,447,331.35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673,419.94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15,303,867.79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459,116.05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6,360,185.95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318,009.30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2,637,838.90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1,675,685.80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167,568.58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3,579,213.43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1,789,606.72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2,817,460.76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1,408,730.38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442,879.67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2,704,793.76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1,352,396.88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2,692,482.10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1,346,241.05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34,062,416.53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2,948,604.54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21,652,926.78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2,089,114.30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账龄较长，无法收回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成都市温江区鑫金康置 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账龄较长，无法收回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）本报告期实际核销的其他应收款情况</w:t>
      </w:r>
      <w:bookmarkEnd w:id="1010"/>
      <w:bookmarkEnd w:id="1011"/>
      <w:bookmarkEnd w:id="10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21"/>
        <w:gridCol w:w="1560"/>
        <w:gridCol w:w="1282"/>
        <w:gridCol w:w="1517"/>
        <w:gridCol w:w="18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廊坊开发区中油龙慧自 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39"/>
        <w:keepNext/>
        <w:keepLines/>
        <w:widowControl w:val="0"/>
        <w:shd w:val="clear" w:color="auto" w:fill="auto"/>
        <w:tabs>
          <w:tab w:pos="493" w:val="left"/>
        </w:tabs>
        <w:bidi w:val="0"/>
        <w:spacing w:before="0" w:after="0" w:line="408" w:lineRule="exact"/>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14"/>
      <w:bookmarkEnd w:id="1015"/>
      <w:bookmarkEnd w:id="1017"/>
    </w:p>
    <w:p>
      <w:pPr>
        <w:pStyle w:val="Style36"/>
        <w:keepNext w:val="0"/>
        <w:keepLines w:val="0"/>
        <w:widowControl w:val="0"/>
        <w:shd w:val="clear" w:color="auto" w:fill="auto"/>
        <w:bidi w:val="0"/>
        <w:spacing w:before="0" w:after="0" w:line="408" w:lineRule="exact"/>
        <w:ind w:left="0" w:right="0" w:firstLine="0"/>
        <w:jc w:val="left"/>
      </w:pPr>
      <w:r>
        <w:rPr>
          <w:color w:val="000000"/>
          <w:spacing w:val="0"/>
          <w:w w:val="100"/>
          <w:position w:val="0"/>
        </w:rPr>
        <w:t>其他应收款中无持有公司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39"/>
        <w:keepNext/>
        <w:keepLines/>
        <w:widowControl w:val="0"/>
        <w:shd w:val="clear" w:color="auto" w:fill="auto"/>
        <w:tabs>
          <w:tab w:pos="598" w:val="left"/>
        </w:tabs>
        <w:bidi w:val="0"/>
        <w:spacing w:before="0" w:after="0" w:line="408" w:lineRule="exact"/>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w:t>
        <w:tab/>
        <w:t>本报告期其他应收款中应收关联方北京启迪筑能建筑信息技术有限公司</w:t>
      </w:r>
      <w:r>
        <w:rPr>
          <w:rFonts w:ascii="Times New Roman" w:eastAsia="Times New Roman" w:hAnsi="Times New Roman" w:cs="Times New Roman"/>
          <w:color w:val="000000"/>
          <w:spacing w:val="0"/>
          <w:w w:val="100"/>
          <w:position w:val="0"/>
        </w:rPr>
        <w:t>1,228,088.60</w:t>
      </w:r>
      <w:r>
        <w:rPr>
          <w:color w:val="000000"/>
          <w:spacing w:val="0"/>
          <w:w w:val="100"/>
          <w:position w:val="0"/>
        </w:rPr>
        <w:t>元，占其他应 收款总额的</w:t>
      </w:r>
      <w:r>
        <w:rPr>
          <w:rFonts w:ascii="Times New Roman" w:eastAsia="Times New Roman" w:hAnsi="Times New Roman" w:cs="Times New Roman"/>
          <w:color w:val="000000"/>
          <w:spacing w:val="0"/>
          <w:w w:val="100"/>
          <w:position w:val="0"/>
        </w:rPr>
        <w:t>3.60%</w:t>
      </w:r>
      <w:r>
        <w:rPr>
          <w:color w:val="000000"/>
          <w:spacing w:val="0"/>
          <w:w w:val="100"/>
          <w:position w:val="0"/>
        </w:rPr>
        <w:t>。</w:t>
      </w:r>
      <w:bookmarkEnd w:id="1018"/>
      <w:bookmarkEnd w:id="1019"/>
      <w:bookmarkEnd w:id="1021"/>
    </w:p>
    <w:p>
      <w:pPr>
        <w:pStyle w:val="Style39"/>
        <w:keepNext/>
        <w:keepLines/>
        <w:widowControl w:val="0"/>
        <w:shd w:val="clear" w:color="auto" w:fill="auto"/>
        <w:tabs>
          <w:tab w:pos="493" w:val="left"/>
        </w:tabs>
        <w:bidi w:val="0"/>
        <w:spacing w:before="0" w:after="240" w:line="408" w:lineRule="exact"/>
        <w:ind w:left="0" w:right="0" w:firstLine="0"/>
        <w:jc w:val="left"/>
      </w:pPr>
      <w:bookmarkStart w:id="1018" w:name="bookmark1018"/>
      <w:bookmarkStart w:id="1019" w:name="bookmark1019"/>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5</w:t>
      </w:r>
      <w:r>
        <w:rPr>
          <w:color w:val="000000"/>
          <w:spacing w:val="0"/>
          <w:w w:val="100"/>
          <w:position w:val="0"/>
        </w:rPr>
        <w:t>）</w:t>
        <w:tab/>
        <w:t>其他应收款金额前五名单位情况</w:t>
      </w:r>
      <w:bookmarkEnd w:id="1018"/>
      <w:bookmarkEnd w:id="1019"/>
      <w:bookmarkEnd w:id="10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30"/>
        <w:gridCol w:w="1608"/>
        <w:gridCol w:w="1613"/>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占其他应收款总额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港铁轨道交通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2,520,482.10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中央美术学院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北京启迪筑能建筑信息技术有限公司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1,228,088.60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中海振兴（成都）物业发展有限公司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1,200,636.58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中海振兴（成都）物业发展有限公司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成都市城乡建设委员会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7,247,007.28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7</w:t>
      </w:r>
      <w:bookmarkEnd w:id="1026"/>
      <w:r>
        <w:rPr>
          <w:color w:val="000000"/>
          <w:spacing w:val="0"/>
          <w:w w:val="100"/>
          <w:position w:val="0"/>
        </w:rPr>
        <w:t>、预付款项</w:t>
      </w:r>
      <w:bookmarkEnd w:id="1024"/>
      <w:bookmarkEnd w:id="1025"/>
      <w:bookmarkEnd w:id="1027"/>
    </w:p>
    <w:p>
      <w:pPr>
        <w:pStyle w:val="Style39"/>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24"/>
      <w:bookmarkEnd w:id="1025"/>
      <w:bookmarkEnd w:id="10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46,192,756.58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18,287,663.35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50,027,864.33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19,667,082.26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052" w:bottom="1465" w:left="1056" w:header="0" w:footer="3" w:gutter="0"/>
          <w:cols w:space="720"/>
          <w:noEndnote/>
          <w:rtlGutter w:val="0"/>
          <w:docGrid w:linePitch="360"/>
        </w:sectPr>
      </w:pPr>
      <w:r>
        <w:rPr>
          <w:color w:val="000000"/>
          <w:spacing w:val="0"/>
          <w:w w:val="100"/>
          <w:position w:val="0"/>
        </w:rPr>
        <w:t>预付款项账龄的说明</w:t>
      </w:r>
    </w:p>
    <w:p>
      <w:pPr>
        <w:pStyle w:val="Style39"/>
        <w:keepNext/>
        <w:keepLines/>
        <w:widowControl w:val="0"/>
        <w:shd w:val="clear" w:color="auto" w:fill="auto"/>
        <w:bidi w:val="0"/>
        <w:spacing w:before="0" w:line="240" w:lineRule="auto"/>
        <w:ind w:left="0" w:right="0" w:firstLine="14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29"/>
      <w:bookmarkEnd w:id="1030"/>
      <w:bookmarkEnd w:id="10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608"/>
        <w:gridCol w:w="1613"/>
        <w:gridCol w:w="1613"/>
        <w:gridCol w:w="162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未结算原因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郑州市惠济区华美智能电子设备销售处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4,756,800.00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烟台芝罘万达广场有限公司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深圳市拓锐实业有限公司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3,305,710.34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深圳市易威嘉电子有限公司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3,167,641.30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交易未完成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深圳市开天源自动化工程有限公司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2,889,818.15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交易未完成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17,719,969.79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9"/>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33"/>
      <w:bookmarkEnd w:id="1034"/>
      <w:bookmarkEnd w:id="1036"/>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39"/>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8</w:t>
      </w:r>
      <w:bookmarkEnd w:id="1039"/>
      <w:r>
        <w:rPr>
          <w:color w:val="000000"/>
          <w:spacing w:val="0"/>
          <w:w w:val="100"/>
          <w:position w:val="0"/>
        </w:rPr>
        <w:t>、存货</w:t>
      </w:r>
      <w:bookmarkEnd w:id="1037"/>
      <w:bookmarkEnd w:id="1038"/>
      <w:bookmarkEnd w:id="1040"/>
    </w:p>
    <w:p>
      <w:pPr>
        <w:pStyle w:val="Style39"/>
        <w:keepNext/>
        <w:keepLines/>
        <w:widowControl w:val="0"/>
        <w:shd w:val="clear" w:color="auto" w:fill="auto"/>
        <w:bidi w:val="0"/>
        <w:spacing w:before="0" w:line="240" w:lineRule="auto"/>
        <w:ind w:left="0" w:right="0" w:firstLine="140"/>
        <w:jc w:val="left"/>
      </w:pPr>
      <w:bookmarkStart w:id="1037" w:name="bookmark1037"/>
      <w:bookmarkStart w:id="1038" w:name="bookmark1038"/>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7"/>
      <w:bookmarkEnd w:id="1038"/>
      <w:bookmarkEnd w:id="10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7,689,272.30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7,689,272.30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7,280,048.59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7,280,048.59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1,251,201.19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1,251,201.19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7,955,114.67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7,955,114.67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8,734,200.30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8,734,200.30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168,773,103.97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168,773,103.97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101,641,352.79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101,641,352.79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1,599,883.25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1,599,883.25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2,159,904.90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2,159,904.90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615,620.36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187,907,336.27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187,907,336.27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120,555,330.22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120,555,330.22</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9</w:t>
      </w:r>
      <w:bookmarkEnd w:id="1044"/>
      <w:r>
        <w:rPr>
          <w:color w:val="000000"/>
          <w:spacing w:val="0"/>
          <w:w w:val="100"/>
          <w:position w:val="0"/>
        </w:rPr>
        <w:t>、其他流动资产</w:t>
      </w:r>
      <w:bookmarkEnd w:id="1042"/>
      <w:bookmarkEnd w:id="1043"/>
      <w:bookmarkEnd w:id="10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待摊场地租金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107,621.73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展位费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107,621.73</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9"/>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46"/>
      <w:bookmarkEnd w:id="1047"/>
      <w:bookmarkEnd w:id="1049"/>
    </w:p>
    <w:p>
      <w:pPr>
        <w:pStyle w:val="Style39"/>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50" w:name="bookmark1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046"/>
      <w:bookmarkEnd w:id="1047"/>
      <w:bookmarkEnd w:id="10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57"/>
        <w:gridCol w:w="1752"/>
        <w:gridCol w:w="1757"/>
        <w:gridCol w:w="17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191,730,892.45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7,076,634.47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198,807,526.92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191,730,892.45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7,076,634.47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198,807,526.92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45,490,549.23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12,092,352.79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57,582,902.02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45,490,549.23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12,092,352.79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57,582,902.02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146,240,343.22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-5,015,718.32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141,224,624.90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146,240,343.22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-5,015,718.32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141,224,624.90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五、投资性房地产账面价值合计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146,240,343.22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-5,015,718.32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141,224,624.90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146,240,343.22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-5,015,718.32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141,224,624.90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11,060,156.98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360" w:line="293" w:lineRule="exact"/>
        <w:ind w:left="0" w:right="0" w:firstLine="440"/>
        <w:jc w:val="left"/>
      </w:pPr>
      <w:r>
        <w:rPr>
          <w:color w:val="000000"/>
          <w:spacing w:val="0"/>
          <w:w w:val="100"/>
          <w:position w:val="0"/>
        </w:rPr>
        <w:t xml:space="preserve">本期投资性房地产增加系子公司达实联欣康吉大厦出租，固定资产转投资性房地产原值增加金额 </w:t>
      </w:r>
      <w:r>
        <w:rPr>
          <w:rFonts w:ascii="Times New Roman" w:eastAsia="Times New Roman" w:hAnsi="Times New Roman" w:cs="Times New Roman"/>
          <w:color w:val="000000"/>
          <w:spacing w:val="0"/>
          <w:w w:val="100"/>
          <w:position w:val="0"/>
        </w:rPr>
        <w:t xml:space="preserve">7,076,634.47 </w:t>
      </w:r>
      <w:r>
        <w:rPr>
          <w:color w:val="000000"/>
          <w:spacing w:val="0"/>
          <w:w w:val="100"/>
          <w:position w:val="0"/>
        </w:rPr>
        <w:t>元。</w:t>
      </w:r>
    </w:p>
    <w:p>
      <w:pPr>
        <w:pStyle w:val="Style39"/>
        <w:keepNext/>
        <w:keepLines/>
        <w:widowControl w:val="0"/>
        <w:shd w:val="clear" w:color="auto" w:fill="auto"/>
        <w:bidi w:val="0"/>
        <w:spacing w:before="0" w:after="240" w:line="305"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51"/>
      <w:bookmarkEnd w:id="1052"/>
      <w:bookmarkEnd w:id="1054"/>
    </w:p>
    <w:p>
      <w:pPr>
        <w:pStyle w:val="Style39"/>
        <w:keepNext/>
        <w:keepLines/>
        <w:widowControl w:val="0"/>
        <w:shd w:val="clear" w:color="auto" w:fill="auto"/>
        <w:bidi w:val="0"/>
        <w:spacing w:before="0" w:line="293" w:lineRule="exact"/>
        <w:ind w:left="0" w:right="0" w:firstLine="0"/>
        <w:jc w:val="left"/>
      </w:pPr>
      <w:bookmarkStart w:id="1051" w:name="bookmark1051"/>
      <w:bookmarkStart w:id="1052" w:name="bookmark1052"/>
      <w:bookmarkStart w:id="1055" w:name="bookmark10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51"/>
      <w:bookmarkEnd w:id="1052"/>
      <w:bookmarkEnd w:id="10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120,499,206.71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31,713,721.20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7,356,696.71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144,856,231.20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58,045,603.73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7,076,634.47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50,968,969.26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7,316,712.90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1,900,526.58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9,017,439.48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13,587,011.73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14,569,331.78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41,549,878.35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28,750,612.33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70,300,490.68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454" w:val="left"/>
              </w:tabs>
              <w:bidi w:val="0"/>
              <w:spacing w:before="0" w:after="0" w:line="240" w:lineRule="auto"/>
              <w:ind w:left="0" w:right="0" w:firstLine="0"/>
              <w:jc w:val="center"/>
            </w:pPr>
            <w:r>
              <w:rPr>
                <w:color w:val="000000"/>
                <w:spacing w:val="0"/>
                <w:w w:val="100"/>
                <w:position w:val="0"/>
              </w:rPr>
              <w:t>本期新增</w:t>
              <w:tab/>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bl>
    <w:p>
      <w:pPr>
        <w:spacing w:lineRule="exact" w:line="1"/>
        <w:rPr>
          <w:sz w:val="2"/>
          <w:szCs w:val="2"/>
        </w:rPr>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41,077,772.63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14,526,095.23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54,308,246.76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15,615,953.67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2,723,074.68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17,306,832.54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3,286,456.36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1,321,071.43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4,417,717.79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6,574,189.24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1,927,693.33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8,428,267.28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15,601,173.36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8,554,255.79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24,155,429.15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79,421,434.08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90,547,984.44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42,429,650.06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33,662,136.72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4,030,256.54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4,599,721.69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7,012,822.49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6,141,064.50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25,948,704.99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46,145,061.53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79,421,434.08</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90,547,984.44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42,429,650.06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33,662,136.72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4,030,256.54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4,599,721.69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7,012,822.49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6,141,064.50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25,948,704.99</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46,145,061.53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14,526,095.23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28,813,898.63</w:t>
      </w:r>
      <w:r>
        <w:rPr>
          <w:color w:val="000000"/>
          <w:spacing w:val="0"/>
          <w:w w:val="100"/>
          <w:position w:val="0"/>
        </w:rPr>
        <w:t>元。</w:t>
      </w:r>
    </w:p>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固定资产减少系达实联欣出租康吉大厦转换为投资性房地产金额为</w:t>
      </w:r>
      <w:r>
        <w:rPr>
          <w:color w:val="000000"/>
          <w:spacing w:val="0"/>
          <w:w w:val="100"/>
          <w:position w:val="0"/>
        </w:rPr>
        <w:t>7,076,634.47</w:t>
      </w:r>
      <w:r>
        <w:rPr>
          <w:color w:val="000000"/>
          <w:spacing w:val="0"/>
          <w:w w:val="100"/>
          <w:position w:val="0"/>
        </w:rPr>
        <w:t>元，其他为正常清</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理。</w:t>
      </w:r>
    </w:p>
    <w:p>
      <w:pPr>
        <w:pStyle w:val="Style39"/>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1</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56"/>
      <w:bookmarkEnd w:id="1057"/>
      <w:bookmarkEnd w:id="1059"/>
    </w:p>
    <w:p>
      <w:pPr>
        <w:pStyle w:val="Style39"/>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60" w:name="bookmark10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56"/>
      <w:bookmarkEnd w:id="1057"/>
      <w:bookmarkEnd w:id="10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深圳市民中心中央空调节能 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4,394,958.24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4,394,958.24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镇江益华广场一期裙楼能源 站节能服务项目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11,274,386.31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11,274,386.31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7,906,710.13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7,906,710.13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佛山和信商业广场能源站节 能服务项目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长安标致雪铁龙汽车有限公 司水蓄冷节能服务合同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5,505,717.14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5,505,717.14</w:t>
            </w:r>
          </w:p>
        </w:tc>
      </w:tr>
    </w:tbl>
    <w:p>
      <w:pPr>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441" w:right="1052" w:bottom="1465" w:left="1056" w:header="0" w:footer="3" w:gutter="0"/>
          <w:cols w:space="720"/>
          <w:noEndnote/>
          <w:rtlGutter w:val="0"/>
          <w:docGrid w:linePitch="360"/>
        </w:sectPr>
      </w:pPr>
    </w:p>
    <w:tbl>
      <w:tblPr>
        <w:tblOverlap w:val="never"/>
        <w:jc w:val="center"/>
        <w:tblLayout w:type="fixed"/>
      </w:tblPr>
      <w:tblGrid>
        <w:gridCol w:w="2275"/>
        <w:gridCol w:w="1195"/>
        <w:gridCol w:w="1195"/>
        <w:gridCol w:w="1195"/>
        <w:gridCol w:w="1190"/>
        <w:gridCol w:w="1195"/>
        <w:gridCol w:w="133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重庆莱宝水蓄冷节能改造服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2,119,223.70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13,393,610.01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13,393,610.01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18,026,185.51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18,026,185.51</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61"/>
      <w:bookmarkEnd w:id="1062"/>
      <w:bookmarkEnd w:id="1064"/>
    </w:p>
    <w:p>
      <w:pPr>
        <w:pStyle w:val="Style39"/>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61"/>
      <w:bookmarkEnd w:id="1062"/>
      <w:bookmarkEnd w:id="10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2,930,695.85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546,111.94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3,476,807.79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2,930,695.85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546,111.94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3,476,807.79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548,139.05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1,358,153.37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548,139.05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1,358,153.37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2,120,681.53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2,118,654.42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2,120,681.53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2,118,654.42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2,120,681.53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2,118,654.42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2,120,681.53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-2,027.11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2,118,654.42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548,139.05</w:t>
      </w:r>
      <w:r>
        <w:rPr>
          <w:color w:val="000000"/>
          <w:spacing w:val="0"/>
          <w:w w:val="100"/>
          <w:position w:val="0"/>
        </w:rPr>
        <w:t>元。</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066"/>
      <w:bookmarkEnd w:id="1067"/>
      <w:bookmarkEnd w:id="10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2,666,236.36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2,347,194.10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19,868.53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2,666,236.36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2,347,194.10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338,910.79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5.97%</w:t>
      </w:r>
      <w:r>
        <w:rPr>
          <w:color w:val="000000"/>
          <w:spacing w:val="0"/>
          <w:w w:val="100"/>
          <w:position w:val="0"/>
        </w:rPr>
        <w:t>。</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45.91%</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069"/>
      <w:bookmarkEnd w:id="1070"/>
      <w:bookmarkEnd w:id="10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42"/>
        <w:gridCol w:w="1349"/>
        <w:gridCol w:w="1344"/>
        <w:gridCol w:w="1349"/>
        <w:gridCol w:w="1344"/>
        <w:gridCol w:w="13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158,769,749.96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158,769,749.96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7,256,368.77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7,256,368.77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166,026,118.73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166,026,118.73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36"/>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期末先对不包含商誉的资产组或者资产组组合进行减值测试，计算可收回金额，并与相关帐面价值相 比较，确认相应的减值损失计提减值准备。再对包含商誉的资产组或者资产组组合进行减值测试，比较这 些相关资产组或者资产组组合的账面价值（包括所分摊的商誉的账面价值的部分）与其可收回金额，如相 关资产组或资产组组合的可收回金额低于其账面价值的，应当确认商誉的减值损失计提减值准备。</w:t>
      </w:r>
    </w:p>
    <w:p>
      <w:pPr>
        <w:pStyle w:val="Style39"/>
        <w:keepNext/>
        <w:keepLines/>
        <w:widowControl w:val="0"/>
        <w:shd w:val="clear" w:color="auto" w:fill="auto"/>
        <w:bidi w:val="0"/>
        <w:spacing w:before="0" w:after="180" w:line="425"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72"/>
      <w:bookmarkEnd w:id="1073"/>
      <w:bookmarkEnd w:id="10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19,120,120.92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89,113.11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3,679,654.49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15,529,579.54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126,388.93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19,246,509.85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89,113.11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3,796,321.13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15,539,301.83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9"/>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076"/>
      <w:bookmarkEnd w:id="1077"/>
      <w:bookmarkEnd w:id="1079"/>
    </w:p>
    <w:p>
      <w:pPr>
        <w:pStyle w:val="Style39"/>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80" w:name="bookmark1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76"/>
      <w:bookmarkEnd w:id="1077"/>
      <w:bookmarkEnd w:id="108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3,478,345.98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698,019.61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836,974.83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未实现内部销售利润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152,777.90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545,299.56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786,796.36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5,347,244.88</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339,591.58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339,591.58</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27,567,180.01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23,074,634.11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629,317.07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5,579,832.17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未实现内部销售利润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420,951.16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3,635,330.32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5,245,309.07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36,978,229.05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35,350,043.58</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81"/>
      <w:bookmarkEnd w:id="1082"/>
      <w:bookmarkEnd w:id="1083"/>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5,583,336.82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5,347,244.88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9"/>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084"/>
      <w:bookmarkEnd w:id="1085"/>
      <w:bookmarkEnd w:id="108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23,074,937.18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4,537,277.83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27,567,180.01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23,074,937.18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4,537,277.83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27,567,180.01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本期转销系因核销无法收回的应收账款。</w:t>
      </w:r>
    </w:p>
    <w:p>
      <w:pPr>
        <w:pStyle w:val="Style39"/>
        <w:keepNext/>
        <w:keepLines/>
        <w:widowControl w:val="0"/>
        <w:shd w:val="clear" w:color="auto" w:fill="auto"/>
        <w:bidi w:val="0"/>
        <w:spacing w:before="0" w:after="38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bookmarkEnd w:id="1090"/>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088"/>
      <w:bookmarkEnd w:id="1089"/>
      <w:bookmarkEnd w:id="1091"/>
    </w:p>
    <w:p>
      <w:pPr>
        <w:pStyle w:val="Style39"/>
        <w:keepNext/>
        <w:keepLines/>
        <w:widowControl w:val="0"/>
        <w:shd w:val="clear" w:color="auto" w:fill="auto"/>
        <w:bidi w:val="0"/>
        <w:spacing w:before="0" w:after="380" w:line="240" w:lineRule="auto"/>
        <w:ind w:left="0" w:right="0" w:firstLine="140"/>
        <w:jc w:val="left"/>
      </w:pPr>
      <w:bookmarkStart w:id="1088" w:name="bookmark1088"/>
      <w:bookmarkStart w:id="1089" w:name="bookmark1089"/>
      <w:bookmarkStart w:id="1092" w:name="bookmark109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88"/>
      <w:bookmarkEnd w:id="1089"/>
      <w:bookmarkEnd w:id="10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9"/>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093"/>
      <w:bookmarkEnd w:id="1094"/>
      <w:bookmarkEnd w:id="10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18,891,301.12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6,734,437.76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18,891,301.12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6,734,437.76</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17,446,391.97</w:t>
      </w:r>
      <w:r>
        <w:rPr>
          <w:color w:val="000000"/>
          <w:spacing w:val="0"/>
          <w:w w:val="100"/>
          <w:position w:val="0"/>
        </w:rPr>
        <w:t>元。 应付票据的说明</w:t>
      </w:r>
    </w:p>
    <w:p>
      <w:pPr>
        <w:pStyle w:val="Style39"/>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097"/>
      <w:bookmarkEnd w:id="1098"/>
      <w:bookmarkEnd w:id="1100"/>
    </w:p>
    <w:p>
      <w:pPr>
        <w:pStyle w:val="Style39"/>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97"/>
      <w:bookmarkEnd w:id="1098"/>
      <w:bookmarkEnd w:id="11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241,174,698.99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212,064,068.75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74,177,492.61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41,568,485.71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23,768,408.58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2,963,322.11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4,139,511.14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344,640,635.99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260,735,387.71</w:t>
            </w:r>
          </w:p>
        </w:tc>
      </w:tr>
    </w:tbl>
    <w:p>
      <w:pPr>
        <w:pStyle w:val="Style39"/>
        <w:keepNext/>
        <w:keepLines/>
        <w:widowControl w:val="0"/>
        <w:numPr>
          <w:ilvl w:val="0"/>
          <w:numId w:val="41"/>
        </w:numPr>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 xml:space="preserve"> 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02"/>
      <w:bookmarkEnd w:id="1103"/>
      <w:bookmarkEnd w:id="1105"/>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39"/>
        <w:keepNext/>
        <w:keepLines/>
        <w:widowControl w:val="0"/>
        <w:numPr>
          <w:ilvl w:val="0"/>
          <w:numId w:val="41"/>
        </w:numPr>
        <w:shd w:val="clear" w:color="auto" w:fill="auto"/>
        <w:tabs>
          <w:tab w:pos="493" w:val="left"/>
        </w:tabs>
        <w:bidi w:val="0"/>
        <w:spacing w:before="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账龄超过一年的大额应付账款情况的说明</w:t>
      </w:r>
      <w:bookmarkEnd w:id="1106"/>
      <w:bookmarkEnd w:id="1107"/>
      <w:bookmarkEnd w:id="1109"/>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年的大额应付账款主要系未达到付款条件工程项目分包商工程款、设备供应商材料款。</w:t>
      </w:r>
    </w:p>
    <w:p>
      <w:pPr>
        <w:pStyle w:val="Style39"/>
        <w:keepNext/>
        <w:keepLines/>
        <w:widowControl w:val="0"/>
        <w:shd w:val="clear" w:color="auto" w:fill="auto"/>
        <w:bidi w:val="0"/>
        <w:spacing w:before="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1110"/>
      <w:bookmarkEnd w:id="1111"/>
      <w:bookmarkEnd w:id="1113"/>
    </w:p>
    <w:p>
      <w:pPr>
        <w:pStyle w:val="Style39"/>
        <w:keepNext/>
        <w:keepLines/>
        <w:widowControl w:val="0"/>
        <w:shd w:val="clear" w:color="auto" w:fill="auto"/>
        <w:bidi w:val="0"/>
        <w:spacing w:before="0" w:line="240" w:lineRule="auto"/>
        <w:ind w:left="0" w:right="0" w:firstLine="0"/>
        <w:jc w:val="both"/>
      </w:pPr>
      <w:bookmarkStart w:id="1110" w:name="bookmark1110"/>
      <w:bookmarkStart w:id="1111" w:name="bookmark1111"/>
      <w:bookmarkStart w:id="1114" w:name="bookmark11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110"/>
      <w:bookmarkEnd w:id="1111"/>
      <w:bookmarkEnd w:id="11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66,008,438.09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57,374,415.27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10,051,004.05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5,439,801.45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79,908,902.14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62,968,177.12</w:t>
            </w:r>
          </w:p>
        </w:tc>
      </w:tr>
    </w:tbl>
    <w:p>
      <w:pPr>
        <w:widowControl w:val="0"/>
        <w:spacing w:after="359" w:line="1" w:lineRule="exact"/>
      </w:pPr>
    </w:p>
    <w:p>
      <w:pPr>
        <w:pStyle w:val="Style39"/>
        <w:keepNext/>
        <w:keepLines/>
        <w:widowControl w:val="0"/>
        <w:numPr>
          <w:ilvl w:val="0"/>
          <w:numId w:val="43"/>
        </w:numPr>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 xml:space="preserve"> 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15"/>
      <w:bookmarkEnd w:id="1116"/>
      <w:bookmarkEnd w:id="1118"/>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39"/>
        <w:keepNext/>
        <w:keepLines/>
        <w:widowControl w:val="0"/>
        <w:numPr>
          <w:ilvl w:val="0"/>
          <w:numId w:val="43"/>
        </w:numPr>
        <w:shd w:val="clear" w:color="auto" w:fill="auto"/>
        <w:tabs>
          <w:tab w:pos="493" w:val="left"/>
        </w:tabs>
        <w:bidi w:val="0"/>
        <w:spacing w:before="0" w:line="240" w:lineRule="auto"/>
        <w:ind w:left="0" w:right="0" w:firstLine="0"/>
        <w:jc w:val="both"/>
      </w:pPr>
      <w:bookmarkStart w:id="1119" w:name="bookmark1119"/>
      <w:bookmarkStart w:id="1120" w:name="bookmark1120"/>
      <w:bookmarkStart w:id="1121" w:name="bookmark1121"/>
      <w:bookmarkStart w:id="1122" w:name="bookmark1122"/>
      <w:bookmarkEnd w:id="1121"/>
      <w:r>
        <w:rPr>
          <w:color w:val="000000"/>
          <w:spacing w:val="0"/>
          <w:w w:val="100"/>
          <w:position w:val="0"/>
        </w:rPr>
        <w:t>账龄超过一年的大额预收账款情况的说明</w:t>
      </w:r>
      <w:bookmarkEnd w:id="1119"/>
      <w:bookmarkEnd w:id="1120"/>
      <w:bookmarkEnd w:id="1122"/>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账龄超过一年的预收账款系南山区艺术博览馆智能化系统采购及安装合同项目预收项目款。</w:t>
      </w:r>
    </w:p>
    <w:p>
      <w:pPr>
        <w:pStyle w:val="Style39"/>
        <w:keepNext/>
        <w:keepLines/>
        <w:widowControl w:val="0"/>
        <w:shd w:val="clear" w:color="auto" w:fill="auto"/>
        <w:bidi w:val="0"/>
        <w:spacing w:before="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23"/>
      <w:bookmarkEnd w:id="1124"/>
      <w:bookmarkEnd w:id="11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90"/>
        <w:gridCol w:w="1786"/>
        <w:gridCol w:w="1790"/>
        <w:gridCol w:w="1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11,549,634.93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84,895,790.82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82,894,470.67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13,550,955.08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7,516,377.22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7,516,377.22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1,907,038.79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1,907,038.79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4,888,909.56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4,888,909.56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)工伤保险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)生育保险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177,717.07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)失业保险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408,414.41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408,414.41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41" w:right="1052" w:bottom="1465" w:left="1056" w:header="0" w:footer="3" w:gutter="0"/>
          <w:cols w:space="720"/>
          <w:noEndnote/>
          <w:rtlGutter w:val="0"/>
          <w:docGrid w:linePitch="360"/>
        </w:sectPr>
      </w:pPr>
    </w:p>
    <w:tbl>
      <w:tblPr>
        <w:tblOverlap w:val="never"/>
        <w:jc w:val="center"/>
        <w:tblLayout w:type="fixed"/>
      </w:tblPr>
      <w:tblGrid>
        <w:gridCol w:w="2419"/>
        <w:gridCol w:w="1790"/>
        <w:gridCol w:w="1786"/>
        <w:gridCol w:w="1790"/>
        <w:gridCol w:w="1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708,574.73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11,560,019.99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95,449,178.39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93,458,243.30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13,550,955.08</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437,308.30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708,574.73</w:t>
      </w:r>
      <w:r>
        <w:rPr>
          <w:color w:val="000000"/>
          <w:spacing w:val="0"/>
          <w:w w:val="100"/>
          <w:position w:val="0"/>
        </w:rPr>
        <w:t>元。</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9"/>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27"/>
      <w:bookmarkEnd w:id="1128"/>
      <w:bookmarkEnd w:id="11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402,823.94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1,781,113.89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7,071,103.21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11,392,496.84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8,242,383.63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377,104.91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212,877.92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700,970.89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440,224.03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357,069.17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411,354.93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175,600.09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233,527.02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726,715.78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672,261.98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23,197,793.69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19,097,291.58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9"/>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4</w:t>
      </w:r>
      <w:r>
        <w:rPr>
          <w:color w:val="000000"/>
          <w:spacing w:val="0"/>
          <w:w w:val="100"/>
          <w:position w:val="0"/>
        </w:rPr>
        <w:t>、应付股利</w:t>
      </w:r>
      <w:bookmarkEnd w:id="1131"/>
      <w:bookmarkEnd w:id="1132"/>
      <w:bookmarkEnd w:id="11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pStyle w:val="Style36"/>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rPr>
        <w:t>208,800,000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 人民币现金。该权益分派方案已获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日该 权益分派方案已实施完毕。</w:t>
      </w:r>
    </w:p>
    <w:p>
      <w:pPr>
        <w:pStyle w:val="Style36"/>
        <w:keepNext w:val="0"/>
        <w:keepLines w:val="0"/>
        <w:widowControl w:val="0"/>
        <w:shd w:val="clear" w:color="auto" w:fill="auto"/>
        <w:bidi w:val="0"/>
        <w:spacing w:before="0" w:after="260" w:line="415" w:lineRule="exact"/>
        <w:ind w:left="0" w:right="0" w:firstLine="440"/>
        <w:jc w:val="left"/>
      </w:pPr>
      <w:r>
        <w:rPr>
          <w:color w:val="000000"/>
          <w:spacing w:val="0"/>
          <w:w w:val="100"/>
          <w:position w:val="0"/>
        </w:rPr>
        <w:t>期末余额是公司代管的未到解禁期的员工限制性股票分红款。</w:t>
      </w:r>
      <w:r>
        <w:br w:type="page"/>
      </w:r>
    </w:p>
    <w:p>
      <w:pPr>
        <w:pStyle w:val="Style39"/>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135"/>
      <w:bookmarkEnd w:id="1136"/>
      <w:bookmarkEnd w:id="1138"/>
    </w:p>
    <w:p>
      <w:pPr>
        <w:pStyle w:val="Style39"/>
        <w:keepNext/>
        <w:keepLines/>
        <w:widowControl w:val="0"/>
        <w:shd w:val="clear" w:color="auto" w:fill="auto"/>
        <w:bidi w:val="0"/>
        <w:spacing w:before="0" w:line="240" w:lineRule="auto"/>
        <w:ind w:left="0" w:right="0" w:firstLine="140"/>
        <w:jc w:val="left"/>
      </w:pPr>
      <w:bookmarkStart w:id="1135" w:name="bookmark1135"/>
      <w:bookmarkStart w:id="1136" w:name="bookmark1136"/>
      <w:bookmarkStart w:id="1139" w:name="bookmark1139"/>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135"/>
      <w:bookmarkEnd w:id="1136"/>
      <w:bookmarkEnd w:id="11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11,510,838.21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29,206,644.38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5,331,499.01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5,492,749.27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3,647,656.74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1,002,733.75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1,119,626.63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630,898.01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21,609,620.59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36,333,025.41</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 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40"/>
      <w:bookmarkEnd w:id="1141"/>
      <w:bookmarkEnd w:id="1143"/>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其他应付款中无应付持有公司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p>
    <w:p>
      <w:pPr>
        <w:pStyle w:val="Style39"/>
        <w:keepNext/>
        <w:keepLines/>
        <w:widowControl w:val="0"/>
        <w:shd w:val="clear" w:color="auto" w:fill="auto"/>
        <w:tabs>
          <w:tab w:pos="493" w:val="left"/>
        </w:tabs>
        <w:bidi w:val="0"/>
        <w:spacing w:before="0" w:line="240" w:lineRule="auto"/>
        <w:ind w:left="0" w:right="0" w:firstLine="0"/>
        <w:jc w:val="both"/>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账龄超过一年的大额其他应付款情况的说明</w:t>
      </w:r>
      <w:bookmarkEnd w:id="1144"/>
      <w:bookmarkEnd w:id="1145"/>
      <w:bookmarkEnd w:id="1147"/>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年的大额其他应付款主要系应付供应商履约保证金。</w:t>
      </w:r>
    </w:p>
    <w:p>
      <w:pPr>
        <w:pStyle w:val="Style39"/>
        <w:keepNext/>
        <w:keepLines/>
        <w:widowControl w:val="0"/>
        <w:shd w:val="clear" w:color="auto" w:fill="auto"/>
        <w:bidi w:val="0"/>
        <w:spacing w:before="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148"/>
      <w:bookmarkEnd w:id="1149"/>
      <w:bookmarkEnd w:id="11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建筑能耗监测与节能控制系统项目资助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1,779,832.17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大型公共建筑中央空调能耗监测与节能优化关键技术研究 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城市轨道交通分布式综合监控系统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SCADA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复杂工业系统全流程集成监控与节能优化关键技术及应用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主动蓄能的分布式冷热电联产系统集成研究补助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4,653,464.05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5,579,832.17</w:t>
            </w:r>
          </w:p>
        </w:tc>
      </w:tr>
    </w:tbl>
    <w:p>
      <w:pPr>
        <w:widowControl w:val="0"/>
        <w:spacing w:after="99" w:line="1" w:lineRule="exact"/>
      </w:pPr>
    </w:p>
    <w:p>
      <w:pPr>
        <w:pStyle w:val="Style31"/>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其他流动负债说明</w:t>
      </w:r>
    </w:p>
    <w:p>
      <w:pPr>
        <w:pStyle w:val="Style3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本期增加</w:t>
      </w:r>
      <w:r>
        <w:rPr>
          <w:rFonts w:ascii="Times New Roman" w:eastAsia="Times New Roman" w:hAnsi="Times New Roman" w:cs="Times New Roman"/>
          <w:color w:val="000000"/>
          <w:spacing w:val="0"/>
          <w:w w:val="100"/>
          <w:position w:val="0"/>
        </w:rPr>
        <w:t>400,000.00</w:t>
      </w:r>
      <w:r>
        <w:rPr>
          <w:color w:val="000000"/>
          <w:spacing w:val="0"/>
          <w:w w:val="100"/>
          <w:position w:val="0"/>
        </w:rPr>
        <w:t>元，系达实智能根据粤财政【</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393</w:t>
      </w:r>
      <w:r>
        <w:rPr>
          <w:color w:val="000000"/>
          <w:spacing w:val="0"/>
          <w:w w:val="100"/>
          <w:position w:val="0"/>
        </w:rPr>
        <w:t>号文，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月收到广东省教育部产学 研结合协调领导小组办公室主动蓄能的分布式冷热电联产系统集成研究补助</w:t>
      </w:r>
      <w:r>
        <w:rPr>
          <w:rFonts w:ascii="Times New Roman" w:eastAsia="Times New Roman" w:hAnsi="Times New Roman" w:cs="Times New Roman"/>
          <w:color w:val="000000"/>
          <w:spacing w:val="0"/>
          <w:w w:val="100"/>
          <w:position w:val="0"/>
        </w:rPr>
        <w:t>400,000.00</w:t>
      </w:r>
      <w:r>
        <w:rPr>
          <w:color w:val="000000"/>
          <w:spacing w:val="0"/>
          <w:w w:val="100"/>
          <w:position w:val="0"/>
        </w:rPr>
        <w:t>元。</w:t>
      </w:r>
    </w:p>
    <w:p>
      <w:pPr>
        <w:pStyle w:val="Style36"/>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本期减少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,326,368.12</w:t>
      </w:r>
      <w:r>
        <w:rPr>
          <w:color w:val="000000"/>
          <w:spacing w:val="0"/>
          <w:w w:val="100"/>
          <w:position w:val="0"/>
        </w:rPr>
        <w:t>元系转入营业外收入。</w:t>
      </w:r>
      <w:r>
        <w:br w:type="page"/>
      </w:r>
    </w:p>
    <w:p>
      <w:pPr>
        <w:pStyle w:val="Style39"/>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152"/>
      <w:bookmarkEnd w:id="1153"/>
      <w:bookmarkEnd w:id="1155"/>
    </w:p>
    <w:p>
      <w:pPr>
        <w:pStyle w:val="Style39"/>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152"/>
      <w:bookmarkEnd w:id="1153"/>
      <w:bookmarkEnd w:id="11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购买上海达实联 欣股权款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45,449,788.00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157"/>
      <w:bookmarkEnd w:id="1158"/>
      <w:bookmarkEnd w:id="115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208,800,000.00</w:t>
            </w:r>
          </w:p>
        </w:tc>
      </w:tr>
    </w:tbl>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9"/>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160"/>
      <w:bookmarkEnd w:id="1161"/>
      <w:bookmarkEnd w:id="1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283,084,309.03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5,819,115.64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288,903,424.67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283,179,409.03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5,819,115.64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288,998,524.67</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资本公积说明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本期增加系限制性股票成本摊销</w:t>
      </w:r>
    </w:p>
    <w:p>
      <w:pPr>
        <w:pStyle w:val="Style39"/>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163"/>
      <w:bookmarkEnd w:id="1164"/>
      <w:bookmarkEnd w:id="11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22,385,301.31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27,163,933.74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22,385,301.31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27,163,933.74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9"/>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167"/>
      <w:bookmarkEnd w:id="1168"/>
      <w:bookmarkEnd w:id="1170"/>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181,808,180.23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181,808,180.23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10,440,000.00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248,883,757.67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31"/>
        <w:keepNext w:val="0"/>
        <w:keepLines w:val="0"/>
        <w:widowControl w:val="0"/>
        <w:shd w:val="clear" w:color="auto" w:fill="auto"/>
        <w:tabs>
          <w:tab w:pos="330" w:val="left"/>
        </w:tabs>
        <w:bidi w:val="0"/>
        <w:spacing w:before="0" w:after="0" w:line="312" w:lineRule="exact"/>
        <w:ind w:left="0" w:right="0" w:firstLine="0"/>
        <w:jc w:val="left"/>
      </w:pPr>
      <w:bookmarkStart w:id="1171" w:name="bookmark1171"/>
      <w:r>
        <w:rPr>
          <w:rFonts w:ascii="Times New Roman" w:eastAsia="Times New Roman" w:hAnsi="Times New Roman" w:cs="Times New Roman"/>
          <w:color w:val="000000"/>
          <w:spacing w:val="0"/>
          <w:w w:val="100"/>
          <w:position w:val="0"/>
          <w:sz w:val="18"/>
          <w:szCs w:val="18"/>
        </w:rPr>
        <w:t>1</w:t>
      </w:r>
      <w:bookmarkEnd w:id="11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172" w:name="bookmark1172"/>
      <w:r>
        <w:rPr>
          <w:rFonts w:ascii="Times New Roman" w:eastAsia="Times New Roman" w:hAnsi="Times New Roman" w:cs="Times New Roman"/>
          <w:color w:val="000000"/>
          <w:spacing w:val="0"/>
          <w:w w:val="100"/>
          <w:position w:val="0"/>
          <w:sz w:val="18"/>
          <w:szCs w:val="18"/>
        </w:rPr>
        <w:t>2</w:t>
      </w:r>
      <w:bookmarkEnd w:id="11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173" w:name="bookmark1173"/>
      <w:r>
        <w:rPr>
          <w:rFonts w:ascii="Times New Roman" w:eastAsia="Times New Roman" w:hAnsi="Times New Roman" w:cs="Times New Roman"/>
          <w:color w:val="000000"/>
          <w:spacing w:val="0"/>
          <w:w w:val="100"/>
          <w:position w:val="0"/>
          <w:sz w:val="18"/>
          <w:szCs w:val="18"/>
        </w:rPr>
        <w:t>3</w:t>
      </w:r>
      <w:bookmarkEnd w:id="11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174" w:name="bookmark1174"/>
      <w:r>
        <w:rPr>
          <w:rFonts w:ascii="Times New Roman" w:eastAsia="Times New Roman" w:hAnsi="Times New Roman" w:cs="Times New Roman"/>
          <w:color w:val="000000"/>
          <w:spacing w:val="0"/>
          <w:w w:val="100"/>
          <w:position w:val="0"/>
          <w:sz w:val="18"/>
          <w:szCs w:val="18"/>
        </w:rPr>
        <w:t>4</w:t>
      </w:r>
      <w:bookmarkEnd w:id="11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0" w:line="312" w:lineRule="exact"/>
        <w:ind w:left="0" w:right="0" w:firstLine="0"/>
        <w:jc w:val="left"/>
      </w:pPr>
      <w:bookmarkStart w:id="1175" w:name="bookmark1175"/>
      <w:r>
        <w:rPr>
          <w:rFonts w:ascii="Times New Roman" w:eastAsia="Times New Roman" w:hAnsi="Times New Roman" w:cs="Times New Roman"/>
          <w:color w:val="000000"/>
          <w:spacing w:val="0"/>
          <w:w w:val="100"/>
          <w:position w:val="0"/>
          <w:sz w:val="18"/>
          <w:szCs w:val="18"/>
        </w:rPr>
        <w:t>5</w:t>
      </w:r>
      <w:bookmarkEnd w:id="11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9"/>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、营业收入、营业成本</w:t>
      </w:r>
      <w:bookmarkEnd w:id="1176"/>
      <w:bookmarkEnd w:id="1177"/>
      <w:bookmarkEnd w:id="1179"/>
    </w:p>
    <w:p>
      <w:pPr>
        <w:pStyle w:val="Style39"/>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80" w:name="bookmark11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76"/>
      <w:bookmarkEnd w:id="1177"/>
      <w:bookmarkEnd w:id="1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978,916,632.18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796,732,028.91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32,976,021.71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27,338,235.30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713,210,855.38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570,537,078.75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81"/>
      <w:bookmarkEnd w:id="1182"/>
      <w:bookmarkEnd w:id="11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建筑智能化及建筑节能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748,600,663.03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560,933,015.91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605,060,107.30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439,758,498.66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绿色建筑公用工程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167,998,524.25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106,843,650.37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120,659,422.08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80,130,751.05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工业自动化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22,967,056.20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16,204,545.23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41,085,627.32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28,806,933.00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39,350,388.70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12,431,583.62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29,926,872.21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9,189,722.68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978,916,632.18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696,412,795.13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796,732,028.91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557,885,905.39</w:t>
            </w:r>
          </w:p>
        </w:tc>
      </w:tr>
    </w:tbl>
    <w:p>
      <w:p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1052" w:bottom="1465" w:left="1056" w:header="0" w:footer="3" w:gutter="0"/>
          <w:cols w:space="720"/>
          <w:noEndnote/>
          <w:rtlGutter w:val="0"/>
          <w:docGrid w:linePitch="360"/>
        </w:sectPr>
      </w:pPr>
    </w:p>
    <w:p>
      <w:pPr>
        <w:pStyle w:val="Style39"/>
        <w:keepNext/>
        <w:keepLines/>
        <w:widowControl w:val="0"/>
        <w:numPr>
          <w:ilvl w:val="0"/>
          <w:numId w:val="45"/>
        </w:numPr>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主营业务(分产品)</w:t>
      </w:r>
      <w:bookmarkEnd w:id="1184"/>
      <w:bookmarkEnd w:id="1185"/>
      <w:bookmarkEnd w:id="11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978,916,632.18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696,412,795.13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796,732,028.91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557,885,905.39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978,916,632.18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696,412,795.13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796,732,028.91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557,885,905.39</w:t>
            </w:r>
          </w:p>
        </w:tc>
      </w:tr>
    </w:tbl>
    <w:p>
      <w:pPr>
        <w:widowControl w:val="0"/>
        <w:spacing w:after="319" w:line="1" w:lineRule="exact"/>
      </w:pPr>
    </w:p>
    <w:p>
      <w:pPr>
        <w:pStyle w:val="Style39"/>
        <w:keepNext/>
        <w:keepLines/>
        <w:widowControl w:val="0"/>
        <w:numPr>
          <w:ilvl w:val="0"/>
          <w:numId w:val="45"/>
        </w:numPr>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主营业务(分地区)</w:t>
      </w:r>
      <w:bookmarkEnd w:id="1188"/>
      <w:bookmarkEnd w:id="1189"/>
      <w:bookmarkEnd w:id="11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314,755,271.25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232,044,330.50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329,551,176.77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243,878,583.95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283,954,180.42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173,560,146.70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234,763,712.66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141,839,449.52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60,122,305.91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44,243,787.17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33,051,071.06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22,325,044.00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54,669,870.76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44,747,952.01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30,091,508.84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24,500,955.80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177,729,131.17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138,757,489.13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23,017,204.24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13,688,671.60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70,204,058.30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50,588,309.69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144,567,275.32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110,590,332.39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17,481,814.37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12,470,779.93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1,062,868.13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978,916,632.18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696,412,795.13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796,732,028.91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557,885,905.39</w:t>
            </w:r>
          </w:p>
        </w:tc>
      </w:tr>
    </w:tbl>
    <w:p>
      <w:pPr>
        <w:widowControl w:val="0"/>
        <w:spacing w:after="319" w:line="1" w:lineRule="exact"/>
      </w:pPr>
    </w:p>
    <w:p>
      <w:pPr>
        <w:pStyle w:val="Style39"/>
        <w:keepNext/>
        <w:keepLines/>
        <w:widowControl w:val="0"/>
        <w:numPr>
          <w:ilvl w:val="0"/>
          <w:numId w:val="45"/>
        </w:numPr>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公司来自前五名客户的营业收入情况</w:t>
      </w:r>
      <w:bookmarkEnd w:id="1192"/>
      <w:bookmarkEnd w:id="1193"/>
      <w:bookmarkEnd w:id="11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89,334,030.86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上海松江万达广场有限公司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40,470,000.00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珠海长隆投资发展有限公司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33,520,000.00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河南升龙置业有限公司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上海古北(集团)有限公司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16,830,000.00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205,654,030.86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、营业税金及附加</w:t>
      </w:r>
      <w:bookmarkEnd w:id="1196"/>
      <w:bookmarkEnd w:id="1197"/>
      <w:bookmarkEnd w:id="1199"/>
    </w:p>
    <w:p>
      <w:pPr>
        <w:pStyle w:val="Style31"/>
        <w:keepNext w:val="0"/>
        <w:keepLines w:val="0"/>
        <w:widowControl w:val="0"/>
        <w:shd w:val="clear" w:color="auto" w:fill="auto"/>
        <w:bidi w:val="0"/>
        <w:spacing w:before="0" w:after="1480" w:line="240" w:lineRule="auto"/>
        <w:ind w:left="0" w:right="0" w:firstLine="0"/>
        <w:jc w:val="right"/>
      </w:pPr>
      <w:r>
        <w:rPr>
          <w:color w:val="000000"/>
          <w:spacing w:val="0"/>
          <w:w w:val="100"/>
          <w:position w:val="0"/>
        </w:rPr>
        <w:t>单位： 元</w:t>
      </w:r>
    </w:p>
    <w:p>
      <w:pPr>
        <w:widowControl w:val="0"/>
        <w:jc w:val="center"/>
        <w:rPr>
          <w:sz w:val="2"/>
          <w:szCs w:val="2"/>
        </w:r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470" w:right="1109" w:bottom="193" w:left="1109" w:header="0" w:footer="3" w:gutter="0"/>
          <w:cols w:space="720"/>
          <w:noEndnote/>
          <w:rtlGutter w:val="0"/>
          <w:docGrid w:linePitch="360"/>
        </w:sectPr>
      </w:pPr>
      <w:r>
        <w:drawing>
          <wp:inline>
            <wp:extent cx="402590" cy="146050"/>
            <wp:docPr id="811" name="Picutre 811"/>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275"/>
                    <a:stretch/>
                  </pic:blipFill>
                  <pic:spPr>
                    <a:xfrm>
                      <a:ext cx="402590" cy="146050"/>
                    </a:xfrm>
                    <a:prstGeom prst="rect"/>
                  </pic:spPr>
                </pic:pic>
              </a:graphicData>
            </a:graphic>
          </wp:inline>
        </w:drawing>
      </w:r>
    </w:p>
    <w:p>
      <w:pPr>
        <w:widowControl w:val="0"/>
        <w:spacing w:after="279" w:line="1" w:lineRule="exact"/>
      </w:pP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22,010,718.74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19,624,091.13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见附注三、</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见附注三、</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见附注三、</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802,044.18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见附注三、</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195,080.67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见附注三、</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178,107.39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见附注三、</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26,774,027.94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23,354,549.35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9"/>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3</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200"/>
      <w:bookmarkEnd w:id="1201"/>
      <w:bookmarkEnd w:id="12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45,449,164.82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35,722,637.79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7,890,949.48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4,565,691.16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1,271,986.09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1,636,699.57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2,988,296.33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2,098,538.36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3,185,170.46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1,655,255.46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物料消耗及低耗品摊销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629,944.38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工程及售后维护费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1,092,204.71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1,015,984.60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12,587,078.95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9,137,850.61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74,887,869.12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56,462,601.93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204"/>
      <w:bookmarkEnd w:id="1205"/>
      <w:bookmarkEnd w:id="12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32,161,398.96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19,163,298.50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3,981,604.49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3,912,158.88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3,503,163.06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2,156,535.76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2,100,230.99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1,673,943.31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3,954,726.83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1,490,849.91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5,458,560.29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5,943,039.75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24,484,763.38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16,560,496.68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75,644,448.00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50,900,322.79</w:t>
            </w:r>
          </w:p>
        </w:tc>
      </w:tr>
    </w:tbl>
    <w:p>
      <w:pPr>
        <w:sectPr>
          <w:headerReference w:type="default" r:id="rId277"/>
          <w:footerReference w:type="default" r:id="rId278"/>
          <w:headerReference w:type="even" r:id="rId279"/>
          <w:footerReference w:type="even" r:id="rId280"/>
          <w:footnotePr>
            <w:pos w:val="pageBottom"/>
            <w:numFmt w:val="decimal"/>
            <w:numRestart w:val="continuous"/>
          </w:footnotePr>
          <w:pgSz w:w="11900" w:h="16840"/>
          <w:pgMar w:top="1224" w:right="1005" w:bottom="1174" w:left="1059" w:header="0" w:footer="3" w:gutter="0"/>
          <w:cols w:space="720"/>
          <w:noEndnote/>
          <w:rtlGutter w:val="0"/>
          <w:docGrid w:linePitch="360"/>
        </w:sectPr>
      </w:pPr>
    </w:p>
    <w:p>
      <w:pPr>
        <w:pStyle w:val="Style3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3</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208"/>
      <w:bookmarkEnd w:id="1209"/>
      <w:bookmarkEnd w:id="12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-2,255,647.82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-4,073,981.64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213,793.72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259,423.51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345,268.96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-1,557,430.59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-3,718,914.03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w:t>
      </w:r>
      <w:bookmarkEnd w:id="1214"/>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212"/>
      <w:bookmarkEnd w:id="1213"/>
      <w:bookmarkEnd w:id="12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-22,800.45</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公允价值变动收益的说明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系子公司达实联欣所购基金卖出，原确认的公允价值变动损益转出所致。</w:t>
      </w:r>
    </w:p>
    <w:p>
      <w:pPr>
        <w:pStyle w:val="Style3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216"/>
      <w:bookmarkEnd w:id="1217"/>
      <w:bookmarkEnd w:id="1219"/>
    </w:p>
    <w:p>
      <w:pPr>
        <w:pStyle w:val="Style3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216"/>
      <w:bookmarkEnd w:id="1217"/>
      <w:bookmarkEnd w:id="12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340,082.27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221"/>
      <w:bookmarkEnd w:id="1222"/>
      <w:bookmarkEnd w:id="12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4,537,277.83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10,252,726.77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4,537,277.83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10,252,726.77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4</w:t>
      </w:r>
      <w:bookmarkEnd w:id="1227"/>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225"/>
      <w:bookmarkEnd w:id="1226"/>
      <w:bookmarkEnd w:id="1228"/>
    </w:p>
    <w:p>
      <w:pPr>
        <w:pStyle w:val="Style39"/>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25"/>
      <w:bookmarkEnd w:id="1226"/>
      <w:bookmarkEnd w:id="1229"/>
    </w:p>
    <w:p>
      <w:pPr>
        <w:pStyle w:val="Style31"/>
        <w:keepNext w:val="0"/>
        <w:keepLines w:val="0"/>
        <w:widowControl w:val="0"/>
        <w:shd w:val="clear" w:color="auto" w:fill="auto"/>
        <w:bidi w:val="0"/>
        <w:spacing w:before="0" w:after="40" w:line="240" w:lineRule="auto"/>
        <w:ind w:left="0" w:right="140" w:firstLine="0"/>
        <w:jc w:val="right"/>
      </w:pPr>
      <w:r>
        <w:rPr>
          <w:color w:val="313131"/>
          <w:spacing w:val="0"/>
          <w:w w:val="100"/>
          <w:position w:val="0"/>
        </w:rPr>
        <w:t>单位：</w:t>
      </w:r>
      <w:r>
        <w:rPr>
          <w:color w:val="4B4B4B"/>
          <w:spacing w:val="0"/>
          <w:w w:val="100"/>
          <w:position w:val="0"/>
        </w:rPr>
        <w:t>元</w:t>
      </w:r>
    </w:p>
    <w:p>
      <w:pPr>
        <w:pStyle w:val="Style76"/>
        <w:keepNext w:val="0"/>
        <w:keepLines w:val="0"/>
        <w:widowControl w:val="0"/>
        <w:shd w:val="clear" w:color="auto" w:fill="auto"/>
        <w:tabs>
          <w:tab w:pos="3859" w:val="left"/>
        </w:tabs>
        <w:bidi w:val="0"/>
        <w:spacing w:before="0" w:after="380" w:line="240" w:lineRule="auto"/>
        <w:ind w:left="0" w:right="0" w:firstLine="0"/>
        <w:jc w:val="right"/>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224" w:right="1005" w:bottom="1174" w:left="1059" w:header="0" w:footer="746" w:gutter="0"/>
          <w:pgNumType w:start="120"/>
          <w:cols w:space="720"/>
          <w:noEndnote/>
          <w:rtlGutter w:val="0"/>
          <w:docGrid w:linePitch="360"/>
        </w:sectPr>
      </w:pPr>
      <w:r>
        <w:rPr>
          <w:rFonts w:ascii="Times New Roman" w:eastAsia="Times New Roman" w:hAnsi="Times New Roman" w:cs="Times New Roman"/>
          <w:b w:val="0"/>
          <w:bCs w:val="0"/>
          <w:color w:val="000000"/>
          <w:spacing w:val="0"/>
          <w:w w:val="100"/>
          <w:position w:val="0"/>
          <w:sz w:val="18"/>
          <w:szCs w:val="18"/>
        </w:rPr>
        <w:t>119</w:t>
        <w:tab/>
      </w:r>
      <w:r>
        <w:rPr>
          <w:spacing w:val="0"/>
          <w:w w:val="100"/>
          <w:position w:val="0"/>
        </w:rPr>
        <w:t>cninf</w:t>
      </w:r>
      <w:r>
        <w:rPr>
          <w:spacing w:val="0"/>
          <w:w w:val="100"/>
          <w:position w:val="0"/>
        </w:rPr>
        <w:t>«</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8,289,137.21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8,629,254.25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8,289,137.21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229,298.44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8,531,945.65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8,993,707.52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）政府补助对比情况</w:t>
      </w:r>
      <w:bookmarkEnd w:id="1230"/>
      <w:bookmarkEnd w:id="1231"/>
      <w:bookmarkEnd w:id="12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6"/>
        <w:gridCol w:w="1762"/>
        <w:gridCol w:w="1637"/>
        <w:gridCol w:w="249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上期发生额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与资产相关/与收益相关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自主创新产业发展专项资金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企业国内市场开拓项目资助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计算机软件著作权、专利资助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合同能源管理财政奖励资金项目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高新技术产业专项补助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1,966,611.37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深圳市民营及中小企业发展专项资金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著名商标奖励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科学技术委员会扶持基金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税务局奖励款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583,685.40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杨浦区资金收付中心扶持资金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164,637.32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62,686.42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科技成果转换补助资金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976,368.12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4,220,167.83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科学技术奖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知识产权资金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节能先进单位和先进个人奖励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中小企业改制上市资助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资源节约奖励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881,900.00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CMM/CMMI </w:t>
            </w:r>
            <w:r>
              <w:rPr>
                <w:color w:val="000000"/>
                <w:spacing w:val="0"/>
                <w:w w:val="100"/>
                <w:position w:val="0"/>
                <w:sz w:val="20"/>
                <w:szCs w:val="2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年科技研发第二批研发补助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8,289,137.21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8,629,254.25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224" w:right="1005" w:bottom="1174" w:left="1059" w:header="0" w:footer="3" w:gutter="0"/>
          <w:pgNumType w:start="120"/>
          <w:cols w:space="720"/>
          <w:noEndnote/>
          <w:rtlGutter w:val="0"/>
          <w:docGrid w:linePitch="360"/>
        </w:sectPr>
      </w:pPr>
    </w:p>
    <w:p>
      <w:pPr>
        <w:pStyle w:val="Style39"/>
        <w:keepNext/>
        <w:keepLines/>
        <w:widowControl w:val="0"/>
        <w:shd w:val="clear" w:color="auto" w:fill="auto"/>
        <w:bidi w:val="0"/>
        <w:spacing w:before="360" w:after="160" w:line="411" w:lineRule="exact"/>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）营业外收入说明</w:t>
      </w:r>
      <w:bookmarkEnd w:id="1233"/>
      <w:bookmarkEnd w:id="1234"/>
      <w:bookmarkEnd w:id="1236"/>
    </w:p>
    <w:p>
      <w:pPr>
        <w:pStyle w:val="Style36"/>
        <w:keepNext w:val="0"/>
        <w:keepLines w:val="0"/>
        <w:widowControl w:val="0"/>
        <w:shd w:val="clear" w:color="auto" w:fill="auto"/>
        <w:bidi w:val="0"/>
        <w:spacing w:before="0" w:after="0" w:line="413"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月收到深圳市南山区财政委员会</w:t>
      </w:r>
      <w:r>
        <w:rPr>
          <w:color w:val="000000"/>
          <w:spacing w:val="0"/>
          <w:w w:val="100"/>
          <w:position w:val="0"/>
        </w:rPr>
        <w:t>2012</w:t>
      </w:r>
      <w:r>
        <w:rPr>
          <w:color w:val="000000"/>
          <w:spacing w:val="0"/>
          <w:w w:val="100"/>
          <w:position w:val="0"/>
        </w:rPr>
        <w:t>年南山区自主创新产业发展专项资金资助款</w:t>
      </w:r>
      <w:r>
        <w:rPr>
          <w:rFonts w:ascii="Times New Roman" w:eastAsia="Times New Roman" w:hAnsi="Times New Roman" w:cs="Times New Roman"/>
          <w:color w:val="000000"/>
          <w:spacing w:val="0"/>
          <w:w w:val="100"/>
          <w:position w:val="0"/>
        </w:rPr>
        <w:t xml:space="preserve">200,000.00 </w:t>
      </w:r>
      <w:r>
        <w:rPr>
          <w:color w:val="000000"/>
          <w:spacing w:val="0"/>
          <w:w w:val="100"/>
          <w:position w:val="0"/>
        </w:rPr>
        <w:t>/元。</w:t>
      </w:r>
    </w:p>
    <w:p>
      <w:pPr>
        <w:pStyle w:val="Style36"/>
        <w:keepNext w:val="0"/>
        <w:keepLines w:val="0"/>
        <w:widowControl w:val="0"/>
        <w:shd w:val="clear" w:color="auto" w:fill="auto"/>
        <w:bidi w:val="0"/>
        <w:spacing w:before="0" w:after="0" w:line="418"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月收到深圳市中小企业服务中心关于</w:t>
      </w:r>
      <w:r>
        <w:rPr>
          <w:color w:val="000000"/>
          <w:spacing w:val="0"/>
          <w:w w:val="100"/>
          <w:position w:val="0"/>
        </w:rPr>
        <w:t>2012</w:t>
      </w:r>
      <w:r>
        <w:rPr>
          <w:color w:val="000000"/>
          <w:spacing w:val="0"/>
          <w:w w:val="100"/>
          <w:position w:val="0"/>
        </w:rPr>
        <w:t>年深圳民营及中小企业发展专项资金企业国内市场 开拓项目资助计划资金款</w:t>
      </w:r>
      <w:r>
        <w:rPr>
          <w:rFonts w:ascii="Times New Roman" w:eastAsia="Times New Roman" w:hAnsi="Times New Roman" w:cs="Times New Roman"/>
          <w:color w:val="000000"/>
          <w:spacing w:val="0"/>
          <w:w w:val="100"/>
          <w:position w:val="0"/>
        </w:rPr>
        <w:t>17,880.00</w:t>
      </w:r>
      <w:r>
        <w:rPr>
          <w:color w:val="000000"/>
          <w:spacing w:val="0"/>
          <w:w w:val="100"/>
          <w:position w:val="0"/>
        </w:rPr>
        <w:t>元。</w:t>
      </w:r>
    </w:p>
    <w:p>
      <w:pPr>
        <w:pStyle w:val="Style36"/>
        <w:keepNext w:val="0"/>
        <w:keepLines w:val="0"/>
        <w:widowControl w:val="0"/>
        <w:shd w:val="clear" w:color="auto" w:fill="auto"/>
        <w:bidi w:val="0"/>
        <w:spacing w:before="0" w:after="0" w:line="427"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月收到深圳市市场监督管理局</w:t>
      </w:r>
      <w:r>
        <w:rPr>
          <w:color w:val="000000"/>
          <w:spacing w:val="0"/>
          <w:w w:val="100"/>
          <w:position w:val="0"/>
        </w:rPr>
        <w:t>2012</w:t>
      </w:r>
      <w:r>
        <w:rPr>
          <w:color w:val="000000"/>
          <w:spacing w:val="0"/>
          <w:w w:val="100"/>
          <w:position w:val="0"/>
        </w:rPr>
        <w:t>年深圳市第一批计算机软件著作权登记资助款拨款</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月收到深圳市市场监督管理局</w:t>
      </w:r>
      <w:r>
        <w:rPr>
          <w:color w:val="000000"/>
          <w:spacing w:val="0"/>
          <w:w w:val="100"/>
          <w:position w:val="0"/>
        </w:rPr>
        <w:t>2012</w:t>
      </w:r>
      <w:r>
        <w:rPr>
          <w:color w:val="000000"/>
          <w:spacing w:val="0"/>
          <w:w w:val="100"/>
          <w:position w:val="0"/>
        </w:rPr>
        <w:t>年深圳市第一批专利申请资助周转金拨款</w:t>
      </w:r>
      <w:r>
        <w:rPr>
          <w:rFonts w:ascii="Times New Roman" w:eastAsia="Times New Roman" w:hAnsi="Times New Roman" w:cs="Times New Roman"/>
          <w:color w:val="000000"/>
          <w:spacing w:val="0"/>
          <w:w w:val="100"/>
          <w:position w:val="0"/>
        </w:rPr>
        <w:t>4,200.00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月，根据粤经信节能【</w:t>
      </w:r>
      <w:r>
        <w:rPr>
          <w:color w:val="000000"/>
          <w:spacing w:val="0"/>
          <w:w w:val="100"/>
          <w:position w:val="0"/>
        </w:rPr>
        <w:t>2012</w:t>
      </w:r>
      <w:r>
        <w:rPr>
          <w:color w:val="000000"/>
          <w:spacing w:val="0"/>
          <w:w w:val="100"/>
          <w:position w:val="0"/>
        </w:rPr>
        <w:t>】</w:t>
      </w:r>
      <w:r>
        <w:rPr>
          <w:color w:val="000000"/>
          <w:spacing w:val="0"/>
          <w:w w:val="100"/>
          <w:position w:val="0"/>
        </w:rPr>
        <w:t>182</w:t>
      </w:r>
      <w:r>
        <w:rPr>
          <w:color w:val="000000"/>
          <w:spacing w:val="0"/>
          <w:w w:val="100"/>
          <w:position w:val="0"/>
        </w:rPr>
        <w:t>号文，收到广东省经济和信息化委员会“省合同能源管理财 政奖励资金项目计划（第二批）”补助款</w:t>
      </w:r>
      <w:r>
        <w:rPr>
          <w:rFonts w:ascii="Times New Roman" w:eastAsia="Times New Roman" w:hAnsi="Times New Roman" w:cs="Times New Roman"/>
          <w:color w:val="000000"/>
          <w:spacing w:val="0"/>
          <w:w w:val="100"/>
          <w:position w:val="0"/>
        </w:rPr>
        <w:t>33,280.00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月，根据穗财工【</w:t>
      </w:r>
      <w:r>
        <w:rPr>
          <w:color w:val="000000"/>
          <w:spacing w:val="0"/>
          <w:w w:val="100"/>
          <w:position w:val="0"/>
        </w:rPr>
        <w:t>2013</w:t>
      </w:r>
      <w:r>
        <w:rPr>
          <w:color w:val="000000"/>
          <w:spacing w:val="0"/>
          <w:w w:val="100"/>
          <w:position w:val="0"/>
        </w:rPr>
        <w:t>】</w:t>
      </w:r>
      <w:r>
        <w:rPr>
          <w:color w:val="000000"/>
          <w:spacing w:val="0"/>
          <w:w w:val="100"/>
          <w:position w:val="0"/>
        </w:rPr>
        <w:t>115</w:t>
      </w:r>
      <w:r>
        <w:rPr>
          <w:color w:val="000000"/>
          <w:spacing w:val="0"/>
          <w:w w:val="100"/>
          <w:position w:val="0"/>
        </w:rPr>
        <w:t>号文，收到广东省财政局省合同能源管理财政奖励资金（第六 批</w:t>
      </w:r>
      <w:r>
        <w:rPr>
          <w:color w:val="000000"/>
          <w:spacing w:val="0"/>
          <w:w w:val="100"/>
          <w:position w:val="0"/>
        </w:rPr>
        <w:t>）</w:t>
      </w:r>
      <w:r>
        <w:rPr>
          <w:rFonts w:ascii="Times New Roman" w:eastAsia="Times New Roman" w:hAnsi="Times New Roman" w:cs="Times New Roman"/>
          <w:color w:val="000000"/>
          <w:spacing w:val="0"/>
          <w:w w:val="100"/>
          <w:position w:val="0"/>
        </w:rPr>
        <w:t>116,700.00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月，收到深圳市市场监督管理局</w:t>
      </w:r>
      <w:r>
        <w:rPr>
          <w:rFonts w:ascii="Times New Roman" w:eastAsia="Times New Roman" w:hAnsi="Times New Roman" w:cs="Times New Roman"/>
          <w:color w:val="000000"/>
          <w:spacing w:val="0"/>
          <w:w w:val="100"/>
          <w:position w:val="0"/>
        </w:rPr>
        <w:t>2012</w:t>
      </w:r>
      <w:r>
        <w:rPr>
          <w:color w:val="000000"/>
          <w:spacing w:val="0"/>
          <w:w w:val="100"/>
          <w:position w:val="0"/>
        </w:rPr>
        <w:t>年第八批软件著作权登记资助款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月，根据深财科【</w:t>
      </w:r>
      <w:r>
        <w:rPr>
          <w:color w:val="000000"/>
          <w:spacing w:val="0"/>
          <w:w w:val="100"/>
          <w:position w:val="0"/>
        </w:rPr>
        <w:t>2013</w:t>
      </w:r>
      <w:r>
        <w:rPr>
          <w:color w:val="000000"/>
          <w:spacing w:val="0"/>
          <w:w w:val="100"/>
          <w:position w:val="0"/>
        </w:rPr>
        <w:t>】</w:t>
      </w:r>
      <w:r>
        <w:rPr>
          <w:color w:val="000000"/>
          <w:spacing w:val="0"/>
          <w:w w:val="100"/>
          <w:position w:val="0"/>
        </w:rPr>
        <w:t>178</w:t>
      </w:r>
      <w:r>
        <w:rPr>
          <w:color w:val="000000"/>
          <w:spacing w:val="0"/>
          <w:w w:val="100"/>
          <w:position w:val="0"/>
        </w:rPr>
        <w:t xml:space="preserve">号文，收到深圳市财政委员会深圳市高新技术产业专项补助 </w:t>
      </w:r>
      <w:r>
        <w:rPr>
          <w:rFonts w:ascii="Times New Roman" w:eastAsia="Times New Roman" w:hAnsi="Times New Roman" w:cs="Times New Roman"/>
          <w:color w:val="000000"/>
          <w:spacing w:val="0"/>
          <w:w w:val="100"/>
          <w:position w:val="0"/>
        </w:rPr>
        <w:t>301,000.00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年收到深圳市国税局南山区分局增值税软件退税款</w:t>
      </w:r>
      <w:r>
        <w:rPr>
          <w:rFonts w:ascii="Times New Roman" w:eastAsia="Times New Roman" w:hAnsi="Times New Roman" w:cs="Times New Roman"/>
          <w:color w:val="000000"/>
          <w:spacing w:val="0"/>
          <w:w w:val="100"/>
          <w:position w:val="0"/>
        </w:rPr>
        <w:t>546,969.00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月收到深圳市地方税务局返还</w:t>
      </w:r>
      <w:r>
        <w:rPr>
          <w:color w:val="000000"/>
          <w:spacing w:val="0"/>
          <w:w w:val="100"/>
          <w:position w:val="0"/>
        </w:rPr>
        <w:t>2012</w:t>
      </w:r>
      <w:r>
        <w:rPr>
          <w:color w:val="000000"/>
          <w:spacing w:val="0"/>
          <w:w w:val="100"/>
          <w:position w:val="0"/>
        </w:rPr>
        <w:t>年个人手续费</w:t>
      </w:r>
      <w:r>
        <w:rPr>
          <w:rFonts w:ascii="Times New Roman" w:eastAsia="Times New Roman" w:hAnsi="Times New Roman" w:cs="Times New Roman"/>
          <w:color w:val="000000"/>
          <w:spacing w:val="0"/>
          <w:w w:val="100"/>
          <w:position w:val="0"/>
        </w:rPr>
        <w:t>54,245.16</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年收到深圳市国税局南山区分局增值税软件退税款</w:t>
      </w:r>
      <w:r>
        <w:rPr>
          <w:rFonts w:ascii="Times New Roman" w:eastAsia="Times New Roman" w:hAnsi="Times New Roman" w:cs="Times New Roman"/>
          <w:color w:val="000000"/>
          <w:spacing w:val="0"/>
          <w:w w:val="100"/>
          <w:position w:val="0"/>
        </w:rPr>
        <w:t>1,419,642.37</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月收到深圳市民营及中小企业发展专项资金</w:t>
      </w:r>
      <w:r>
        <w:rPr>
          <w:rFonts w:ascii="Times New Roman" w:eastAsia="Times New Roman" w:hAnsi="Times New Roman" w:cs="Times New Roman"/>
          <w:color w:val="000000"/>
          <w:spacing w:val="0"/>
          <w:w w:val="100"/>
          <w:position w:val="0"/>
        </w:rPr>
        <w:t>19,570.00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月收到深圳市地方税务局返还</w:t>
      </w:r>
      <w:r>
        <w:rPr>
          <w:color w:val="000000"/>
          <w:spacing w:val="0"/>
          <w:w w:val="100"/>
          <w:position w:val="0"/>
        </w:rPr>
        <w:t>2012</w:t>
      </w:r>
      <w:r>
        <w:rPr>
          <w:color w:val="000000"/>
          <w:spacing w:val="0"/>
          <w:w w:val="100"/>
          <w:position w:val="0"/>
        </w:rPr>
        <w:t>年个人手续费</w:t>
      </w:r>
      <w:r>
        <w:rPr>
          <w:rFonts w:ascii="Times New Roman" w:eastAsia="Times New Roman" w:hAnsi="Times New Roman" w:cs="Times New Roman"/>
          <w:color w:val="000000"/>
          <w:spacing w:val="0"/>
          <w:w w:val="100"/>
          <w:position w:val="0"/>
        </w:rPr>
        <w:t>7,535.4</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月收到上海市青浦区财政局财政奖励款</w:t>
      </w:r>
      <w:r>
        <w:rPr>
          <w:rFonts w:ascii="Times New Roman" w:eastAsia="Times New Roman" w:hAnsi="Times New Roman" w:cs="Times New Roman"/>
          <w:color w:val="000000"/>
          <w:spacing w:val="0"/>
          <w:w w:val="100"/>
          <w:position w:val="0"/>
        </w:rPr>
        <w:t>3,295,400.00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月收到上海市青浦区财政局上海市著名商标奖励经费</w:t>
      </w:r>
      <w:r>
        <w:rPr>
          <w:rFonts w:ascii="Times New Roman" w:eastAsia="Times New Roman" w:hAnsi="Times New Roman" w:cs="Times New Roman"/>
          <w:color w:val="000000"/>
          <w:spacing w:val="0"/>
          <w:w w:val="100"/>
          <w:position w:val="0"/>
        </w:rPr>
        <w:t>100,000.00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月收到上海市青浦区科学技术委员会扶持基金</w:t>
      </w:r>
      <w:r>
        <w:rPr>
          <w:rFonts w:ascii="Times New Roman" w:eastAsia="Times New Roman" w:hAnsi="Times New Roman" w:cs="Times New Roman"/>
          <w:color w:val="000000"/>
          <w:spacing w:val="0"/>
          <w:w w:val="100"/>
          <w:position w:val="0"/>
        </w:rPr>
        <w:t>30,000.00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月收到上海市青浦区财政局房产税奖励</w:t>
      </w:r>
      <w:r>
        <w:rPr>
          <w:rFonts w:ascii="Times New Roman" w:eastAsia="Times New Roman" w:hAnsi="Times New Roman" w:cs="Times New Roman"/>
          <w:color w:val="000000"/>
          <w:spacing w:val="0"/>
          <w:w w:val="100"/>
          <w:position w:val="0"/>
        </w:rPr>
        <w:t>463,400.00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月收到上海市青浦区朱家角镇人民政府财政奖励</w:t>
      </w:r>
      <w:r>
        <w:rPr>
          <w:rFonts w:ascii="Times New Roman" w:eastAsia="Times New Roman" w:hAnsi="Times New Roman" w:cs="Times New Roman"/>
          <w:color w:val="000000"/>
          <w:spacing w:val="0"/>
          <w:w w:val="100"/>
          <w:position w:val="0"/>
        </w:rPr>
        <w:t>30,000.00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月收到上海市地方税务局青浦区分局奖励款</w:t>
      </w:r>
      <w:r>
        <w:rPr>
          <w:rFonts w:ascii="Times New Roman" w:eastAsia="Times New Roman" w:hAnsi="Times New Roman" w:cs="Times New Roman"/>
          <w:color w:val="000000"/>
          <w:spacing w:val="0"/>
          <w:w w:val="100"/>
          <w:position w:val="0"/>
        </w:rPr>
        <w:t>120,285.4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月收到上海市青浦区财政局专利资助</w:t>
      </w:r>
      <w:r>
        <w:rPr>
          <w:rFonts w:ascii="Times New Roman" w:eastAsia="Times New Roman" w:hAnsi="Times New Roman" w:cs="Times New Roman"/>
          <w:color w:val="000000"/>
          <w:spacing w:val="0"/>
          <w:w w:val="100"/>
          <w:position w:val="0"/>
        </w:rPr>
        <w:t>1,305.00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月收到上海市杨浦区资金收付中心扶持资金</w:t>
      </w:r>
      <w:r>
        <w:rPr>
          <w:rFonts w:ascii="Times New Roman" w:eastAsia="Times New Roman" w:hAnsi="Times New Roman" w:cs="Times New Roman"/>
          <w:color w:val="000000"/>
          <w:spacing w:val="0"/>
          <w:w w:val="100"/>
          <w:position w:val="0"/>
        </w:rPr>
        <w:t>88,000.00</w:t>
      </w:r>
      <w:r>
        <w:rPr>
          <w:color w:val="000000"/>
          <w:spacing w:val="0"/>
          <w:w w:val="100"/>
          <w:position w:val="0"/>
        </w:rPr>
        <w:t>元。</w:t>
      </w:r>
    </w:p>
    <w:p>
      <w:pPr>
        <w:pStyle w:val="Style36"/>
        <w:keepNext w:val="0"/>
        <w:keepLines w:val="0"/>
        <w:widowControl w:val="0"/>
        <w:shd w:val="clear" w:color="auto" w:fill="auto"/>
        <w:bidi w:val="0"/>
        <w:spacing w:before="0" w:after="0" w:line="411" w:lineRule="exact"/>
        <w:ind w:left="0" w:right="0" w:firstLine="440"/>
        <w:jc w:val="left"/>
      </w:pPr>
      <w:r>
        <w:rPr>
          <w:color w:val="000000"/>
          <w:spacing w:val="0"/>
          <w:w w:val="100"/>
          <w:position w:val="0"/>
        </w:rPr>
        <w:t>2013</w:t>
      </w:r>
      <w:r>
        <w:rPr>
          <w:color w:val="000000"/>
          <w:spacing w:val="0"/>
          <w:w w:val="100"/>
          <w:position w:val="0"/>
        </w:rPr>
        <w:t>年收到上海金山区财政局财政扶持款</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,000.00</w:t>
      </w:r>
      <w:r>
        <w:rPr>
          <w:color w:val="000000"/>
          <w:spacing w:val="0"/>
          <w:w w:val="100"/>
          <w:position w:val="0"/>
        </w:rPr>
        <w:t>元。</w:t>
      </w:r>
    </w:p>
    <w:p>
      <w:pPr>
        <w:pStyle w:val="Style36"/>
        <w:keepNext w:val="0"/>
        <w:keepLines w:val="0"/>
        <w:widowControl w:val="0"/>
        <w:shd w:val="clear" w:color="auto" w:fill="auto"/>
        <w:bidi w:val="0"/>
        <w:spacing w:before="0" w:after="300" w:line="411" w:lineRule="exact"/>
        <w:ind w:left="0" w:right="0" w:firstLine="440"/>
        <w:jc w:val="left"/>
      </w:pPr>
      <w:r>
        <w:rPr>
          <w:color w:val="000000"/>
          <w:spacing w:val="0"/>
          <w:w w:val="100"/>
          <w:position w:val="0"/>
        </w:rPr>
        <w:t>2013</w:t>
      </w:r>
      <w:r>
        <w:rPr>
          <w:color w:val="000000"/>
          <w:spacing w:val="0"/>
          <w:w w:val="100"/>
          <w:position w:val="0"/>
        </w:rPr>
        <w:t>年收到上海市地方税务局返还</w:t>
      </w:r>
      <w:r>
        <w:rPr>
          <w:color w:val="000000"/>
          <w:spacing w:val="0"/>
          <w:w w:val="100"/>
          <w:position w:val="0"/>
        </w:rPr>
        <w:t>2012</w:t>
      </w:r>
      <w:r>
        <w:rPr>
          <w:color w:val="000000"/>
          <w:spacing w:val="0"/>
          <w:w w:val="100"/>
          <w:position w:val="0"/>
        </w:rPr>
        <w:t>年个人手续费</w:t>
      </w:r>
      <w:r>
        <w:rPr>
          <w:rFonts w:ascii="Times New Roman" w:eastAsia="Times New Roman" w:hAnsi="Times New Roman" w:cs="Times New Roman"/>
          <w:color w:val="000000"/>
          <w:spacing w:val="0"/>
          <w:w w:val="100"/>
          <w:position w:val="0"/>
        </w:rPr>
        <w:t>102,856.67</w:t>
      </w:r>
      <w:r>
        <w:rPr>
          <w:color w:val="000000"/>
          <w:spacing w:val="0"/>
          <w:w w:val="100"/>
          <w:position w:val="0"/>
        </w:rPr>
        <w:t>元。</w:t>
      </w:r>
    </w:p>
    <w:p>
      <w:pPr>
        <w:pStyle w:val="Style36"/>
        <w:keepNext w:val="0"/>
        <w:keepLines w:val="0"/>
        <w:widowControl w:val="0"/>
        <w:shd w:val="clear" w:color="auto" w:fill="auto"/>
        <w:bidi w:val="0"/>
        <w:spacing w:before="0" w:after="240" w:line="411" w:lineRule="exact"/>
        <w:ind w:left="0" w:right="0" w:firstLine="0"/>
        <w:jc w:val="left"/>
      </w:pPr>
      <w:bookmarkStart w:id="1237" w:name="bookmark1237"/>
      <w:r>
        <w:rPr>
          <w:rFonts w:ascii="Times New Roman" w:eastAsia="Times New Roman" w:hAnsi="Times New Roman" w:cs="Times New Roman"/>
          <w:b/>
          <w:bCs/>
          <w:color w:val="000000"/>
          <w:spacing w:val="0"/>
          <w:w w:val="100"/>
          <w:position w:val="0"/>
        </w:rPr>
        <w:t>4</w:t>
      </w:r>
      <w:bookmarkEnd w:id="1237"/>
      <w:r>
        <w:rPr>
          <w:rFonts w:ascii="Times New Roman" w:eastAsia="Times New Roman" w:hAnsi="Times New Roman" w:cs="Times New Roman"/>
          <w:b/>
          <w:bCs/>
          <w:color w:val="000000"/>
          <w:spacing w:val="0"/>
          <w:w w:val="100"/>
          <w:position w:val="0"/>
        </w:rPr>
        <w:t>1</w:t>
      </w:r>
      <w:r>
        <w:rPr>
          <w:b/>
          <w:bCs/>
          <w:color w:val="000000"/>
          <w:spacing w:val="0"/>
          <w:w w:val="100"/>
          <w:position w:val="0"/>
        </w:rPr>
        <w:t>、营业外支出</w:t>
      </w:r>
      <w:r>
        <w:br w:type="page"/>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3,069.09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3,069.09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9,164.16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66,008.56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6,760.48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238"/>
      <w:bookmarkEnd w:id="1239"/>
      <w:bookmarkEnd w:id="12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19,861,704.39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21,323,506.00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829,045.38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19,625,612.45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22,152,551.38</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、基本每股收益和稀释每股收益的计算过程</w:t>
      </w:r>
      <w:bookmarkEnd w:id="1242"/>
      <w:bookmarkEnd w:id="1243"/>
      <w:bookmarkEnd w:id="1245"/>
    </w:p>
    <w:tbl>
      <w:tblPr>
        <w:tblOverlap w:val="never"/>
        <w:jc w:val="center"/>
        <w:tblLayout w:type="fixed"/>
      </w:tblPr>
      <w:tblGrid>
        <w:gridCol w:w="4829"/>
        <w:gridCol w:w="1699"/>
        <w:gridCol w:w="1560"/>
        <w:gridCol w:w="157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计算过程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77,801,320.40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归属于公司普通股股东的非经常性损益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5,374,569.30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7,590,417.77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扣除非经常性损益后归属于普通股股东的净利润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P0'=P0-F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76,919,640.57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70,210,902.63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稀释事项对归属于公司普通股股东的净利润的影响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8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归属于公司普通股股东的净利润，并考虑稀释性潜在普通股对 其影响，按《企业会计准则》及有关规定进行调整。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P1=P0+V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82,294,209.87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77,801,320.40</w:t>
            </w:r>
          </w:p>
        </w:tc>
      </w:tr>
      <w:tr>
        <w:trPr>
          <w:trHeight w:val="8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稀释事项对扣除非经常性损益后归属于公司普通股股东的净 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2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扣除非经常性损益后归属于公司普通股股东的净利润，并考虑 稀释性潜在普通股对其影响，按《企业会计准则》及有关规定 进行调整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P1'=P0'+V'</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76,919,640.57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70,210,902.63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101,400,000.00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104,400,000.00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报告期缩股数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Sk</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163" w:right="1043" w:bottom="1705" w:left="1051" w:header="0" w:footer="3" w:gutter="0"/>
          <w:cols w:space="720"/>
          <w:noEndnote/>
          <w:rtlGutter w:val="0"/>
          <w:docGrid w:linePitch="360"/>
        </w:sectPr>
      </w:pPr>
    </w:p>
    <w:tbl>
      <w:tblPr>
        <w:tblOverlap w:val="never"/>
        <w:jc w:val="center"/>
        <w:tblLayout w:type="fixed"/>
      </w:tblPr>
      <w:tblGrid>
        <w:gridCol w:w="4829"/>
        <w:gridCol w:w="1699"/>
        <w:gridCol w:w="1560"/>
        <w:gridCol w:w="15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M0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Mi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Mj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648" w:val="left"/>
                <w:tab w:pos="1061" w:val="left"/>
                <w:tab w:pos="1512"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S=S0</w:t>
              <w:tab/>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S1</w:t>
              <w:tab/>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SixM</w:t>
            </w:r>
            <w:r>
              <w:rPr>
                <w:color w:val="000000"/>
                <w:spacing w:val="0"/>
                <w:w w:val="100"/>
                <w:position w:val="0"/>
                <w:sz w:val="17"/>
                <w:szCs w:val="17"/>
              </w:rPr>
              <w:t>讦</w:t>
            </w:r>
            <w:r>
              <w:rPr>
                <w:rFonts w:ascii="Times New Roman" w:eastAsia="Times New Roman" w:hAnsi="Times New Roman" w:cs="Times New Roman"/>
                <w:color w:val="000000"/>
                <w:spacing w:val="0"/>
                <w:w w:val="100"/>
                <w:position w:val="0"/>
                <w:sz w:val="18"/>
                <w:szCs w:val="18"/>
              </w:rPr>
              <w:t>M0—SjxMj^M</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0-Sk</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207,300,000.00</w:t>
            </w:r>
          </w:p>
        </w:tc>
      </w:tr>
      <w:tr>
        <w:trPr>
          <w:trHeight w:val="8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加：假定稀释性潜在普通股转换为已发行普通股而增加的普通 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X2=S+X1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认股权证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股份期权行权而增加的普通股加权数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EPS0=P0-S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EPS0'=P0'-S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EPS1=P1-X2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EPS1'=P1'-X2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0.3387</w:t>
            </w:r>
          </w:p>
        </w:tc>
      </w:tr>
    </w:tbl>
    <w:p>
      <w:pPr>
        <w:widowControl w:val="0"/>
        <w:spacing w:after="639" w:line="1" w:lineRule="exact"/>
      </w:pPr>
    </w:p>
    <w:p>
      <w:pPr>
        <w:pStyle w:val="Style39"/>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、现金流量表附注</w:t>
      </w:r>
      <w:bookmarkEnd w:id="1246"/>
      <w:bookmarkEnd w:id="1247"/>
      <w:bookmarkEnd w:id="1249"/>
    </w:p>
    <w:p>
      <w:pPr>
        <w:pStyle w:val="Style39"/>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46"/>
      <w:bookmarkEnd w:id="1247"/>
      <w:bookmarkEnd w:id="12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2,235,264.50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除税收返还外的其他补贴收入等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5,482,267.06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施工、投标等保证金收支净额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9,168,540.19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保函及票据保证金收支净额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4,389,680.39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21,275,752.14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51"/>
      <w:bookmarkEnd w:id="1252"/>
      <w:bookmarkEnd w:id="12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51,418,050.83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施工、投标、保函等保证金收支净额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14,369,828.26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保函及票据保证金收支净额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65,787,879.09</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254"/>
      <w:bookmarkEnd w:id="1255"/>
      <w:bookmarkEnd w:id="12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收购中介费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258"/>
      <w:bookmarkEnd w:id="1259"/>
      <w:bookmarkEnd w:id="12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上市年费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9"/>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262"/>
      <w:bookmarkEnd w:id="1263"/>
      <w:bookmarkEnd w:id="1265"/>
    </w:p>
    <w:p>
      <w:pPr>
        <w:pStyle w:val="Style39"/>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6" w:name="bookmark126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62"/>
      <w:bookmarkEnd w:id="1263"/>
      <w:bookmarkEnd w:id="12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107,193,188.29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103,093,493.86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4,537,277.83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10,252,726.77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25,586,252.21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18,582,633.64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3,796,321.13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2,089,910.10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-340,082.27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-236,091.94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832,465.44</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-75,895,543.89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16,463,314.92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-164,735,340.11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-195,486,774.81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98,536,459.77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143,462,566.13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5,439,622.74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4,794,732.74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104,309,932.62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218,831,010.64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221,681,366.30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221,681,366.30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298,781,247.03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-2,850,355.66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-77,099,880.73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67"/>
      <w:bookmarkEnd w:id="1268"/>
      <w:bookmarkEnd w:id="12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270"/>
      <w:bookmarkEnd w:id="1271"/>
      <w:bookmarkEnd w:id="12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218,831,010.64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221,681,366.30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149,346.63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249,811.13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218,598,814.01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221,348,705.17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218,831,010.64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221,681,366.30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现金流量表补充资料的说明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期末现金及现金等价物余额包括信用卡保证金</w:t>
      </w:r>
      <w:r>
        <w:rPr>
          <w:rFonts w:ascii="Times New Roman" w:eastAsia="Times New Roman" w:hAnsi="Times New Roman" w:cs="Times New Roman"/>
          <w:color w:val="000000"/>
          <w:spacing w:val="0"/>
          <w:w w:val="100"/>
          <w:position w:val="0"/>
        </w:rPr>
        <w:t>82,850.00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八</w:t>
      </w:r>
      <w:bookmarkEnd w:id="1276"/>
      <w:r>
        <w:rPr>
          <w:color w:val="000000"/>
          <w:spacing w:val="0"/>
          <w:w w:val="100"/>
          <w:position w:val="0"/>
        </w:rPr>
        <w:t>、关联方及关联交易</w:t>
      </w:r>
      <w:bookmarkEnd w:id="1274"/>
      <w:bookmarkEnd w:id="1275"/>
      <w:bookmarkEnd w:id="1277"/>
    </w:p>
    <w:p>
      <w:pPr>
        <w:pStyle w:val="Style39"/>
        <w:keepNext/>
        <w:keepLines/>
        <w:widowControl w:val="0"/>
        <w:shd w:val="clear" w:color="auto" w:fill="auto"/>
        <w:bidi w:val="0"/>
        <w:spacing w:before="0" w:after="320" w:line="240" w:lineRule="auto"/>
        <w:ind w:left="0" w:right="0" w:firstLine="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78"/>
      <w:bookmarkEnd w:id="1279"/>
      <w:bookmarkEnd w:id="1280"/>
    </w:p>
    <w:tbl>
      <w:tblPr>
        <w:tblOverlap w:val="never"/>
        <w:jc w:val="center"/>
        <w:tblLayout w:type="fixed"/>
      </w:tblPr>
      <w:tblGrid>
        <w:gridCol w:w="883"/>
        <w:gridCol w:w="869"/>
        <w:gridCol w:w="869"/>
        <w:gridCol w:w="869"/>
        <w:gridCol w:w="874"/>
        <w:gridCol w:w="869"/>
        <w:gridCol w:w="869"/>
        <w:gridCol w:w="869"/>
        <w:gridCol w:w="874"/>
        <w:gridCol w:w="869"/>
        <w:gridCol w:w="950"/>
      </w:tblGrid>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母公司对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本企业的</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表决权比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spacing w:lineRule="exact" w:line="1"/>
        <w:rPr>
          <w:sz w:val="2"/>
          <w:szCs w:val="2"/>
        </w:rPr>
      </w:pPr>
      <w:r>
        <w:br w:type="page"/>
      </w:r>
    </w:p>
    <w:tbl>
      <w:tblPr>
        <w:tblOverlap w:val="never"/>
        <w:jc w:val="center"/>
        <w:tblLayout w:type="fixed"/>
      </w:tblPr>
      <w:tblGrid>
        <w:gridCol w:w="883"/>
        <w:gridCol w:w="869"/>
        <w:gridCol w:w="869"/>
        <w:gridCol w:w="869"/>
        <w:gridCol w:w="874"/>
        <w:gridCol w:w="869"/>
        <w:gridCol w:w="869"/>
        <w:gridCol w:w="869"/>
        <w:gridCol w:w="874"/>
        <w:gridCol w:w="869"/>
        <w:gridCol w:w="95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深圳市达 实投资发 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投资兴办 实业(具体 项目另</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报)；国内 商业、物资 供销业;软 件技术开 发、经济信 息咨询。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27933775-0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81"/>
      <w:bookmarkEnd w:id="1282"/>
      <w:bookmarkEnd w:id="1283"/>
    </w:p>
    <w:tbl>
      <w:tblPr>
        <w:tblOverlap w:val="never"/>
        <w:jc w:val="center"/>
        <w:tblLayout w:type="fixed"/>
      </w:tblPr>
      <w:tblGrid>
        <w:gridCol w:w="965"/>
        <w:gridCol w:w="960"/>
        <w:gridCol w:w="955"/>
        <w:gridCol w:w="960"/>
        <w:gridCol w:w="955"/>
        <w:gridCol w:w="955"/>
        <w:gridCol w:w="960"/>
        <w:gridCol w:w="955"/>
        <w:gridCol w:w="955"/>
        <w:gridCol w:w="1042"/>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组织机构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上海达实自 动化工程有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楼宇自动 化、工业自 动化、办公 自动化系统 的设计、开 发、安装、 调试及维修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63135723-3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深圳达实信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安防行业， 智能一卡通 和计算机系 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61890288-2</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北京达实德 润能源科技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技术咨询服 务；计算机 系统服务及 维修，销售 计算机、电 子、机械产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77765797-6</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上海达实联 欣科技发展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建筑智能 化，安防行 业，电气及 设备集成系 统，技术咨 询服务，销 售五金电缆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13212186-7</w:t>
            </w:r>
          </w:p>
        </w:tc>
      </w:tr>
    </w:tbl>
    <w:p>
      <w:pPr>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163" w:right="1043" w:bottom="1705" w:left="1051" w:header="0" w:footer="3" w:gutter="0"/>
          <w:cols w:space="720"/>
          <w:noEndnote/>
          <w:titlePg/>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104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防水装潢材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上海联欣金 山建筑科技 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控股子公司 的全资子公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一人有限公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建筑智能 化、安防行 业、电气及 设备集成系 统，技术咨 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59036764-5</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深圳达实融 资租赁有限 公司公司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融资租赁业 务；租赁业 务；向国内 外购买租赁 资产；租赁 资产的残值 处理及维 修；租赁交 易咨询和担 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07581069-X</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color w:val="000000"/>
          <w:spacing w:val="0"/>
          <w:w w:val="100"/>
          <w:position w:val="0"/>
        </w:rPr>
        <w:t>、本企业的其他关联方情况</w:t>
      </w:r>
      <w:bookmarkEnd w:id="1284"/>
      <w:bookmarkEnd w:id="1285"/>
      <w:bookmarkEnd w:id="1287"/>
    </w:p>
    <w:tbl>
      <w:tblPr>
        <w:tblOverlap w:val="never"/>
        <w:jc w:val="center"/>
        <w:tblLayout w:type="fixed"/>
      </w:tblPr>
      <w:tblGrid>
        <w:gridCol w:w="3696"/>
        <w:gridCol w:w="4248"/>
        <w:gridCol w:w="1819"/>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界首市达实置业有限公司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控股股东及实际控制人有重大影响的企业的全资子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56067582-3</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东兴企业澳门离岸商业服务有限公司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东兴企业澳门离岸商业服务有限公司实际控制人林 步东先生担任公司副董事长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北京启迪筑能建筑信息技术有限公司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北京启迪筑能建筑信息技术有限公司实际控制人沈 宏明先生担任公司监事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68357959-1</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上海金杖房地产开发有限公司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上海金杖房地产开发有限公司董事长兼总经理贾虹 女士担任公司董事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74956708-4</w:t>
            </w:r>
          </w:p>
        </w:tc>
      </w:tr>
    </w:tbl>
    <w:p>
      <w:pPr>
        <w:widowControl w:val="0"/>
        <w:spacing w:after="319" w:line="1" w:lineRule="exact"/>
      </w:pPr>
    </w:p>
    <w:p>
      <w:pPr>
        <w:pStyle w:val="Style39"/>
        <w:keepNext/>
        <w:keepLines/>
        <w:widowControl w:val="0"/>
        <w:shd w:val="clear" w:color="auto" w:fill="auto"/>
        <w:bidi w:val="0"/>
        <w:spacing w:before="0" w:after="16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color w:val="000000"/>
          <w:spacing w:val="0"/>
          <w:w w:val="100"/>
          <w:position w:val="0"/>
        </w:rPr>
        <w:t>、关联方交易</w:t>
      </w:r>
      <w:bookmarkEnd w:id="1288"/>
      <w:bookmarkEnd w:id="1289"/>
      <w:bookmarkEnd w:id="1291"/>
    </w:p>
    <w:p>
      <w:pPr>
        <w:pStyle w:val="Style39"/>
        <w:keepNext/>
        <w:keepLines/>
        <w:widowControl w:val="0"/>
        <w:shd w:val="clear" w:color="auto" w:fill="auto"/>
        <w:bidi w:val="0"/>
        <w:spacing w:before="0" w:after="160" w:line="413" w:lineRule="exact"/>
        <w:ind w:left="0" w:right="0" w:firstLine="460"/>
        <w:jc w:val="left"/>
      </w:pPr>
      <w:bookmarkStart w:id="1288" w:name="bookmark1288"/>
      <w:bookmarkStart w:id="1289" w:name="bookmark1289"/>
      <w:bookmarkStart w:id="1292" w:name="bookmark1292"/>
      <w:r>
        <w:rPr>
          <w:color w:val="000000"/>
          <w:spacing w:val="0"/>
          <w:w w:val="100"/>
          <w:position w:val="0"/>
        </w:rPr>
        <w:t>出售商品、提供劳务情况表</w:t>
      </w:r>
      <w:bookmarkEnd w:id="1288"/>
      <w:bookmarkEnd w:id="1289"/>
      <w:bookmarkEnd w:id="1292"/>
    </w:p>
    <w:p>
      <w:pPr>
        <w:pStyle w:val="Style36"/>
        <w:keepNext w:val="0"/>
        <w:keepLines w:val="0"/>
        <w:widowControl w:val="0"/>
        <w:shd w:val="clear" w:color="auto" w:fill="auto"/>
        <w:bidi w:val="0"/>
        <w:spacing w:before="0" w:after="0" w:line="413" w:lineRule="exact"/>
        <w:ind w:left="0" w:right="0" w:firstLine="460"/>
        <w:jc w:val="left"/>
      </w:pPr>
      <w:r>
        <w:rPr>
          <w:color w:val="000000"/>
          <w:spacing w:val="0"/>
          <w:w w:val="100"/>
          <w:position w:val="0"/>
        </w:rPr>
        <w:t>经公司</w:t>
      </w:r>
      <w:r>
        <w:rPr>
          <w:color w:val="000000"/>
          <w:spacing w:val="0"/>
          <w:w w:val="100"/>
          <w:position w:val="0"/>
        </w:rPr>
        <w:t>2013</w:t>
      </w:r>
      <w:r>
        <w:rPr>
          <w:color w:val="000000"/>
          <w:spacing w:val="0"/>
          <w:w w:val="100"/>
          <w:position w:val="0"/>
        </w:rPr>
        <w:t>年第一次临时股东大会批准，公司为界首市达实置业有限公司投资建设能源站系统（供</w:t>
      </w:r>
    </w:p>
    <w:p>
      <w:pPr>
        <w:pStyle w:val="Style36"/>
        <w:keepNext w:val="0"/>
        <w:keepLines w:val="0"/>
        <w:widowControl w:val="0"/>
        <w:shd w:val="clear" w:color="auto" w:fill="auto"/>
        <w:bidi w:val="0"/>
        <w:spacing w:before="0" w:after="400" w:line="413" w:lineRule="exact"/>
        <w:ind w:left="0" w:right="0" w:firstLine="0"/>
        <w:jc w:val="left"/>
      </w:pPr>
      <w:r>
        <w:rPr>
          <w:color w:val="000000"/>
          <w:spacing w:val="0"/>
          <w:w w:val="100"/>
          <w:position w:val="0"/>
        </w:rPr>
        <w:t>配电系统），项目造价预估为人民币</w:t>
      </w:r>
      <w:r>
        <w:rPr>
          <w:color w:val="000000"/>
          <w:spacing w:val="0"/>
          <w:w w:val="100"/>
          <w:position w:val="0"/>
        </w:rPr>
        <w:t>28,508,690.00</w:t>
      </w:r>
      <w:r>
        <w:rPr>
          <w:color w:val="000000"/>
          <w:spacing w:val="0"/>
          <w:w w:val="100"/>
          <w:position w:val="0"/>
        </w:rPr>
        <w:t>元，合同额预估为</w:t>
      </w:r>
      <w:r>
        <w:rPr>
          <w:color w:val="000000"/>
          <w:spacing w:val="0"/>
          <w:w w:val="100"/>
          <w:position w:val="0"/>
        </w:rPr>
        <w:t>48,000,000.00</w:t>
      </w:r>
      <w:r>
        <w:rPr>
          <w:color w:val="000000"/>
          <w:spacing w:val="0"/>
          <w:w w:val="100"/>
          <w:position w:val="0"/>
        </w:rPr>
        <w:t>元。截止报告期末， 该合同已部分履行，预估合同额为</w:t>
      </w:r>
      <w:r>
        <w:rPr>
          <w:color w:val="000000"/>
          <w:spacing w:val="0"/>
          <w:w w:val="100"/>
          <w:position w:val="0"/>
        </w:rPr>
        <w:t>2,087.10</w:t>
      </w:r>
      <w:r>
        <w:rPr>
          <w:color w:val="000000"/>
          <w:spacing w:val="0"/>
          <w:w w:val="100"/>
          <w:position w:val="0"/>
        </w:rPr>
        <w:t>万元。</w:t>
      </w:r>
    </w:p>
    <w:tbl>
      <w:tblPr>
        <w:tblOverlap w:val="never"/>
        <w:jc w:val="center"/>
        <w:tblLayout w:type="fixed"/>
      </w:tblPr>
      <w:tblGrid>
        <w:gridCol w:w="1594"/>
        <w:gridCol w:w="3394"/>
        <w:gridCol w:w="2232"/>
        <w:gridCol w:w="2242"/>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4"/>
                <w:szCs w:val="24"/>
              </w:rPr>
              <w:t>、关联方应收应付</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4"/>
                <w:szCs w:val="24"/>
              </w:rPr>
              <w:t>寸款项</w:t>
            </w:r>
          </w:p>
        </w:tc>
      </w:tr>
      <w:tr>
        <w:trPr>
          <w:trHeight w:val="5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2012-12-31</w:t>
            </w:r>
          </w:p>
        </w:tc>
      </w:tr>
    </w:tbl>
    <w:tbl>
      <w:tblPr>
        <w:tblOverlap w:val="never"/>
        <w:jc w:val="center"/>
        <w:tblLayout w:type="fixed"/>
      </w:tblPr>
      <w:tblGrid>
        <w:gridCol w:w="1598"/>
        <w:gridCol w:w="3389"/>
        <w:gridCol w:w="2232"/>
        <w:gridCol w:w="2242"/>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北京启迪筑能建筑信息技术有限公司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1,210,536.32</w:t>
            </w:r>
          </w:p>
        </w:tc>
      </w:tr>
      <w:tr>
        <w:trPr>
          <w:trHeight w:val="5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上海金杖房地产开发有限公司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1,633,832.40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13,805,238.00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九</w:t>
      </w:r>
      <w:bookmarkEnd w:id="1295"/>
      <w:r>
        <w:rPr>
          <w:color w:val="000000"/>
          <w:spacing w:val="0"/>
          <w:w w:val="100"/>
          <w:position w:val="0"/>
        </w:rPr>
        <w:t>、股份支付</w:t>
      </w:r>
      <w:bookmarkEnd w:id="1293"/>
      <w:bookmarkEnd w:id="1294"/>
      <w:bookmarkEnd w:id="1296"/>
    </w:p>
    <w:p>
      <w:pPr>
        <w:pStyle w:val="Style39"/>
        <w:keepNext/>
        <w:keepLines/>
        <w:widowControl w:val="0"/>
        <w:shd w:val="clear" w:color="auto" w:fill="auto"/>
        <w:bidi w:val="0"/>
        <w:spacing w:before="0" w:line="240" w:lineRule="auto"/>
        <w:ind w:left="0" w:right="0" w:firstLine="0"/>
        <w:jc w:val="both"/>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97"/>
      <w:bookmarkEnd w:id="1298"/>
      <w:bookmarkEnd w:id="12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7,325,595.34</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股份支付情况的说明</w:t>
      </w:r>
    </w:p>
    <w:p>
      <w:pPr>
        <w:pStyle w:val="Style36"/>
        <w:keepNext w:val="0"/>
        <w:keepLines w:val="0"/>
        <w:widowControl w:val="0"/>
        <w:shd w:val="clear" w:color="auto" w:fill="auto"/>
        <w:bidi w:val="0"/>
        <w:spacing w:before="0" w:after="0" w:line="420" w:lineRule="exact"/>
        <w:ind w:left="0" w:right="0" w:firstLine="4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年第一次临时股东大会审议通过了《深圳达实智能股份有限公司限制 性股票激励计划（草案）》，根据股东大会对董事会的授权，公司已于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日完成了限制性股票 的授予工作，具体情况如下：</w:t>
      </w:r>
    </w:p>
    <w:p>
      <w:pPr>
        <w:pStyle w:val="Style36"/>
        <w:keepNext w:val="0"/>
        <w:keepLines w:val="0"/>
        <w:widowControl w:val="0"/>
        <w:shd w:val="clear" w:color="auto" w:fill="auto"/>
        <w:tabs>
          <w:tab w:pos="948" w:val="left"/>
        </w:tabs>
        <w:bidi w:val="0"/>
        <w:spacing w:before="0" w:after="0" w:line="413" w:lineRule="exact"/>
        <w:ind w:left="0" w:right="0" w:firstLine="460"/>
        <w:jc w:val="both"/>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w:t>
        <w:tab/>
        <w:t>授予日：董事会已确定授予日为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36"/>
        <w:keepNext w:val="0"/>
        <w:keepLines w:val="0"/>
        <w:widowControl w:val="0"/>
        <w:shd w:val="clear" w:color="auto" w:fill="auto"/>
        <w:tabs>
          <w:tab w:pos="1026" w:val="left"/>
        </w:tabs>
        <w:bidi w:val="0"/>
        <w:spacing w:before="0" w:after="0" w:line="413" w:lineRule="exact"/>
        <w:ind w:left="0" w:right="0" w:firstLine="460"/>
        <w:jc w:val="both"/>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w:t>
        <w:tab/>
        <w:t>授予数量：公司本次的授予对象为</w:t>
      </w:r>
      <w:r>
        <w:rPr>
          <w:rFonts w:ascii="Times New Roman" w:eastAsia="Times New Roman" w:hAnsi="Times New Roman" w:cs="Times New Roman"/>
          <w:color w:val="000000"/>
          <w:spacing w:val="0"/>
          <w:w w:val="100"/>
          <w:position w:val="0"/>
        </w:rPr>
        <w:t>76</w:t>
      </w:r>
      <w:r>
        <w:rPr>
          <w:color w:val="000000"/>
          <w:spacing w:val="0"/>
          <w:w w:val="100"/>
          <w:position w:val="0"/>
        </w:rPr>
        <w:t>人；授予数量为</w:t>
      </w:r>
      <w:r>
        <w:rPr>
          <w:rFonts w:ascii="Times New Roman" w:eastAsia="Times New Roman" w:hAnsi="Times New Roman" w:cs="Times New Roman"/>
          <w:color w:val="000000"/>
          <w:spacing w:val="0"/>
          <w:w w:val="100"/>
          <w:position w:val="0"/>
        </w:rPr>
        <w:t>300</w:t>
      </w:r>
      <w:r>
        <w:rPr>
          <w:color w:val="000000"/>
          <w:spacing w:val="0"/>
          <w:w w:val="100"/>
          <w:position w:val="0"/>
        </w:rPr>
        <w:t>万股，占公司当前总股本</w:t>
      </w:r>
      <w:r>
        <w:rPr>
          <w:rFonts w:ascii="Times New Roman" w:eastAsia="Times New Roman" w:hAnsi="Times New Roman" w:cs="Times New Roman"/>
          <w:color w:val="000000"/>
          <w:spacing w:val="0"/>
          <w:w w:val="100"/>
          <w:position w:val="0"/>
        </w:rPr>
        <w:t>10,14 0</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2.96</w:t>
      </w:r>
      <w:r>
        <w:rPr>
          <w:color w:val="000000"/>
          <w:spacing w:val="0"/>
          <w:w w:val="100"/>
          <w:position w:val="0"/>
        </w:rPr>
        <w:t>%。</w:t>
      </w:r>
    </w:p>
    <w:p>
      <w:pPr>
        <w:pStyle w:val="Style36"/>
        <w:keepNext w:val="0"/>
        <w:keepLines w:val="0"/>
        <w:widowControl w:val="0"/>
        <w:shd w:val="clear" w:color="auto" w:fill="auto"/>
        <w:tabs>
          <w:tab w:pos="948" w:val="left"/>
        </w:tabs>
        <w:bidi w:val="0"/>
        <w:spacing w:before="0" w:after="0" w:line="413" w:lineRule="exact"/>
        <w:ind w:left="0" w:right="0" w:firstLine="460"/>
        <w:jc w:val="both"/>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w:t>
        <w:tab/>
        <w:t>授予价格：</w:t>
      </w:r>
      <w:r>
        <w:rPr>
          <w:rFonts w:ascii="Times New Roman" w:eastAsia="Times New Roman" w:hAnsi="Times New Roman" w:cs="Times New Roman"/>
          <w:color w:val="000000"/>
          <w:spacing w:val="0"/>
          <w:w w:val="100"/>
          <w:position w:val="0"/>
        </w:rPr>
        <w:t>8.51</w:t>
      </w:r>
      <w:r>
        <w:rPr>
          <w:color w:val="000000"/>
          <w:spacing w:val="0"/>
          <w:w w:val="100"/>
          <w:position w:val="0"/>
        </w:rPr>
        <w:t>元/股。</w:t>
      </w:r>
    </w:p>
    <w:p>
      <w:pPr>
        <w:pStyle w:val="Style36"/>
        <w:keepNext w:val="0"/>
        <w:keepLines w:val="0"/>
        <w:widowControl w:val="0"/>
        <w:shd w:val="clear" w:color="auto" w:fill="auto"/>
        <w:tabs>
          <w:tab w:pos="948" w:val="left"/>
        </w:tabs>
        <w:bidi w:val="0"/>
        <w:spacing w:before="0" w:after="0" w:line="413" w:lineRule="exact"/>
        <w:ind w:left="0" w:right="0" w:firstLine="460"/>
        <w:jc w:val="both"/>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股票来源：激励计划授予激励对象的标的股票来源为达实智能向激励对象定向发行新股。</w:t>
      </w:r>
    </w:p>
    <w:p>
      <w:pPr>
        <w:pStyle w:val="Style36"/>
        <w:keepNext w:val="0"/>
        <w:keepLines w:val="0"/>
        <w:widowControl w:val="0"/>
        <w:shd w:val="clear" w:color="auto" w:fill="auto"/>
        <w:tabs>
          <w:tab w:pos="1021" w:val="left"/>
        </w:tabs>
        <w:bidi w:val="0"/>
        <w:spacing w:before="0" w:after="160" w:line="413" w:lineRule="exact"/>
        <w:ind w:left="0" w:right="0" w:firstLine="460"/>
        <w:jc w:val="both"/>
      </w:pPr>
      <w:bookmarkStart w:id="1304" w:name="bookmark1304"/>
      <w:r>
        <w:rPr>
          <w:color w:val="000000"/>
          <w:spacing w:val="0"/>
          <w:w w:val="100"/>
          <w:position w:val="0"/>
        </w:rPr>
        <w:t>（</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w:t>
        <w:tab/>
        <w:t>激励计划的有效期：本计划有效期为</w:t>
      </w:r>
      <w:r>
        <w:rPr>
          <w:rFonts w:ascii="Times New Roman" w:eastAsia="Times New Roman" w:hAnsi="Times New Roman" w:cs="Times New Roman"/>
          <w:color w:val="000000"/>
          <w:spacing w:val="0"/>
          <w:w w:val="100"/>
          <w:position w:val="0"/>
        </w:rPr>
        <w:t>4</w:t>
      </w:r>
      <w:r>
        <w:rPr>
          <w:color w:val="000000"/>
          <w:spacing w:val="0"/>
          <w:w w:val="100"/>
          <w:position w:val="0"/>
        </w:rPr>
        <w:t>年，其中禁售期为</w:t>
      </w:r>
      <w:r>
        <w:rPr>
          <w:rFonts w:ascii="Times New Roman" w:eastAsia="Times New Roman" w:hAnsi="Times New Roman" w:cs="Times New Roman"/>
          <w:color w:val="000000"/>
          <w:spacing w:val="0"/>
          <w:w w:val="100"/>
          <w:position w:val="0"/>
        </w:rPr>
        <w:t>12</w:t>
      </w:r>
      <w:r>
        <w:rPr>
          <w:color w:val="000000"/>
          <w:spacing w:val="0"/>
          <w:w w:val="100"/>
          <w:position w:val="0"/>
        </w:rPr>
        <w:t>个月，解锁期为</w:t>
      </w:r>
      <w:r>
        <w:rPr>
          <w:rFonts w:ascii="Times New Roman" w:eastAsia="Times New Roman" w:hAnsi="Times New Roman" w:cs="Times New Roman"/>
          <w:color w:val="000000"/>
          <w:spacing w:val="0"/>
          <w:w w:val="100"/>
          <w:position w:val="0"/>
        </w:rPr>
        <w:t>36</w:t>
      </w:r>
      <w:r>
        <w:rPr>
          <w:color w:val="000000"/>
          <w:spacing w:val="0"/>
          <w:w w:val="100"/>
          <w:position w:val="0"/>
        </w:rPr>
        <w:t>个月。公司授予激 励对象的限制性股票自授予之日起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个月为禁售期。禁售期内，激励对象通过本激励计划持有的限制性股 票将被锁定不得转让、用于担保或偿还债务；禁售期后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个月为解锁期。在解锁期内，在满足本激励计划 规定的解锁条件时，激励对象可分三次申请标的股票解锁。</w:t>
      </w:r>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在解锁期内，若达到本激励计划规定的解锁条件，激励对象可分三次申请解锁。解锁安排如表所示:</w:t>
      </w:r>
    </w:p>
    <w:tbl>
      <w:tblPr>
        <w:tblOverlap w:val="never"/>
        <w:jc w:val="center"/>
        <w:tblLayout w:type="fixed"/>
      </w:tblPr>
      <w:tblGrid>
        <w:gridCol w:w="2136"/>
        <w:gridCol w:w="5640"/>
        <w:gridCol w:w="1891"/>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解锁期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解锁时间安排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解锁数量占获授股 票数量比例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自授予日起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个月后的首个交易日起至授予日起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 最后一个交易日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自授予日起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个月后的首个交易日起至授予日起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 最后一个交易日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自授予日起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个月后的首个交易日起至授予日起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 最后一个交易日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40%</w:t>
            </w:r>
          </w:p>
        </w:tc>
      </w:tr>
    </w:tbl>
    <w:p>
      <w:pPr>
        <w:pStyle w:val="Style29"/>
        <w:keepNext w:val="0"/>
        <w:keepLines w:val="0"/>
        <w:widowControl w:val="0"/>
        <w:shd w:val="clear" w:color="auto" w:fill="auto"/>
        <w:bidi w:val="0"/>
        <w:spacing w:before="0" w:after="0" w:line="418" w:lineRule="exact"/>
        <w:ind w:left="5" w:right="0" w:firstLine="0"/>
        <w:jc w:val="left"/>
        <w:rPr>
          <w:sz w:val="20"/>
          <w:szCs w:val="20"/>
        </w:rPr>
      </w:pPr>
      <w:r>
        <w:rPr>
          <w:color w:val="000000"/>
          <w:spacing w:val="0"/>
          <w:w w:val="100"/>
          <w:position w:val="0"/>
          <w:sz w:val="20"/>
          <w:szCs w:val="20"/>
        </w:rPr>
        <w:t>在授予日起的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个月内，激励对象并不享有所获授的限制性股票的以下权利，包括但不限于该等股票 的投票权或通过抵押、质押等任何方式支配该等限制性股票以获取利益的权利。</w:t>
      </w:r>
    </w:p>
    <w:p>
      <w:pPr>
        <w:pStyle w:val="Style36"/>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激励对象因获授的限制性股票在解锁前取得的现金股利由公司代管，作为应付股利在解锁时向激励对 象支付。若根据本激励计划不能解锁，则由公司收回。</w:t>
      </w:r>
    </w:p>
    <w:p>
      <w:pPr>
        <w:pStyle w:val="Style36"/>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激励对象因获授的限制性股票在解锁前取得的红股、资本公积转增股份、配股股份、增发中向原股东</w:t>
        <w:br w:type="page"/>
      </w:r>
      <w:r>
        <w:rPr>
          <w:color w:val="000000"/>
          <w:spacing w:val="0"/>
          <w:w w:val="100"/>
          <w:position w:val="0"/>
        </w:rPr>
        <w:t>配售的股份同时锁定，不得在二级市场出售或以其他方式转让，该等股票的锁定截止日期与相应限制性股 票相同。若根据本激励计划不能解锁，则由公司回购注销。</w:t>
      </w:r>
    </w:p>
    <w:p>
      <w:pPr>
        <w:pStyle w:val="Style36"/>
        <w:keepNext w:val="0"/>
        <w:keepLines w:val="0"/>
        <w:widowControl w:val="0"/>
        <w:shd w:val="clear" w:color="auto" w:fill="auto"/>
        <w:bidi w:val="0"/>
        <w:spacing w:before="0" w:after="480" w:line="413" w:lineRule="exact"/>
        <w:ind w:left="0" w:right="0" w:firstLine="420"/>
        <w:jc w:val="left"/>
      </w:pPr>
      <w:r>
        <w:rPr>
          <w:color w:val="000000"/>
          <w:spacing w:val="0"/>
          <w:w w:val="100"/>
          <w:position w:val="0"/>
        </w:rPr>
        <w:t>第一个解锁期已达到激励计划规定的解锁条件，已于</w:t>
      </w:r>
      <w:r>
        <w:rPr>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日解锁。</w:t>
      </w:r>
    </w:p>
    <w:p>
      <w:pPr>
        <w:pStyle w:val="Style39"/>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305"/>
      <w:bookmarkEnd w:id="1306"/>
      <w:bookmarkEnd w:id="13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舒尔斯期权定价模型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10,960,925.66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10,960,925.66</w:t>
            </w:r>
          </w:p>
        </w:tc>
      </w:tr>
    </w:tbl>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以权益结算的股份支付的说明</w:t>
      </w:r>
    </w:p>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color w:val="000000"/>
          <w:spacing w:val="0"/>
          <w:w w:val="100"/>
          <w:position w:val="0"/>
        </w:rPr>
        <w:t>、以股份支付服务情况</w:t>
      </w:r>
      <w:bookmarkEnd w:id="1308"/>
      <w:bookmarkEnd w:id="1309"/>
      <w:bookmarkEnd w:id="13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12,300,500.00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r>
        <w:rPr>
          <w:color w:val="000000"/>
          <w:spacing w:val="0"/>
          <w:w w:val="100"/>
          <w:position w:val="0"/>
        </w:rPr>
        <w:t>十、或有事项</w:t>
      </w:r>
      <w:bookmarkEnd w:id="1312"/>
      <w:bookmarkEnd w:id="1313"/>
      <w:bookmarkEnd w:id="1314"/>
    </w:p>
    <w:p>
      <w:pPr>
        <w:pStyle w:val="Style39"/>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1315"/>
      <w:bookmarkEnd w:id="1316"/>
      <w:bookmarkEnd w:id="1317"/>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386" w:lineRule="exact"/>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r>
        <w:rPr>
          <w:color w:val="000000"/>
          <w:spacing w:val="0"/>
          <w:w w:val="100"/>
          <w:position w:val="0"/>
        </w:rPr>
        <w:t>、为其他单位提供债务担保形成的或有负债及其财务影响</w:t>
      </w:r>
      <w:bookmarkEnd w:id="1318"/>
      <w:bookmarkEnd w:id="1319"/>
      <w:bookmarkEnd w:id="13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其他或有负债及其财务影响</w:t>
      </w:r>
    </w:p>
    <w:p>
      <w:pPr>
        <w:pStyle w:val="Style36"/>
        <w:keepNext w:val="0"/>
        <w:keepLines w:val="0"/>
        <w:widowControl w:val="0"/>
        <w:shd w:val="clear" w:color="auto" w:fill="auto"/>
        <w:bidi w:val="0"/>
        <w:spacing w:before="0" w:after="140" w:line="386" w:lineRule="exact"/>
        <w:ind w:left="0" w:right="0" w:firstLine="420"/>
        <w:jc w:val="both"/>
      </w:pPr>
      <w:r>
        <w:rPr>
          <w:color w:val="000000"/>
          <w:spacing w:val="0"/>
          <w:w w:val="100"/>
          <w:position w:val="0"/>
        </w:rPr>
        <w:t>本公司为承接建筑智能及工业自动化工程出具投标、履约及预付款保函。截至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日，未到期投 标、履约及预付款保函</w:t>
      </w:r>
      <w:r>
        <w:rPr>
          <w:rFonts w:ascii="Times New Roman" w:eastAsia="Times New Roman" w:hAnsi="Times New Roman" w:cs="Times New Roman"/>
          <w:color w:val="000000"/>
          <w:spacing w:val="0"/>
          <w:w w:val="100"/>
          <w:position w:val="0"/>
        </w:rPr>
        <w:t>53</w:t>
      </w:r>
      <w:r>
        <w:rPr>
          <w:color w:val="000000"/>
          <w:spacing w:val="0"/>
          <w:w w:val="100"/>
          <w:position w:val="0"/>
        </w:rPr>
        <w:t>份，金额为</w:t>
      </w:r>
      <w:r>
        <w:rPr>
          <w:rFonts w:ascii="Times New Roman" w:eastAsia="Times New Roman" w:hAnsi="Times New Roman" w:cs="Times New Roman"/>
          <w:color w:val="000000"/>
          <w:spacing w:val="0"/>
          <w:w w:val="100"/>
          <w:position w:val="0"/>
        </w:rPr>
        <w:t>100,912,195.65</w:t>
      </w:r>
      <w:r>
        <w:rPr>
          <w:color w:val="000000"/>
          <w:spacing w:val="0"/>
          <w:w w:val="100"/>
          <w:position w:val="0"/>
        </w:rPr>
        <w:t>元，存入保函保证金存款</w:t>
      </w:r>
      <w:r>
        <w:rPr>
          <w:rFonts w:ascii="Times New Roman" w:eastAsia="Times New Roman" w:hAnsi="Times New Roman" w:cs="Times New Roman"/>
          <w:color w:val="000000"/>
          <w:spacing w:val="0"/>
          <w:w w:val="100"/>
          <w:position w:val="0"/>
        </w:rPr>
        <w:t>475,222.50</w:t>
      </w:r>
      <w:r>
        <w:rPr>
          <w:color w:val="000000"/>
          <w:spacing w:val="0"/>
          <w:w w:val="100"/>
          <w:position w:val="0"/>
        </w:rPr>
        <w:t xml:space="preserve">元，信用卡保证金 </w:t>
      </w:r>
      <w:r>
        <w:rPr>
          <w:rFonts w:ascii="Times New Roman" w:eastAsia="Times New Roman" w:hAnsi="Times New Roman" w:cs="Times New Roman"/>
          <w:color w:val="000000"/>
          <w:spacing w:val="0"/>
          <w:w w:val="100"/>
          <w:position w:val="0"/>
        </w:rPr>
        <w:t>82,850.00</w:t>
      </w:r>
      <w:r>
        <w:rPr>
          <w:color w:val="000000"/>
          <w:spacing w:val="0"/>
          <w:w w:val="100"/>
          <w:position w:val="0"/>
        </w:rPr>
        <w:t>元。</w:t>
      </w:r>
    </w:p>
    <w:p>
      <w:pPr>
        <w:pStyle w:val="Style29"/>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未到期前十明细如下:</w:t>
      </w:r>
    </w:p>
    <w:tbl>
      <w:tblPr>
        <w:tblOverlap w:val="never"/>
        <w:jc w:val="center"/>
        <w:tblLayout w:type="fixed"/>
      </w:tblPr>
      <w:tblGrid>
        <w:gridCol w:w="3307"/>
        <w:gridCol w:w="1670"/>
        <w:gridCol w:w="1512"/>
        <w:gridCol w:w="1747"/>
        <w:gridCol w:w="1306"/>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受益人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保函押金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开具银行</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大连地铁有限公司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17,704,424.90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2014-3-30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平安银行</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深圳市水务局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14,784,800.00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2014-9-30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平安银行</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长沙市轨道交通集团有限公司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13,798,888.86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平安银行</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深圳市地铁三号线投资有限公司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8,504,690.00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2014-3-30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平安银行</w:t>
            </w:r>
          </w:p>
        </w:tc>
      </w:tr>
    </w:tbl>
    <w:p>
      <w:pP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163" w:right="1043" w:bottom="1705" w:left="1051" w:header="0" w:footer="3" w:gutter="0"/>
          <w:cols w:space="720"/>
          <w:noEndnote/>
          <w:rtlGutter w:val="0"/>
          <w:docGrid w:linePitch="360"/>
        </w:sectPr>
      </w:pPr>
    </w:p>
    <w:tbl>
      <w:tblPr>
        <w:tblOverlap w:val="never"/>
        <w:jc w:val="center"/>
        <w:tblLayout w:type="fixed"/>
      </w:tblPr>
      <w:tblGrid>
        <w:gridCol w:w="3307"/>
        <w:gridCol w:w="1670"/>
        <w:gridCol w:w="1512"/>
        <w:gridCol w:w="1747"/>
        <w:gridCol w:w="1306"/>
      </w:tblGrid>
      <w:tr>
        <w:trPr>
          <w:trHeight w:val="5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大连地铁有限公司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5,901,474.96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2014-7-30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平安银行</w:t>
            </w:r>
          </w:p>
        </w:tc>
      </w:tr>
      <w:tr>
        <w:trPr>
          <w:trHeight w:val="50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深圳市水务局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2,956,960.00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2015-12-20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平安银行</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成都地铁有限责任公司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2,715,352.00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2014-12-31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平安银行</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成都地铁有限责任公司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2,715,352.00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2014-12-31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平安银行</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深圳拓万房地产开发有限公司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2014-9-29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工商银行</w:t>
            </w:r>
          </w:p>
        </w:tc>
      </w:tr>
      <w:tr>
        <w:trPr>
          <w:trHeight w:val="50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珠海城建投资开发有限公司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2,017,570.00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2014-9-15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平安银行</w:t>
            </w:r>
          </w:p>
        </w:tc>
      </w:tr>
      <w:tr>
        <w:trPr>
          <w:trHeight w:val="51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27,562,682.93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100,912,195.65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558,072.50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9"/>
        <w:keepNext w:val="0"/>
        <w:keepLines w:val="0"/>
        <w:widowControl w:val="0"/>
        <w:shd w:val="clear" w:color="auto" w:fill="auto"/>
        <w:bidi w:val="0"/>
        <w:spacing w:before="0" w:after="0" w:line="240" w:lineRule="auto"/>
        <w:ind w:left="398" w:right="0" w:firstLine="0"/>
        <w:jc w:val="left"/>
        <w:rPr>
          <w:sz w:val="20"/>
          <w:szCs w:val="20"/>
        </w:rPr>
      </w:pPr>
      <w:r>
        <w:rPr>
          <w:color w:val="000000"/>
          <w:spacing w:val="0"/>
          <w:w w:val="100"/>
          <w:position w:val="0"/>
          <w:sz w:val="20"/>
          <w:szCs w:val="20"/>
        </w:rPr>
        <w:t>若公司未按合同履约，将在有效期内向受益人支付不超过保函金额的赔偿额。</w:t>
      </w:r>
    </w:p>
    <w:p>
      <w:pPr>
        <w:widowControl w:val="0"/>
        <w:spacing w:after="699" w:line="1" w:lineRule="exact"/>
      </w:pPr>
    </w:p>
    <w:p>
      <w:pPr>
        <w:pStyle w:val="Style27"/>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r>
        <w:rPr>
          <w:color w:val="000000"/>
          <w:spacing w:val="0"/>
          <w:w w:val="100"/>
          <w:position w:val="0"/>
        </w:rPr>
        <w:t>十一、承诺事项</w:t>
      </w:r>
      <w:bookmarkEnd w:id="1321"/>
      <w:bookmarkEnd w:id="1322"/>
      <w:bookmarkEnd w:id="1323"/>
    </w:p>
    <w:p>
      <w:pPr>
        <w:pStyle w:val="Style39"/>
        <w:keepNext/>
        <w:keepLines/>
        <w:widowControl w:val="0"/>
        <w:shd w:val="clear" w:color="auto" w:fill="auto"/>
        <w:tabs>
          <w:tab w:pos="368"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color w:val="000000"/>
          <w:spacing w:val="0"/>
          <w:w w:val="100"/>
          <w:position w:val="0"/>
        </w:rPr>
        <w:t>、</w:t>
        <w:tab/>
        <w:t>重大承诺事项</w:t>
      </w:r>
      <w:bookmarkEnd w:id="1324"/>
      <w:bookmarkEnd w:id="1325"/>
      <w:bookmarkEnd w:id="1327"/>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t>前期承诺履行情况</w:t>
      </w:r>
      <w:bookmarkEnd w:id="1328"/>
      <w:bookmarkEnd w:id="1329"/>
      <w:bookmarkEnd w:id="1331"/>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r>
        <w:rPr>
          <w:color w:val="000000"/>
          <w:spacing w:val="0"/>
          <w:w w:val="100"/>
          <w:position w:val="0"/>
        </w:rPr>
        <w:t>十二、资产负债表日后事项</w:t>
      </w:r>
      <w:bookmarkEnd w:id="1332"/>
      <w:bookmarkEnd w:id="1333"/>
      <w:bookmarkEnd w:id="1334"/>
    </w:p>
    <w:p>
      <w:pPr>
        <w:pStyle w:val="Style39"/>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335"/>
      <w:bookmarkEnd w:id="1336"/>
      <w:bookmarkEnd w:id="13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20,880,000.00</w:t>
            </w:r>
          </w:p>
        </w:tc>
      </w:tr>
    </w:tbl>
    <w:p>
      <w:pPr>
        <w:pStyle w:val="Style29"/>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截止本报告批准报出日，公司第五届董事会第四次会议审议并通过《</w:t>
      </w:r>
      <w:r>
        <w:rPr>
          <w:rFonts w:ascii="Tahoma" w:eastAsia="Tahoma" w:hAnsi="Tahoma" w:cs="Tahoma"/>
          <w:color w:val="000000"/>
          <w:spacing w:val="0"/>
          <w:w w:val="100"/>
          <w:position w:val="0"/>
          <w:sz w:val="17"/>
          <w:szCs w:val="17"/>
        </w:rPr>
        <w:t>2013</w:t>
      </w:r>
      <w:r>
        <w:rPr>
          <w:color w:val="000000"/>
          <w:spacing w:val="0"/>
          <w:w w:val="100"/>
          <w:position w:val="0"/>
        </w:rPr>
        <w:t>年度利润分配预案的议案》</w:t>
      </w:r>
      <w:r>
        <w:rPr>
          <w:color w:val="000000"/>
          <w:spacing w:val="0"/>
          <w:w w:val="100"/>
          <w:position w:val="0"/>
          <w:sz w:val="22"/>
          <w:szCs w:val="22"/>
        </w:rPr>
        <w:t>，</w:t>
      </w:r>
      <w:r>
        <w:rPr>
          <w:color w:val="000000"/>
          <w:spacing w:val="0"/>
          <w:w w:val="100"/>
          <w:position w:val="0"/>
        </w:rPr>
        <w:t>以</w:t>
      </w:r>
      <w:r>
        <w:rPr>
          <w:rFonts w:ascii="Tahoma" w:eastAsia="Tahoma" w:hAnsi="Tahoma" w:cs="Tahoma"/>
          <w:color w:val="000000"/>
          <w:spacing w:val="0"/>
          <w:w w:val="100"/>
          <w:position w:val="0"/>
          <w:sz w:val="17"/>
          <w:szCs w:val="17"/>
        </w:rPr>
        <w:t>2013</w:t>
      </w:r>
      <w:r>
        <w:rPr>
          <w:color w:val="000000"/>
          <w:spacing w:val="0"/>
          <w:w w:val="100"/>
          <w:position w:val="0"/>
        </w:rPr>
        <w:t>年</w:t>
      </w:r>
      <w:r>
        <w:rPr>
          <w:rFonts w:ascii="Tahoma" w:eastAsia="Tahoma" w:hAnsi="Tahoma" w:cs="Tahoma"/>
          <w:color w:val="000000"/>
          <w:spacing w:val="0"/>
          <w:w w:val="100"/>
          <w:position w:val="0"/>
          <w:sz w:val="17"/>
          <w:szCs w:val="17"/>
        </w:rPr>
        <w:t>12</w:t>
      </w:r>
      <w:r>
        <w:rPr>
          <w:color w:val="000000"/>
          <w:spacing w:val="0"/>
          <w:w w:val="100"/>
          <w:position w:val="0"/>
        </w:rPr>
        <w:t>月</w:t>
      </w:r>
      <w:r>
        <w:rPr>
          <w:rFonts w:ascii="Tahoma" w:eastAsia="Tahoma" w:hAnsi="Tahoma" w:cs="Tahoma"/>
          <w:color w:val="000000"/>
          <w:spacing w:val="0"/>
          <w:w w:val="100"/>
          <w:position w:val="0"/>
          <w:sz w:val="17"/>
          <w:szCs w:val="17"/>
        </w:rPr>
        <w:t xml:space="preserve">31 </w:t>
      </w:r>
      <w:r>
        <w:rPr>
          <w:color w:val="000000"/>
          <w:spacing w:val="0"/>
          <w:w w:val="100"/>
          <w:position w:val="0"/>
        </w:rPr>
        <w:t>日的总股本</w:t>
      </w:r>
      <w:r>
        <w:rPr>
          <w:rFonts w:ascii="Tahoma" w:eastAsia="Tahoma" w:hAnsi="Tahoma" w:cs="Tahoma"/>
          <w:color w:val="000000"/>
          <w:spacing w:val="0"/>
          <w:w w:val="100"/>
          <w:position w:val="0"/>
          <w:sz w:val="17"/>
          <w:szCs w:val="17"/>
        </w:rPr>
        <w:t>208, 800, 000</w:t>
      </w:r>
      <w:r>
        <w:rPr>
          <w:color w:val="000000"/>
          <w:spacing w:val="0"/>
          <w:w w:val="100"/>
          <w:position w:val="0"/>
        </w:rPr>
        <w:t>股为基数，拟向全体股东每</w:t>
      </w:r>
      <w:r>
        <w:rPr>
          <w:rFonts w:ascii="Tahoma" w:eastAsia="Tahoma" w:hAnsi="Tahoma" w:cs="Tahoma"/>
          <w:color w:val="000000"/>
          <w:spacing w:val="0"/>
          <w:w w:val="100"/>
          <w:position w:val="0"/>
          <w:sz w:val="17"/>
          <w:szCs w:val="17"/>
        </w:rPr>
        <w:t>10</w:t>
      </w:r>
      <w:r>
        <w:rPr>
          <w:color w:val="000000"/>
          <w:spacing w:val="0"/>
          <w:w w:val="100"/>
          <w:position w:val="0"/>
        </w:rPr>
        <w:t>股派发现金红利</w:t>
      </w:r>
      <w:r>
        <w:rPr>
          <w:rFonts w:ascii="Tahoma" w:eastAsia="Tahoma" w:hAnsi="Tahoma" w:cs="Tahoma"/>
          <w:color w:val="000000"/>
          <w:spacing w:val="0"/>
          <w:w w:val="100"/>
          <w:position w:val="0"/>
          <w:sz w:val="17"/>
          <w:szCs w:val="17"/>
        </w:rPr>
        <w:t>1</w:t>
      </w:r>
      <w:r>
        <w:rPr>
          <w:rFonts w:ascii="Tahoma" w:eastAsia="Tahoma" w:hAnsi="Tahoma" w:cs="Tahoma"/>
          <w:color w:val="000000"/>
          <w:spacing w:val="0"/>
          <w:w w:val="100"/>
          <w:position w:val="0"/>
          <w:sz w:val="17"/>
          <w:szCs w:val="17"/>
        </w:rPr>
        <w:t>.00</w:t>
      </w:r>
      <w:r>
        <w:rPr>
          <w:color w:val="000000"/>
          <w:spacing w:val="0"/>
          <w:w w:val="100"/>
          <w:position w:val="0"/>
        </w:rPr>
        <w:t>元（含税）</w:t>
      </w:r>
      <w:r>
        <w:rPr>
          <w:color w:val="000000"/>
          <w:spacing w:val="0"/>
          <w:w w:val="100"/>
          <w:position w:val="0"/>
          <w:sz w:val="22"/>
          <w:szCs w:val="22"/>
        </w:rPr>
        <w:t>，</w:t>
      </w:r>
      <w:r>
        <w:rPr>
          <w:color w:val="000000"/>
          <w:spacing w:val="0"/>
          <w:w w:val="100"/>
          <w:position w:val="0"/>
        </w:rPr>
        <w:t>共计派发现金</w:t>
      </w:r>
      <w:r>
        <w:rPr>
          <w:rFonts w:ascii="Tahoma" w:eastAsia="Tahoma" w:hAnsi="Tahoma" w:cs="Tahoma"/>
          <w:color w:val="000000"/>
          <w:spacing w:val="0"/>
          <w:w w:val="100"/>
          <w:position w:val="0"/>
          <w:sz w:val="17"/>
          <w:szCs w:val="17"/>
        </w:rPr>
        <w:t xml:space="preserve">20, 880, </w:t>
      </w:r>
      <w:r>
        <w:rPr>
          <w:rFonts w:ascii="Tahoma" w:eastAsia="Tahoma" w:hAnsi="Tahoma" w:cs="Tahoma"/>
          <w:color w:val="000000"/>
          <w:spacing w:val="0"/>
          <w:w w:val="100"/>
          <w:position w:val="0"/>
          <w:sz w:val="17"/>
          <w:szCs w:val="17"/>
        </w:rPr>
        <w:t>000.0</w:t>
      </w:r>
      <w:r>
        <w:rPr>
          <w:rFonts w:ascii="Tahoma" w:eastAsia="Tahoma" w:hAnsi="Tahoma" w:cs="Tahoma"/>
          <w:color w:val="000000"/>
          <w:spacing w:val="0"/>
          <w:w w:val="100"/>
          <w:position w:val="0"/>
          <w:sz w:val="17"/>
          <w:szCs w:val="17"/>
        </w:rPr>
        <w:t>0</w:t>
      </w:r>
      <w:r>
        <w:rPr>
          <w:color w:val="000000"/>
          <w:spacing w:val="0"/>
          <w:w w:val="100"/>
          <w:position w:val="0"/>
        </w:rPr>
        <w:t>元。上 述分配预案须经股东大会审议通过。</w:t>
      </w:r>
    </w:p>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r>
        <w:rPr>
          <w:color w:val="000000"/>
          <w:spacing w:val="0"/>
          <w:w w:val="100"/>
          <w:position w:val="0"/>
        </w:rPr>
        <w:t>十三、其他重要事项</w:t>
      </w:r>
      <w:bookmarkEnd w:id="1338"/>
      <w:bookmarkEnd w:id="1339"/>
      <w:bookmarkEnd w:id="1340"/>
    </w:p>
    <w:p>
      <w:pPr>
        <w:pStyle w:val="Style39"/>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341"/>
      <w:bookmarkEnd w:id="1342"/>
      <w:bookmarkEnd w:id="134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80" w:line="408" w:lineRule="exact"/>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color w:val="000000"/>
          <w:spacing w:val="0"/>
          <w:w w:val="100"/>
          <w:position w:val="0"/>
        </w:rPr>
        <w:t>、</w:t>
        <w:tab/>
        <w:t>债务重组</w:t>
      </w:r>
      <w:bookmarkEnd w:id="1344"/>
      <w:bookmarkEnd w:id="1345"/>
      <w:bookmarkEnd w:id="1347"/>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80" w:line="408" w:lineRule="exact"/>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color w:val="000000"/>
          <w:spacing w:val="0"/>
          <w:w w:val="100"/>
          <w:position w:val="0"/>
        </w:rPr>
        <w:t>、</w:t>
        <w:tab/>
        <w:t>企业合并</w:t>
      </w:r>
      <w:bookmarkEnd w:id="1348"/>
      <w:bookmarkEnd w:id="1349"/>
      <w:bookmarkEnd w:id="1351"/>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200" w:line="408" w:lineRule="exact"/>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color w:val="000000"/>
          <w:spacing w:val="0"/>
          <w:w w:val="100"/>
          <w:position w:val="0"/>
        </w:rPr>
        <w:t>、</w:t>
        <w:tab/>
        <w:t>租赁</w:t>
      </w:r>
      <w:bookmarkEnd w:id="1352"/>
      <w:bookmarkEnd w:id="1353"/>
      <w:bookmarkEnd w:id="1355"/>
    </w:p>
    <w:p>
      <w:pPr>
        <w:pStyle w:val="Style36"/>
        <w:keepNext w:val="0"/>
        <w:keepLines w:val="0"/>
        <w:widowControl w:val="0"/>
        <w:shd w:val="clear" w:color="auto" w:fill="auto"/>
        <w:bidi w:val="0"/>
        <w:spacing w:before="0" w:after="300" w:line="408"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日，公司与全资子公司深圳达实信息技术有限公司签订了办公场地租赁合同，租赁期限 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，年租金为</w:t>
      </w:r>
      <w:r>
        <w:rPr>
          <w:rFonts w:ascii="Times New Roman" w:eastAsia="Times New Roman" w:hAnsi="Times New Roman" w:cs="Times New Roman"/>
          <w:color w:val="000000"/>
          <w:spacing w:val="0"/>
          <w:w w:val="100"/>
          <w:position w:val="0"/>
        </w:rPr>
        <w:t>3,334,195.00</w:t>
      </w:r>
      <w:r>
        <w:rPr>
          <w:color w:val="000000"/>
          <w:spacing w:val="0"/>
          <w:w w:val="100"/>
          <w:position w:val="0"/>
        </w:rPr>
        <w:t>元。</w:t>
      </w:r>
    </w:p>
    <w:p>
      <w:pPr>
        <w:pStyle w:val="Style39"/>
        <w:keepNext/>
        <w:keepLines/>
        <w:widowControl w:val="0"/>
        <w:shd w:val="clear" w:color="auto" w:fill="auto"/>
        <w:tabs>
          <w:tab w:pos="378" w:val="left"/>
        </w:tabs>
        <w:bidi w:val="0"/>
        <w:spacing w:before="0" w:after="380" w:line="408" w:lineRule="exact"/>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color w:val="000000"/>
          <w:spacing w:val="0"/>
          <w:w w:val="100"/>
          <w:position w:val="0"/>
        </w:rPr>
        <w:t>、</w:t>
        <w:tab/>
        <w:t>期末发行在外的、可转换为股份的金融工具</w:t>
      </w:r>
      <w:bookmarkEnd w:id="1356"/>
      <w:bookmarkEnd w:id="1357"/>
      <w:bookmarkEnd w:id="1359"/>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380" w:line="408" w:lineRule="exact"/>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6</w:t>
      </w:r>
      <w:bookmarkEnd w:id="1362"/>
      <w:r>
        <w:rPr>
          <w:color w:val="000000"/>
          <w:spacing w:val="0"/>
          <w:w w:val="100"/>
          <w:position w:val="0"/>
        </w:rPr>
        <w:t>、</w:t>
        <w:tab/>
        <w:t>以公允价值计量的资产和负债</w:t>
      </w:r>
      <w:bookmarkEnd w:id="1360"/>
      <w:bookmarkEnd w:id="1361"/>
      <w:bookmarkEnd w:id="13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r>
        <w:rPr>
          <w:color w:val="000000"/>
          <w:spacing w:val="0"/>
          <w:w w:val="100"/>
          <w:position w:val="0"/>
        </w:rPr>
        <w:t>十四、母公司财务报表主要项目注释</w:t>
      </w:r>
      <w:bookmarkEnd w:id="1364"/>
      <w:bookmarkEnd w:id="1365"/>
      <w:bookmarkEnd w:id="1366"/>
    </w:p>
    <w:p>
      <w:pPr>
        <w:pStyle w:val="Style39"/>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67"/>
      <w:bookmarkEnd w:id="1368"/>
      <w:bookmarkEnd w:id="1369"/>
    </w:p>
    <w:p>
      <w:pPr>
        <w:pStyle w:val="Style39"/>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67"/>
      <w:bookmarkEnd w:id="1368"/>
      <w:bookmarkEnd w:id="13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428,916,600.56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20,079,065.99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289,574,053.80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16,948,793.16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428,916,600.56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20,079,065.99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289,574,053.80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16,948,793.16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428,962,080.05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20,124,545.48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289,619,533.29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16,994,272.65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36"/>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本公司根据公司经营规模、业务性质及客户结算状况等确定单项金额重大的应收账款标准为</w:t>
      </w:r>
      <w:r>
        <w:rPr>
          <w:rFonts w:ascii="Times New Roman" w:eastAsia="Times New Roman" w:hAnsi="Times New Roman" w:cs="Times New Roman"/>
          <w:color w:val="000000"/>
          <w:spacing w:val="0"/>
          <w:w w:val="100"/>
          <w:position w:val="0"/>
        </w:rPr>
        <w:t>100</w:t>
      </w:r>
      <w:r>
        <w:rPr>
          <w:color w:val="000000"/>
          <w:spacing w:val="0"/>
          <w:w w:val="100"/>
          <w:position w:val="0"/>
        </w:rPr>
        <w:t>万元。 单项金额重大的应收账款期末不存在减值情形，按账龄分析法计提坏账准备。</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306,392,422.58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9,191,772.68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232,336,305.73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6,970,089.17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101,679,734.88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5,083,986.74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27,769,436.68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1,388,471.83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11,547,287.45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1,154,728.75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15,359,808.83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1,535,980.88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9,297,155.65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4,648,577.82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14,108,502.56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7,054,251.28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4,532,831.49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2,266,415.75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12,458,947.72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6,229,473.86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3,143,127.02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1,571,563.51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824,777.42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1,621,197.14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810,598.56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428,916,600.56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20,079,065.99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289,574,053.80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16,948,793.16</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right"/>
      </w:pPr>
      <w:r>
        <w:rPr>
          <w:color w:val="313131"/>
          <w:spacing w:val="0"/>
          <w:w w:val="100"/>
          <w:position w:val="0"/>
        </w:rPr>
        <w:t>单位：元</w:t>
      </w:r>
      <w:r>
        <w:br w:type="page"/>
      </w:r>
    </w:p>
    <w:tbl>
      <w:tblPr>
        <w:tblOverlap w:val="never"/>
        <w:jc w:val="center"/>
        <w:tblLayout w:type="fixed"/>
      </w:tblPr>
      <w:tblGrid>
        <w:gridCol w:w="3130"/>
        <w:gridCol w:w="1608"/>
        <w:gridCol w:w="1613"/>
        <w:gridCol w:w="1613"/>
        <w:gridCol w:w="162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港中旅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海洋温泉有限公司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27,287.19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广州颐和南湖高尔夫会员住所有限公司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45,479.49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45,479.49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）本报告期实际核销的应收账款情况</w:t>
      </w:r>
      <w:bookmarkEnd w:id="1371"/>
      <w:bookmarkEnd w:id="1372"/>
      <w:bookmarkEnd w:id="13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30"/>
        <w:gridCol w:w="1546"/>
        <w:gridCol w:w="1315"/>
        <w:gridCol w:w="1661"/>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深圳市新世界投资有限公司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账龄较长，无法收回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9"/>
        <w:keepNext/>
        <w:keepLines/>
        <w:widowControl w:val="0"/>
        <w:shd w:val="clear" w:color="auto" w:fill="auto"/>
        <w:bidi w:val="0"/>
        <w:spacing w:before="0" w:line="240" w:lineRule="auto"/>
        <w:ind w:left="0" w:right="0" w:firstLine="0"/>
        <w:jc w:val="both"/>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74"/>
      <w:bookmarkEnd w:id="1375"/>
      <w:bookmarkEnd w:id="1377"/>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39"/>
        <w:keepNext/>
        <w:keepLines/>
        <w:widowControl w:val="0"/>
        <w:shd w:val="clear" w:color="auto" w:fill="auto"/>
        <w:tabs>
          <w:tab w:pos="493" w:val="left"/>
        </w:tabs>
        <w:bidi w:val="0"/>
        <w:spacing w:before="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w:t>
        <w:tab/>
        <w:t>应收账款中金额前五名单位情况</w:t>
      </w:r>
      <w:bookmarkEnd w:id="1378"/>
      <w:bookmarkEnd w:id="1379"/>
      <w:bookmarkEnd w:id="13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9"/>
        <w:gridCol w:w="1790"/>
        <w:gridCol w:w="1790"/>
        <w:gridCol w:w="1790"/>
        <w:gridCol w:w="1800"/>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占应收账款总额的</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38,484,182.10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10,810,467.79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11,036,337.96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11,077,033.41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河南升龙置业有限公司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大连城堡酒店开发有限公司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11,248,097.74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100,790,219.00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82"/>
      <w:bookmarkEnd w:id="1383"/>
      <w:bookmarkEnd w:id="1384"/>
    </w:p>
    <w:p>
      <w:pPr>
        <w:pStyle w:val="Style39"/>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82"/>
      <w:bookmarkEnd w:id="1383"/>
      <w:bookmarkEnd w:id="13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3830"/>
        <w:gridCol w:w="357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headerReference w:type="default" r:id="rId299"/>
          <w:footerReference w:type="default" r:id="rId300"/>
          <w:headerReference w:type="even" r:id="rId301"/>
          <w:footerReference w:type="even" r:id="rId302"/>
          <w:headerReference w:type="first" r:id="rId303"/>
          <w:footerReference w:type="first" r:id="rId304"/>
          <w:footnotePr>
            <w:pos w:val="pageBottom"/>
            <w:numFmt w:val="decimal"/>
            <w:numRestart w:val="continuous"/>
          </w:footnotePr>
          <w:pgSz w:w="11900" w:h="16840"/>
          <w:pgMar w:top="1163" w:right="1043" w:bottom="1705" w:left="1051" w:header="0" w:footer="3" w:gutter="0"/>
          <w:cols w:space="720"/>
          <w:noEndnote/>
          <w:titlePg/>
          <w:rtlGutter w:val="0"/>
          <w:docGrid w:linePitch="360"/>
        </w:sectPr>
      </w:pP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55,746,719.60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1,427,361.02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56,349,648.19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735,989.33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55,746,719.60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1,427,361.02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56,349,648.19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735,989.33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148,115.00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55,776,719.60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1,457,361.02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56,497,763.19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884,104.33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36"/>
        <w:keepNext w:val="0"/>
        <w:keepLines w:val="0"/>
        <w:widowControl w:val="0"/>
        <w:shd w:val="clear" w:color="auto" w:fill="auto"/>
        <w:bidi w:val="0"/>
        <w:spacing w:before="0" w:after="240" w:line="422" w:lineRule="exact"/>
        <w:ind w:left="0" w:right="0" w:firstLine="440"/>
        <w:jc w:val="both"/>
      </w:pPr>
      <w:r>
        <w:rPr>
          <w:color w:val="000000"/>
          <w:spacing w:val="0"/>
          <w:w w:val="100"/>
          <w:position w:val="0"/>
        </w:rPr>
        <w:t>本公司根据公司经营规模及业务性质确定单项金额重大的其他应收款标准为</w:t>
      </w:r>
      <w:r>
        <w:rPr>
          <w:rFonts w:ascii="Times New Roman" w:eastAsia="Times New Roman" w:hAnsi="Times New Roman" w:cs="Times New Roman"/>
          <w:color w:val="000000"/>
          <w:spacing w:val="0"/>
          <w:w w:val="100"/>
          <w:position w:val="0"/>
        </w:rPr>
        <w:t>50</w:t>
      </w:r>
      <w:r>
        <w:rPr>
          <w:color w:val="000000"/>
          <w:spacing w:val="0"/>
          <w:w w:val="100"/>
          <w:position w:val="0"/>
        </w:rPr>
        <w:t>万元。单项金额重大的 其他应收款期末不存在减值，按账龄分析法计提坏账准备。</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18,694,564.61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560,836.94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12,886,637.16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386,599.12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4,571,695.07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228,584.75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42,306,271.04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31,505,726.59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150,572.66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860,733.33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974,733.33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487,366.67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296,006.66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802,733.33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401,366.67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184,311.66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111,695.00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55,746,719.60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1,427,361.02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56,349,648.19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735,989.33</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r>
        <w:br w:type="page"/>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成都市温江区鑫金康置 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）本报告期实际核销的其他应收款情况</w:t>
      </w:r>
      <w:bookmarkEnd w:id="1386"/>
      <w:bookmarkEnd w:id="1387"/>
      <w:bookmarkEnd w:id="13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廊坊开发区中油龙 慧自动化工程有限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619" w:lineRule="exact"/>
        <w:ind w:left="0" w:right="0" w:firstLine="0"/>
        <w:jc w:val="left"/>
      </w:pPr>
      <w:r>
        <w:rPr>
          <w:color w:val="000000"/>
          <w:spacing w:val="0"/>
          <w:w w:val="100"/>
          <w:position w:val="0"/>
        </w:rPr>
        <w:t>其他应收款核销说明</w:t>
      </w:r>
    </w:p>
    <w:p>
      <w:pPr>
        <w:pStyle w:val="Style39"/>
        <w:keepNext/>
        <w:keepLines/>
        <w:widowControl w:val="0"/>
        <w:shd w:val="clear" w:color="auto" w:fill="auto"/>
        <w:tabs>
          <w:tab w:pos="603" w:val="left"/>
        </w:tabs>
        <w:bidi w:val="0"/>
        <w:spacing w:before="0" w:after="0" w:line="619" w:lineRule="exact"/>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%）以上表决权股份的股东单位情况 </w:t>
      </w:r>
      <w:r>
        <w:rPr>
          <w:b w:val="0"/>
          <w:bCs w:val="0"/>
          <w:color w:val="000000"/>
          <w:spacing w:val="0"/>
          <w:w w:val="100"/>
          <w:position w:val="0"/>
        </w:rPr>
        <w:t>其他应收款中无持有公司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%）以上表决权股份的股东单位情况</w:t>
      </w:r>
      <w:bookmarkEnd w:id="1389"/>
      <w:bookmarkEnd w:id="1390"/>
      <w:bookmarkEnd w:id="1392"/>
    </w:p>
    <w:p>
      <w:pPr>
        <w:pStyle w:val="Style39"/>
        <w:keepNext/>
        <w:keepLines/>
        <w:widowControl w:val="0"/>
        <w:shd w:val="clear" w:color="auto" w:fill="auto"/>
        <w:tabs>
          <w:tab w:pos="493" w:val="left"/>
        </w:tabs>
        <w:bidi w:val="0"/>
        <w:spacing w:before="0" w:after="0" w:line="619" w:lineRule="exact"/>
        <w:ind w:left="0" w:right="0" w:firstLine="0"/>
        <w:jc w:val="left"/>
      </w:pPr>
      <w:bookmarkStart w:id="1389" w:name="bookmark1389"/>
      <w:bookmarkStart w:id="1390" w:name="bookmark1390"/>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金额较大的其他应收款的性质或内容</w:t>
      </w:r>
      <w:bookmarkEnd w:id="1389"/>
      <w:bookmarkEnd w:id="1390"/>
      <w:bookmarkEnd w:id="1394"/>
    </w:p>
    <w:p>
      <w:pPr>
        <w:pStyle w:val="Style36"/>
        <w:keepNext w:val="0"/>
        <w:keepLines w:val="0"/>
        <w:widowControl w:val="0"/>
        <w:shd w:val="clear" w:color="auto" w:fill="auto"/>
        <w:bidi w:val="0"/>
        <w:spacing w:before="0" w:after="0" w:line="619" w:lineRule="exact"/>
        <w:ind w:left="0" w:right="0" w:firstLine="0"/>
        <w:jc w:val="left"/>
      </w:pPr>
      <w:r>
        <w:rPr>
          <w:color w:val="000000"/>
          <w:spacing w:val="0"/>
          <w:w w:val="100"/>
          <w:position w:val="0"/>
        </w:rPr>
        <w:t>本报告期末应收全资子公司达实信息</w:t>
      </w:r>
      <w:r>
        <w:rPr>
          <w:rFonts w:ascii="Times New Roman" w:eastAsia="Times New Roman" w:hAnsi="Times New Roman" w:cs="Times New Roman"/>
          <w:color w:val="000000"/>
          <w:spacing w:val="0"/>
          <w:w w:val="100"/>
          <w:position w:val="0"/>
        </w:rPr>
        <w:t>3,000.00</w:t>
      </w:r>
      <w:r>
        <w:rPr>
          <w:color w:val="000000"/>
          <w:spacing w:val="0"/>
          <w:w w:val="100"/>
          <w:position w:val="0"/>
        </w:rPr>
        <w:t>万元，系向其提供借款余额。</w:t>
      </w:r>
    </w:p>
    <w:p>
      <w:pPr>
        <w:pStyle w:val="Style39"/>
        <w:keepNext/>
        <w:keepLines/>
        <w:widowControl w:val="0"/>
        <w:shd w:val="clear" w:color="auto" w:fill="auto"/>
        <w:tabs>
          <w:tab w:pos="493" w:val="left"/>
        </w:tabs>
        <w:bidi w:val="0"/>
        <w:spacing w:before="0" w:after="380" w:line="619" w:lineRule="exact"/>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w:t>
        <w:tab/>
        <w:t>其他应收款金额前五名单位情况</w:t>
      </w:r>
      <w:bookmarkEnd w:id="1395"/>
      <w:bookmarkEnd w:id="1396"/>
      <w:bookmarkEnd w:id="13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86"/>
        <w:gridCol w:w="1646"/>
        <w:gridCol w:w="1651"/>
        <w:gridCol w:w="1646"/>
        <w:gridCol w:w="166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占其他应收款总额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中海振兴（成都）物业发展有限公司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中海振兴（成都）物业发展有限公司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成都市城乡建设委员会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广州诚满物业管理有限公司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合肥华南城有限公司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33,827,636.58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w:t>
            </w:r>
          </w:p>
        </w:tc>
      </w:tr>
    </w:tbl>
    <w:p>
      <w:pPr>
        <w:spacing w:lineRule="exact" w:line="1"/>
        <w:rPr>
          <w:sz w:val="2"/>
          <w:szCs w:val="2"/>
        </w:rPr>
      </w:pPr>
      <w:r>
        <w:br w:type="page"/>
      </w:r>
    </w:p>
    <w:p>
      <w:pPr>
        <w:pStyle w:val="Style39"/>
        <w:keepNext/>
        <w:keepLines/>
        <w:widowControl w:val="0"/>
        <w:numPr>
          <w:ilvl w:val="0"/>
          <w:numId w:val="47"/>
        </w:numPr>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其他应收关联方账款情况</w:t>
      </w:r>
      <w:bookmarkEnd w:id="1399"/>
      <w:bookmarkEnd w:id="1400"/>
      <w:bookmarkEnd w:id="14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color w:val="000000"/>
          <w:spacing w:val="0"/>
          <w:w w:val="100"/>
          <w:position w:val="0"/>
        </w:rPr>
        <w:t>、长期股权投资</w:t>
      </w:r>
      <w:bookmarkEnd w:id="1403"/>
      <w:bookmarkEnd w:id="1404"/>
      <w:bookmarkEnd w:id="14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上海达实 自动化工 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2,678,144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2,678,144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上海达实 联欣科技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201,144,0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201,144,0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北京达实 德润能源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 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307,972,1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285,472,1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307,972,1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r>
        <w:br w:type="page"/>
      </w:r>
    </w:p>
    <w:p>
      <w:pPr>
        <w:pStyle w:val="Style39"/>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color w:val="000000"/>
          <w:spacing w:val="0"/>
          <w:w w:val="100"/>
          <w:position w:val="0"/>
        </w:rPr>
        <w:t>、营业收入和营业成本</w:t>
      </w:r>
      <w:bookmarkEnd w:id="1407"/>
      <w:bookmarkEnd w:id="1408"/>
      <w:bookmarkEnd w:id="1410"/>
    </w:p>
    <w:p>
      <w:pPr>
        <w:pStyle w:val="Style39"/>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11" w:name="bookmark14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407"/>
      <w:bookmarkEnd w:id="1408"/>
      <w:bookmarkEnd w:id="14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690,507,121.85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560,145,203.70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690,909,072.50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560,313,908.45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535,953,910.87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427,962,661.66</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12"/>
      <w:bookmarkEnd w:id="1413"/>
      <w:bookmarkEnd w:id="14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建筑智能化及建筑节能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667,509,870.24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519,657,916.87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517,623,783.18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398,127,634.57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工业自动化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22,967,056.20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16,204,545.23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41,085,627.32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28,806,933.00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992,940.14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690,507,121.85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535,869,541.39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560,145,203.70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427,927,507.71</w:t>
            </w:r>
          </w:p>
        </w:tc>
      </w:tr>
    </w:tbl>
    <w:p>
      <w:pPr>
        <w:widowControl w:val="0"/>
        <w:spacing w:after="339" w:line="1" w:lineRule="exact"/>
      </w:pPr>
    </w:p>
    <w:p>
      <w:pPr>
        <w:pStyle w:val="Style39"/>
        <w:keepNext/>
        <w:keepLines/>
        <w:widowControl w:val="0"/>
        <w:numPr>
          <w:ilvl w:val="0"/>
          <w:numId w:val="49"/>
        </w:numPr>
        <w:shd w:val="clear" w:color="auto" w:fill="auto"/>
        <w:bidi w:val="0"/>
        <w:spacing w:before="0" w:after="34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主营业务(分产品)</w:t>
      </w:r>
      <w:bookmarkEnd w:id="1415"/>
      <w:bookmarkEnd w:id="1416"/>
      <w:bookmarkEnd w:id="14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690,507,121.85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535,869,541.39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560,145,203.70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427,927,507.71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690,507,121.85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535,869,541.39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560,145,203.70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427,927,507.71</w:t>
            </w:r>
          </w:p>
        </w:tc>
      </w:tr>
    </w:tbl>
    <w:p>
      <w:pPr>
        <w:widowControl w:val="0"/>
        <w:spacing w:after="339" w:line="1" w:lineRule="exact"/>
      </w:pPr>
    </w:p>
    <w:p>
      <w:pPr>
        <w:pStyle w:val="Style39"/>
        <w:keepNext/>
        <w:keepLines/>
        <w:widowControl w:val="0"/>
        <w:numPr>
          <w:ilvl w:val="0"/>
          <w:numId w:val="49"/>
        </w:numPr>
        <w:shd w:val="clear" w:color="auto" w:fill="auto"/>
        <w:bidi w:val="0"/>
        <w:spacing w:before="0" w:after="34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主营业务(分地区)</w:t>
      </w:r>
      <w:bookmarkEnd w:id="1419"/>
      <w:bookmarkEnd w:id="1420"/>
      <w:bookmarkEnd w:id="14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295,649,576.87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228,646,436.76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314,364,091.72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237,777,051.51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42,029,565.21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29,118,939.86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33,926,390.13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27,007,845.45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49,152,407.24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39,436,329.13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26,400,679.13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19,772,725.20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53,314,750.32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44,123,544.34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29,802,496.57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24,415,622.78</w:t>
            </w:r>
          </w:p>
        </w:tc>
      </w:tr>
    </w:tbl>
    <w:p>
      <w:pPr>
        <w:sectPr>
          <w:headerReference w:type="default" r:id="rId305"/>
          <w:footerReference w:type="default" r:id="rId306"/>
          <w:headerReference w:type="even" r:id="rId307"/>
          <w:footerReference w:type="even" r:id="rId308"/>
          <w:headerReference w:type="first" r:id="rId309"/>
          <w:footerReference w:type="first" r:id="rId310"/>
          <w:footnotePr>
            <w:pos w:val="pageBottom"/>
            <w:numFmt w:val="decimal"/>
            <w:numRestart w:val="continuous"/>
          </w:footnotePr>
          <w:pgSz w:w="11900" w:h="16840"/>
          <w:pgMar w:top="1163" w:right="1043" w:bottom="1705" w:left="1051" w:header="0" w:footer="3" w:gutter="0"/>
          <w:cols w:space="720"/>
          <w:noEndnote/>
          <w:titlePg/>
          <w:rtlGutter w:val="0"/>
          <w:docGrid w:linePitch="360"/>
        </w:sectPr>
      </w:pP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171,862,007.82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136,556,315.91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15,784,474.55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10,941,138.20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63,142,760.27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46,296,859.89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138,788,049.12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107,220,131.45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15,356,054.12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11,691,115.50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1,079,022.48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792,993.12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690,507,121.85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535,869,541.39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560,145,203.70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427,927,507.71</w:t>
            </w:r>
          </w:p>
        </w:tc>
      </w:tr>
    </w:tbl>
    <w:p>
      <w:pPr>
        <w:widowControl w:val="0"/>
        <w:spacing w:after="319" w:line="1" w:lineRule="exact"/>
      </w:pPr>
    </w:p>
    <w:p>
      <w:pPr>
        <w:pStyle w:val="Style39"/>
        <w:keepNext/>
        <w:keepLines/>
        <w:widowControl w:val="0"/>
        <w:numPr>
          <w:ilvl w:val="0"/>
          <w:numId w:val="49"/>
        </w:numPr>
        <w:shd w:val="clear" w:color="auto" w:fill="auto"/>
        <w:bidi w:val="0"/>
        <w:spacing w:before="0" w:after="380" w:line="240" w:lineRule="auto"/>
        <w:ind w:left="0" w:right="0" w:firstLine="14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公司来自前五名客户的营业收入情况</w:t>
      </w:r>
      <w:bookmarkEnd w:id="1423"/>
      <w:bookmarkEnd w:id="1424"/>
      <w:bookmarkEnd w:id="14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89,334,030.86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珠海长隆投资发展有限公司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河南升龙置业有限公司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大连城堡酒店开发有限公司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武汉泛海城市广场开发投资有限公司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15,306,464.25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179,920,495.11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9"/>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5</w:t>
      </w:r>
      <w:bookmarkEnd w:id="1429"/>
      <w:r>
        <w:rPr>
          <w:color w:val="000000"/>
          <w:spacing w:val="0"/>
          <w:w w:val="100"/>
          <w:position w:val="0"/>
        </w:rPr>
        <w:t>、投资收益</w:t>
      </w:r>
      <w:bookmarkEnd w:id="1427"/>
      <w:bookmarkEnd w:id="1428"/>
      <w:bookmarkEnd w:id="1430"/>
    </w:p>
    <w:p>
      <w:pPr>
        <w:pStyle w:val="Style39"/>
        <w:keepNext/>
        <w:keepLines/>
        <w:widowControl w:val="0"/>
        <w:shd w:val="clear" w:color="auto" w:fill="auto"/>
        <w:bidi w:val="0"/>
        <w:spacing w:before="0" w:after="320" w:line="240" w:lineRule="auto"/>
        <w:ind w:left="0" w:right="0" w:firstLine="140"/>
        <w:jc w:val="left"/>
      </w:pPr>
      <w:bookmarkStart w:id="1427" w:name="bookmark1427"/>
      <w:bookmarkStart w:id="1428" w:name="bookmark1428"/>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427"/>
      <w:bookmarkEnd w:id="1428"/>
      <w:bookmarkEnd w:id="14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12,280,359.00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12,280,359.00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14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32"/>
      <w:bookmarkEnd w:id="1433"/>
      <w:bookmarkEnd w:id="14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11,949,300.00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12,280,359.00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6</w:t>
      </w:r>
      <w:bookmarkEnd w:id="1437"/>
      <w:r>
        <w:rPr>
          <w:color w:val="000000"/>
          <w:spacing w:val="0"/>
          <w:w w:val="100"/>
          <w:position w:val="0"/>
        </w:rPr>
        <w:t>、现金流量表补充资料</w:t>
      </w:r>
      <w:bookmarkEnd w:id="1435"/>
      <w:bookmarkEnd w:id="1436"/>
      <w:bookmarkEnd w:id="1438"/>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47,786,324.25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42,269,636.32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3,748,564.52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6,784,219.38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11,129,245.12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7,524,147.50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1,157,490.48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1,098,605.04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-2,481,569.48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-4,036,481.95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-12,280,359.00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-1,232,273.22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-62,018,105.72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-12,677,846.19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-175,766,558.06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-94,729,333.44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107,619,936.45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97,008,183.93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5,860,573.92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4,794,732.74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-74,801,857.44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47,031,183.76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101,104,653.78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182,892,437.47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182,892,437.47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280,367,104.90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-81,787,783.69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-97,474,667.43</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r>
        <w:rPr>
          <w:color w:val="000000"/>
          <w:spacing w:val="0"/>
          <w:w w:val="100"/>
          <w:position w:val="0"/>
        </w:rPr>
        <w:t>十五、补充资料</w:t>
      </w:r>
      <w:bookmarkEnd w:id="1439"/>
      <w:bookmarkEnd w:id="1440"/>
      <w:bookmarkEnd w:id="1441"/>
    </w:p>
    <w:p>
      <w:pPr>
        <w:pStyle w:val="Style39"/>
        <w:keepNext/>
        <w:keepLines/>
        <w:widowControl w:val="0"/>
        <w:shd w:val="clear" w:color="auto" w:fill="auto"/>
        <w:bidi w:val="0"/>
        <w:spacing w:before="0" w:after="34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42"/>
      <w:bookmarkEnd w:id="1443"/>
      <w:bookmarkEnd w:id="14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8,289,137.21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营业外收入</w:t>
            </w:r>
            <w:r>
              <w:rPr>
                <w:rFonts w:ascii="Times New Roman" w:eastAsia="Times New Roman" w:hAnsi="Times New Roman" w:cs="Times New Roman"/>
                <w:color w:val="000000"/>
                <w:spacing w:val="0"/>
                <w:w w:val="100"/>
                <w:position w:val="0"/>
                <w:sz w:val="18"/>
                <w:szCs w:val="18"/>
              </w:rPr>
              <w:t>”</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1,276,003.27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1,772,621.96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5,374,569.30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45"/>
      <w:bookmarkEnd w:id="1446"/>
      <w:bookmarkEnd w:id="14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0.3684</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color w:val="000000"/>
          <w:spacing w:val="0"/>
          <w:w w:val="100"/>
          <w:position w:val="0"/>
        </w:rPr>
        <w:t>、公司主要会计报表项目的异常情况及原因的说明</w:t>
      </w:r>
      <w:bookmarkEnd w:id="1448"/>
      <w:bookmarkEnd w:id="1449"/>
      <w:bookmarkEnd w:id="1451"/>
    </w:p>
    <w:tbl>
      <w:tblPr>
        <w:tblOverlap w:val="never"/>
        <w:jc w:val="center"/>
        <w:tblLayout w:type="fixed"/>
      </w:tblPr>
      <w:tblGrid>
        <w:gridCol w:w="2558"/>
        <w:gridCol w:w="1421"/>
        <w:gridCol w:w="1243"/>
        <w:gridCol w:w="445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变动比例（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原因说明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主要原因是本报告期达实联欣所购基金卖出所致。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10,336,344.00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主要原因是本报告期客户比往年更多采用承兑汇票支付 货款所致。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141,883,733.40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主要原因是本报告期受结算周期及资金环境的影响，部分 合同约定的工程款支付时间滞后于实际工程进度所致。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30,360,782.07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主要原因是本报告期工程项目投入增加，设备采购预付款 及进度款增加所致。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-52,616.68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主要原因是上期计提的未到收款日的银行存款利息，本报 告期收到所致。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11,549,999.51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主要原因是本报告期投标及实施项目增加导致投标及履 约保证金增加所致。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67,352,006.05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主要原因是本报告期项目投入增加所致。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主要原因是本报告期开发项目研发完成所致。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主要原因是本报告期母公司及达实信息向银行借入短期 借款所致。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12,156,863.36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主要原因是本报告期公司采用银行承兑汇票支付货款较 多所致。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83,905,248.28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主要原因是本报告期采购工程材料及进度款增加，期末未 到付款期的材料款和进度款增加所致。</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主要原因是公司代管的未到解禁期的员工限制性股票分 红款所致。</w:t>
            </w:r>
          </w:p>
        </w:tc>
      </w:tr>
    </w:tbl>
    <w:p>
      <w:pPr>
        <w:spacing w:lineRule="exact" w:line="1"/>
        <w:rPr>
          <w:sz w:val="2"/>
          <w:szCs w:val="2"/>
        </w:rPr>
      </w:pPr>
      <w:r>
        <w:br w:type="page"/>
      </w:r>
    </w:p>
    <w:tbl>
      <w:tblPr>
        <w:tblOverlap w:val="never"/>
        <w:jc w:val="center"/>
        <w:tblLayout w:type="fixed"/>
      </w:tblPr>
      <w:tblGrid>
        <w:gridCol w:w="2558"/>
        <w:gridCol w:w="1421"/>
        <w:gridCol w:w="1243"/>
        <w:gridCol w:w="445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-14,723,404.82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主要原因是本报告期支付子公司达实联欣第二期股权收 购款所致。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主要原因是本报告期子公司达实联欣所购基金卖出，其确 认的递延所得税负债转出所致。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67,075,577.44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主要原因是本报告期公司主营业务收益持续增长所致。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18,425,267.19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主要原因是本报告期员工薪酬增加、公司加大区域市场开 拓力度以及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家子公司因纳入合并报表的期间不同导致本 报告期并入的金额增加所致。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24,744,125.21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主要原因是本报告期员工薪酬增加以及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家子公司因纳入 合并报表的期间不同导致本报告期并入的金额增加所致。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2,161,483.44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主要原因是上年同期支付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家非全资子公司股权收购款， 投资支出使银行存款余额减少，利息收入相应减少所致。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-5,715,448.94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主要原因是本报告期账龄较长的应收账款回收较多，冲回 计提的减值准备所致。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-316,791.13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主要原因是本报告期子公司达实联欣所购基金卖出，原确 认的公允价值变动损益转出所致。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主要原因是本报告期子公司达实联欣所购基金卖出，确认 收益所致。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102,481.33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主要原因是本报告期公司根据国税发</w:t>
            </w:r>
            <w:r>
              <w:rPr>
                <w:rFonts w:ascii="Times New Roman" w:eastAsia="Times New Roman" w:hAnsi="Times New Roman" w:cs="Times New Roman"/>
                <w:color w:val="000000"/>
                <w:spacing w:val="0"/>
                <w:w w:val="100"/>
                <w:position w:val="0"/>
                <w:sz w:val="18"/>
                <w:szCs w:val="18"/>
              </w:rPr>
              <w:t>[1995]065</w:t>
            </w:r>
            <w:r>
              <w:rPr>
                <w:color w:val="000000"/>
                <w:spacing w:val="0"/>
                <w:w w:val="100"/>
                <w:position w:val="0"/>
              </w:rPr>
              <w:t>号文第十 七条规定用返还的个人所得税手续费奖励办税人员所致。</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258,573,853.86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主要原因是本报告期公司加大收款力度，货款回收增加以 及子公司达实联欣因纳入合并报表的期间不同导致本报 告期并入的金额增加所致。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303,881,313.79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主要原因是本报告期公司项目投入增加，材料设备采购支 出增加以及子公司达实联欣因纳入合并报表的期间不同 导致本报告期并入的金额增加所致。</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34,861,463.53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主要原因是本报告期公司员工工资及绩效奖金增加以及 子公司达实联欣因纳入合并报表的期间不同导致本报告 期并入的金额增加所致。</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19,148,185.40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主要原因是本报告期母公司缴纳的增值税增加以及子公 司达实联欣因纳入合并报表的期间不同导致本报告期并 入的金额增加所致。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主要原因是上年同期子公司达实德润退回购买银行保本 理财产品本金所致。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320,416.56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主要原因是本报告期子公司达实联欣所购基金卖出收到 款项所致。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-958,540.26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主要原因是上年同期子公司达实联欣处置车辆所致。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-153,394,353.00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主要原因是上年同期母公司支付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家非全资子公司收购款 以及子公司达实德润购买银行保本理财产品所致。</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支付的其它与投资活动有关的现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主要原因是上年同期公司收购两家非全资子公司支付的 中介费用所致。</w:t>
            </w:r>
          </w:p>
        </w:tc>
      </w:tr>
    </w:tbl>
    <w:p>
      <w:pPr>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footnotePr>
          <w:pgSz w:w="11900" w:h="16840"/>
          <w:pgMar w:top="1163" w:right="1043" w:bottom="1705" w:left="1051" w:header="0" w:footer="3" w:gutter="0"/>
          <w:cols w:space="720"/>
          <w:noEndnote/>
          <w:titlePg/>
          <w:rtlGutter w:val="0"/>
          <w:docGrid w:linePitch="360"/>
        </w:sectPr>
      </w:pPr>
    </w:p>
    <w:tbl>
      <w:tblPr>
        <w:tblOverlap w:val="never"/>
        <w:jc w:val="center"/>
        <w:tblLayout w:type="fixed"/>
      </w:tblPr>
      <w:tblGrid>
        <w:gridCol w:w="2558"/>
        <w:gridCol w:w="1421"/>
        <w:gridCol w:w="1243"/>
        <w:gridCol w:w="4454"/>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-17,892,001.32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主要原因是本报告期新设立的子公司达实租赁收到少数 股东的投资款，上年同期公司实施了限制性股票激励计 划，收到</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位激励对象认购的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万股股票认购款所致。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子公司吸收少数股东投资收到的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7,637,998.68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主要原因是本报告期新设立的子公司达实租赁收到少数 股东的投资款所致。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主要原因是本报告期母公司及达实信息向银行借入短期 贷款所致。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子公司支付给少数股东的股利、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11,885,327.67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主要原因是本报告期子公司达实联欣及达实德润实施</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年度现金分红所致。</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-1,098,763.35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主要原因是上年同期子公司达实信息归还企业间借款</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万元所致。</w:t>
            </w:r>
          </w:p>
        </w:tc>
      </w:tr>
    </w:tbl>
    <w:p>
      <w:pPr>
        <w:widowControl w:val="0"/>
        <w:spacing w:after="10259" w:line="1" w:lineRule="exact"/>
      </w:pPr>
    </w:p>
    <w:p>
      <w:pPr>
        <w:widowControl w:val="0"/>
        <w:jc w:val="center"/>
        <w:rPr>
          <w:sz w:val="2"/>
          <w:szCs w:val="2"/>
        </w:rPr>
        <w:sectPr>
          <w:headerReference w:type="default" r:id="rId317"/>
          <w:footerReference w:type="default" r:id="rId318"/>
          <w:headerReference w:type="even" r:id="rId319"/>
          <w:footerReference w:type="even" r:id="rId320"/>
          <w:footnotePr>
            <w:pos w:val="pageBottom"/>
            <w:numFmt w:val="decimal"/>
            <w:numRestart w:val="continuous"/>
          </w:footnotePr>
          <w:pgSz w:w="11900" w:h="16840"/>
          <w:pgMar w:top="1441" w:right="1105" w:bottom="125" w:left="1119" w:header="0" w:footer="3" w:gutter="0"/>
          <w:cols w:space="720"/>
          <w:noEndnote/>
          <w:rtlGutter w:val="0"/>
          <w:docGrid w:linePitch="360"/>
        </w:sectPr>
      </w:pPr>
      <w:r>
        <w:drawing>
          <wp:inline>
            <wp:extent cx="1718945" cy="981710"/>
            <wp:docPr id="950" name="Picutre 950"/>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321"/>
                    <a:stretch/>
                  </pic:blipFill>
                  <pic:spPr>
                    <a:xfrm>
                      <a:ext cx="1718945" cy="981710"/>
                    </a:xfrm>
                    <a:prstGeom prst="rect"/>
                  </pic:spPr>
                </pic:pic>
              </a:graphicData>
            </a:graphic>
          </wp:inline>
        </w:drawing>
      </w:r>
    </w:p>
    <w:p>
      <w:pPr>
        <w:pStyle w:val="Style12"/>
        <w:keepNext/>
        <w:keepLines/>
        <w:widowControl w:val="0"/>
        <w:shd w:val="clear" w:color="auto" w:fill="auto"/>
        <w:bidi w:val="0"/>
        <w:spacing w:before="0" w:after="380" w:line="240" w:lineRule="auto"/>
        <w:ind w:left="0" w:right="0" w:firstLine="0"/>
        <w:jc w:val="center"/>
      </w:pPr>
      <w:bookmarkStart w:id="1452" w:name="bookmark1452"/>
      <w:bookmarkStart w:id="1453" w:name="bookmark1453"/>
      <w:bookmarkStart w:id="1454" w:name="bookmark1454"/>
      <w:r>
        <w:rPr>
          <w:color w:val="000000"/>
          <w:spacing w:val="0"/>
          <w:w w:val="100"/>
          <w:position w:val="0"/>
        </w:rPr>
        <w:t>第十一节备查文件目录</w:t>
      </w:r>
      <w:bookmarkEnd w:id="1452"/>
      <w:bookmarkEnd w:id="1453"/>
      <w:bookmarkEnd w:id="1454"/>
    </w:p>
    <w:p>
      <w:pPr>
        <w:pStyle w:val="Style36"/>
        <w:keepNext w:val="0"/>
        <w:keepLines w:val="0"/>
        <w:widowControl w:val="0"/>
        <w:shd w:val="clear" w:color="auto" w:fill="auto"/>
        <w:tabs>
          <w:tab w:pos="889" w:val="left"/>
        </w:tabs>
        <w:bidi w:val="0"/>
        <w:spacing w:before="0" w:after="0" w:line="413" w:lineRule="exact"/>
        <w:ind w:left="0" w:right="0" w:firstLine="420"/>
        <w:jc w:val="left"/>
      </w:pPr>
      <w:bookmarkStart w:id="1455" w:name="bookmark1455"/>
      <w:r>
        <w:rPr>
          <w:color w:val="000000"/>
          <w:spacing w:val="0"/>
          <w:w w:val="100"/>
          <w:position w:val="0"/>
        </w:rPr>
        <w:t>一</w:t>
      </w:r>
      <w:bookmarkEnd w:id="1455"/>
      <w:r>
        <w:rPr>
          <w:color w:val="000000"/>
          <w:spacing w:val="0"/>
          <w:w w:val="100"/>
          <w:position w:val="0"/>
        </w:rPr>
        <w:t>、</w:t>
        <w:tab/>
        <w:t>载有董事长刘磅先生签名的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年度报告全文及摘要。</w:t>
      </w:r>
    </w:p>
    <w:p>
      <w:pPr>
        <w:pStyle w:val="Style36"/>
        <w:keepNext w:val="0"/>
        <w:keepLines w:val="0"/>
        <w:widowControl w:val="0"/>
        <w:shd w:val="clear" w:color="auto" w:fill="auto"/>
        <w:tabs>
          <w:tab w:pos="889" w:val="left"/>
        </w:tabs>
        <w:bidi w:val="0"/>
        <w:spacing w:before="0" w:after="0" w:line="413" w:lineRule="exact"/>
        <w:ind w:left="0" w:right="0" w:firstLine="420"/>
        <w:jc w:val="left"/>
      </w:pPr>
      <w:bookmarkStart w:id="1456" w:name="bookmark1456"/>
      <w:r>
        <w:rPr>
          <w:color w:val="000000"/>
          <w:spacing w:val="0"/>
          <w:w w:val="100"/>
          <w:position w:val="0"/>
        </w:rPr>
        <w:t>二</w:t>
      </w:r>
      <w:bookmarkEnd w:id="1456"/>
      <w:r>
        <w:rPr>
          <w:color w:val="000000"/>
          <w:spacing w:val="0"/>
          <w:w w:val="100"/>
          <w:position w:val="0"/>
        </w:rPr>
        <w:t>、</w:t>
        <w:tab/>
        <w:t>载有公司法定代表人、主管会计工作负责人及会计机构负责人签名并盖章的会计报表。</w:t>
      </w:r>
    </w:p>
    <w:p>
      <w:pPr>
        <w:pStyle w:val="Style36"/>
        <w:keepNext w:val="0"/>
        <w:keepLines w:val="0"/>
        <w:widowControl w:val="0"/>
        <w:shd w:val="clear" w:color="auto" w:fill="auto"/>
        <w:tabs>
          <w:tab w:pos="894" w:val="left"/>
        </w:tabs>
        <w:bidi w:val="0"/>
        <w:spacing w:before="0" w:after="0" w:line="413" w:lineRule="exact"/>
        <w:ind w:left="0" w:right="0" w:firstLine="420"/>
        <w:jc w:val="left"/>
      </w:pPr>
      <w:bookmarkStart w:id="1457" w:name="bookmark1457"/>
      <w:r>
        <w:rPr>
          <w:color w:val="000000"/>
          <w:spacing w:val="0"/>
          <w:w w:val="100"/>
          <w:position w:val="0"/>
        </w:rPr>
        <w:t>三</w:t>
      </w:r>
      <w:bookmarkEnd w:id="1457"/>
      <w:r>
        <w:rPr>
          <w:color w:val="000000"/>
          <w:spacing w:val="0"/>
          <w:w w:val="100"/>
          <w:position w:val="0"/>
        </w:rPr>
        <w:t>、</w:t>
        <w:tab/>
        <w:t>载有会计师事务所、注册会计师任签名并盖章的公司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年度审计报告原件。</w:t>
      </w:r>
    </w:p>
    <w:p>
      <w:pPr>
        <w:pStyle w:val="Style36"/>
        <w:keepNext w:val="0"/>
        <w:keepLines w:val="0"/>
        <w:widowControl w:val="0"/>
        <w:shd w:val="clear" w:color="auto" w:fill="auto"/>
        <w:tabs>
          <w:tab w:pos="906" w:val="left"/>
        </w:tabs>
        <w:bidi w:val="0"/>
        <w:spacing w:before="0" w:after="0" w:line="413" w:lineRule="exact"/>
        <w:ind w:left="0" w:right="0" w:firstLine="420"/>
        <w:jc w:val="both"/>
      </w:pPr>
      <w:bookmarkStart w:id="1458" w:name="bookmark1458"/>
      <w:r>
        <w:rPr>
          <w:color w:val="000000"/>
          <w:spacing w:val="0"/>
          <w:w w:val="100"/>
          <w:position w:val="0"/>
        </w:rPr>
        <w:t>四</w:t>
      </w:r>
      <w:bookmarkEnd w:id="1458"/>
      <w:r>
        <w:rPr>
          <w:color w:val="000000"/>
          <w:spacing w:val="0"/>
          <w:w w:val="100"/>
          <w:position w:val="0"/>
        </w:rPr>
        <w:t>、</w:t>
        <w:tab/>
        <w:t>报告期内在中国证监会指定报纸《证券时报》、《中国证券报》上公开披露过的所有公司文件的 正本及公告原稿。</w:t>
      </w:r>
    </w:p>
    <w:p>
      <w:pPr>
        <w:pStyle w:val="Style36"/>
        <w:keepNext w:val="0"/>
        <w:keepLines w:val="0"/>
        <w:widowControl w:val="0"/>
        <w:shd w:val="clear" w:color="auto" w:fill="auto"/>
        <w:tabs>
          <w:tab w:pos="894" w:val="left"/>
        </w:tabs>
        <w:bidi w:val="0"/>
        <w:spacing w:before="0" w:after="1420" w:line="413" w:lineRule="exact"/>
        <w:ind w:left="0" w:right="0" w:firstLine="420"/>
        <w:jc w:val="left"/>
      </w:pPr>
      <w:bookmarkStart w:id="1459" w:name="bookmark1459"/>
      <w:r>
        <w:rPr>
          <w:color w:val="000000"/>
          <w:spacing w:val="0"/>
          <w:w w:val="100"/>
          <w:position w:val="0"/>
        </w:rPr>
        <w:t>五</w:t>
      </w:r>
      <w:bookmarkEnd w:id="1459"/>
      <w:r>
        <w:rPr>
          <w:color w:val="000000"/>
          <w:spacing w:val="0"/>
          <w:w w:val="100"/>
          <w:position w:val="0"/>
        </w:rPr>
        <w:t>、</w:t>
        <w:tab/>
        <w:t>备查文件备置地点：公司证券部。</w:t>
      </w:r>
    </w:p>
    <w:p>
      <w:pPr>
        <w:pStyle w:val="Style3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深圳达实智能股份有限公司董事会</w:t>
      </w:r>
    </w:p>
    <w:p>
      <w:pPr>
        <w:pStyle w:val="Style3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董事长：刘磅</w:t>
      </w:r>
    </w:p>
    <w:p>
      <w:pPr>
        <w:pStyle w:val="Style73"/>
        <w:keepNext w:val="0"/>
        <w:keepLines w:val="0"/>
        <w:widowControl w:val="0"/>
        <w:shd w:val="clear" w:color="auto" w:fill="auto"/>
        <w:bidi w:val="0"/>
        <w:spacing w:before="0" w:after="7660" w:line="240" w:lineRule="auto"/>
        <w:ind w:left="0" w:right="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widowControl w:val="0"/>
        <w:jc w:val="center"/>
        <w:rPr>
          <w:sz w:val="2"/>
          <w:szCs w:val="2"/>
        </w:rPr>
      </w:pPr>
      <w:r>
        <w:drawing>
          <wp:inline>
            <wp:extent cx="1718945" cy="981710"/>
            <wp:docPr id="951" name="Picutre 951"/>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323"/>
                    <a:stretch/>
                  </pic:blipFill>
                  <pic:spPr>
                    <a:xfrm>
                      <a:ext cx="1718945" cy="981710"/>
                    </a:xfrm>
                    <a:prstGeom prst="rect"/>
                  </pic:spPr>
                </pic:pic>
              </a:graphicData>
            </a:graphic>
          </wp:inline>
        </w:drawing>
      </w:r>
    </w:p>
    <w:sectPr>
      <w:footnotePr>
        <w:pos w:val="pageBottom"/>
        <w:numFmt w:val="decimal"/>
        <w:numRestart w:val="continuous"/>
      </w:footnotePr>
      <w:pgSz w:w="11900" w:h="16840"/>
      <w:pgMar w:top="1930" w:right="1109" w:bottom="125" w:left="1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3731260</wp:posOffset>
              </wp:positionH>
              <wp:positionV relativeFrom="page">
                <wp:posOffset>10267950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80000000000001pt;margin-top:808.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3736340</wp:posOffset>
              </wp:positionH>
              <wp:positionV relativeFrom="page">
                <wp:posOffset>9955530</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4.19999999999999pt;margin-top:783.89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6976745</wp:posOffset>
              </wp:positionH>
              <wp:positionV relativeFrom="page">
                <wp:posOffset>10436860</wp:posOffset>
              </wp:positionV>
              <wp:extent cx="45720" cy="97790"/>
              <wp:wrapNone/>
              <wp:docPr id="69" name="Shape 6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5" type="#_x0000_t202" style="position:absolute;margin-left:549.35000000000002pt;margin-top:821.80000000000007pt;width:3.6000000000000001pt;height:7.7000000000000002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3731260</wp:posOffset>
              </wp:positionH>
              <wp:positionV relativeFrom="page">
                <wp:posOffset>10267950</wp:posOffset>
              </wp:positionV>
              <wp:extent cx="97790" cy="79375"/>
              <wp:wrapNone/>
              <wp:docPr id="694" name="Shape 6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0" type="#_x0000_t202" style="position:absolute;margin-left:293.80000000000001pt;margin-top:808.5pt;width:7.7000000000000002pt;height:6.25pt;z-index:-18874353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3731260</wp:posOffset>
              </wp:positionH>
              <wp:positionV relativeFrom="page">
                <wp:posOffset>10267950</wp:posOffset>
              </wp:positionV>
              <wp:extent cx="97790" cy="79375"/>
              <wp:wrapNone/>
              <wp:docPr id="699" name="Shape 6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5" type="#_x0000_t202" style="position:absolute;margin-left:293.80000000000001pt;margin-top:808.5pt;width:7.7000000000000002pt;height:6.25pt;z-index:-18874352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3735705</wp:posOffset>
              </wp:positionH>
              <wp:positionV relativeFrom="page">
                <wp:posOffset>9955530</wp:posOffset>
              </wp:positionV>
              <wp:extent cx="103505" cy="79375"/>
              <wp:wrapNone/>
              <wp:docPr id="705" name="Shape 70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1" type="#_x0000_t202" style="position:absolute;margin-left:294.15000000000003pt;margin-top:783.89999999999998pt;width:8.1500000000000004pt;height:6.25pt;z-index:-1887435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1" behindDoc="1" locked="0" layoutInCell="1" allowOverlap="1">
              <wp:simplePos x="0" y="0"/>
              <wp:positionH relativeFrom="page">
                <wp:posOffset>6903085</wp:posOffset>
              </wp:positionH>
              <wp:positionV relativeFrom="page">
                <wp:posOffset>10436860</wp:posOffset>
              </wp:positionV>
              <wp:extent cx="42545" cy="97790"/>
              <wp:wrapNone/>
              <wp:docPr id="707" name="Shape 70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3" type="#_x0000_t202" style="position:absolute;margin-left:543.54999999999995pt;margin-top:821.80000000000007pt;width:3.3500000000000001pt;height:7.7000000000000002pt;z-index:-1887435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3735705</wp:posOffset>
              </wp:positionH>
              <wp:positionV relativeFrom="page">
                <wp:posOffset>9955530</wp:posOffset>
              </wp:positionV>
              <wp:extent cx="103505" cy="79375"/>
              <wp:wrapNone/>
              <wp:docPr id="712" name="Shape 7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8" type="#_x0000_t202" style="position:absolute;margin-left:294.15000000000003pt;margin-top:783.89999999999998pt;width:8.1500000000000004pt;height:6.25pt;z-index:-18874351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7" behindDoc="1" locked="0" layoutInCell="1" allowOverlap="1">
              <wp:simplePos x="0" y="0"/>
              <wp:positionH relativeFrom="page">
                <wp:posOffset>6903085</wp:posOffset>
              </wp:positionH>
              <wp:positionV relativeFrom="page">
                <wp:posOffset>10436860</wp:posOffset>
              </wp:positionV>
              <wp:extent cx="42545" cy="97790"/>
              <wp:wrapNone/>
              <wp:docPr id="714" name="Shape 71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0" type="#_x0000_t202" style="position:absolute;margin-left:543.54999999999995pt;margin-top:821.80000000000007pt;width:3.3500000000000001pt;height:7.7000000000000002pt;z-index:-1887435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3679825</wp:posOffset>
              </wp:positionH>
              <wp:positionV relativeFrom="page">
                <wp:posOffset>10006330</wp:posOffset>
              </wp:positionV>
              <wp:extent cx="155575" cy="79375"/>
              <wp:wrapNone/>
              <wp:docPr id="719" name="Shape 7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289.75pt;margin-top:787.89999999999998pt;width:12.25pt;height:6.25pt;z-index:-1887435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3" behindDoc="1" locked="0" layoutInCell="1" allowOverlap="1">
              <wp:simplePos x="0" y="0"/>
              <wp:positionH relativeFrom="page">
                <wp:posOffset>5819140</wp:posOffset>
              </wp:positionH>
              <wp:positionV relativeFrom="page">
                <wp:posOffset>10487660</wp:posOffset>
              </wp:positionV>
              <wp:extent cx="133985" cy="103505"/>
              <wp:wrapNone/>
              <wp:docPr id="721" name="Shape 7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7" type="#_x0000_t202" style="position:absolute;margin-left:458.19999999999999pt;margin-top:825.80000000000007pt;width:10.550000000000001pt;height:8.1500000000000004pt;z-index:-1887435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3731260</wp:posOffset>
              </wp:positionH>
              <wp:positionV relativeFrom="page">
                <wp:posOffset>10267950</wp:posOffset>
              </wp:positionV>
              <wp:extent cx="97790" cy="79375"/>
              <wp:wrapNone/>
              <wp:docPr id="726" name="Shape 7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293.80000000000001pt;margin-top:808.5pt;width:7.7000000000000002pt;height:6.25pt;z-index:-18874350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3731260</wp:posOffset>
              </wp:positionH>
              <wp:positionV relativeFrom="page">
                <wp:posOffset>10267950</wp:posOffset>
              </wp:positionV>
              <wp:extent cx="97790" cy="79375"/>
              <wp:wrapNone/>
              <wp:docPr id="731" name="Shape 7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7" type="#_x0000_t202" style="position:absolute;margin-left:293.80000000000001pt;margin-top:808.5pt;width:7.7000000000000002pt;height:6.25pt;z-index:-18874350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3679825</wp:posOffset>
              </wp:positionH>
              <wp:positionV relativeFrom="page">
                <wp:posOffset>10006330</wp:posOffset>
              </wp:positionV>
              <wp:extent cx="155575" cy="79375"/>
              <wp:wrapNone/>
              <wp:docPr id="737" name="Shape 7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3" type="#_x0000_t202" style="position:absolute;margin-left:289.75pt;margin-top:787.89999999999998pt;width:12.25pt;height:6.25pt;z-index:-18874349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7" behindDoc="1" locked="0" layoutInCell="1" allowOverlap="1">
              <wp:simplePos x="0" y="0"/>
              <wp:positionH relativeFrom="page">
                <wp:posOffset>5819140</wp:posOffset>
              </wp:positionH>
              <wp:positionV relativeFrom="page">
                <wp:posOffset>10487660</wp:posOffset>
              </wp:positionV>
              <wp:extent cx="133985" cy="103505"/>
              <wp:wrapNone/>
              <wp:docPr id="739" name="Shape 7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5" type="#_x0000_t202" style="position:absolute;margin-left:458.19999999999999pt;margin-top:825.80000000000007pt;width:10.550000000000001pt;height:8.1500000000000004pt;z-index:-1887434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3679825</wp:posOffset>
              </wp:positionH>
              <wp:positionV relativeFrom="page">
                <wp:posOffset>10006330</wp:posOffset>
              </wp:positionV>
              <wp:extent cx="155575" cy="79375"/>
              <wp:wrapNone/>
              <wp:docPr id="744" name="Shape 7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0" type="#_x0000_t202" style="position:absolute;margin-left:289.75pt;margin-top:787.89999999999998pt;width:12.25pt;height:6.25pt;z-index:-18874349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3" behindDoc="1" locked="0" layoutInCell="1" allowOverlap="1">
              <wp:simplePos x="0" y="0"/>
              <wp:positionH relativeFrom="page">
                <wp:posOffset>5819140</wp:posOffset>
              </wp:positionH>
              <wp:positionV relativeFrom="page">
                <wp:posOffset>10487660</wp:posOffset>
              </wp:positionV>
              <wp:extent cx="133985" cy="103505"/>
              <wp:wrapNone/>
              <wp:docPr id="746" name="Shape 7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2" type="#_x0000_t202" style="position:absolute;margin-left:458.19999999999999pt;margin-top:825.80000000000007pt;width:10.550000000000001pt;height:8.1500000000000004pt;z-index:-1887434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3731260</wp:posOffset>
              </wp:positionH>
              <wp:positionV relativeFrom="page">
                <wp:posOffset>10267950</wp:posOffset>
              </wp:positionV>
              <wp:extent cx="97790" cy="79375"/>
              <wp:wrapNone/>
              <wp:docPr id="751" name="Shape 7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293.80000000000001pt;margin-top:808.5pt;width:7.7000000000000002pt;height:6.25pt;z-index:-18874348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3736340</wp:posOffset>
              </wp:positionH>
              <wp:positionV relativeFrom="page">
                <wp:posOffset>9955530</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94.19999999999999pt;margin-top:783.89999999999998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6976745</wp:posOffset>
              </wp:positionH>
              <wp:positionV relativeFrom="page">
                <wp:posOffset>10436860</wp:posOffset>
              </wp:positionV>
              <wp:extent cx="45720" cy="97790"/>
              <wp:wrapNone/>
              <wp:docPr id="76" name="Shape 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549.35000000000002pt;margin-top:821.80000000000007pt;width:3.6000000000000001pt;height:7.7000000000000002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3679825</wp:posOffset>
              </wp:positionH>
              <wp:positionV relativeFrom="page">
                <wp:posOffset>10006330</wp:posOffset>
              </wp:positionV>
              <wp:extent cx="155575" cy="79375"/>
              <wp:wrapNone/>
              <wp:docPr id="756" name="Shape 7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2" type="#_x0000_t202" style="position:absolute;margin-left:289.75pt;margin-top:787.89999999999998pt;width:12.25pt;height:6.25pt;z-index:-18874348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5819140</wp:posOffset>
              </wp:positionH>
              <wp:positionV relativeFrom="page">
                <wp:posOffset>10487660</wp:posOffset>
              </wp:positionV>
              <wp:extent cx="133985" cy="103505"/>
              <wp:wrapNone/>
              <wp:docPr id="758" name="Shape 7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4" type="#_x0000_t202" style="position:absolute;margin-left:458.19999999999999pt;margin-top:825.80000000000007pt;width:10.550000000000001pt;height:8.1500000000000004pt;z-index:-1887434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3679825</wp:posOffset>
              </wp:positionH>
              <wp:positionV relativeFrom="page">
                <wp:posOffset>10006330</wp:posOffset>
              </wp:positionV>
              <wp:extent cx="155575" cy="79375"/>
              <wp:wrapNone/>
              <wp:docPr id="764" name="Shape 7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0" type="#_x0000_t202" style="position:absolute;margin-left:289.75pt;margin-top:787.89999999999998pt;width:12.25pt;height:6.25pt;z-index:-18874347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9" behindDoc="1" locked="0" layoutInCell="1" allowOverlap="1">
              <wp:simplePos x="0" y="0"/>
              <wp:positionH relativeFrom="page">
                <wp:posOffset>5819140</wp:posOffset>
              </wp:positionH>
              <wp:positionV relativeFrom="page">
                <wp:posOffset>10487660</wp:posOffset>
              </wp:positionV>
              <wp:extent cx="133985" cy="103505"/>
              <wp:wrapNone/>
              <wp:docPr id="766" name="Shape 7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2" type="#_x0000_t202" style="position:absolute;margin-left:458.19999999999999pt;margin-top:825.80000000000007pt;width:10.550000000000001pt;height:8.1500000000000004pt;z-index:-1887434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3704590</wp:posOffset>
              </wp:positionH>
              <wp:positionV relativeFrom="page">
                <wp:posOffset>9955530</wp:posOffset>
              </wp:positionV>
              <wp:extent cx="155575" cy="79375"/>
              <wp:wrapNone/>
              <wp:docPr id="771" name="Shape 7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291.69999999999999pt;margin-top:783.89999999999998pt;width:12.25pt;height:6.25pt;z-index:-1887434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5" behindDoc="1" locked="0" layoutInCell="1" allowOverlap="1">
              <wp:simplePos x="0" y="0"/>
              <wp:positionH relativeFrom="page">
                <wp:posOffset>6972300</wp:posOffset>
              </wp:positionH>
              <wp:positionV relativeFrom="page">
                <wp:posOffset>10436860</wp:posOffset>
              </wp:positionV>
              <wp:extent cx="45720" cy="97790"/>
              <wp:wrapNone/>
              <wp:docPr id="773" name="Shape 7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9" type="#_x0000_t202" style="position:absolute;margin-left:549.pt;margin-top:821.80000000000007pt;width:3.6000000000000001pt;height:7.7000000000000002pt;z-index:-1887434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3731260</wp:posOffset>
              </wp:positionH>
              <wp:positionV relativeFrom="page">
                <wp:posOffset>10267950</wp:posOffset>
              </wp:positionV>
              <wp:extent cx="97790" cy="79375"/>
              <wp:wrapNone/>
              <wp:docPr id="778" name="Shape 7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4" type="#_x0000_t202" style="position:absolute;margin-left:293.80000000000001pt;margin-top:808.5pt;width:7.7000000000000002pt;height:6.25pt;z-index:-18874346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3679825</wp:posOffset>
              </wp:positionH>
              <wp:positionV relativeFrom="page">
                <wp:posOffset>10006330</wp:posOffset>
              </wp:positionV>
              <wp:extent cx="155575" cy="79375"/>
              <wp:wrapNone/>
              <wp:docPr id="783" name="Shape 7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9" type="#_x0000_t202" style="position:absolute;margin-left:289.75pt;margin-top:787.89999999999998pt;width:12.25pt;height:6.25pt;z-index:-1887434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5" behindDoc="1" locked="0" layoutInCell="1" allowOverlap="1">
              <wp:simplePos x="0" y="0"/>
              <wp:positionH relativeFrom="page">
                <wp:posOffset>5819140</wp:posOffset>
              </wp:positionH>
              <wp:positionV relativeFrom="page">
                <wp:posOffset>10487660</wp:posOffset>
              </wp:positionV>
              <wp:extent cx="133985" cy="103505"/>
              <wp:wrapNone/>
              <wp:docPr id="785" name="Shape 7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1" type="#_x0000_t202" style="position:absolute;margin-left:458.19999999999999pt;margin-top:825.80000000000007pt;width:10.550000000000001pt;height:8.1500000000000004pt;z-index:-1887434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3679825</wp:posOffset>
              </wp:positionH>
              <wp:positionV relativeFrom="page">
                <wp:posOffset>10006330</wp:posOffset>
              </wp:positionV>
              <wp:extent cx="155575" cy="79375"/>
              <wp:wrapNone/>
              <wp:docPr id="790" name="Shape 7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6" type="#_x0000_t202" style="position:absolute;margin-left:289.75pt;margin-top:787.89999999999998pt;width:12.25pt;height:6.25pt;z-index:-1887434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1" behindDoc="1" locked="0" layoutInCell="1" allowOverlap="1">
              <wp:simplePos x="0" y="0"/>
              <wp:positionH relativeFrom="page">
                <wp:posOffset>5819140</wp:posOffset>
              </wp:positionH>
              <wp:positionV relativeFrom="page">
                <wp:posOffset>10487660</wp:posOffset>
              </wp:positionV>
              <wp:extent cx="133985" cy="103505"/>
              <wp:wrapNone/>
              <wp:docPr id="792" name="Shape 7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8" type="#_x0000_t202" style="position:absolute;margin-left:458.19999999999999pt;margin-top:825.80000000000007pt;width:10.550000000000001pt;height:8.1500000000000004pt;z-index:-1887434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3679825</wp:posOffset>
              </wp:positionH>
              <wp:positionV relativeFrom="page">
                <wp:posOffset>10006330</wp:posOffset>
              </wp:positionV>
              <wp:extent cx="155575" cy="79375"/>
              <wp:wrapNone/>
              <wp:docPr id="797" name="Shape 7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3" type="#_x0000_t202" style="position:absolute;margin-left:289.75pt;margin-top:787.89999999999998pt;width:12.25pt;height:6.25pt;z-index:-18874344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7" behindDoc="1" locked="0" layoutInCell="1" allowOverlap="1">
              <wp:simplePos x="0" y="0"/>
              <wp:positionH relativeFrom="page">
                <wp:posOffset>5819140</wp:posOffset>
              </wp:positionH>
              <wp:positionV relativeFrom="page">
                <wp:posOffset>10487660</wp:posOffset>
              </wp:positionV>
              <wp:extent cx="133985" cy="103505"/>
              <wp:wrapNone/>
              <wp:docPr id="799" name="Shape 7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5" type="#_x0000_t202" style="position:absolute;margin-left:458.19999999999999pt;margin-top:825.80000000000007pt;width:10.550000000000001pt;height:8.1500000000000004pt;z-index:-1887434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3731260</wp:posOffset>
              </wp:positionH>
              <wp:positionV relativeFrom="page">
                <wp:posOffset>10267950</wp:posOffset>
              </wp:positionV>
              <wp:extent cx="97790" cy="79375"/>
              <wp:wrapNone/>
              <wp:docPr id="804" name="Shape 8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293.80000000000001pt;margin-top:808.5pt;width:7.7000000000000002pt;height:6.25pt;z-index:-18874344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3731260</wp:posOffset>
              </wp:positionH>
              <wp:positionV relativeFrom="page">
                <wp:posOffset>10267950</wp:posOffset>
              </wp:positionV>
              <wp:extent cx="97790" cy="79375"/>
              <wp:wrapNone/>
              <wp:docPr id="809" name="Shape 8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5" type="#_x0000_t202" style="position:absolute;margin-left:293.80000000000001pt;margin-top:808.5pt;width:7.7000000000000002pt;height:6.25pt;z-index:-18874343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3720465</wp:posOffset>
              </wp:positionH>
              <wp:positionV relativeFrom="page">
                <wp:posOffset>10006330</wp:posOffset>
              </wp:positionV>
              <wp:extent cx="149225" cy="79375"/>
              <wp:wrapNone/>
              <wp:docPr id="815" name="Shape 81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1" type="#_x0000_t202" style="position:absolute;margin-left:292.94999999999999pt;margin-top:787.89999999999998pt;width:11.75pt;height:6.25pt;z-index:-1887434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1" behindDoc="1" locked="0" layoutInCell="1" allowOverlap="1">
              <wp:simplePos x="0" y="0"/>
              <wp:positionH relativeFrom="page">
                <wp:posOffset>6985000</wp:posOffset>
              </wp:positionH>
              <wp:positionV relativeFrom="page">
                <wp:posOffset>10487660</wp:posOffset>
              </wp:positionV>
              <wp:extent cx="45720" cy="97790"/>
              <wp:wrapNone/>
              <wp:docPr id="817" name="Shape 8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3" type="#_x0000_t202" style="position:absolute;margin-left:550.pt;margin-top:825.80000000000007pt;width:3.6000000000000001pt;height:7.7000000000000002pt;z-index:-1887434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3702685</wp:posOffset>
              </wp:positionH>
              <wp:positionV relativeFrom="page">
                <wp:posOffset>9978390</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291.55000000000001pt;margin-top:785.70000000000005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5815330</wp:posOffset>
              </wp:positionH>
              <wp:positionV relativeFrom="page">
                <wp:posOffset>10460355</wp:posOffset>
              </wp:positionV>
              <wp:extent cx="133985" cy="103505"/>
              <wp:wrapNone/>
              <wp:docPr id="83" name="Shape 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457.90000000000003pt;margin-top:823.64999999999998pt;width:10.550000000000001pt;height:8.1500000000000004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3720465</wp:posOffset>
              </wp:positionH>
              <wp:positionV relativeFrom="page">
                <wp:posOffset>10006330</wp:posOffset>
              </wp:positionV>
              <wp:extent cx="149225" cy="79375"/>
              <wp:wrapNone/>
              <wp:docPr id="822" name="Shape 82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8" type="#_x0000_t202" style="position:absolute;margin-left:292.94999999999999pt;margin-top:787.89999999999998pt;width:11.75pt;height:6.25pt;z-index:-1887434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7" behindDoc="1" locked="0" layoutInCell="1" allowOverlap="1">
              <wp:simplePos x="0" y="0"/>
              <wp:positionH relativeFrom="page">
                <wp:posOffset>6985000</wp:posOffset>
              </wp:positionH>
              <wp:positionV relativeFrom="page">
                <wp:posOffset>10487660</wp:posOffset>
              </wp:positionV>
              <wp:extent cx="45720" cy="97790"/>
              <wp:wrapNone/>
              <wp:docPr id="824" name="Shape 8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0" type="#_x0000_t202" style="position:absolute;margin-left:550.pt;margin-top:825.80000000000007pt;width:3.6000000000000001pt;height:7.7000000000000002pt;z-index:-1887434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6332220</wp:posOffset>
              </wp:positionH>
              <wp:positionV relativeFrom="page">
                <wp:posOffset>9603740</wp:posOffset>
              </wp:positionV>
              <wp:extent cx="506095" cy="106680"/>
              <wp:wrapNone/>
              <wp:docPr id="835" name="Shape 835"/>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861" type="#_x0000_t202" style="position:absolute;margin-left:498.60000000000002pt;margin-top:756.20000000000005pt;width:39.850000000000001pt;height:8.4000000000000004pt;z-index:-18874341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337" behindDoc="1" locked="0" layoutInCell="1" allowOverlap="1">
              <wp:simplePos x="0" y="0"/>
              <wp:positionH relativeFrom="page">
                <wp:posOffset>3707765</wp:posOffset>
              </wp:positionH>
              <wp:positionV relativeFrom="page">
                <wp:posOffset>10106660</wp:posOffset>
              </wp:positionV>
              <wp:extent cx="146050" cy="79375"/>
              <wp:wrapNone/>
              <wp:docPr id="837" name="Shape 83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3" type="#_x0000_t202" style="position:absolute;margin-left:291.94999999999999pt;margin-top:795.80000000000007pt;width:11.5pt;height:6.25pt;z-index:-18874341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9" behindDoc="1" locked="0" layoutInCell="1" allowOverlap="1">
              <wp:simplePos x="0" y="0"/>
              <wp:positionH relativeFrom="page">
                <wp:posOffset>6896100</wp:posOffset>
              </wp:positionH>
              <wp:positionV relativeFrom="page">
                <wp:posOffset>10588625</wp:posOffset>
              </wp:positionV>
              <wp:extent cx="42545" cy="97790"/>
              <wp:wrapNone/>
              <wp:docPr id="839" name="Shape 83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5" type="#_x0000_t202" style="position:absolute;margin-left:543.pt;margin-top:833.75pt;width:3.3500000000000001pt;height:7.7000000000000002pt;z-index:-1887434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3679825</wp:posOffset>
              </wp:positionH>
              <wp:positionV relativeFrom="page">
                <wp:posOffset>10006330</wp:posOffset>
              </wp:positionV>
              <wp:extent cx="155575" cy="79375"/>
              <wp:wrapNone/>
              <wp:docPr id="844" name="Shape 8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0" type="#_x0000_t202" style="position:absolute;margin-left:289.75pt;margin-top:787.89999999999998pt;width:12.25pt;height:6.25pt;z-index:-1887434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5" behindDoc="1" locked="0" layoutInCell="1" allowOverlap="1">
              <wp:simplePos x="0" y="0"/>
              <wp:positionH relativeFrom="page">
                <wp:posOffset>5819140</wp:posOffset>
              </wp:positionH>
              <wp:positionV relativeFrom="page">
                <wp:posOffset>10487660</wp:posOffset>
              </wp:positionV>
              <wp:extent cx="133985" cy="103505"/>
              <wp:wrapNone/>
              <wp:docPr id="846" name="Shape 8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72" type="#_x0000_t202" style="position:absolute;margin-left:458.19999999999999pt;margin-top:825.80000000000007pt;width:10.550000000000001pt;height:8.1500000000000004pt;z-index:-1887434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3706495</wp:posOffset>
              </wp:positionH>
              <wp:positionV relativeFrom="page">
                <wp:posOffset>9879965</wp:posOffset>
              </wp:positionV>
              <wp:extent cx="155575" cy="79375"/>
              <wp:wrapNone/>
              <wp:docPr id="851" name="Shape 8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7" type="#_x0000_t202" style="position:absolute;margin-left:291.85000000000002pt;margin-top:777.95000000000005pt;width:12.25pt;height:6.25pt;z-index:-18874340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1" behindDoc="1" locked="0" layoutInCell="1" allowOverlap="1">
              <wp:simplePos x="0" y="0"/>
              <wp:positionH relativeFrom="page">
                <wp:posOffset>6894195</wp:posOffset>
              </wp:positionH>
              <wp:positionV relativeFrom="page">
                <wp:posOffset>10361295</wp:posOffset>
              </wp:positionV>
              <wp:extent cx="42545" cy="97790"/>
              <wp:wrapNone/>
              <wp:docPr id="853" name="Shape 8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9" type="#_x0000_t202" style="position:absolute;margin-left:542.85000000000002pt;margin-top:815.85000000000002pt;width:3.3500000000000001pt;height:7.7000000000000002pt;z-index:-1887434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3706495</wp:posOffset>
              </wp:positionH>
              <wp:positionV relativeFrom="page">
                <wp:posOffset>9879965</wp:posOffset>
              </wp:positionV>
              <wp:extent cx="155575" cy="79375"/>
              <wp:wrapNone/>
              <wp:docPr id="858" name="Shape 8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4" type="#_x0000_t202" style="position:absolute;margin-left:291.85000000000002pt;margin-top:777.95000000000005pt;width:12.25pt;height:6.25pt;z-index:-18874339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7" behindDoc="1" locked="0" layoutInCell="1" allowOverlap="1">
              <wp:simplePos x="0" y="0"/>
              <wp:positionH relativeFrom="page">
                <wp:posOffset>6894195</wp:posOffset>
              </wp:positionH>
              <wp:positionV relativeFrom="page">
                <wp:posOffset>10361295</wp:posOffset>
              </wp:positionV>
              <wp:extent cx="42545" cy="97790"/>
              <wp:wrapNone/>
              <wp:docPr id="860" name="Shape 8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6" type="#_x0000_t202" style="position:absolute;margin-left:542.85000000000002pt;margin-top:815.85000000000002pt;width:3.3500000000000001pt;height:7.7000000000000002pt;z-index:-1887433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3720465</wp:posOffset>
              </wp:positionH>
              <wp:positionV relativeFrom="page">
                <wp:posOffset>10006330</wp:posOffset>
              </wp:positionV>
              <wp:extent cx="149225" cy="79375"/>
              <wp:wrapNone/>
              <wp:docPr id="865" name="Shape 86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1" type="#_x0000_t202" style="position:absolute;margin-left:292.94999999999999pt;margin-top:787.89999999999998pt;width:11.75pt;height:6.25pt;z-index:-18874339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3" behindDoc="1" locked="0" layoutInCell="1" allowOverlap="1">
              <wp:simplePos x="0" y="0"/>
              <wp:positionH relativeFrom="page">
                <wp:posOffset>6985000</wp:posOffset>
              </wp:positionH>
              <wp:positionV relativeFrom="page">
                <wp:posOffset>10487660</wp:posOffset>
              </wp:positionV>
              <wp:extent cx="45720" cy="97790"/>
              <wp:wrapNone/>
              <wp:docPr id="867" name="Shape 86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3" type="#_x0000_t202" style="position:absolute;margin-left:550.pt;margin-top:825.80000000000007pt;width:3.6000000000000001pt;height:7.7000000000000002pt;z-index:-1887433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7" behindDoc="1" locked="0" layoutInCell="1" allowOverlap="1">
              <wp:simplePos x="0" y="0"/>
              <wp:positionH relativeFrom="page">
                <wp:posOffset>3679825</wp:posOffset>
              </wp:positionH>
              <wp:positionV relativeFrom="page">
                <wp:posOffset>10006330</wp:posOffset>
              </wp:positionV>
              <wp:extent cx="155575" cy="79375"/>
              <wp:wrapNone/>
              <wp:docPr id="872" name="Shape 8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8" type="#_x0000_t202" style="position:absolute;margin-left:289.75pt;margin-top:787.89999999999998pt;width:12.25pt;height:6.25pt;z-index:-1887433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9" behindDoc="1" locked="0" layoutInCell="1" allowOverlap="1">
              <wp:simplePos x="0" y="0"/>
              <wp:positionH relativeFrom="page">
                <wp:posOffset>5819140</wp:posOffset>
              </wp:positionH>
              <wp:positionV relativeFrom="page">
                <wp:posOffset>10487660</wp:posOffset>
              </wp:positionV>
              <wp:extent cx="133985" cy="103505"/>
              <wp:wrapNone/>
              <wp:docPr id="874" name="Shape 8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0" type="#_x0000_t202" style="position:absolute;margin-left:458.19999999999999pt;margin-top:825.80000000000007pt;width:10.550000000000001pt;height:8.1500000000000004pt;z-index:-1887433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3" behindDoc="1" locked="0" layoutInCell="1" allowOverlap="1">
              <wp:simplePos x="0" y="0"/>
              <wp:positionH relativeFrom="page">
                <wp:posOffset>3679825</wp:posOffset>
              </wp:positionH>
              <wp:positionV relativeFrom="page">
                <wp:posOffset>10006330</wp:posOffset>
              </wp:positionV>
              <wp:extent cx="155575" cy="79375"/>
              <wp:wrapNone/>
              <wp:docPr id="879" name="Shape 8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5" type="#_x0000_t202" style="position:absolute;margin-left:289.75pt;margin-top:787.89999999999998pt;width:12.25pt;height:6.25pt;z-index:-18874338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5819140</wp:posOffset>
              </wp:positionH>
              <wp:positionV relativeFrom="page">
                <wp:posOffset>10487660</wp:posOffset>
              </wp:positionV>
              <wp:extent cx="133985" cy="103505"/>
              <wp:wrapNone/>
              <wp:docPr id="881" name="Shape 8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7" type="#_x0000_t202" style="position:absolute;margin-left:458.19999999999999pt;margin-top:825.80000000000007pt;width:10.550000000000001pt;height:8.1500000000000004pt;z-index:-1887433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3731895</wp:posOffset>
              </wp:positionH>
              <wp:positionV relativeFrom="page">
                <wp:posOffset>9955530</wp:posOffset>
              </wp:positionV>
              <wp:extent cx="97790" cy="79375"/>
              <wp:wrapNone/>
              <wp:docPr id="88" name="Shape 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3.85000000000002pt;margin-top:783.89999999999998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6892925</wp:posOffset>
              </wp:positionH>
              <wp:positionV relativeFrom="page">
                <wp:posOffset>10436860</wp:posOffset>
              </wp:positionV>
              <wp:extent cx="42545" cy="97790"/>
              <wp:wrapNone/>
              <wp:docPr id="90" name="Shape 9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6" type="#_x0000_t202" style="position:absolute;margin-left:542.75pt;margin-top:821.80000000000007pt;width:3.3500000000000001pt;height:7.7000000000000002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3701415</wp:posOffset>
              </wp:positionH>
              <wp:positionV relativeFrom="page">
                <wp:posOffset>9879965</wp:posOffset>
              </wp:positionV>
              <wp:extent cx="146050" cy="79375"/>
              <wp:wrapNone/>
              <wp:docPr id="886" name="Shape 88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2" type="#_x0000_t202" style="position:absolute;margin-left:291.44999999999999pt;margin-top:777.95000000000005pt;width:11.5pt;height:6.25pt;z-index:-18874337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1" behindDoc="1" locked="0" layoutInCell="1" allowOverlap="1">
              <wp:simplePos x="0" y="0"/>
              <wp:positionH relativeFrom="page">
                <wp:posOffset>6969125</wp:posOffset>
              </wp:positionH>
              <wp:positionV relativeFrom="page">
                <wp:posOffset>10361295</wp:posOffset>
              </wp:positionV>
              <wp:extent cx="45720" cy="97790"/>
              <wp:wrapNone/>
              <wp:docPr id="888" name="Shape 8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14" type="#_x0000_t202" style="position:absolute;margin-left:548.75pt;margin-top:815.85000000000002pt;width:3.6000000000000001pt;height:7.7000000000000002pt;z-index:-1887433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5" behindDoc="1" locked="0" layoutInCell="1" allowOverlap="1">
              <wp:simplePos x="0" y="0"/>
              <wp:positionH relativeFrom="page">
                <wp:posOffset>3672840</wp:posOffset>
              </wp:positionH>
              <wp:positionV relativeFrom="page">
                <wp:posOffset>9766935</wp:posOffset>
              </wp:positionV>
              <wp:extent cx="3148330" cy="191770"/>
              <wp:wrapNone/>
              <wp:docPr id="893" name="Shape 893"/>
              <a:graphic xmlns:a="http://schemas.openxmlformats.org/drawingml/2006/main">
                <a:graphicData uri="http://schemas.microsoft.com/office/word/2010/wordprocessingShape">
                  <wps:wsp>
                    <wps:cNvSpPr txBox="1"/>
                    <wps:spPr>
                      <a:xfrm>
                        <a:ext cx="3148330" cy="191770"/>
                      </a:xfrm>
                      <a:prstGeom prst="rect"/>
                      <a:noFill/>
                    </wps:spPr>
                    <wps:txbx>
                      <w:txbxContent>
                        <w:p>
                          <w:pPr>
                            <w:pStyle w:val="Style60"/>
                            <w:keepNext w:val="0"/>
                            <w:keepLines w:val="0"/>
                            <w:widowControl w:val="0"/>
                            <w:shd w:val="clear" w:color="auto" w:fill="auto"/>
                            <w:tabs>
                              <w:tab w:pos="4958"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919" type="#_x0000_t202" style="position:absolute;margin-left:289.19999999999999pt;margin-top:769.05000000000007pt;width:247.90000000000001pt;height:15.1pt;z-index:-188743368;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4958"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3731260</wp:posOffset>
              </wp:positionH>
              <wp:positionV relativeFrom="page">
                <wp:posOffset>10267950</wp:posOffset>
              </wp:positionV>
              <wp:extent cx="97790" cy="79375"/>
              <wp:wrapNone/>
              <wp:docPr id="898" name="Shape 8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4" type="#_x0000_t202" style="position:absolute;margin-left:293.80000000000001pt;margin-top:808.5pt;width:7.7000000000000002pt;height:6.25pt;z-index:-18874336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3679825</wp:posOffset>
              </wp:positionH>
              <wp:positionV relativeFrom="page">
                <wp:posOffset>10006330</wp:posOffset>
              </wp:positionV>
              <wp:extent cx="155575" cy="79375"/>
              <wp:wrapNone/>
              <wp:docPr id="903" name="Shape 9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9" type="#_x0000_t202" style="position:absolute;margin-left:289.75pt;margin-top:787.89999999999998pt;width:12.25pt;height:6.25pt;z-index:-18874336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5" behindDoc="1" locked="0" layoutInCell="1" allowOverlap="1">
              <wp:simplePos x="0" y="0"/>
              <wp:positionH relativeFrom="page">
                <wp:posOffset>5819140</wp:posOffset>
              </wp:positionH>
              <wp:positionV relativeFrom="page">
                <wp:posOffset>10487660</wp:posOffset>
              </wp:positionV>
              <wp:extent cx="133985" cy="103505"/>
              <wp:wrapNone/>
              <wp:docPr id="905" name="Shape 9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1" type="#_x0000_t202" style="position:absolute;margin-left:458.19999999999999pt;margin-top:825.80000000000007pt;width:10.550000000000001pt;height:8.1500000000000004pt;z-index:-1887433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3731260</wp:posOffset>
              </wp:positionH>
              <wp:positionV relativeFrom="page">
                <wp:posOffset>10267950</wp:posOffset>
              </wp:positionV>
              <wp:extent cx="97790" cy="79375"/>
              <wp:wrapNone/>
              <wp:docPr id="910" name="Shape 9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6" type="#_x0000_t202" style="position:absolute;margin-left:293.80000000000001pt;margin-top:808.5pt;width:7.7000000000000002pt;height:6.25pt;z-index:-18874335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3701415</wp:posOffset>
              </wp:positionH>
              <wp:positionV relativeFrom="page">
                <wp:posOffset>9879965</wp:posOffset>
              </wp:positionV>
              <wp:extent cx="146050" cy="79375"/>
              <wp:wrapNone/>
              <wp:docPr id="915" name="Shape 91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1" type="#_x0000_t202" style="position:absolute;margin-left:291.44999999999999pt;margin-top:777.95000000000005pt;width:11.5pt;height:6.25pt;z-index:-1887433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5" behindDoc="1" locked="0" layoutInCell="1" allowOverlap="1">
              <wp:simplePos x="0" y="0"/>
              <wp:positionH relativeFrom="page">
                <wp:posOffset>6969125</wp:posOffset>
              </wp:positionH>
              <wp:positionV relativeFrom="page">
                <wp:posOffset>10361295</wp:posOffset>
              </wp:positionV>
              <wp:extent cx="45720" cy="97790"/>
              <wp:wrapNone/>
              <wp:docPr id="917" name="Shape 9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3" type="#_x0000_t202" style="position:absolute;margin-left:548.75pt;margin-top:815.85000000000002pt;width:3.6000000000000001pt;height:7.7000000000000002pt;z-index:-1887433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3701415</wp:posOffset>
              </wp:positionH>
              <wp:positionV relativeFrom="page">
                <wp:posOffset>9879965</wp:posOffset>
              </wp:positionV>
              <wp:extent cx="146050" cy="79375"/>
              <wp:wrapNone/>
              <wp:docPr id="922" name="Shape 92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8" type="#_x0000_t202" style="position:absolute;margin-left:291.44999999999999pt;margin-top:777.95000000000005pt;width:11.5pt;height:6.25pt;z-index:-1887433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1" behindDoc="1" locked="0" layoutInCell="1" allowOverlap="1">
              <wp:simplePos x="0" y="0"/>
              <wp:positionH relativeFrom="page">
                <wp:posOffset>6969125</wp:posOffset>
              </wp:positionH>
              <wp:positionV relativeFrom="page">
                <wp:posOffset>10361295</wp:posOffset>
              </wp:positionV>
              <wp:extent cx="45720" cy="97790"/>
              <wp:wrapNone/>
              <wp:docPr id="924" name="Shape 9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0" type="#_x0000_t202" style="position:absolute;margin-left:548.75pt;margin-top:815.85000000000002pt;width:3.6000000000000001pt;height:7.7000000000000002pt;z-index:-1887433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3701415</wp:posOffset>
              </wp:positionH>
              <wp:positionV relativeFrom="page">
                <wp:posOffset>9879965</wp:posOffset>
              </wp:positionV>
              <wp:extent cx="146050" cy="79375"/>
              <wp:wrapNone/>
              <wp:docPr id="929" name="Shape 92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5" type="#_x0000_t202" style="position:absolute;margin-left:291.44999999999999pt;margin-top:777.95000000000005pt;width:11.5pt;height:6.25pt;z-index:-1887433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7" behindDoc="1" locked="0" layoutInCell="1" allowOverlap="1">
              <wp:simplePos x="0" y="0"/>
              <wp:positionH relativeFrom="page">
                <wp:posOffset>6969125</wp:posOffset>
              </wp:positionH>
              <wp:positionV relativeFrom="page">
                <wp:posOffset>10361295</wp:posOffset>
              </wp:positionV>
              <wp:extent cx="45720" cy="97790"/>
              <wp:wrapNone/>
              <wp:docPr id="931" name="Shape 93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7" type="#_x0000_t202" style="position:absolute;margin-left:548.75pt;margin-top:815.85000000000002pt;width:3.6000000000000001pt;height:7.7000000000000002pt;z-index:-1887433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1" behindDoc="1" locked="0" layoutInCell="1" allowOverlap="1">
              <wp:simplePos x="0" y="0"/>
              <wp:positionH relativeFrom="page">
                <wp:posOffset>3679825</wp:posOffset>
              </wp:positionH>
              <wp:positionV relativeFrom="page">
                <wp:posOffset>10006330</wp:posOffset>
              </wp:positionV>
              <wp:extent cx="155575" cy="79375"/>
              <wp:wrapNone/>
              <wp:docPr id="936" name="Shape 9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2" type="#_x0000_t202" style="position:absolute;margin-left:289.75pt;margin-top:787.89999999999998pt;width:12.25pt;height:6.25pt;z-index:-1887433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3" behindDoc="1" locked="0" layoutInCell="1" allowOverlap="1">
              <wp:simplePos x="0" y="0"/>
              <wp:positionH relativeFrom="page">
                <wp:posOffset>5819140</wp:posOffset>
              </wp:positionH>
              <wp:positionV relativeFrom="page">
                <wp:posOffset>10487660</wp:posOffset>
              </wp:positionV>
              <wp:extent cx="133985" cy="103505"/>
              <wp:wrapNone/>
              <wp:docPr id="938" name="Shape 9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4" type="#_x0000_t202" style="position:absolute;margin-left:458.19999999999999pt;margin-top:825.80000000000007pt;width:10.550000000000001pt;height:8.1500000000000004pt;z-index:-1887433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3731260</wp:posOffset>
              </wp:positionH>
              <wp:positionV relativeFrom="page">
                <wp:posOffset>10267950</wp:posOffset>
              </wp:positionV>
              <wp:extent cx="97790" cy="79375"/>
              <wp:wrapNone/>
              <wp:docPr id="943" name="Shape 9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9" type="#_x0000_t202" style="position:absolute;margin-left:293.80000000000001pt;margin-top:808.5pt;width:7.7000000000000002pt;height:6.25pt;z-index:-18874332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3731895</wp:posOffset>
              </wp:positionH>
              <wp:positionV relativeFrom="page">
                <wp:posOffset>9955530</wp:posOffset>
              </wp:positionV>
              <wp:extent cx="97790" cy="79375"/>
              <wp:wrapNone/>
              <wp:docPr id="95" name="Shape 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3.85000000000002pt;margin-top:783.89999999999998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6892925</wp:posOffset>
              </wp:positionH>
              <wp:positionV relativeFrom="page">
                <wp:posOffset>10436860</wp:posOffset>
              </wp:positionV>
              <wp:extent cx="42545" cy="97790"/>
              <wp:wrapNone/>
              <wp:docPr id="97" name="Shape 9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3" type="#_x0000_t202" style="position:absolute;margin-left:542.75pt;margin-top:821.80000000000007pt;width:3.3500000000000001pt;height:7.7000000000000002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3731260</wp:posOffset>
              </wp:positionH>
              <wp:positionV relativeFrom="page">
                <wp:posOffset>10267950</wp:posOffset>
              </wp:positionV>
              <wp:extent cx="97790" cy="79375"/>
              <wp:wrapNone/>
              <wp:docPr id="948" name="Shape 9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4" type="#_x0000_t202" style="position:absolute;margin-left:293.80000000000001pt;margin-top:808.5pt;width:7.7000000000000002pt;height:6.25pt;z-index:-18874332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3731260</wp:posOffset>
              </wp:positionH>
              <wp:positionV relativeFrom="page">
                <wp:posOffset>10267950</wp:posOffset>
              </wp:positionV>
              <wp:extent cx="97790" cy="79375"/>
              <wp:wrapNone/>
              <wp:docPr id="102" name="Shape 1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293.80000000000001pt;margin-top:808.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3731260</wp:posOffset>
              </wp:positionH>
              <wp:positionV relativeFrom="page">
                <wp:posOffset>10267950</wp:posOffset>
              </wp:positionV>
              <wp:extent cx="97790" cy="79375"/>
              <wp:wrapNone/>
              <wp:docPr id="107" name="Shape 1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293.80000000000001pt;margin-top:808.5pt;width:7.7000000000000002pt;height:6.25pt;z-index:-18874397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3702685</wp:posOffset>
              </wp:positionH>
              <wp:positionV relativeFrom="page">
                <wp:posOffset>9978390</wp:posOffset>
              </wp:positionV>
              <wp:extent cx="97790" cy="79375"/>
              <wp:wrapNone/>
              <wp:docPr id="113" name="Shape 1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291.55000000000001pt;margin-top:785.70000000000005pt;width:7.7000000000000002pt;height:6.25pt;z-index:-18874397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5815330</wp:posOffset>
              </wp:positionH>
              <wp:positionV relativeFrom="page">
                <wp:posOffset>10460355</wp:posOffset>
              </wp:positionV>
              <wp:extent cx="133985" cy="103505"/>
              <wp:wrapNone/>
              <wp:docPr id="115" name="Shape 1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41" type="#_x0000_t202" style="position:absolute;margin-left:457.90000000000003pt;margin-top:823.64999999999998pt;width:10.550000000000001pt;height:8.1500000000000004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3736340</wp:posOffset>
              </wp:positionH>
              <wp:positionV relativeFrom="page">
                <wp:posOffset>9955530</wp:posOffset>
              </wp:positionV>
              <wp:extent cx="97790" cy="79375"/>
              <wp:wrapNone/>
              <wp:docPr id="120" name="Shape 1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294.19999999999999pt;margin-top:783.89999999999998pt;width:7.7000000000000002pt;height:6.25pt;z-index:-18874396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6976745</wp:posOffset>
              </wp:positionH>
              <wp:positionV relativeFrom="page">
                <wp:posOffset>10436860</wp:posOffset>
              </wp:positionV>
              <wp:extent cx="45720" cy="97790"/>
              <wp:wrapNone/>
              <wp:docPr id="122" name="Shape 1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8" type="#_x0000_t202" style="position:absolute;margin-left:549.35000000000002pt;margin-top:821.80000000000007pt;width:3.6000000000000001pt;height:7.7000000000000002pt;z-index:-1887439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3731895</wp:posOffset>
              </wp:positionH>
              <wp:positionV relativeFrom="page">
                <wp:posOffset>9955530</wp:posOffset>
              </wp:positionV>
              <wp:extent cx="97790" cy="79375"/>
              <wp:wrapNone/>
              <wp:docPr id="127" name="Shape 1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293.85000000000002pt;margin-top:783.89999999999998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6892925</wp:posOffset>
              </wp:positionH>
              <wp:positionV relativeFrom="page">
                <wp:posOffset>10436860</wp:posOffset>
              </wp:positionV>
              <wp:extent cx="42545" cy="97790"/>
              <wp:wrapNone/>
              <wp:docPr id="129" name="Shape 1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5" type="#_x0000_t202" style="position:absolute;margin-left:542.75pt;margin-top:821.80000000000007pt;width:3.3500000000000001pt;height:7.7000000000000002pt;z-index:-1887439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3731260</wp:posOffset>
              </wp:positionH>
              <wp:positionV relativeFrom="page">
                <wp:posOffset>10267950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80000000000001pt;margin-top:808.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3731895</wp:posOffset>
              </wp:positionH>
              <wp:positionV relativeFrom="page">
                <wp:posOffset>9955530</wp:posOffset>
              </wp:positionV>
              <wp:extent cx="97790" cy="79375"/>
              <wp:wrapNone/>
              <wp:docPr id="134" name="Shape 1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3.85000000000002pt;margin-top:783.89999999999998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6892925</wp:posOffset>
              </wp:positionH>
              <wp:positionV relativeFrom="page">
                <wp:posOffset>10436860</wp:posOffset>
              </wp:positionV>
              <wp:extent cx="42545" cy="97790"/>
              <wp:wrapNone/>
              <wp:docPr id="136" name="Shape 13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2" type="#_x0000_t202" style="position:absolute;margin-left:542.75pt;margin-top:821.80000000000007pt;width:3.3500000000000001pt;height:7.7000000000000002pt;z-index:-1887439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3702685</wp:posOffset>
              </wp:positionH>
              <wp:positionV relativeFrom="page">
                <wp:posOffset>9978390</wp:posOffset>
              </wp:positionV>
              <wp:extent cx="97790" cy="79375"/>
              <wp:wrapNone/>
              <wp:docPr id="141" name="Shape 1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91.55000000000001pt;margin-top:785.70000000000005pt;width:7.7000000000000002pt;height:6.25pt;z-index:-1887439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5815330</wp:posOffset>
              </wp:positionH>
              <wp:positionV relativeFrom="page">
                <wp:posOffset>10460355</wp:posOffset>
              </wp:positionV>
              <wp:extent cx="133985" cy="103505"/>
              <wp:wrapNone/>
              <wp:docPr id="143" name="Shape 1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9" type="#_x0000_t202" style="position:absolute;margin-left:457.90000000000003pt;margin-top:823.64999999999998pt;width:10.550000000000001pt;height:8.1500000000000004pt;z-index:-1887439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3702685</wp:posOffset>
              </wp:positionH>
              <wp:positionV relativeFrom="page">
                <wp:posOffset>9978390</wp:posOffset>
              </wp:positionV>
              <wp:extent cx="97790" cy="79375"/>
              <wp:wrapNone/>
              <wp:docPr id="148" name="Shape 1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1.55000000000001pt;margin-top:785.70000000000005pt;width:7.7000000000000002pt;height:6.25pt;z-index:-1887439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5815330</wp:posOffset>
              </wp:positionH>
              <wp:positionV relativeFrom="page">
                <wp:posOffset>10460355</wp:posOffset>
              </wp:positionV>
              <wp:extent cx="133985" cy="103505"/>
              <wp:wrapNone/>
              <wp:docPr id="150" name="Shape 15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6" type="#_x0000_t202" style="position:absolute;margin-left:457.90000000000003pt;margin-top:823.64999999999998pt;width:10.550000000000001pt;height:8.1500000000000004pt;z-index:-1887439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3736340</wp:posOffset>
              </wp:positionH>
              <wp:positionV relativeFrom="page">
                <wp:posOffset>9955530</wp:posOffset>
              </wp:positionV>
              <wp:extent cx="97790" cy="79375"/>
              <wp:wrapNone/>
              <wp:docPr id="155" name="Shape 1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294.19999999999999pt;margin-top:783.89999999999998pt;width:7.7000000000000002pt;height:6.25pt;z-index:-1887439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6976745</wp:posOffset>
              </wp:positionH>
              <wp:positionV relativeFrom="page">
                <wp:posOffset>10436860</wp:posOffset>
              </wp:positionV>
              <wp:extent cx="45720" cy="97790"/>
              <wp:wrapNone/>
              <wp:docPr id="157" name="Shape 15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3" type="#_x0000_t202" style="position:absolute;margin-left:549.35000000000002pt;margin-top:821.80000000000007pt;width:3.6000000000000001pt;height:7.7000000000000002pt;z-index:-1887439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3731895</wp:posOffset>
              </wp:positionH>
              <wp:positionV relativeFrom="page">
                <wp:posOffset>9955530</wp:posOffset>
              </wp:positionV>
              <wp:extent cx="97790" cy="79375"/>
              <wp:wrapNone/>
              <wp:docPr id="162" name="Shape 1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293.85000000000002pt;margin-top:783.89999999999998pt;width:7.7000000000000002pt;height:6.25pt;z-index:-1887439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6892925</wp:posOffset>
              </wp:positionH>
              <wp:positionV relativeFrom="page">
                <wp:posOffset>10436860</wp:posOffset>
              </wp:positionV>
              <wp:extent cx="42545" cy="97790"/>
              <wp:wrapNone/>
              <wp:docPr id="164" name="Shape 16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0" type="#_x0000_t202" style="position:absolute;margin-left:542.75pt;margin-top:821.80000000000007pt;width:3.3500000000000001pt;height:7.7000000000000002pt;z-index:-1887439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3731895</wp:posOffset>
              </wp:positionH>
              <wp:positionV relativeFrom="page">
                <wp:posOffset>9955530</wp:posOffset>
              </wp:positionV>
              <wp:extent cx="97790" cy="79375"/>
              <wp:wrapNone/>
              <wp:docPr id="169" name="Shape 1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293.85000000000002pt;margin-top:783.89999999999998pt;width:7.7000000000000002pt;height:6.25pt;z-index:-18874392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6892925</wp:posOffset>
              </wp:positionH>
              <wp:positionV relativeFrom="page">
                <wp:posOffset>10436860</wp:posOffset>
              </wp:positionV>
              <wp:extent cx="42545" cy="97790"/>
              <wp:wrapNone/>
              <wp:docPr id="171" name="Shape 17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7" type="#_x0000_t202" style="position:absolute;margin-left:542.75pt;margin-top:821.80000000000007pt;width:3.3500000000000001pt;height:7.7000000000000002pt;z-index:-1887439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3736340</wp:posOffset>
              </wp:positionH>
              <wp:positionV relativeFrom="page">
                <wp:posOffset>9955530</wp:posOffset>
              </wp:positionV>
              <wp:extent cx="97790" cy="79375"/>
              <wp:wrapNone/>
              <wp:docPr id="176" name="Shape 1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294.19999999999999pt;margin-top:783.89999999999998pt;width:7.7000000000000002pt;height:6.25pt;z-index:-1887439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6976745</wp:posOffset>
              </wp:positionH>
              <wp:positionV relativeFrom="page">
                <wp:posOffset>10436860</wp:posOffset>
              </wp:positionV>
              <wp:extent cx="45720" cy="97790"/>
              <wp:wrapNone/>
              <wp:docPr id="178" name="Shape 1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4" type="#_x0000_t202" style="position:absolute;margin-left:549.35000000000002pt;margin-top:821.80000000000007pt;width:3.6000000000000001pt;height:7.7000000000000002pt;z-index:-1887439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3731260</wp:posOffset>
              </wp:positionH>
              <wp:positionV relativeFrom="page">
                <wp:posOffset>10267950</wp:posOffset>
              </wp:positionV>
              <wp:extent cx="97790" cy="79375"/>
              <wp:wrapNone/>
              <wp:docPr id="183" name="Shape 1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293.80000000000001pt;margin-top:808.5pt;width:7.7000000000000002pt;height:6.25pt;z-index:-1887439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3731260</wp:posOffset>
              </wp:positionH>
              <wp:positionV relativeFrom="page">
                <wp:posOffset>10267950</wp:posOffset>
              </wp:positionV>
              <wp:extent cx="97790" cy="79375"/>
              <wp:wrapNone/>
              <wp:docPr id="188" name="Shape 1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293.80000000000001pt;margin-top:808.5pt;width:7.7000000000000002pt;height:6.25pt;z-index:-18874391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3731895</wp:posOffset>
              </wp:positionH>
              <wp:positionV relativeFrom="page">
                <wp:posOffset>9955530</wp:posOffset>
              </wp:positionV>
              <wp:extent cx="97790" cy="79375"/>
              <wp:wrapNone/>
              <wp:docPr id="194" name="Shape 1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293.85000000000002pt;margin-top:783.89999999999998pt;width:7.7000000000000002pt;height:6.25pt;z-index:-18874390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6892925</wp:posOffset>
              </wp:positionH>
              <wp:positionV relativeFrom="page">
                <wp:posOffset>10436860</wp:posOffset>
              </wp:positionV>
              <wp:extent cx="42545" cy="97790"/>
              <wp:wrapNone/>
              <wp:docPr id="196" name="Shape 1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2" type="#_x0000_t202" style="position:absolute;margin-left:542.75pt;margin-top:821.80000000000007pt;width:3.3500000000000001pt;height:7.7000000000000002pt;z-index:-1887439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3702685</wp:posOffset>
              </wp:positionH>
              <wp:positionV relativeFrom="page">
                <wp:posOffset>9978390</wp:posOffset>
              </wp:positionV>
              <wp:extent cx="97790" cy="79375"/>
              <wp:wrapNone/>
              <wp:docPr id="18" name="Shape 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1.55000000000001pt;margin-top:785.7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5815330</wp:posOffset>
              </wp:positionH>
              <wp:positionV relativeFrom="page">
                <wp:posOffset>10460355</wp:posOffset>
              </wp:positionV>
              <wp:extent cx="133985" cy="103505"/>
              <wp:wrapNone/>
              <wp:docPr id="20" name="Shape 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6" type="#_x0000_t202" style="position:absolute;margin-left:457.90000000000003pt;margin-top:823.64999999999998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3731895</wp:posOffset>
              </wp:positionH>
              <wp:positionV relativeFrom="page">
                <wp:posOffset>9955530</wp:posOffset>
              </wp:positionV>
              <wp:extent cx="97790" cy="79375"/>
              <wp:wrapNone/>
              <wp:docPr id="201" name="Shape 2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293.85000000000002pt;margin-top:783.89999999999998pt;width:7.7000000000000002pt;height:6.25pt;z-index:-18874390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6892925</wp:posOffset>
              </wp:positionH>
              <wp:positionV relativeFrom="page">
                <wp:posOffset>10436860</wp:posOffset>
              </wp:positionV>
              <wp:extent cx="42545" cy="97790"/>
              <wp:wrapNone/>
              <wp:docPr id="203" name="Shape 2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9" type="#_x0000_t202" style="position:absolute;margin-left:542.75pt;margin-top:821.80000000000007pt;width:3.3500000000000001pt;height:7.7000000000000002pt;z-index:-1887438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3736340</wp:posOffset>
              </wp:positionH>
              <wp:positionV relativeFrom="page">
                <wp:posOffset>9955530</wp:posOffset>
              </wp:positionV>
              <wp:extent cx="97790" cy="79375"/>
              <wp:wrapNone/>
              <wp:docPr id="208" name="Shape 2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4.19999999999999pt;margin-top:783.89999999999998pt;width:7.7000000000000002pt;height:6.25pt;z-index:-18874389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6976745</wp:posOffset>
              </wp:positionH>
              <wp:positionV relativeFrom="page">
                <wp:posOffset>10436860</wp:posOffset>
              </wp:positionV>
              <wp:extent cx="45720" cy="97790"/>
              <wp:wrapNone/>
              <wp:docPr id="210" name="Shape 21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6" type="#_x0000_t202" style="position:absolute;margin-left:549.35000000000002pt;margin-top:821.80000000000007pt;width:3.6000000000000001pt;height:7.7000000000000002pt;z-index:-1887438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3736340</wp:posOffset>
              </wp:positionH>
              <wp:positionV relativeFrom="page">
                <wp:posOffset>9955530</wp:posOffset>
              </wp:positionV>
              <wp:extent cx="97790" cy="79375"/>
              <wp:wrapNone/>
              <wp:docPr id="215" name="Shape 2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1" type="#_x0000_t202" style="position:absolute;margin-left:294.19999999999999pt;margin-top:783.89999999999998pt;width:7.7000000000000002pt;height:6.25pt;z-index:-18874388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6976745</wp:posOffset>
              </wp:positionH>
              <wp:positionV relativeFrom="page">
                <wp:posOffset>10436860</wp:posOffset>
              </wp:positionV>
              <wp:extent cx="45720" cy="97790"/>
              <wp:wrapNone/>
              <wp:docPr id="217" name="Shape 21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3" type="#_x0000_t202" style="position:absolute;margin-left:549.35000000000002pt;margin-top:821.80000000000007pt;width:3.6000000000000001pt;height:7.7000000000000002pt;z-index:-1887438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3702685</wp:posOffset>
              </wp:positionH>
              <wp:positionV relativeFrom="page">
                <wp:posOffset>9978390</wp:posOffset>
              </wp:positionV>
              <wp:extent cx="97790" cy="79375"/>
              <wp:wrapNone/>
              <wp:docPr id="222" name="Shape 2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8" type="#_x0000_t202" style="position:absolute;margin-left:291.55000000000001pt;margin-top:785.70000000000005pt;width:7.7000000000000002pt;height:6.25pt;z-index:-18874388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5815330</wp:posOffset>
              </wp:positionH>
              <wp:positionV relativeFrom="page">
                <wp:posOffset>10460355</wp:posOffset>
              </wp:positionV>
              <wp:extent cx="133985" cy="103505"/>
              <wp:wrapNone/>
              <wp:docPr id="224" name="Shape 2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0" type="#_x0000_t202" style="position:absolute;margin-left:457.90000000000003pt;margin-top:823.64999999999998pt;width:10.550000000000001pt;height:8.1500000000000004pt;z-index:-1887438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3702685</wp:posOffset>
              </wp:positionH>
              <wp:positionV relativeFrom="page">
                <wp:posOffset>9978390</wp:posOffset>
              </wp:positionV>
              <wp:extent cx="97790" cy="79375"/>
              <wp:wrapNone/>
              <wp:docPr id="230" name="Shape 2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6" type="#_x0000_t202" style="position:absolute;margin-left:291.55000000000001pt;margin-top:785.70000000000005pt;width:7.7000000000000002pt;height:6.25pt;z-index:-1887438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5815330</wp:posOffset>
              </wp:positionH>
              <wp:positionV relativeFrom="page">
                <wp:posOffset>10460355</wp:posOffset>
              </wp:positionV>
              <wp:extent cx="133985" cy="103505"/>
              <wp:wrapNone/>
              <wp:docPr id="232" name="Shape 2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8" type="#_x0000_t202" style="position:absolute;margin-left:457.90000000000003pt;margin-top:823.64999999999998pt;width:10.550000000000001pt;height:8.1500000000000004pt;z-index:-1887438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3702685</wp:posOffset>
              </wp:positionH>
              <wp:positionV relativeFrom="page">
                <wp:posOffset>9978390</wp:posOffset>
              </wp:positionV>
              <wp:extent cx="97790" cy="79375"/>
              <wp:wrapNone/>
              <wp:docPr id="237" name="Shape 2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291.55000000000001pt;margin-top:785.70000000000005pt;width:7.7000000000000002pt;height:6.25pt;z-index:-18874387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5815330</wp:posOffset>
              </wp:positionH>
              <wp:positionV relativeFrom="page">
                <wp:posOffset>10460355</wp:posOffset>
              </wp:positionV>
              <wp:extent cx="133985" cy="103505"/>
              <wp:wrapNone/>
              <wp:docPr id="239" name="Shape 2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5" type="#_x0000_t202" style="position:absolute;margin-left:457.90000000000003pt;margin-top:823.64999999999998pt;width:10.550000000000001pt;height:8.1500000000000004pt;z-index:-1887438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3731260</wp:posOffset>
              </wp:positionH>
              <wp:positionV relativeFrom="page">
                <wp:posOffset>10267950</wp:posOffset>
              </wp:positionV>
              <wp:extent cx="97790" cy="79375"/>
              <wp:wrapNone/>
              <wp:docPr id="244" name="Shape 2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293.80000000000001pt;margin-top:808.5pt;width:7.7000000000000002pt;height:6.25pt;z-index:-18874386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3690620</wp:posOffset>
              </wp:positionH>
              <wp:positionV relativeFrom="page">
                <wp:posOffset>9842500</wp:posOffset>
              </wp:positionV>
              <wp:extent cx="3145790" cy="191770"/>
              <wp:wrapNone/>
              <wp:docPr id="249" name="Shape 249"/>
              <a:graphic xmlns:a="http://schemas.openxmlformats.org/drawingml/2006/main">
                <a:graphicData uri="http://schemas.microsoft.com/office/word/2010/wordprocessingShape">
                  <wps:wsp>
                    <wps:cNvSpPr txBox="1"/>
                    <wps:spPr>
                      <a:xfrm>
                        <a:ext cx="3145790" cy="191770"/>
                      </a:xfrm>
                      <a:prstGeom prst="rect"/>
                      <a:noFill/>
                    </wps:spPr>
                    <wps:txbx>
                      <w:txbxContent>
                        <w:p>
                          <w:pPr>
                            <w:pStyle w:val="Style60"/>
                            <w:keepNext w:val="0"/>
                            <w:keepLines w:val="0"/>
                            <w:widowControl w:val="0"/>
                            <w:shd w:val="clear" w:color="auto" w:fill="auto"/>
                            <w:tabs>
                              <w:tab w:pos="49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275" type="#_x0000_t202" style="position:absolute;margin-left:290.60000000000002pt;margin-top:775.pt;width:247.70000000000002pt;height:15.1pt;z-index:-188743861;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49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3690620</wp:posOffset>
              </wp:positionH>
              <wp:positionV relativeFrom="page">
                <wp:posOffset>9842500</wp:posOffset>
              </wp:positionV>
              <wp:extent cx="3145790" cy="191770"/>
              <wp:wrapNone/>
              <wp:docPr id="254" name="Shape 254"/>
              <a:graphic xmlns:a="http://schemas.openxmlformats.org/drawingml/2006/main">
                <a:graphicData uri="http://schemas.microsoft.com/office/word/2010/wordprocessingShape">
                  <wps:wsp>
                    <wps:cNvSpPr txBox="1"/>
                    <wps:spPr>
                      <a:xfrm>
                        <a:ext cx="3145790" cy="191770"/>
                      </a:xfrm>
                      <a:prstGeom prst="rect"/>
                      <a:noFill/>
                    </wps:spPr>
                    <wps:txbx>
                      <w:txbxContent>
                        <w:p>
                          <w:pPr>
                            <w:pStyle w:val="Style60"/>
                            <w:keepNext w:val="0"/>
                            <w:keepLines w:val="0"/>
                            <w:widowControl w:val="0"/>
                            <w:shd w:val="clear" w:color="auto" w:fill="auto"/>
                            <w:tabs>
                              <w:tab w:pos="49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280" type="#_x0000_t202" style="position:absolute;margin-left:290.60000000000002pt;margin-top:775.pt;width:247.70000000000002pt;height:15.1pt;z-index:-188743857;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49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3677920</wp:posOffset>
              </wp:positionH>
              <wp:positionV relativeFrom="page">
                <wp:posOffset>9830435</wp:posOffset>
              </wp:positionV>
              <wp:extent cx="3209290" cy="204470"/>
              <wp:wrapNone/>
              <wp:docPr id="259" name="Shape 259"/>
              <a:graphic xmlns:a="http://schemas.openxmlformats.org/drawingml/2006/main">
                <a:graphicData uri="http://schemas.microsoft.com/office/word/2010/wordprocessingShape">
                  <wps:wsp>
                    <wps:cNvSpPr txBox="1"/>
                    <wps:spPr>
                      <a:xfrm>
                        <a:ext cx="3209290" cy="204470"/>
                      </a:xfrm>
                      <a:prstGeom prst="rect"/>
                      <a:noFill/>
                    </wps:spPr>
                    <wps:txbx>
                      <w:txbxContent>
                        <w:p>
                          <w:pPr>
                            <w:pStyle w:val="Style60"/>
                            <w:keepNext w:val="0"/>
                            <w:keepLines w:val="0"/>
                            <w:widowControl w:val="0"/>
                            <w:shd w:val="clear" w:color="auto" w:fill="auto"/>
                            <w:tabs>
                              <w:tab w:pos="50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285" type="#_x0000_t202" style="position:absolute;margin-left:289.60000000000002pt;margin-top:774.05000000000007pt;width:252.70000000000002pt;height:16.100000000000001pt;z-index:-188743853;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50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3731260</wp:posOffset>
              </wp:positionH>
              <wp:positionV relativeFrom="page">
                <wp:posOffset>10267950</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3.80000000000001pt;margin-top:808.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3743960</wp:posOffset>
              </wp:positionH>
              <wp:positionV relativeFrom="page">
                <wp:posOffset>9955530</wp:posOffset>
              </wp:positionV>
              <wp:extent cx="100330" cy="79375"/>
              <wp:wrapNone/>
              <wp:docPr id="264" name="Shape 26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294.80000000000001pt;margin-top:783.89999999999998pt;width:7.9000000000000004pt;height:6.25pt;z-index:-1887438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6916420</wp:posOffset>
              </wp:positionH>
              <wp:positionV relativeFrom="page">
                <wp:posOffset>10436860</wp:posOffset>
              </wp:positionV>
              <wp:extent cx="42545" cy="97790"/>
              <wp:wrapNone/>
              <wp:docPr id="266" name="Shape 26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2" type="#_x0000_t202" style="position:absolute;margin-left:544.60000000000002pt;margin-top:821.80000000000007pt;width:3.3500000000000001pt;height:7.7000000000000002pt;z-index:-1887438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3743960</wp:posOffset>
              </wp:positionH>
              <wp:positionV relativeFrom="page">
                <wp:posOffset>9955530</wp:posOffset>
              </wp:positionV>
              <wp:extent cx="100330" cy="79375"/>
              <wp:wrapNone/>
              <wp:docPr id="271" name="Shape 27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294.80000000000001pt;margin-top:783.89999999999998pt;width:7.9000000000000004pt;height:6.25pt;z-index:-1887438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6916420</wp:posOffset>
              </wp:positionH>
              <wp:positionV relativeFrom="page">
                <wp:posOffset>10436860</wp:posOffset>
              </wp:positionV>
              <wp:extent cx="42545" cy="97790"/>
              <wp:wrapNone/>
              <wp:docPr id="273" name="Shape 27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9" type="#_x0000_t202" style="position:absolute;margin-left:544.60000000000002pt;margin-top:821.80000000000007pt;width:3.3500000000000001pt;height:7.7000000000000002pt;z-index:-1887438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3702685</wp:posOffset>
              </wp:positionH>
              <wp:positionV relativeFrom="page">
                <wp:posOffset>9978390</wp:posOffset>
              </wp:positionV>
              <wp:extent cx="97790" cy="79375"/>
              <wp:wrapNone/>
              <wp:docPr id="278" name="Shape 2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291.55000000000001pt;margin-top:785.70000000000005pt;width:7.7000000000000002pt;height:6.25pt;z-index:-1887438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5815330</wp:posOffset>
              </wp:positionH>
              <wp:positionV relativeFrom="page">
                <wp:posOffset>10460355</wp:posOffset>
              </wp:positionV>
              <wp:extent cx="133985" cy="103505"/>
              <wp:wrapNone/>
              <wp:docPr id="280" name="Shape 2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6" type="#_x0000_t202" style="position:absolute;margin-left:457.90000000000003pt;margin-top:823.64999999999998pt;width:10.550000000000001pt;height:8.1500000000000004pt;z-index:-1887438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3731260</wp:posOffset>
              </wp:positionH>
              <wp:positionV relativeFrom="page">
                <wp:posOffset>10267950</wp:posOffset>
              </wp:positionV>
              <wp:extent cx="97790" cy="79375"/>
              <wp:wrapNone/>
              <wp:docPr id="285" name="Shape 2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293.80000000000001pt;margin-top:808.5pt;width:7.7000000000000002pt;height:6.25pt;z-index:-1887438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3702685</wp:posOffset>
              </wp:positionH>
              <wp:positionV relativeFrom="page">
                <wp:posOffset>9978390</wp:posOffset>
              </wp:positionV>
              <wp:extent cx="97790" cy="79375"/>
              <wp:wrapNone/>
              <wp:docPr id="290" name="Shape 2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291.55000000000001pt;margin-top:785.70000000000005pt;width:7.7000000000000002pt;height:6.25pt;z-index:-18874382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5815330</wp:posOffset>
              </wp:positionH>
              <wp:positionV relativeFrom="page">
                <wp:posOffset>10460355</wp:posOffset>
              </wp:positionV>
              <wp:extent cx="133985" cy="103505"/>
              <wp:wrapNone/>
              <wp:docPr id="292" name="Shape 2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18" type="#_x0000_t202" style="position:absolute;margin-left:457.90000000000003pt;margin-top:823.64999999999998pt;width:10.550000000000001pt;height:8.1500000000000004pt;z-index:-1887438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3719195</wp:posOffset>
              </wp:positionH>
              <wp:positionV relativeFrom="page">
                <wp:posOffset>9955530</wp:posOffset>
              </wp:positionV>
              <wp:extent cx="109855" cy="79375"/>
              <wp:wrapNone/>
              <wp:docPr id="297" name="Shape 29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3" type="#_x0000_t202" style="position:absolute;margin-left:292.85000000000002pt;margin-top:783.89999999999998pt;width:8.6500000000000004pt;height:6.25pt;z-index:-1887438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6971665</wp:posOffset>
              </wp:positionH>
              <wp:positionV relativeFrom="page">
                <wp:posOffset>10436860</wp:posOffset>
              </wp:positionV>
              <wp:extent cx="45720" cy="97790"/>
              <wp:wrapNone/>
              <wp:docPr id="299" name="Shape 29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5" type="#_x0000_t202" style="position:absolute;margin-left:548.95000000000005pt;margin-top:821.80000000000007pt;width:3.6000000000000001pt;height:7.7000000000000002pt;z-index:-1887438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3719195</wp:posOffset>
              </wp:positionH>
              <wp:positionV relativeFrom="page">
                <wp:posOffset>9955530</wp:posOffset>
              </wp:positionV>
              <wp:extent cx="109855" cy="79375"/>
              <wp:wrapNone/>
              <wp:docPr id="305" name="Shape 3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292.85000000000002pt;margin-top:783.89999999999998pt;width:8.6500000000000004pt;height:6.25pt;z-index:-1887438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6971665</wp:posOffset>
              </wp:positionH>
              <wp:positionV relativeFrom="page">
                <wp:posOffset>10436860</wp:posOffset>
              </wp:positionV>
              <wp:extent cx="45720" cy="97790"/>
              <wp:wrapNone/>
              <wp:docPr id="307" name="Shape 30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3" type="#_x0000_t202" style="position:absolute;margin-left:548.95000000000005pt;margin-top:821.80000000000007pt;width:3.6000000000000001pt;height:7.7000000000000002pt;z-index:-1887438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3719195</wp:posOffset>
              </wp:positionH>
              <wp:positionV relativeFrom="page">
                <wp:posOffset>9955530</wp:posOffset>
              </wp:positionV>
              <wp:extent cx="109855" cy="79375"/>
              <wp:wrapNone/>
              <wp:docPr id="312" name="Shape 31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292.85000000000002pt;margin-top:783.89999999999998pt;width:8.6500000000000004pt;height:6.25pt;z-index:-1887438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6971665</wp:posOffset>
              </wp:positionH>
              <wp:positionV relativeFrom="page">
                <wp:posOffset>10436860</wp:posOffset>
              </wp:positionV>
              <wp:extent cx="45720" cy="97790"/>
              <wp:wrapNone/>
              <wp:docPr id="314" name="Shape 31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0" type="#_x0000_t202" style="position:absolute;margin-left:548.95000000000005pt;margin-top:821.80000000000007pt;width:3.6000000000000001pt;height:7.7000000000000002pt;z-index:-1887438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3743960</wp:posOffset>
              </wp:positionH>
              <wp:positionV relativeFrom="page">
                <wp:posOffset>9955530</wp:posOffset>
              </wp:positionV>
              <wp:extent cx="100330" cy="79375"/>
              <wp:wrapNone/>
              <wp:docPr id="319" name="Shape 3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294.80000000000001pt;margin-top:783.89999999999998pt;width:7.9000000000000004pt;height:6.25pt;z-index:-1887438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6916420</wp:posOffset>
              </wp:positionH>
              <wp:positionV relativeFrom="page">
                <wp:posOffset>10436860</wp:posOffset>
              </wp:positionV>
              <wp:extent cx="42545" cy="97790"/>
              <wp:wrapNone/>
              <wp:docPr id="321" name="Shape 32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7" type="#_x0000_t202" style="position:absolute;margin-left:544.60000000000002pt;margin-top:821.80000000000007pt;width:3.3500000000000001pt;height:7.7000000000000002pt;z-index:-1887438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3702685</wp:posOffset>
              </wp:positionH>
              <wp:positionV relativeFrom="page">
                <wp:posOffset>9978390</wp:posOffset>
              </wp:positionV>
              <wp:extent cx="97790" cy="79375"/>
              <wp:wrapNone/>
              <wp:docPr id="326" name="Shape 3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2" type="#_x0000_t202" style="position:absolute;margin-left:291.55000000000001pt;margin-top:785.70000000000005pt;width:7.7000000000000002pt;height:6.25pt;z-index:-1887437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5815330</wp:posOffset>
              </wp:positionH>
              <wp:positionV relativeFrom="page">
                <wp:posOffset>10460355</wp:posOffset>
              </wp:positionV>
              <wp:extent cx="133985" cy="103505"/>
              <wp:wrapNone/>
              <wp:docPr id="328" name="Shape 3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4" type="#_x0000_t202" style="position:absolute;margin-left:457.90000000000003pt;margin-top:823.64999999999998pt;width:10.550000000000001pt;height:8.1500000000000004pt;z-index:-1887437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3702685</wp:posOffset>
              </wp:positionH>
              <wp:positionV relativeFrom="page">
                <wp:posOffset>9978390</wp:posOffset>
              </wp:positionV>
              <wp:extent cx="97790" cy="79375"/>
              <wp:wrapNone/>
              <wp:docPr id="32" name="Shape 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91.55000000000001pt;margin-top:785.7000000000000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5815330</wp:posOffset>
              </wp:positionH>
              <wp:positionV relativeFrom="page">
                <wp:posOffset>10460355</wp:posOffset>
              </wp:positionV>
              <wp:extent cx="133985" cy="103505"/>
              <wp:wrapNone/>
              <wp:docPr id="34" name="Shape 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0" type="#_x0000_t202" style="position:absolute;margin-left:457.90000000000003pt;margin-top:823.64999999999998pt;width:10.550000000000001pt;height:8.1500000000000004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3702685</wp:posOffset>
              </wp:positionH>
              <wp:positionV relativeFrom="page">
                <wp:posOffset>9978390</wp:posOffset>
              </wp:positionV>
              <wp:extent cx="97790" cy="79375"/>
              <wp:wrapNone/>
              <wp:docPr id="333" name="Shape 3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291.55000000000001pt;margin-top:785.70000000000005pt;width:7.7000000000000002pt;height:6.25pt;z-index:-18874379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5815330</wp:posOffset>
              </wp:positionH>
              <wp:positionV relativeFrom="page">
                <wp:posOffset>10460355</wp:posOffset>
              </wp:positionV>
              <wp:extent cx="133985" cy="103505"/>
              <wp:wrapNone/>
              <wp:docPr id="335" name="Shape 3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1" type="#_x0000_t202" style="position:absolute;margin-left:457.90000000000003pt;margin-top:823.64999999999998pt;width:10.550000000000001pt;height:8.1500000000000004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3731260</wp:posOffset>
              </wp:positionH>
              <wp:positionV relativeFrom="page">
                <wp:posOffset>10267950</wp:posOffset>
              </wp:positionV>
              <wp:extent cx="97790" cy="79375"/>
              <wp:wrapNone/>
              <wp:docPr id="340" name="Shape 3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293.80000000000001pt;margin-top:808.5pt;width:7.7000000000000002pt;height:6.25pt;z-index:-18874378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3731260</wp:posOffset>
              </wp:positionH>
              <wp:positionV relativeFrom="page">
                <wp:posOffset>10267950</wp:posOffset>
              </wp:positionV>
              <wp:extent cx="97790" cy="79375"/>
              <wp:wrapNone/>
              <wp:docPr id="345" name="Shape 3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293.80000000000001pt;margin-top:808.5pt;width:7.7000000000000002pt;height:6.25pt;z-index:-18874378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3702685</wp:posOffset>
              </wp:positionH>
              <wp:positionV relativeFrom="page">
                <wp:posOffset>9978390</wp:posOffset>
              </wp:positionV>
              <wp:extent cx="97790" cy="79375"/>
              <wp:wrapNone/>
              <wp:docPr id="351" name="Shape 3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7" type="#_x0000_t202" style="position:absolute;margin-left:291.55000000000001pt;margin-top:785.70000000000005pt;width:7.7000000000000002pt;height:6.25pt;z-index:-1887437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5815330</wp:posOffset>
              </wp:positionH>
              <wp:positionV relativeFrom="page">
                <wp:posOffset>10460355</wp:posOffset>
              </wp:positionV>
              <wp:extent cx="133985" cy="103505"/>
              <wp:wrapNone/>
              <wp:docPr id="353" name="Shape 3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9" type="#_x0000_t202" style="position:absolute;margin-left:457.90000000000003pt;margin-top:823.64999999999998pt;width:10.550000000000001pt;height:8.1500000000000004pt;z-index:-1887437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3702685</wp:posOffset>
              </wp:positionH>
              <wp:positionV relativeFrom="page">
                <wp:posOffset>9978390</wp:posOffset>
              </wp:positionV>
              <wp:extent cx="97790" cy="79375"/>
              <wp:wrapNone/>
              <wp:docPr id="358" name="Shape 3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4" type="#_x0000_t202" style="position:absolute;margin-left:291.55000000000001pt;margin-top:785.70000000000005pt;width:7.7000000000000002pt;height:6.25pt;z-index:-18874377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5815330</wp:posOffset>
              </wp:positionH>
              <wp:positionV relativeFrom="page">
                <wp:posOffset>10460355</wp:posOffset>
              </wp:positionV>
              <wp:extent cx="133985" cy="103505"/>
              <wp:wrapNone/>
              <wp:docPr id="360" name="Shape 3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6" type="#_x0000_t202" style="position:absolute;margin-left:457.90000000000003pt;margin-top:823.64999999999998pt;width:10.550000000000001pt;height:8.1500000000000004pt;z-index:-1887437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3731260</wp:posOffset>
              </wp:positionH>
              <wp:positionV relativeFrom="page">
                <wp:posOffset>10267950</wp:posOffset>
              </wp:positionV>
              <wp:extent cx="97790" cy="79375"/>
              <wp:wrapNone/>
              <wp:docPr id="365" name="Shape 3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1" type="#_x0000_t202" style="position:absolute;margin-left:293.80000000000001pt;margin-top:808.5pt;width:7.7000000000000002pt;height:6.25pt;z-index:-18874376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3731260</wp:posOffset>
              </wp:positionH>
              <wp:positionV relativeFrom="page">
                <wp:posOffset>10267950</wp:posOffset>
              </wp:positionV>
              <wp:extent cx="97790" cy="79375"/>
              <wp:wrapNone/>
              <wp:docPr id="370" name="Shape 3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6" type="#_x0000_t202" style="position:absolute;margin-left:293.80000000000001pt;margin-top:808.5pt;width:7.7000000000000002pt;height:6.25pt;z-index:-1887437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3702685</wp:posOffset>
              </wp:positionH>
              <wp:positionV relativeFrom="page">
                <wp:posOffset>9978390</wp:posOffset>
              </wp:positionV>
              <wp:extent cx="97790" cy="79375"/>
              <wp:wrapNone/>
              <wp:docPr id="377" name="Shape 3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3" type="#_x0000_t202" style="position:absolute;margin-left:291.55000000000001pt;margin-top:785.70000000000005pt;width:7.7000000000000002pt;height:6.25pt;z-index:-18874375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9" behindDoc="1" locked="0" layoutInCell="1" allowOverlap="1">
              <wp:simplePos x="0" y="0"/>
              <wp:positionH relativeFrom="page">
                <wp:posOffset>5815330</wp:posOffset>
              </wp:positionH>
              <wp:positionV relativeFrom="page">
                <wp:posOffset>10460355</wp:posOffset>
              </wp:positionV>
              <wp:extent cx="133985" cy="103505"/>
              <wp:wrapNone/>
              <wp:docPr id="379" name="Shape 3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5" type="#_x0000_t202" style="position:absolute;margin-left:457.90000000000003pt;margin-top:823.64999999999998pt;width:10.550000000000001pt;height:8.1500000000000004pt;z-index:-1887437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3702685</wp:posOffset>
              </wp:positionH>
              <wp:positionV relativeFrom="page">
                <wp:posOffset>9978390</wp:posOffset>
              </wp:positionV>
              <wp:extent cx="97790" cy="79375"/>
              <wp:wrapNone/>
              <wp:docPr id="384" name="Shape 3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0" type="#_x0000_t202" style="position:absolute;margin-left:291.55000000000001pt;margin-top:785.70000000000005pt;width:7.7000000000000002pt;height:6.25pt;z-index:-18874375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5815330</wp:posOffset>
              </wp:positionH>
              <wp:positionV relativeFrom="page">
                <wp:posOffset>10460355</wp:posOffset>
              </wp:positionV>
              <wp:extent cx="133985" cy="103505"/>
              <wp:wrapNone/>
              <wp:docPr id="386" name="Shape 3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2" type="#_x0000_t202" style="position:absolute;margin-left:457.90000000000003pt;margin-top:823.64999999999998pt;width:10.550000000000001pt;height:8.1500000000000004pt;z-index:-1887437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3702685</wp:posOffset>
              </wp:positionH>
              <wp:positionV relativeFrom="page">
                <wp:posOffset>9978390</wp:posOffset>
              </wp:positionV>
              <wp:extent cx="97790" cy="79375"/>
              <wp:wrapNone/>
              <wp:docPr id="397" name="Shape 3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3" type="#_x0000_t202" style="position:absolute;margin-left:291.55000000000001pt;margin-top:785.70000000000005pt;width:7.7000000000000002pt;height:6.25pt;z-index:-18874374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5815330</wp:posOffset>
              </wp:positionH>
              <wp:positionV relativeFrom="page">
                <wp:posOffset>10460355</wp:posOffset>
              </wp:positionV>
              <wp:extent cx="133985" cy="103505"/>
              <wp:wrapNone/>
              <wp:docPr id="399" name="Shape 3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5" type="#_x0000_t202" style="position:absolute;margin-left:457.90000000000003pt;margin-top:823.64999999999998pt;width:10.550000000000001pt;height:8.1500000000000004pt;z-index:-1887437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3702685</wp:posOffset>
              </wp:positionH>
              <wp:positionV relativeFrom="page">
                <wp:posOffset>9978390</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1.55000000000001pt;margin-top:785.70000000000005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5815330</wp:posOffset>
              </wp:positionH>
              <wp:positionV relativeFrom="page">
                <wp:posOffset>10460355</wp:posOffset>
              </wp:positionV>
              <wp:extent cx="133985" cy="103505"/>
              <wp:wrapNone/>
              <wp:docPr id="41" name="Shape 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7" type="#_x0000_t202" style="position:absolute;margin-left:457.90000000000003pt;margin-top:823.64999999999998pt;width:10.550000000000001pt;height:8.1500000000000004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3702685</wp:posOffset>
              </wp:positionH>
              <wp:positionV relativeFrom="page">
                <wp:posOffset>9978390</wp:posOffset>
              </wp:positionV>
              <wp:extent cx="97790" cy="79375"/>
              <wp:wrapNone/>
              <wp:docPr id="404" name="Shape 4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291.55000000000001pt;margin-top:785.70000000000005pt;width:7.7000000000000002pt;height:6.25pt;z-index:-18874373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5815330</wp:posOffset>
              </wp:positionH>
              <wp:positionV relativeFrom="page">
                <wp:posOffset>10460355</wp:posOffset>
              </wp:positionV>
              <wp:extent cx="133985" cy="103505"/>
              <wp:wrapNone/>
              <wp:docPr id="406" name="Shape 4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2" type="#_x0000_t202" style="position:absolute;margin-left:457.90000000000003pt;margin-top:823.64999999999998pt;width:10.550000000000001pt;height:8.1500000000000004pt;z-index:-1887437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6472555</wp:posOffset>
              </wp:positionH>
              <wp:positionV relativeFrom="page">
                <wp:posOffset>9836785</wp:posOffset>
              </wp:positionV>
              <wp:extent cx="85090" cy="94615"/>
              <wp:wrapNone/>
              <wp:docPr id="411" name="Shape 411"/>
              <a:graphic xmlns:a="http://schemas.openxmlformats.org/drawingml/2006/main">
                <a:graphicData uri="http://schemas.microsoft.com/office/word/2010/wordprocessingShape">
                  <wps:wsp>
                    <wps:cNvSpPr txBox="1"/>
                    <wps:spPr>
                      <a:xfrm>
                        <a:ext cx="85090" cy="94615"/>
                      </a:xfrm>
                      <a:prstGeom prst="rect"/>
                      <a:noFill/>
                    </wps:spPr>
                    <wps:txbx>
                      <w:txbxContent>
                        <w:p>
                          <w:pPr>
                            <w:widowControl w:val="0"/>
                          </w:pPr>
                        </w:p>
                      </w:txbxContent>
                    </wps:txbx>
                    <wps:bodyPr wrap="none" lIns="0" tIns="0" rIns="0" bIns="0">
                      <a:spAutoFit/>
                    </wps:bodyPr>
                  </wps:wsp>
                </a:graphicData>
              </a:graphic>
            </wp:anchor>
          </w:drawing>
        </mc:Choice>
        <mc:Fallback>
          <w:pict>
            <v:shape id="_x0000_s1437" type="#_x0000_t202" style="position:absolute;margin-left:509.65000000000003pt;margin-top:774.55000000000007pt;width:6.7000000000000002pt;height:7.4500000000000002pt;z-index:-1887437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3698875</wp:posOffset>
              </wp:positionH>
              <wp:positionV relativeFrom="page">
                <wp:posOffset>9968230</wp:posOffset>
              </wp:positionV>
              <wp:extent cx="103505" cy="79375"/>
              <wp:wrapNone/>
              <wp:docPr id="413" name="Shape 4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9" type="#_x0000_t202" style="position:absolute;margin-left:291.25pt;margin-top:784.89999999999998pt;width:8.1500000000000004pt;height:6.25pt;z-index:-1887437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3718560</wp:posOffset>
              </wp:positionH>
              <wp:positionV relativeFrom="page">
                <wp:posOffset>9952990</wp:posOffset>
              </wp:positionV>
              <wp:extent cx="97790" cy="79375"/>
              <wp:wrapNone/>
              <wp:docPr id="426" name="Shape 4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2" type="#_x0000_t202" style="position:absolute;margin-left:292.80000000000001pt;margin-top:783.70000000000005pt;width:7.7000000000000002pt;height:6.25pt;z-index:-1887437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6888480</wp:posOffset>
              </wp:positionH>
              <wp:positionV relativeFrom="page">
                <wp:posOffset>10434955</wp:posOffset>
              </wp:positionV>
              <wp:extent cx="42545" cy="97790"/>
              <wp:wrapNone/>
              <wp:docPr id="428" name="Shape 42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4" type="#_x0000_t202" style="position:absolute;margin-left:542.39999999999998pt;margin-top:821.64999999999998pt;width:3.3500000000000001pt;height:7.7000000000000002pt;z-index:-1887437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3718560</wp:posOffset>
              </wp:positionH>
              <wp:positionV relativeFrom="page">
                <wp:posOffset>9952990</wp:posOffset>
              </wp:positionV>
              <wp:extent cx="97790" cy="79375"/>
              <wp:wrapNone/>
              <wp:docPr id="433" name="Shape 4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9" type="#_x0000_t202" style="position:absolute;margin-left:292.80000000000001pt;margin-top:783.70000000000005pt;width:7.7000000000000002pt;height:6.25pt;z-index:-1887437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6888480</wp:posOffset>
              </wp:positionH>
              <wp:positionV relativeFrom="page">
                <wp:posOffset>10434955</wp:posOffset>
              </wp:positionV>
              <wp:extent cx="42545" cy="97790"/>
              <wp:wrapNone/>
              <wp:docPr id="435" name="Shape 4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1" type="#_x0000_t202" style="position:absolute;margin-left:542.39999999999998pt;margin-top:821.64999999999998pt;width:3.3500000000000001pt;height:7.7000000000000002pt;z-index:-1887437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3731260</wp:posOffset>
              </wp:positionH>
              <wp:positionV relativeFrom="page">
                <wp:posOffset>10267950</wp:posOffset>
              </wp:positionV>
              <wp:extent cx="97790" cy="79375"/>
              <wp:wrapNone/>
              <wp:docPr id="440" name="Shape 4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6" type="#_x0000_t202" style="position:absolute;margin-left:293.80000000000001pt;margin-top:808.5pt;width:7.7000000000000002pt;height:6.25pt;z-index:-18874371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3695700</wp:posOffset>
              </wp:positionH>
              <wp:positionV relativeFrom="page">
                <wp:posOffset>9952990</wp:posOffset>
              </wp:positionV>
              <wp:extent cx="103505" cy="79375"/>
              <wp:wrapNone/>
              <wp:docPr id="457" name="Shape 4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3" type="#_x0000_t202" style="position:absolute;margin-left:291.pt;margin-top:783.70000000000005pt;width:8.1500000000000004pt;height:6.25pt;z-index:-18874371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5" behindDoc="1" locked="0" layoutInCell="1" allowOverlap="1">
              <wp:simplePos x="0" y="0"/>
              <wp:positionH relativeFrom="page">
                <wp:posOffset>6944995</wp:posOffset>
              </wp:positionH>
              <wp:positionV relativeFrom="page">
                <wp:posOffset>10434955</wp:posOffset>
              </wp:positionV>
              <wp:extent cx="45720" cy="97790"/>
              <wp:wrapNone/>
              <wp:docPr id="459" name="Shape 45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5" type="#_x0000_t202" style="position:absolute;margin-left:546.85000000000002pt;margin-top:821.64999999999998pt;width:3.6000000000000001pt;height:7.7000000000000002pt;z-index:-1887437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3695700</wp:posOffset>
              </wp:positionH>
              <wp:positionV relativeFrom="page">
                <wp:posOffset>9952990</wp:posOffset>
              </wp:positionV>
              <wp:extent cx="103505" cy="79375"/>
              <wp:wrapNone/>
              <wp:docPr id="464" name="Shape 4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291.pt;margin-top:783.70000000000005pt;width:8.1500000000000004pt;height:6.25pt;z-index:-18874370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1" behindDoc="1" locked="0" layoutInCell="1" allowOverlap="1">
              <wp:simplePos x="0" y="0"/>
              <wp:positionH relativeFrom="page">
                <wp:posOffset>6944995</wp:posOffset>
              </wp:positionH>
              <wp:positionV relativeFrom="page">
                <wp:posOffset>10434955</wp:posOffset>
              </wp:positionV>
              <wp:extent cx="45720" cy="97790"/>
              <wp:wrapNone/>
              <wp:docPr id="466" name="Shape 4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2" type="#_x0000_t202" style="position:absolute;margin-left:546.85000000000002pt;margin-top:821.64999999999998pt;width:3.6000000000000001pt;height:7.7000000000000002pt;z-index:-1887437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6472555</wp:posOffset>
              </wp:positionH>
              <wp:positionV relativeFrom="page">
                <wp:posOffset>9836785</wp:posOffset>
              </wp:positionV>
              <wp:extent cx="85090" cy="94615"/>
              <wp:wrapNone/>
              <wp:docPr id="471" name="Shape 471"/>
              <a:graphic xmlns:a="http://schemas.openxmlformats.org/drawingml/2006/main">
                <a:graphicData uri="http://schemas.microsoft.com/office/word/2010/wordprocessingShape">
                  <wps:wsp>
                    <wps:cNvSpPr txBox="1"/>
                    <wps:spPr>
                      <a:xfrm>
                        <a:ext cx="85090" cy="94615"/>
                      </a:xfrm>
                      <a:prstGeom prst="rect"/>
                      <a:noFill/>
                    </wps:spPr>
                    <wps:txbx>
                      <w:txbxContent>
                        <w:p>
                          <w:pPr>
                            <w:widowControl w:val="0"/>
                          </w:pPr>
                        </w:p>
                      </w:txbxContent>
                    </wps:txbx>
                    <wps:bodyPr wrap="none" lIns="0" tIns="0" rIns="0" bIns="0">
                      <a:spAutoFit/>
                    </wps:bodyPr>
                  </wps:wsp>
                </a:graphicData>
              </a:graphic>
            </wp:anchor>
          </w:drawing>
        </mc:Choice>
        <mc:Fallback>
          <w:pict>
            <v:shape id="_x0000_s1497" type="#_x0000_t202" style="position:absolute;margin-left:509.65000000000003pt;margin-top:774.55000000000007pt;width:6.7000000000000002pt;height:7.4500000000000002pt;z-index:-1887436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5057" behindDoc="1" locked="0" layoutInCell="1" allowOverlap="1">
              <wp:simplePos x="0" y="0"/>
              <wp:positionH relativeFrom="page">
                <wp:posOffset>3698875</wp:posOffset>
              </wp:positionH>
              <wp:positionV relativeFrom="page">
                <wp:posOffset>9968230</wp:posOffset>
              </wp:positionV>
              <wp:extent cx="103505" cy="79375"/>
              <wp:wrapNone/>
              <wp:docPr id="473" name="Shape 4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9" type="#_x0000_t202" style="position:absolute;margin-left:291.25pt;margin-top:784.89999999999998pt;width:8.1500000000000004pt;height:6.25pt;z-index:-18874369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3702685</wp:posOffset>
              </wp:positionH>
              <wp:positionV relativeFrom="page">
                <wp:posOffset>9978390</wp:posOffset>
              </wp:positionV>
              <wp:extent cx="97790" cy="79375"/>
              <wp:wrapNone/>
              <wp:docPr id="490" name="Shape 4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6" type="#_x0000_t202" style="position:absolute;margin-left:291.55000000000001pt;margin-top:785.70000000000005pt;width:7.7000000000000002pt;height:6.25pt;z-index:-18874369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5815330</wp:posOffset>
              </wp:positionH>
              <wp:positionV relativeFrom="page">
                <wp:posOffset>10460355</wp:posOffset>
              </wp:positionV>
              <wp:extent cx="133985" cy="103505"/>
              <wp:wrapNone/>
              <wp:docPr id="492" name="Shape 4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8" type="#_x0000_t202" style="position:absolute;margin-left:457.90000000000003pt;margin-top:823.64999999999998pt;width:10.550000000000001pt;height:8.1500000000000004pt;z-index:-1887436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3702685</wp:posOffset>
              </wp:positionH>
              <wp:positionV relativeFrom="page">
                <wp:posOffset>9978390</wp:posOffset>
              </wp:positionV>
              <wp:extent cx="97790" cy="79375"/>
              <wp:wrapNone/>
              <wp:docPr id="497" name="Shape 4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3" type="#_x0000_t202" style="position:absolute;margin-left:291.55000000000001pt;margin-top:785.70000000000005pt;width:7.7000000000000002pt;height:6.25pt;z-index:-18874368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9" behindDoc="1" locked="0" layoutInCell="1" allowOverlap="1">
              <wp:simplePos x="0" y="0"/>
              <wp:positionH relativeFrom="page">
                <wp:posOffset>5815330</wp:posOffset>
              </wp:positionH>
              <wp:positionV relativeFrom="page">
                <wp:posOffset>10460355</wp:posOffset>
              </wp:positionV>
              <wp:extent cx="133985" cy="103505"/>
              <wp:wrapNone/>
              <wp:docPr id="499" name="Shape 4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5" type="#_x0000_t202" style="position:absolute;margin-left:457.90000000000003pt;margin-top:823.64999999999998pt;width:10.550000000000001pt;height:8.1500000000000004pt;z-index:-1887436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3751580</wp:posOffset>
              </wp:positionH>
              <wp:positionV relativeFrom="page">
                <wp:posOffset>9955530</wp:posOffset>
              </wp:positionV>
              <wp:extent cx="45720" cy="79375"/>
              <wp:wrapNone/>
              <wp:docPr id="46" name="Shape 46"/>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5.40000000000003pt;margin-top:783.89999999999998pt;width:3.6000000000000001pt;height:6.25pt;z-index:-1887440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6887845</wp:posOffset>
              </wp:positionH>
              <wp:positionV relativeFrom="page">
                <wp:posOffset>10436860</wp:posOffset>
              </wp:positionV>
              <wp:extent cx="42545" cy="97790"/>
              <wp:wrapNone/>
              <wp:docPr id="48" name="Shape 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4" type="#_x0000_t202" style="position:absolute;margin-left:542.35000000000002pt;margin-top:821.80000000000007pt;width:3.3500000000000001pt;height:7.7000000000000002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3702685</wp:posOffset>
              </wp:positionH>
              <wp:positionV relativeFrom="page">
                <wp:posOffset>9978390</wp:posOffset>
              </wp:positionV>
              <wp:extent cx="97790" cy="79375"/>
              <wp:wrapNone/>
              <wp:docPr id="510" name="Shape 5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291.55000000000001pt;margin-top:785.70000000000005pt;width:7.7000000000000002pt;height:6.25pt;z-index:-18874368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5815330</wp:posOffset>
              </wp:positionH>
              <wp:positionV relativeFrom="page">
                <wp:posOffset>10460355</wp:posOffset>
              </wp:positionV>
              <wp:extent cx="133985" cy="103505"/>
              <wp:wrapNone/>
              <wp:docPr id="512" name="Shape 51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8" type="#_x0000_t202" style="position:absolute;margin-left:457.90000000000003pt;margin-top:823.64999999999998pt;width:10.550000000000001pt;height:8.1500000000000004pt;z-index:-1887436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3702685</wp:posOffset>
              </wp:positionH>
              <wp:positionV relativeFrom="page">
                <wp:posOffset>9978390</wp:posOffset>
              </wp:positionV>
              <wp:extent cx="97790" cy="79375"/>
              <wp:wrapNone/>
              <wp:docPr id="517" name="Shape 5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3" type="#_x0000_t202" style="position:absolute;margin-left:291.55000000000001pt;margin-top:785.70000000000005pt;width:7.7000000000000002pt;height:6.25pt;z-index:-18874367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1" behindDoc="1" locked="0" layoutInCell="1" allowOverlap="1">
              <wp:simplePos x="0" y="0"/>
              <wp:positionH relativeFrom="page">
                <wp:posOffset>5815330</wp:posOffset>
              </wp:positionH>
              <wp:positionV relativeFrom="page">
                <wp:posOffset>10460355</wp:posOffset>
              </wp:positionV>
              <wp:extent cx="133985" cy="103505"/>
              <wp:wrapNone/>
              <wp:docPr id="519" name="Shape 5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5" type="#_x0000_t202" style="position:absolute;margin-left:457.90000000000003pt;margin-top:823.64999999999998pt;width:10.550000000000001pt;height:8.1500000000000004pt;z-index:-1887436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3718560</wp:posOffset>
              </wp:positionH>
              <wp:positionV relativeFrom="page">
                <wp:posOffset>9952990</wp:posOffset>
              </wp:positionV>
              <wp:extent cx="97790" cy="79375"/>
              <wp:wrapNone/>
              <wp:docPr id="524" name="Shape 5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0" type="#_x0000_t202" style="position:absolute;margin-left:292.80000000000001pt;margin-top:783.70000000000005pt;width:7.7000000000000002pt;height:6.25pt;z-index:-18874366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7" behindDoc="1" locked="0" layoutInCell="1" allowOverlap="1">
              <wp:simplePos x="0" y="0"/>
              <wp:positionH relativeFrom="page">
                <wp:posOffset>6888480</wp:posOffset>
              </wp:positionH>
              <wp:positionV relativeFrom="page">
                <wp:posOffset>10434955</wp:posOffset>
              </wp:positionV>
              <wp:extent cx="42545" cy="97790"/>
              <wp:wrapNone/>
              <wp:docPr id="526" name="Shape 52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2" type="#_x0000_t202" style="position:absolute;margin-left:542.39999999999998pt;margin-top:821.64999999999998pt;width:3.3500000000000001pt;height:7.7000000000000002pt;z-index:-1887436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3731260</wp:posOffset>
              </wp:positionH>
              <wp:positionV relativeFrom="page">
                <wp:posOffset>10267950</wp:posOffset>
              </wp:positionV>
              <wp:extent cx="97790" cy="79375"/>
              <wp:wrapNone/>
              <wp:docPr id="537" name="Shape 5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293.80000000000001pt;margin-top:808.5pt;width:7.7000000000000002pt;height:6.25pt;z-index:-18874366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3731260</wp:posOffset>
              </wp:positionH>
              <wp:positionV relativeFrom="page">
                <wp:posOffset>10267950</wp:posOffset>
              </wp:positionV>
              <wp:extent cx="97790" cy="79375"/>
              <wp:wrapNone/>
              <wp:docPr id="542" name="Shape 5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8" type="#_x0000_t202" style="position:absolute;margin-left:293.80000000000001pt;margin-top:808.5pt;width:7.7000000000000002pt;height:6.25pt;z-index:-18874365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3718560</wp:posOffset>
              </wp:positionH>
              <wp:positionV relativeFrom="page">
                <wp:posOffset>9952990</wp:posOffset>
              </wp:positionV>
              <wp:extent cx="97790" cy="79375"/>
              <wp:wrapNone/>
              <wp:docPr id="547" name="Shape 5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292.80000000000001pt;margin-top:783.70000000000005pt;width:7.7000000000000002pt;height:6.25pt;z-index:-1887436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1" behindDoc="1" locked="0" layoutInCell="1" allowOverlap="1">
              <wp:simplePos x="0" y="0"/>
              <wp:positionH relativeFrom="page">
                <wp:posOffset>6888480</wp:posOffset>
              </wp:positionH>
              <wp:positionV relativeFrom="page">
                <wp:posOffset>10434955</wp:posOffset>
              </wp:positionV>
              <wp:extent cx="42545" cy="97790"/>
              <wp:wrapNone/>
              <wp:docPr id="549" name="Shape 54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5" type="#_x0000_t202" style="position:absolute;margin-left:542.39999999999998pt;margin-top:821.64999999999998pt;width:3.3500000000000001pt;height:7.7000000000000002pt;z-index:-1887436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3702685</wp:posOffset>
              </wp:positionH>
              <wp:positionV relativeFrom="page">
                <wp:posOffset>9978390</wp:posOffset>
              </wp:positionV>
              <wp:extent cx="97790" cy="79375"/>
              <wp:wrapNone/>
              <wp:docPr id="554" name="Shape 5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0" type="#_x0000_t202" style="position:absolute;margin-left:291.55000000000001pt;margin-top:785.70000000000005pt;width:7.7000000000000002pt;height:6.25pt;z-index:-18874364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7" behindDoc="1" locked="0" layoutInCell="1" allowOverlap="1">
              <wp:simplePos x="0" y="0"/>
              <wp:positionH relativeFrom="page">
                <wp:posOffset>5815330</wp:posOffset>
              </wp:positionH>
              <wp:positionV relativeFrom="page">
                <wp:posOffset>10460355</wp:posOffset>
              </wp:positionV>
              <wp:extent cx="133985" cy="103505"/>
              <wp:wrapNone/>
              <wp:docPr id="556" name="Shape 5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2" type="#_x0000_t202" style="position:absolute;margin-left:457.90000000000003pt;margin-top:823.64999999999998pt;width:10.550000000000001pt;height:8.1500000000000004pt;z-index:-1887436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3702685</wp:posOffset>
              </wp:positionH>
              <wp:positionV relativeFrom="page">
                <wp:posOffset>9978390</wp:posOffset>
              </wp:positionV>
              <wp:extent cx="97790" cy="79375"/>
              <wp:wrapNone/>
              <wp:docPr id="561" name="Shape 5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7" type="#_x0000_t202" style="position:absolute;margin-left:291.55000000000001pt;margin-top:785.70000000000005pt;width:7.7000000000000002pt;height:6.25pt;z-index:-18874364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3" behindDoc="1" locked="0" layoutInCell="1" allowOverlap="1">
              <wp:simplePos x="0" y="0"/>
              <wp:positionH relativeFrom="page">
                <wp:posOffset>5815330</wp:posOffset>
              </wp:positionH>
              <wp:positionV relativeFrom="page">
                <wp:posOffset>10460355</wp:posOffset>
              </wp:positionV>
              <wp:extent cx="133985" cy="103505"/>
              <wp:wrapNone/>
              <wp:docPr id="563" name="Shape 5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9" type="#_x0000_t202" style="position:absolute;margin-left:457.90000000000003pt;margin-top:823.64999999999998pt;width:10.550000000000001pt;height:8.1500000000000004pt;z-index:-1887436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3718560</wp:posOffset>
              </wp:positionH>
              <wp:positionV relativeFrom="page">
                <wp:posOffset>9952990</wp:posOffset>
              </wp:positionV>
              <wp:extent cx="97790" cy="79375"/>
              <wp:wrapNone/>
              <wp:docPr id="568" name="Shape 5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4" type="#_x0000_t202" style="position:absolute;margin-left:292.80000000000001pt;margin-top:783.70000000000005pt;width:7.7000000000000002pt;height:6.25pt;z-index:-1887436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9" behindDoc="1" locked="0" layoutInCell="1" allowOverlap="1">
              <wp:simplePos x="0" y="0"/>
              <wp:positionH relativeFrom="page">
                <wp:posOffset>6888480</wp:posOffset>
              </wp:positionH>
              <wp:positionV relativeFrom="page">
                <wp:posOffset>10434955</wp:posOffset>
              </wp:positionV>
              <wp:extent cx="42545" cy="97790"/>
              <wp:wrapNone/>
              <wp:docPr id="570" name="Shape 57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6" type="#_x0000_t202" style="position:absolute;margin-left:542.39999999999998pt;margin-top:821.64999999999998pt;width:3.3500000000000001pt;height:7.7000000000000002pt;z-index:-1887436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3718560</wp:posOffset>
              </wp:positionH>
              <wp:positionV relativeFrom="page">
                <wp:posOffset>9952990</wp:posOffset>
              </wp:positionV>
              <wp:extent cx="97790" cy="79375"/>
              <wp:wrapNone/>
              <wp:docPr id="575" name="Shape 5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1" type="#_x0000_t202" style="position:absolute;margin-left:292.80000000000001pt;margin-top:783.70000000000005pt;width:7.7000000000000002pt;height:6.25pt;z-index:-1887436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5" behindDoc="1" locked="0" layoutInCell="1" allowOverlap="1">
              <wp:simplePos x="0" y="0"/>
              <wp:positionH relativeFrom="page">
                <wp:posOffset>6888480</wp:posOffset>
              </wp:positionH>
              <wp:positionV relativeFrom="page">
                <wp:posOffset>10434955</wp:posOffset>
              </wp:positionV>
              <wp:extent cx="42545" cy="97790"/>
              <wp:wrapNone/>
              <wp:docPr id="577" name="Shape 5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3" type="#_x0000_t202" style="position:absolute;margin-left:542.39999999999998pt;margin-top:821.64999999999998pt;width:3.3500000000000001pt;height:7.7000000000000002pt;z-index:-1887436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3702685</wp:posOffset>
              </wp:positionH>
              <wp:positionV relativeFrom="page">
                <wp:posOffset>9978390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1.55000000000001pt;margin-top:785.70000000000005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5815330</wp:posOffset>
              </wp:positionH>
              <wp:positionV relativeFrom="page">
                <wp:posOffset>10460355</wp:posOffset>
              </wp:positionV>
              <wp:extent cx="133985" cy="103505"/>
              <wp:wrapNone/>
              <wp:docPr id="55" name="Shape 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1" type="#_x0000_t202" style="position:absolute;margin-left:457.90000000000003pt;margin-top:823.64999999999998pt;width:10.550000000000001pt;height:8.1500000000000004pt;z-index:-1887440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3662045</wp:posOffset>
              </wp:positionH>
              <wp:positionV relativeFrom="page">
                <wp:posOffset>9978390</wp:posOffset>
              </wp:positionV>
              <wp:extent cx="103505" cy="79375"/>
              <wp:wrapNone/>
              <wp:docPr id="582" name="Shape 5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8" type="#_x0000_t202" style="position:absolute;margin-left:288.35000000000002pt;margin-top:785.70000000000005pt;width:8.1500000000000004pt;height:6.25pt;z-index:-1887436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1" behindDoc="1" locked="0" layoutInCell="1" allowOverlap="1">
              <wp:simplePos x="0" y="0"/>
              <wp:positionH relativeFrom="page">
                <wp:posOffset>6911340</wp:posOffset>
              </wp:positionH>
              <wp:positionV relativeFrom="page">
                <wp:posOffset>10460355</wp:posOffset>
              </wp:positionV>
              <wp:extent cx="45720" cy="97790"/>
              <wp:wrapNone/>
              <wp:docPr id="584" name="Shape 58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0" type="#_x0000_t202" style="position:absolute;margin-left:544.20000000000005pt;margin-top:823.64999999999998pt;width:3.6000000000000001pt;height:7.7000000000000002pt;z-index:-1887436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3731260</wp:posOffset>
              </wp:positionH>
              <wp:positionV relativeFrom="page">
                <wp:posOffset>10267950</wp:posOffset>
              </wp:positionV>
              <wp:extent cx="97790" cy="79375"/>
              <wp:wrapNone/>
              <wp:docPr id="595" name="Shape 59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1" type="#_x0000_t202" style="position:absolute;margin-left:293.80000000000001pt;margin-top:808.5pt;width:7.7000000000000002pt;height:6.25pt;z-index:-18874361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3731260</wp:posOffset>
              </wp:positionH>
              <wp:positionV relativeFrom="page">
                <wp:posOffset>10267950</wp:posOffset>
              </wp:positionV>
              <wp:extent cx="97790" cy="79375"/>
              <wp:wrapNone/>
              <wp:docPr id="600" name="Shape 6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293.80000000000001pt;margin-top:808.5pt;width:7.7000000000000002pt;height:6.25pt;z-index:-18874361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3702685</wp:posOffset>
              </wp:positionH>
              <wp:positionV relativeFrom="page">
                <wp:posOffset>9978390</wp:posOffset>
              </wp:positionV>
              <wp:extent cx="97790" cy="79375"/>
              <wp:wrapNone/>
              <wp:docPr id="605" name="Shape 6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1" type="#_x0000_t202" style="position:absolute;margin-left:291.55000000000001pt;margin-top:785.70000000000005pt;width:7.7000000000000002pt;height:6.25pt;z-index:-18874360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5815330</wp:posOffset>
              </wp:positionH>
              <wp:positionV relativeFrom="page">
                <wp:posOffset>10460355</wp:posOffset>
              </wp:positionV>
              <wp:extent cx="133985" cy="103505"/>
              <wp:wrapNone/>
              <wp:docPr id="607" name="Shape 6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3" type="#_x0000_t202" style="position:absolute;margin-left:457.90000000000003pt;margin-top:823.64999999999998pt;width:10.550000000000001pt;height:8.1500000000000004pt;z-index:-1887436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3702685</wp:posOffset>
              </wp:positionH>
              <wp:positionV relativeFrom="page">
                <wp:posOffset>9978390</wp:posOffset>
              </wp:positionV>
              <wp:extent cx="97790" cy="79375"/>
              <wp:wrapNone/>
              <wp:docPr id="612" name="Shape 6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291.55000000000001pt;margin-top:785.70000000000005pt;width:7.7000000000000002pt;height:6.25pt;z-index:-18874360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5" behindDoc="1" locked="0" layoutInCell="1" allowOverlap="1">
              <wp:simplePos x="0" y="0"/>
              <wp:positionH relativeFrom="page">
                <wp:posOffset>5815330</wp:posOffset>
              </wp:positionH>
              <wp:positionV relativeFrom="page">
                <wp:posOffset>10460355</wp:posOffset>
              </wp:positionV>
              <wp:extent cx="133985" cy="103505"/>
              <wp:wrapNone/>
              <wp:docPr id="614" name="Shape 6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0" type="#_x0000_t202" style="position:absolute;margin-left:457.90000000000003pt;margin-top:823.64999999999998pt;width:10.550000000000001pt;height:8.1500000000000004pt;z-index:-1887435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3662045</wp:posOffset>
              </wp:positionH>
              <wp:positionV relativeFrom="page">
                <wp:posOffset>9978390</wp:posOffset>
              </wp:positionV>
              <wp:extent cx="103505" cy="79375"/>
              <wp:wrapNone/>
              <wp:docPr id="619" name="Shape 6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288.35000000000002pt;margin-top:785.70000000000005pt;width:8.1500000000000004pt;height:6.25pt;z-index:-18874359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1" behindDoc="1" locked="0" layoutInCell="1" allowOverlap="1">
              <wp:simplePos x="0" y="0"/>
              <wp:positionH relativeFrom="page">
                <wp:posOffset>6911340</wp:posOffset>
              </wp:positionH>
              <wp:positionV relativeFrom="page">
                <wp:posOffset>10460355</wp:posOffset>
              </wp:positionV>
              <wp:extent cx="45720" cy="97790"/>
              <wp:wrapNone/>
              <wp:docPr id="621" name="Shape 62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7" type="#_x0000_t202" style="position:absolute;margin-left:544.20000000000005pt;margin-top:823.64999999999998pt;width:3.6000000000000001pt;height:7.7000000000000002pt;z-index:-1887435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3727450</wp:posOffset>
              </wp:positionH>
              <wp:positionV relativeFrom="page">
                <wp:posOffset>9893300</wp:posOffset>
              </wp:positionV>
              <wp:extent cx="3127375" cy="191770"/>
              <wp:wrapNone/>
              <wp:docPr id="626" name="Shape 626"/>
              <a:graphic xmlns:a="http://schemas.openxmlformats.org/drawingml/2006/main">
                <a:graphicData uri="http://schemas.microsoft.com/office/word/2010/wordprocessingShape">
                  <wps:wsp>
                    <wps:cNvSpPr txBox="1"/>
                    <wps:spPr>
                      <a:xfrm>
                        <a:ext cx="3127375" cy="191770"/>
                      </a:xfrm>
                      <a:prstGeom prst="rect"/>
                      <a:noFill/>
                    </wps:spPr>
                    <wps:txbx>
                      <w:txbxContent>
                        <w:p>
                          <w:pPr>
                            <w:pStyle w:val="Style60"/>
                            <w:keepNext w:val="0"/>
                            <w:keepLines w:val="0"/>
                            <w:widowControl w:val="0"/>
                            <w:shd w:val="clear" w:color="auto" w:fill="auto"/>
                            <w:tabs>
                              <w:tab w:pos="4800" w:val="right"/>
                            </w:tabs>
                            <w:bidi w:val="0"/>
                            <w:spacing w:before="0" w:after="0" w:line="240" w:lineRule="auto"/>
                            <w:ind w:left="0" w:right="0" w:firstLine="0"/>
                            <w:jc w:val="left"/>
                            <w:rPr>
                              <w:sz w:val="38"/>
                              <w:szCs w:val="38"/>
                            </w:rPr>
                          </w:pPr>
                          <w:fldSimple w:instr=" PAGE \* MERGEFORMAT ">
                            <w:r>
                              <w:rPr>
                                <w:rFonts w:ascii="Arial" w:eastAsia="Arial" w:hAnsi="Arial" w:cs="Arial"/>
                                <w:b/>
                                <w:bCs/>
                                <w:color w:val="000000"/>
                                <w:spacing w:val="0"/>
                                <w:w w:val="100"/>
                                <w:position w:val="0"/>
                                <w:sz w:val="38"/>
                                <w:szCs w:val="38"/>
                                <w:vertAlign w:val="subscript"/>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wps:txbx>
                    <wps:bodyPr lIns="0" tIns="0" rIns="0" bIns="0">
                      <a:spAutoFit/>
                    </wps:bodyPr>
                  </wps:wsp>
                </a:graphicData>
              </a:graphic>
            </wp:anchor>
          </w:drawing>
        </mc:Choice>
        <mc:Fallback>
          <w:pict>
            <v:shape id="_x0000_s1652" type="#_x0000_t202" style="position:absolute;margin-left:293.5pt;margin-top:779.pt;width:246.25pt;height:15.1pt;z-index:-188743588;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4800" w:val="right"/>
                      </w:tabs>
                      <w:bidi w:val="0"/>
                      <w:spacing w:before="0" w:after="0" w:line="240" w:lineRule="auto"/>
                      <w:ind w:left="0" w:right="0" w:firstLine="0"/>
                      <w:jc w:val="left"/>
                      <w:rPr>
                        <w:sz w:val="38"/>
                        <w:szCs w:val="38"/>
                      </w:rPr>
                    </w:pPr>
                    <w:fldSimple w:instr=" PAGE \* MERGEFORMAT ">
                      <w:r>
                        <w:rPr>
                          <w:rFonts w:ascii="Arial" w:eastAsia="Arial" w:hAnsi="Arial" w:cs="Arial"/>
                          <w:b/>
                          <w:bCs/>
                          <w:color w:val="000000"/>
                          <w:spacing w:val="0"/>
                          <w:w w:val="100"/>
                          <w:position w:val="0"/>
                          <w:sz w:val="38"/>
                          <w:szCs w:val="38"/>
                          <w:vertAlign w:val="subscript"/>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cninf</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3727450</wp:posOffset>
              </wp:positionH>
              <wp:positionV relativeFrom="page">
                <wp:posOffset>9949815</wp:posOffset>
              </wp:positionV>
              <wp:extent cx="103505" cy="79375"/>
              <wp:wrapNone/>
              <wp:docPr id="631" name="Shape 6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7" type="#_x0000_t202" style="position:absolute;margin-left:293.5pt;margin-top:783.45000000000005pt;width:8.1500000000000004pt;height:6.25pt;z-index:-18874358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1" behindDoc="1" locked="0" layoutInCell="1" allowOverlap="1">
              <wp:simplePos x="0" y="0"/>
              <wp:positionH relativeFrom="page">
                <wp:posOffset>6894195</wp:posOffset>
              </wp:positionH>
              <wp:positionV relativeFrom="page">
                <wp:posOffset>10431780</wp:posOffset>
              </wp:positionV>
              <wp:extent cx="42545" cy="97790"/>
              <wp:wrapNone/>
              <wp:docPr id="633" name="Shape 63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9" type="#_x0000_t202" style="position:absolute;margin-left:542.85000000000002pt;margin-top:821.39999999999998pt;width:3.3500000000000001pt;height:7.7000000000000002pt;z-index:-1887435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3702685</wp:posOffset>
              </wp:positionH>
              <wp:positionV relativeFrom="page">
                <wp:posOffset>9978390</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1.55000000000001pt;margin-top:785.70000000000005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5815330</wp:posOffset>
              </wp:positionH>
              <wp:positionV relativeFrom="page">
                <wp:posOffset>10460355</wp:posOffset>
              </wp:positionV>
              <wp:extent cx="133985" cy="103505"/>
              <wp:wrapNone/>
              <wp:docPr id="62" name="Shape 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8" type="#_x0000_t202" style="position:absolute;margin-left:457.90000000000003pt;margin-top:823.64999999999998pt;width:10.550000000000001pt;height:8.1500000000000004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3662045</wp:posOffset>
              </wp:positionH>
              <wp:positionV relativeFrom="page">
                <wp:posOffset>9978390</wp:posOffset>
              </wp:positionV>
              <wp:extent cx="103505" cy="79375"/>
              <wp:wrapNone/>
              <wp:docPr id="644" name="Shape 6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0" type="#_x0000_t202" style="position:absolute;margin-left:288.35000000000002pt;margin-top:785.70000000000005pt;width:8.1500000000000004pt;height:6.25pt;z-index:-18874357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1" behindDoc="1" locked="0" layoutInCell="1" allowOverlap="1">
              <wp:simplePos x="0" y="0"/>
              <wp:positionH relativeFrom="page">
                <wp:posOffset>6911340</wp:posOffset>
              </wp:positionH>
              <wp:positionV relativeFrom="page">
                <wp:posOffset>10460355</wp:posOffset>
              </wp:positionV>
              <wp:extent cx="45720" cy="97790"/>
              <wp:wrapNone/>
              <wp:docPr id="646" name="Shape 64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2" type="#_x0000_t202" style="position:absolute;margin-left:544.20000000000005pt;margin-top:823.64999999999998pt;width:3.6000000000000001pt;height:7.7000000000000002pt;z-index:-1887435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3662045</wp:posOffset>
              </wp:positionH>
              <wp:positionV relativeFrom="page">
                <wp:posOffset>9978390</wp:posOffset>
              </wp:positionV>
              <wp:extent cx="103505" cy="79375"/>
              <wp:wrapNone/>
              <wp:docPr id="651" name="Shape 6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288.35000000000002pt;margin-top:785.70000000000005pt;width:8.1500000000000004pt;height:6.25pt;z-index:-18874356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7" behindDoc="1" locked="0" layoutInCell="1" allowOverlap="1">
              <wp:simplePos x="0" y="0"/>
              <wp:positionH relativeFrom="page">
                <wp:posOffset>6911340</wp:posOffset>
              </wp:positionH>
              <wp:positionV relativeFrom="page">
                <wp:posOffset>10460355</wp:posOffset>
              </wp:positionV>
              <wp:extent cx="45720" cy="97790"/>
              <wp:wrapNone/>
              <wp:docPr id="653" name="Shape 65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9" type="#_x0000_t202" style="position:absolute;margin-left:544.20000000000005pt;margin-top:823.64999999999998pt;width:3.6000000000000001pt;height:7.7000000000000002pt;z-index:-1887435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3727450</wp:posOffset>
              </wp:positionH>
              <wp:positionV relativeFrom="page">
                <wp:posOffset>9949815</wp:posOffset>
              </wp:positionV>
              <wp:extent cx="103505" cy="79375"/>
              <wp:wrapNone/>
              <wp:docPr id="658" name="Shape 6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293.5pt;margin-top:783.45000000000005pt;width:8.1500000000000004pt;height:6.25pt;z-index:-18874356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3" behindDoc="1" locked="0" layoutInCell="1" allowOverlap="1">
              <wp:simplePos x="0" y="0"/>
              <wp:positionH relativeFrom="page">
                <wp:posOffset>6894195</wp:posOffset>
              </wp:positionH>
              <wp:positionV relativeFrom="page">
                <wp:posOffset>10431780</wp:posOffset>
              </wp:positionV>
              <wp:extent cx="42545" cy="97790"/>
              <wp:wrapNone/>
              <wp:docPr id="660" name="Shape 6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6" type="#_x0000_t202" style="position:absolute;margin-left:542.85000000000002pt;margin-top:821.39999999999998pt;width:3.3500000000000001pt;height:7.7000000000000002pt;z-index:-1887435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3700145</wp:posOffset>
              </wp:positionH>
              <wp:positionV relativeFrom="page">
                <wp:posOffset>9916160</wp:posOffset>
              </wp:positionV>
              <wp:extent cx="3209290" cy="146050"/>
              <wp:wrapNone/>
              <wp:docPr id="665" name="Shape 665"/>
              <a:graphic xmlns:a="http://schemas.openxmlformats.org/drawingml/2006/main">
                <a:graphicData uri="http://schemas.microsoft.com/office/word/2010/wordprocessingShape">
                  <wps:wsp>
                    <wps:cNvSpPr txBox="1"/>
                    <wps:spPr>
                      <a:xfrm>
                        <a:ext cx="3209290" cy="146050"/>
                      </a:xfrm>
                      <a:prstGeom prst="rect"/>
                      <a:noFill/>
                    </wps:spPr>
                    <wps:txbx>
                      <w:txbxContent>
                        <w:p>
                          <w:pPr>
                            <w:pStyle w:val="Style60"/>
                            <w:keepNext w:val="0"/>
                            <w:keepLines w:val="0"/>
                            <w:widowControl w:val="0"/>
                            <w:shd w:val="clear" w:color="auto" w:fill="auto"/>
                            <w:tabs>
                              <w:tab w:pos="50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cnini</w:t>
                          </w:r>
                          <w:r>
                            <w:rPr>
                              <w:rFonts w:ascii="Arial" w:eastAsia="Arial" w:hAnsi="Arial" w:cs="Arial"/>
                              <w:b/>
                              <w:bCs/>
                              <w:color w:val="D1D1D1"/>
                              <w:spacing w:val="0"/>
                              <w:w w:val="100"/>
                              <w:position w:val="0"/>
                              <w:sz w:val="38"/>
                              <w:szCs w:val="38"/>
                            </w:rPr>
                            <w:t>«</w:t>
                          </w:r>
                        </w:p>
                      </w:txbxContent>
                    </wps:txbx>
                    <wps:bodyPr lIns="0" tIns="0" rIns="0" bIns="0">
                      <a:spAutoFit/>
                    </wps:bodyPr>
                  </wps:wsp>
                </a:graphicData>
              </a:graphic>
            </wp:anchor>
          </w:drawing>
        </mc:Choice>
        <mc:Fallback>
          <w:pict>
            <v:shape id="_x0000_s1691" type="#_x0000_t202" style="position:absolute;margin-left:291.35000000000002pt;margin-top:780.80000000000007pt;width:252.70000000000002pt;height:11.5pt;z-index:-188743556;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50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cnini</w:t>
                    </w:r>
                    <w:r>
                      <w:rPr>
                        <w:rFonts w:ascii="Arial" w:eastAsia="Arial" w:hAnsi="Arial" w:cs="Arial"/>
                        <w:b/>
                        <w:bCs/>
                        <w:color w:val="D1D1D1"/>
                        <w:spacing w:val="0"/>
                        <w:w w:val="100"/>
                        <w:position w:val="0"/>
                        <w:sz w:val="38"/>
                        <w:szCs w:val="38"/>
                      </w:rPr>
                      <w:t>«</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3700145</wp:posOffset>
              </wp:positionH>
              <wp:positionV relativeFrom="page">
                <wp:posOffset>9916160</wp:posOffset>
              </wp:positionV>
              <wp:extent cx="3209290" cy="146050"/>
              <wp:wrapNone/>
              <wp:docPr id="670" name="Shape 670"/>
              <a:graphic xmlns:a="http://schemas.openxmlformats.org/drawingml/2006/main">
                <a:graphicData uri="http://schemas.microsoft.com/office/word/2010/wordprocessingShape">
                  <wps:wsp>
                    <wps:cNvSpPr txBox="1"/>
                    <wps:spPr>
                      <a:xfrm>
                        <a:ext cx="3209290" cy="146050"/>
                      </a:xfrm>
                      <a:prstGeom prst="rect"/>
                      <a:noFill/>
                    </wps:spPr>
                    <wps:txbx>
                      <w:txbxContent>
                        <w:p>
                          <w:pPr>
                            <w:pStyle w:val="Style60"/>
                            <w:keepNext w:val="0"/>
                            <w:keepLines w:val="0"/>
                            <w:widowControl w:val="0"/>
                            <w:shd w:val="clear" w:color="auto" w:fill="auto"/>
                            <w:tabs>
                              <w:tab w:pos="50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cnini</w:t>
                          </w:r>
                          <w:r>
                            <w:rPr>
                              <w:rFonts w:ascii="Arial" w:eastAsia="Arial" w:hAnsi="Arial" w:cs="Arial"/>
                              <w:b/>
                              <w:bCs/>
                              <w:color w:val="D1D1D1"/>
                              <w:spacing w:val="0"/>
                              <w:w w:val="100"/>
                              <w:position w:val="0"/>
                              <w:sz w:val="38"/>
                              <w:szCs w:val="38"/>
                            </w:rPr>
                            <w:t>«</w:t>
                          </w:r>
                        </w:p>
                      </w:txbxContent>
                    </wps:txbx>
                    <wps:bodyPr lIns="0" tIns="0" rIns="0" bIns="0">
                      <a:spAutoFit/>
                    </wps:bodyPr>
                  </wps:wsp>
                </a:graphicData>
              </a:graphic>
            </wp:anchor>
          </w:drawing>
        </mc:Choice>
        <mc:Fallback>
          <w:pict>
            <v:shape id="_x0000_s1696" type="#_x0000_t202" style="position:absolute;margin-left:291.35000000000002pt;margin-top:780.80000000000007pt;width:252.70000000000002pt;height:11.5pt;z-index:-188743552;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505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cnini</w:t>
                    </w:r>
                    <w:r>
                      <w:rPr>
                        <w:rFonts w:ascii="Arial" w:eastAsia="Arial" w:hAnsi="Arial" w:cs="Arial"/>
                        <w:b/>
                        <w:bCs/>
                        <w:color w:val="D1D1D1"/>
                        <w:spacing w:val="0"/>
                        <w:w w:val="100"/>
                        <w:position w:val="0"/>
                        <w:sz w:val="38"/>
                        <w:szCs w:val="38"/>
                      </w:rPr>
                      <w:t>«</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3703320</wp:posOffset>
              </wp:positionH>
              <wp:positionV relativeFrom="page">
                <wp:posOffset>9916160</wp:posOffset>
              </wp:positionV>
              <wp:extent cx="3133090" cy="146050"/>
              <wp:wrapNone/>
              <wp:docPr id="675" name="Shape 675"/>
              <a:graphic xmlns:a="http://schemas.openxmlformats.org/drawingml/2006/main">
                <a:graphicData uri="http://schemas.microsoft.com/office/word/2010/wordprocessingShape">
                  <wps:wsp>
                    <wps:cNvSpPr txBox="1"/>
                    <wps:spPr>
                      <a:xfrm>
                        <a:ext cx="3133090" cy="146050"/>
                      </a:xfrm>
                      <a:prstGeom prst="rect"/>
                      <a:noFill/>
                    </wps:spPr>
                    <wps:txbx>
                      <w:txbxContent>
                        <w:p>
                          <w:pPr>
                            <w:pStyle w:val="Style60"/>
                            <w:keepNext w:val="0"/>
                            <w:keepLines w:val="0"/>
                            <w:widowControl w:val="0"/>
                            <w:shd w:val="clear" w:color="auto" w:fill="auto"/>
                            <w:tabs>
                              <w:tab w:pos="493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cnini</w:t>
                          </w:r>
                        </w:p>
                      </w:txbxContent>
                    </wps:txbx>
                    <wps:bodyPr lIns="0" tIns="0" rIns="0" bIns="0">
                      <a:spAutoFit/>
                    </wps:bodyPr>
                  </wps:wsp>
                </a:graphicData>
              </a:graphic>
            </wp:anchor>
          </w:drawing>
        </mc:Choice>
        <mc:Fallback>
          <w:pict>
            <v:shape id="_x0000_s1701" type="#_x0000_t202" style="position:absolute;margin-left:291.60000000000002pt;margin-top:780.80000000000007pt;width:246.70000000000002pt;height:11.5pt;z-index:-188743548;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tabs>
                        <w:tab w:pos="4934"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Times New Roman" w:eastAsia="Times New Roman" w:hAnsi="Times New Roman" w:cs="Times New Roman"/>
                        <w:color w:val="000000"/>
                        <w:spacing w:val="0"/>
                        <w:w w:val="100"/>
                        <w:position w:val="0"/>
                        <w:sz w:val="18"/>
                        <w:szCs w:val="18"/>
                      </w:rPr>
                      <w:tab/>
                    </w:r>
                    <w:r>
                      <w:rPr>
                        <w:rFonts w:ascii="Arial" w:eastAsia="Arial" w:hAnsi="Arial" w:cs="Arial"/>
                        <w:b/>
                        <w:bCs/>
                        <w:color w:val="D1D1D1"/>
                        <w:spacing w:val="0"/>
                        <w:w w:val="100"/>
                        <w:position w:val="0"/>
                        <w:sz w:val="38"/>
                        <w:szCs w:val="38"/>
                      </w:rPr>
                      <w:t>cnini</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3662045</wp:posOffset>
              </wp:positionH>
              <wp:positionV relativeFrom="page">
                <wp:posOffset>9978390</wp:posOffset>
              </wp:positionV>
              <wp:extent cx="103505" cy="79375"/>
              <wp:wrapNone/>
              <wp:docPr id="680" name="Shape 6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288.35000000000002pt;margin-top:785.70000000000005pt;width:8.1500000000000004pt;height:6.25pt;z-index:-18874354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1" behindDoc="1" locked="0" layoutInCell="1" allowOverlap="1">
              <wp:simplePos x="0" y="0"/>
              <wp:positionH relativeFrom="page">
                <wp:posOffset>6911340</wp:posOffset>
              </wp:positionH>
              <wp:positionV relativeFrom="page">
                <wp:posOffset>10460355</wp:posOffset>
              </wp:positionV>
              <wp:extent cx="45720" cy="97790"/>
              <wp:wrapNone/>
              <wp:docPr id="682" name="Shape 6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8" type="#_x0000_t202" style="position:absolute;margin-left:544.20000000000005pt;margin-top:823.64999999999998pt;width:3.6000000000000001pt;height:7.7000000000000002pt;z-index:-1887435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3662045</wp:posOffset>
              </wp:positionH>
              <wp:positionV relativeFrom="page">
                <wp:posOffset>9978390</wp:posOffset>
              </wp:positionV>
              <wp:extent cx="103505" cy="79375"/>
              <wp:wrapNone/>
              <wp:docPr id="687" name="Shape 6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288.35000000000002pt;margin-top:785.70000000000005pt;width:8.1500000000000004pt;height:6.25pt;z-index:-1887435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7" behindDoc="1" locked="0" layoutInCell="1" allowOverlap="1">
              <wp:simplePos x="0" y="0"/>
              <wp:positionH relativeFrom="page">
                <wp:posOffset>6911340</wp:posOffset>
              </wp:positionH>
              <wp:positionV relativeFrom="page">
                <wp:posOffset>10460355</wp:posOffset>
              </wp:positionV>
              <wp:extent cx="45720" cy="97790"/>
              <wp:wrapNone/>
              <wp:docPr id="689" name="Shape 6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5" type="#_x0000_t202" style="position:absolute;margin-left:544.20000000000005pt;margin-top:823.64999999999998pt;width:3.6000000000000001pt;height:7.7000000000000002pt;z-index:-1887435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485775</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4.25pt;margin-top:38.25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4504690</wp:posOffset>
              </wp:positionH>
              <wp:positionV relativeFrom="page">
                <wp:posOffset>561340</wp:posOffset>
              </wp:positionV>
              <wp:extent cx="2334895" cy="106680"/>
              <wp:wrapNone/>
              <wp:docPr id="64" name="Shape 6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0" type="#_x0000_t202" style="position:absolute;margin-left:354.69999999999999pt;margin-top:44.200000000000003pt;width:183.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4498975</wp:posOffset>
              </wp:positionH>
              <wp:positionV relativeFrom="page">
                <wp:posOffset>485775</wp:posOffset>
              </wp:positionV>
              <wp:extent cx="2334895" cy="106680"/>
              <wp:wrapNone/>
              <wp:docPr id="691" name="Shape 6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7" type="#_x0000_t202" style="position:absolute;margin-left:354.25pt;margin-top:38.25pt;width:183.84999999999999pt;height:8.4000000000000004pt;z-index:-18874353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693" name="Shape 6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4498975</wp:posOffset>
              </wp:positionH>
              <wp:positionV relativeFrom="page">
                <wp:posOffset>485775</wp:posOffset>
              </wp:positionV>
              <wp:extent cx="2334895" cy="106680"/>
              <wp:wrapNone/>
              <wp:docPr id="696" name="Shape 6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2" type="#_x0000_t202" style="position:absolute;margin-left:354.25pt;margin-top:38.25pt;width:183.84999999999999pt;height:8.4000000000000004pt;z-index:-18874353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4510405</wp:posOffset>
              </wp:positionH>
              <wp:positionV relativeFrom="page">
                <wp:posOffset>561340</wp:posOffset>
              </wp:positionV>
              <wp:extent cx="2334895" cy="106680"/>
              <wp:wrapNone/>
              <wp:docPr id="702" name="Shape 7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8" type="#_x0000_t202" style="position:absolute;margin-left:355.15000000000003pt;margin-top:44.200000000000003pt;width:183.84999999999999pt;height:8.4000000000000004pt;z-index:-1887435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704" name="Shape 7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4510405</wp:posOffset>
              </wp:positionH>
              <wp:positionV relativeFrom="page">
                <wp:posOffset>561340</wp:posOffset>
              </wp:positionV>
              <wp:extent cx="2334895" cy="106680"/>
              <wp:wrapNone/>
              <wp:docPr id="709" name="Shape 7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5" type="#_x0000_t202" style="position:absolute;margin-left:355.15000000000003pt;margin-top:44.200000000000003pt;width:183.84999999999999pt;height:8.4000000000000004pt;z-index:-1887435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711" name="Shape 7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4476750</wp:posOffset>
              </wp:positionH>
              <wp:positionV relativeFrom="page">
                <wp:posOffset>485775</wp:posOffset>
              </wp:positionV>
              <wp:extent cx="2334895" cy="106680"/>
              <wp:wrapNone/>
              <wp:docPr id="716" name="Shape 7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2" type="#_x0000_t202" style="position:absolute;margin-left:352.5pt;margin-top:38.25pt;width:183.84999999999999pt;height:8.4000000000000004pt;z-index:-18874351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4498975</wp:posOffset>
              </wp:positionH>
              <wp:positionV relativeFrom="page">
                <wp:posOffset>485775</wp:posOffset>
              </wp:positionV>
              <wp:extent cx="2334895" cy="106680"/>
              <wp:wrapNone/>
              <wp:docPr id="723" name="Shape 7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9" type="#_x0000_t202" style="position:absolute;margin-left:354.25pt;margin-top:38.25pt;width:183.84999999999999pt;height:8.4000000000000004pt;z-index:-18874350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725" name="Shape 7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4498975</wp:posOffset>
              </wp:positionH>
              <wp:positionV relativeFrom="page">
                <wp:posOffset>485775</wp:posOffset>
              </wp:positionV>
              <wp:extent cx="2334895" cy="106680"/>
              <wp:wrapNone/>
              <wp:docPr id="728" name="Shape 7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54" type="#_x0000_t202" style="position:absolute;margin-left:354.25pt;margin-top:38.25pt;width:183.84999999999999pt;height:8.4000000000000004pt;z-index:-18874350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730" name="Shape 7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4476750</wp:posOffset>
              </wp:positionH>
              <wp:positionV relativeFrom="page">
                <wp:posOffset>485775</wp:posOffset>
              </wp:positionV>
              <wp:extent cx="2334895" cy="106680"/>
              <wp:wrapNone/>
              <wp:docPr id="734" name="Shape 7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0" type="#_x0000_t202" style="position:absolute;margin-left:352.5pt;margin-top:38.25pt;width:183.84999999999999pt;height:8.4000000000000004pt;z-index:-1887435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36" name="Shape 7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4476750</wp:posOffset>
              </wp:positionH>
              <wp:positionV relativeFrom="page">
                <wp:posOffset>485775</wp:posOffset>
              </wp:positionV>
              <wp:extent cx="2334895" cy="106680"/>
              <wp:wrapNone/>
              <wp:docPr id="741" name="Shape 7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7" type="#_x0000_t202" style="position:absolute;margin-left:352.5pt;margin-top:38.25pt;width:183.84999999999999pt;height:8.4000000000000004pt;z-index:-18874349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43" name="Shape 7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4498975</wp:posOffset>
              </wp:positionH>
              <wp:positionV relativeFrom="page">
                <wp:posOffset>485775</wp:posOffset>
              </wp:positionV>
              <wp:extent cx="2334895" cy="106680"/>
              <wp:wrapNone/>
              <wp:docPr id="748" name="Shape 7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74" type="#_x0000_t202" style="position:absolute;margin-left:354.25pt;margin-top:38.25pt;width:183.84999999999999pt;height:8.4000000000000004pt;z-index:-18874348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750" name="Shape 7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4504690</wp:posOffset>
              </wp:positionH>
              <wp:positionV relativeFrom="page">
                <wp:posOffset>561340</wp:posOffset>
              </wp:positionV>
              <wp:extent cx="2334895" cy="106680"/>
              <wp:wrapNone/>
              <wp:docPr id="71" name="Shape 7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7" type="#_x0000_t202" style="position:absolute;margin-left:354.69999999999999pt;margin-top:44.200000000000003pt;width:183.8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4476750</wp:posOffset>
              </wp:positionH>
              <wp:positionV relativeFrom="page">
                <wp:posOffset>485775</wp:posOffset>
              </wp:positionV>
              <wp:extent cx="2334895" cy="106680"/>
              <wp:wrapNone/>
              <wp:docPr id="753" name="Shape 75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9" type="#_x0000_t202" style="position:absolute;margin-left:352.5pt;margin-top:38.25pt;width:183.84999999999999pt;height:8.4000000000000004pt;z-index:-18874348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55" name="Shape 7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4476750</wp:posOffset>
              </wp:positionH>
              <wp:positionV relativeFrom="page">
                <wp:posOffset>485775</wp:posOffset>
              </wp:positionV>
              <wp:extent cx="2334895" cy="106680"/>
              <wp:wrapNone/>
              <wp:docPr id="761" name="Shape 7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7" type="#_x0000_t202" style="position:absolute;margin-left:352.5pt;margin-top:38.25pt;width:183.84999999999999pt;height:8.4000000000000004pt;z-index:-1887434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63" name="Shape 7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4500245</wp:posOffset>
              </wp:positionH>
              <wp:positionV relativeFrom="page">
                <wp:posOffset>561340</wp:posOffset>
              </wp:positionV>
              <wp:extent cx="2334895" cy="106680"/>
              <wp:wrapNone/>
              <wp:docPr id="768" name="Shape 7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4" type="#_x0000_t202" style="position:absolute;margin-left:354.35000000000002pt;margin-top:44.200000000000003pt;width:183.84999999999999pt;height:8.4000000000000004pt;z-index:-18874347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770" name="Shape 7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4498975</wp:posOffset>
              </wp:positionH>
              <wp:positionV relativeFrom="page">
                <wp:posOffset>485775</wp:posOffset>
              </wp:positionV>
              <wp:extent cx="2334895" cy="106680"/>
              <wp:wrapNone/>
              <wp:docPr id="775" name="Shape 7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1" type="#_x0000_t202" style="position:absolute;margin-left:354.25pt;margin-top:38.25pt;width:183.84999999999999pt;height:8.4000000000000004pt;z-index:-18874346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777" name="Shape 7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4476750</wp:posOffset>
              </wp:positionH>
              <wp:positionV relativeFrom="page">
                <wp:posOffset>485775</wp:posOffset>
              </wp:positionV>
              <wp:extent cx="2334895" cy="106680"/>
              <wp:wrapNone/>
              <wp:docPr id="780" name="Shape 7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6" type="#_x0000_t202" style="position:absolute;margin-left:352.5pt;margin-top:38.25pt;width:183.84999999999999pt;height:8.4000000000000004pt;z-index:-18874346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82" name="Shape 7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4476750</wp:posOffset>
              </wp:positionH>
              <wp:positionV relativeFrom="page">
                <wp:posOffset>485775</wp:posOffset>
              </wp:positionV>
              <wp:extent cx="2334895" cy="106680"/>
              <wp:wrapNone/>
              <wp:docPr id="787" name="Shape 7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3" type="#_x0000_t202" style="position:absolute;margin-left:352.5pt;margin-top:38.25pt;width:183.84999999999999pt;height:8.4000000000000004pt;z-index:-1887434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89" name="Shape 7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4476750</wp:posOffset>
              </wp:positionH>
              <wp:positionV relativeFrom="page">
                <wp:posOffset>485775</wp:posOffset>
              </wp:positionV>
              <wp:extent cx="2334895" cy="106680"/>
              <wp:wrapNone/>
              <wp:docPr id="794" name="Shape 7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0" type="#_x0000_t202" style="position:absolute;margin-left:352.5pt;margin-top:38.25pt;width:183.84999999999999pt;height:8.4000000000000004pt;z-index:-1887434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796" name="Shape 7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4498975</wp:posOffset>
              </wp:positionH>
              <wp:positionV relativeFrom="page">
                <wp:posOffset>485775</wp:posOffset>
              </wp:positionV>
              <wp:extent cx="2334895" cy="106680"/>
              <wp:wrapNone/>
              <wp:docPr id="801" name="Shape 8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7" type="#_x0000_t202" style="position:absolute;margin-left:354.25pt;margin-top:38.25pt;width:183.84999999999999pt;height:8.4000000000000004pt;z-index:-18874344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4498975</wp:posOffset>
              </wp:positionH>
              <wp:positionV relativeFrom="page">
                <wp:posOffset>485775</wp:posOffset>
              </wp:positionV>
              <wp:extent cx="2334895" cy="106680"/>
              <wp:wrapNone/>
              <wp:docPr id="806" name="Shape 80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2" type="#_x0000_t202" style="position:absolute;margin-left:354.25pt;margin-top:38.25pt;width:183.84999999999999pt;height:8.4000000000000004pt;z-index:-18874344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808" name="Shape 8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4512945</wp:posOffset>
              </wp:positionH>
              <wp:positionV relativeFrom="page">
                <wp:posOffset>485775</wp:posOffset>
              </wp:positionV>
              <wp:extent cx="2334895" cy="106680"/>
              <wp:wrapNone/>
              <wp:docPr id="812" name="Shape 8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8" type="#_x0000_t202" style="position:absolute;margin-left:355.35000000000002pt;margin-top:38.25pt;width:183.84999999999999pt;height:8.4000000000000004pt;z-index:-18874343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756920</wp:posOffset>
              </wp:positionV>
              <wp:extent cx="6163310" cy="0"/>
              <wp:wrapNone/>
              <wp:docPr id="814" name="Shape 8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9.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4498975</wp:posOffset>
              </wp:positionH>
              <wp:positionV relativeFrom="page">
                <wp:posOffset>559435</wp:posOffset>
              </wp:positionV>
              <wp:extent cx="2334895" cy="106680"/>
              <wp:wrapNone/>
              <wp:docPr id="78" name="Shape 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4" type="#_x0000_t202" style="position:absolute;margin-left:354.25pt;margin-top:44.050000000000004pt;width:183.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4512945</wp:posOffset>
              </wp:positionH>
              <wp:positionV relativeFrom="page">
                <wp:posOffset>485775</wp:posOffset>
              </wp:positionV>
              <wp:extent cx="2334895" cy="106680"/>
              <wp:wrapNone/>
              <wp:docPr id="819" name="Shape 8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5" type="#_x0000_t202" style="position:absolute;margin-left:355.35000000000002pt;margin-top:38.25pt;width:183.84999999999999pt;height:8.4000000000000004pt;z-index:-18874343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756920</wp:posOffset>
              </wp:positionV>
              <wp:extent cx="6163310" cy="0"/>
              <wp:wrapNone/>
              <wp:docPr id="821" name="Shape 8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9.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4479925</wp:posOffset>
              </wp:positionH>
              <wp:positionV relativeFrom="page">
                <wp:posOffset>423545</wp:posOffset>
              </wp:positionV>
              <wp:extent cx="2334895" cy="106680"/>
              <wp:wrapNone/>
              <wp:docPr id="826" name="Shape 8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2" type="#_x0000_t202" style="position:absolute;margin-left:352.75pt;margin-top:33.350000000000001pt;width:183.84999999999999pt;height:8.4000000000000004pt;z-index:-18874342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589280</wp:posOffset>
              </wp:positionV>
              <wp:extent cx="6163310" cy="0"/>
              <wp:wrapNone/>
              <wp:docPr id="828" name="Shape 8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6.399999999999999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4479925</wp:posOffset>
              </wp:positionH>
              <wp:positionV relativeFrom="page">
                <wp:posOffset>423545</wp:posOffset>
              </wp:positionV>
              <wp:extent cx="2334895" cy="106680"/>
              <wp:wrapNone/>
              <wp:docPr id="829" name="Shape 8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5" type="#_x0000_t202" style="position:absolute;margin-left:352.75pt;margin-top:33.350000000000001pt;width:183.84999999999999pt;height:8.4000000000000004pt;z-index:-1887434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589280</wp:posOffset>
              </wp:positionV>
              <wp:extent cx="6163310" cy="0"/>
              <wp:wrapNone/>
              <wp:docPr id="831" name="Shape 8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6.399999999999999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3" behindDoc="1" locked="0" layoutInCell="1" allowOverlap="1">
              <wp:simplePos x="0" y="0"/>
              <wp:positionH relativeFrom="page">
                <wp:posOffset>4503420</wp:posOffset>
              </wp:positionH>
              <wp:positionV relativeFrom="page">
                <wp:posOffset>713105</wp:posOffset>
              </wp:positionV>
              <wp:extent cx="2334895" cy="106680"/>
              <wp:wrapNone/>
              <wp:docPr id="832" name="Shape 83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8" type="#_x0000_t202" style="position:absolute;margin-left:354.60000000000002pt;margin-top:56.149999999999999pt;width:183.84999999999999pt;height:8.4000000000000004pt;z-index:-1887434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857250</wp:posOffset>
              </wp:positionV>
              <wp:extent cx="6163310" cy="0"/>
              <wp:wrapNone/>
              <wp:docPr id="834" name="Shape 8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7.5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4476750</wp:posOffset>
              </wp:positionH>
              <wp:positionV relativeFrom="page">
                <wp:posOffset>485775</wp:posOffset>
              </wp:positionV>
              <wp:extent cx="2334895" cy="106680"/>
              <wp:wrapNone/>
              <wp:docPr id="841" name="Shape 8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7" type="#_x0000_t202" style="position:absolute;margin-left:352.5pt;margin-top:38.25pt;width:183.84999999999999pt;height:8.4000000000000004pt;z-index:-1887434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843" name="Shape 8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4501515</wp:posOffset>
              </wp:positionH>
              <wp:positionV relativeFrom="page">
                <wp:posOffset>485775</wp:posOffset>
              </wp:positionV>
              <wp:extent cx="2334895" cy="106680"/>
              <wp:wrapNone/>
              <wp:docPr id="848" name="Shape 8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4" type="#_x0000_t202" style="position:absolute;margin-left:354.44999999999999pt;margin-top:38.25pt;width:183.84999999999999pt;height:8.4000000000000004pt;z-index:-18874340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630555</wp:posOffset>
              </wp:positionV>
              <wp:extent cx="6163310" cy="0"/>
              <wp:wrapNone/>
              <wp:docPr id="850" name="Shape 8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49.649999999999999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4501515</wp:posOffset>
              </wp:positionH>
              <wp:positionV relativeFrom="page">
                <wp:posOffset>485775</wp:posOffset>
              </wp:positionV>
              <wp:extent cx="2334895" cy="106680"/>
              <wp:wrapNone/>
              <wp:docPr id="855" name="Shape 8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1" type="#_x0000_t202" style="position:absolute;margin-left:354.44999999999999pt;margin-top:38.25pt;width:183.84999999999999pt;height:8.4000000000000004pt;z-index:-1887434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630555</wp:posOffset>
              </wp:positionV>
              <wp:extent cx="6163310" cy="0"/>
              <wp:wrapNone/>
              <wp:docPr id="857" name="Shape 8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49.649999999999999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4512945</wp:posOffset>
              </wp:positionH>
              <wp:positionV relativeFrom="page">
                <wp:posOffset>485775</wp:posOffset>
              </wp:positionV>
              <wp:extent cx="2334895" cy="106680"/>
              <wp:wrapNone/>
              <wp:docPr id="862" name="Shape 8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8" type="#_x0000_t202" style="position:absolute;margin-left:355.35000000000002pt;margin-top:38.25pt;width:183.84999999999999pt;height:8.4000000000000004pt;z-index:-18874339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756920</wp:posOffset>
              </wp:positionV>
              <wp:extent cx="6163310" cy="0"/>
              <wp:wrapNone/>
              <wp:docPr id="864" name="Shape 8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9.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4476750</wp:posOffset>
              </wp:positionH>
              <wp:positionV relativeFrom="page">
                <wp:posOffset>485775</wp:posOffset>
              </wp:positionV>
              <wp:extent cx="2334895" cy="106680"/>
              <wp:wrapNone/>
              <wp:docPr id="869" name="Shape 86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5" type="#_x0000_t202" style="position:absolute;margin-left:352.5pt;margin-top:38.25pt;width:183.84999999999999pt;height:8.4000000000000004pt;z-index:-18874338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871" name="Shape 8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4476750</wp:posOffset>
              </wp:positionH>
              <wp:positionV relativeFrom="page">
                <wp:posOffset>485775</wp:posOffset>
              </wp:positionV>
              <wp:extent cx="2334895" cy="106680"/>
              <wp:wrapNone/>
              <wp:docPr id="876" name="Shape 87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2" type="#_x0000_t202" style="position:absolute;margin-left:352.5pt;margin-top:38.25pt;width:183.84999999999999pt;height:8.4000000000000004pt;z-index:-18874338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878" name="Shape 8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4500245</wp:posOffset>
              </wp:positionH>
              <wp:positionV relativeFrom="page">
                <wp:posOffset>561340</wp:posOffset>
              </wp:positionV>
              <wp:extent cx="2334895" cy="106680"/>
              <wp:wrapNone/>
              <wp:docPr id="85" name="Shape 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1" type="#_x0000_t202" style="position:absolute;margin-left:354.35000000000002pt;margin-top:44.200000000000003pt;width:183.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4497070</wp:posOffset>
              </wp:positionH>
              <wp:positionV relativeFrom="page">
                <wp:posOffset>485775</wp:posOffset>
              </wp:positionV>
              <wp:extent cx="2334895" cy="106680"/>
              <wp:wrapNone/>
              <wp:docPr id="883" name="Shape 88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9" type="#_x0000_t202" style="position:absolute;margin-left:354.10000000000002pt;margin-top:38.25pt;width:183.84999999999999pt;height:8.4000000000000004pt;z-index:-18874337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630555</wp:posOffset>
              </wp:positionV>
              <wp:extent cx="6163310" cy="0"/>
              <wp:wrapNone/>
              <wp:docPr id="885" name="Shape 8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649999999999999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4468495</wp:posOffset>
              </wp:positionH>
              <wp:positionV relativeFrom="page">
                <wp:posOffset>485775</wp:posOffset>
              </wp:positionV>
              <wp:extent cx="2334895" cy="106680"/>
              <wp:wrapNone/>
              <wp:docPr id="890" name="Shape 89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6" type="#_x0000_t202" style="position:absolute;margin-left:351.85000000000002pt;margin-top:38.25pt;width:183.84999999999999pt;height:8.4000000000000004pt;z-index:-1887433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630555</wp:posOffset>
              </wp:positionV>
              <wp:extent cx="6163310" cy="0"/>
              <wp:wrapNone/>
              <wp:docPr id="892" name="Shape 8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00000000000004pt;margin-top:49.649999999999999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4498975</wp:posOffset>
              </wp:positionH>
              <wp:positionV relativeFrom="page">
                <wp:posOffset>485775</wp:posOffset>
              </wp:positionV>
              <wp:extent cx="2334895" cy="106680"/>
              <wp:wrapNone/>
              <wp:docPr id="895" name="Shape 89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21" type="#_x0000_t202" style="position:absolute;margin-left:354.25pt;margin-top:38.25pt;width:183.84999999999999pt;height:8.4000000000000004pt;z-index:-18874336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897" name="Shape 8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1" behindDoc="1" locked="0" layoutInCell="1" allowOverlap="1">
              <wp:simplePos x="0" y="0"/>
              <wp:positionH relativeFrom="page">
                <wp:posOffset>4476750</wp:posOffset>
              </wp:positionH>
              <wp:positionV relativeFrom="page">
                <wp:posOffset>485775</wp:posOffset>
              </wp:positionV>
              <wp:extent cx="2334895" cy="106680"/>
              <wp:wrapNone/>
              <wp:docPr id="900" name="Shape 9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6" type="#_x0000_t202" style="position:absolute;margin-left:352.5pt;margin-top:38.25pt;width:183.84999999999999pt;height:8.4000000000000004pt;z-index:-18874336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902" name="Shape 9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7" behindDoc="1" locked="0" layoutInCell="1" allowOverlap="1">
              <wp:simplePos x="0" y="0"/>
              <wp:positionH relativeFrom="page">
                <wp:posOffset>4498975</wp:posOffset>
              </wp:positionH>
              <wp:positionV relativeFrom="page">
                <wp:posOffset>485775</wp:posOffset>
              </wp:positionV>
              <wp:extent cx="2334895" cy="106680"/>
              <wp:wrapNone/>
              <wp:docPr id="907" name="Shape 9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33" type="#_x0000_t202" style="position:absolute;margin-left:354.25pt;margin-top:38.25pt;width:183.84999999999999pt;height:8.4000000000000004pt;z-index:-18874335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909" name="Shape 9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4497070</wp:posOffset>
              </wp:positionH>
              <wp:positionV relativeFrom="page">
                <wp:posOffset>485775</wp:posOffset>
              </wp:positionV>
              <wp:extent cx="2334895" cy="106680"/>
              <wp:wrapNone/>
              <wp:docPr id="912" name="Shape 9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8" type="#_x0000_t202" style="position:absolute;margin-left:354.10000000000002pt;margin-top:38.25pt;width:183.84999999999999pt;height:8.4000000000000004pt;z-index:-18874335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630555</wp:posOffset>
              </wp:positionV>
              <wp:extent cx="6163310" cy="0"/>
              <wp:wrapNone/>
              <wp:docPr id="914" name="Shape 9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649999999999999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4497070</wp:posOffset>
              </wp:positionH>
              <wp:positionV relativeFrom="page">
                <wp:posOffset>485775</wp:posOffset>
              </wp:positionV>
              <wp:extent cx="2334895" cy="106680"/>
              <wp:wrapNone/>
              <wp:docPr id="919" name="Shape 9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5" type="#_x0000_t202" style="position:absolute;margin-left:354.10000000000002pt;margin-top:38.25pt;width:183.84999999999999pt;height:8.4000000000000004pt;z-index:-1887433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630555</wp:posOffset>
              </wp:positionV>
              <wp:extent cx="6163310" cy="0"/>
              <wp:wrapNone/>
              <wp:docPr id="921" name="Shape 9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649999999999999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3" behindDoc="1" locked="0" layoutInCell="1" allowOverlap="1">
              <wp:simplePos x="0" y="0"/>
              <wp:positionH relativeFrom="page">
                <wp:posOffset>4497070</wp:posOffset>
              </wp:positionH>
              <wp:positionV relativeFrom="page">
                <wp:posOffset>485775</wp:posOffset>
              </wp:positionV>
              <wp:extent cx="2334895" cy="106680"/>
              <wp:wrapNone/>
              <wp:docPr id="926" name="Shape 92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2" type="#_x0000_t202" style="position:absolute;margin-left:354.10000000000002pt;margin-top:38.25pt;width:183.84999999999999pt;height:8.4000000000000004pt;z-index:-18874334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630555</wp:posOffset>
              </wp:positionV>
              <wp:extent cx="6163310" cy="0"/>
              <wp:wrapNone/>
              <wp:docPr id="928" name="Shape 9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649999999999999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4476750</wp:posOffset>
              </wp:positionH>
              <wp:positionV relativeFrom="page">
                <wp:posOffset>485775</wp:posOffset>
              </wp:positionV>
              <wp:extent cx="2334895" cy="106680"/>
              <wp:wrapNone/>
              <wp:docPr id="933" name="Shape 93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9" type="#_x0000_t202" style="position:absolute;margin-left:352.5pt;margin-top:38.25pt;width:183.84999999999999pt;height:8.4000000000000004pt;z-index:-1887433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935" name="Shape 9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4498975</wp:posOffset>
              </wp:positionH>
              <wp:positionV relativeFrom="page">
                <wp:posOffset>485775</wp:posOffset>
              </wp:positionV>
              <wp:extent cx="2334895" cy="106680"/>
              <wp:wrapNone/>
              <wp:docPr id="940" name="Shape 9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66" type="#_x0000_t202" style="position:absolute;margin-left:354.25pt;margin-top:38.25pt;width:183.84999999999999pt;height:8.4000000000000004pt;z-index:-18874332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942" name="Shape 9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4500245</wp:posOffset>
              </wp:positionH>
              <wp:positionV relativeFrom="page">
                <wp:posOffset>561340</wp:posOffset>
              </wp:positionV>
              <wp:extent cx="2334895" cy="106680"/>
              <wp:wrapNone/>
              <wp:docPr id="92" name="Shape 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8" type="#_x0000_t202" style="position:absolute;margin-left:354.35000000000002pt;margin-top:44.200000000000003pt;width:183.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4498975</wp:posOffset>
              </wp:positionH>
              <wp:positionV relativeFrom="page">
                <wp:posOffset>485775</wp:posOffset>
              </wp:positionV>
              <wp:extent cx="2334895" cy="106680"/>
              <wp:wrapNone/>
              <wp:docPr id="945" name="Shape 9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1" type="#_x0000_t202" style="position:absolute;margin-left:354.25pt;margin-top:38.25pt;width:183.84999999999999pt;height:8.4000000000000004pt;z-index:-18874332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947" name="Shape 9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4498975</wp:posOffset>
              </wp:positionH>
              <wp:positionV relativeFrom="page">
                <wp:posOffset>485775</wp:posOffset>
              </wp:positionV>
              <wp:extent cx="2334895" cy="106680"/>
              <wp:wrapNone/>
              <wp:docPr id="99" name="Shape 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5" type="#_x0000_t202" style="position:absolute;margin-left:354.25pt;margin-top:38.25pt;width:183.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101" name="Shape 1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4498975</wp:posOffset>
              </wp:positionH>
              <wp:positionV relativeFrom="page">
                <wp:posOffset>485775</wp:posOffset>
              </wp:positionV>
              <wp:extent cx="2334895" cy="106680"/>
              <wp:wrapNone/>
              <wp:docPr id="104" name="Shape 1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0" type="#_x0000_t202" style="position:absolute;margin-left:354.25pt;margin-top:38.25pt;width:183.84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106" name="Shape 1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4498975</wp:posOffset>
              </wp:positionH>
              <wp:positionV relativeFrom="page">
                <wp:posOffset>559435</wp:posOffset>
              </wp:positionV>
              <wp:extent cx="2334895" cy="106680"/>
              <wp:wrapNone/>
              <wp:docPr id="110" name="Shape 1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6" type="#_x0000_t202" style="position:absolute;margin-left:354.25pt;margin-top:44.050000000000004pt;width:183.84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4504690</wp:posOffset>
              </wp:positionH>
              <wp:positionV relativeFrom="page">
                <wp:posOffset>561340</wp:posOffset>
              </wp:positionV>
              <wp:extent cx="2334895" cy="106680"/>
              <wp:wrapNone/>
              <wp:docPr id="117" name="Shape 11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3" type="#_x0000_t202" style="position:absolute;margin-left:354.69999999999999pt;margin-top:44.200000000000003pt;width:183.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4500245</wp:posOffset>
              </wp:positionH>
              <wp:positionV relativeFrom="page">
                <wp:posOffset>561340</wp:posOffset>
              </wp:positionV>
              <wp:extent cx="2334895" cy="106680"/>
              <wp:wrapNone/>
              <wp:docPr id="124" name="Shape 1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0" type="#_x0000_t202" style="position:absolute;margin-left:354.35000000000002pt;margin-top:44.200000000000003pt;width:183.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485775</wp:posOffset>
              </wp:positionV>
              <wp:extent cx="2334895" cy="106680"/>
              <wp:wrapNone/>
              <wp:docPr id="6" name="Shape 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54.25pt;margin-top:38.25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4500245</wp:posOffset>
              </wp:positionH>
              <wp:positionV relativeFrom="page">
                <wp:posOffset>561340</wp:posOffset>
              </wp:positionV>
              <wp:extent cx="2334895" cy="106680"/>
              <wp:wrapNone/>
              <wp:docPr id="131" name="Shape 1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7" type="#_x0000_t202" style="position:absolute;margin-left:354.35000000000002pt;margin-top:44.200000000000003pt;width:183.8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4498975</wp:posOffset>
              </wp:positionH>
              <wp:positionV relativeFrom="page">
                <wp:posOffset>559435</wp:posOffset>
              </wp:positionV>
              <wp:extent cx="2334895" cy="106680"/>
              <wp:wrapNone/>
              <wp:docPr id="138" name="Shape 1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54.25pt;margin-top:44.050000000000004pt;width:183.84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4498975</wp:posOffset>
              </wp:positionH>
              <wp:positionV relativeFrom="page">
                <wp:posOffset>559435</wp:posOffset>
              </wp:positionV>
              <wp:extent cx="2334895" cy="106680"/>
              <wp:wrapNone/>
              <wp:docPr id="145" name="Shape 1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1" type="#_x0000_t202" style="position:absolute;margin-left:354.25pt;margin-top:44.050000000000004pt;width:183.84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4504690</wp:posOffset>
              </wp:positionH>
              <wp:positionV relativeFrom="page">
                <wp:posOffset>561340</wp:posOffset>
              </wp:positionV>
              <wp:extent cx="2334895" cy="106680"/>
              <wp:wrapNone/>
              <wp:docPr id="152" name="Shape 15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8" type="#_x0000_t202" style="position:absolute;margin-left:354.69999999999999pt;margin-top:44.200000000000003pt;width:183.84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54" name="Shape 1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4500245</wp:posOffset>
              </wp:positionH>
              <wp:positionV relativeFrom="page">
                <wp:posOffset>561340</wp:posOffset>
              </wp:positionV>
              <wp:extent cx="2334895" cy="106680"/>
              <wp:wrapNone/>
              <wp:docPr id="159" name="Shape 15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5" type="#_x0000_t202" style="position:absolute;margin-left:354.35000000000002pt;margin-top:44.200000000000003pt;width:183.8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61" name="Shape 1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4500245</wp:posOffset>
              </wp:positionH>
              <wp:positionV relativeFrom="page">
                <wp:posOffset>561340</wp:posOffset>
              </wp:positionV>
              <wp:extent cx="2334895" cy="106680"/>
              <wp:wrapNone/>
              <wp:docPr id="166" name="Shape 16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2" type="#_x0000_t202" style="position:absolute;margin-left:354.35000000000002pt;margin-top:44.200000000000003pt;width:183.84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4504690</wp:posOffset>
              </wp:positionH>
              <wp:positionV relativeFrom="page">
                <wp:posOffset>561340</wp:posOffset>
              </wp:positionV>
              <wp:extent cx="2334895" cy="106680"/>
              <wp:wrapNone/>
              <wp:docPr id="173" name="Shape 17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9" type="#_x0000_t202" style="position:absolute;margin-left:354.69999999999999pt;margin-top:44.200000000000003pt;width:183.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4498975</wp:posOffset>
              </wp:positionH>
              <wp:positionV relativeFrom="page">
                <wp:posOffset>485775</wp:posOffset>
              </wp:positionV>
              <wp:extent cx="2334895" cy="106680"/>
              <wp:wrapNone/>
              <wp:docPr id="180" name="Shape 18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6" type="#_x0000_t202" style="position:absolute;margin-left:354.25pt;margin-top:38.25pt;width:183.84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4498975</wp:posOffset>
              </wp:positionH>
              <wp:positionV relativeFrom="page">
                <wp:posOffset>485775</wp:posOffset>
              </wp:positionV>
              <wp:extent cx="2334895" cy="106680"/>
              <wp:wrapNone/>
              <wp:docPr id="185" name="Shape 18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1" type="#_x0000_t202" style="position:absolute;margin-left:354.25pt;margin-top:38.25pt;width:183.84999999999999pt;height:8.4000000000000004pt;z-index:-1887439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4500245</wp:posOffset>
              </wp:positionH>
              <wp:positionV relativeFrom="page">
                <wp:posOffset>561340</wp:posOffset>
              </wp:positionV>
              <wp:extent cx="2334895" cy="106680"/>
              <wp:wrapNone/>
              <wp:docPr id="191" name="Shape 19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7" type="#_x0000_t202" style="position:absolute;margin-left:354.35000000000002pt;margin-top:44.200000000000003pt;width:183.84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4498975</wp:posOffset>
              </wp:positionH>
              <wp:positionV relativeFrom="page">
                <wp:posOffset>559435</wp:posOffset>
              </wp:positionV>
              <wp:extent cx="2334895" cy="106680"/>
              <wp:wrapNone/>
              <wp:docPr id="15" name="Shape 1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1" type="#_x0000_t202" style="position:absolute;margin-left:354.25pt;margin-top:44.050000000000004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4500245</wp:posOffset>
              </wp:positionH>
              <wp:positionV relativeFrom="page">
                <wp:posOffset>561340</wp:posOffset>
              </wp:positionV>
              <wp:extent cx="2334895" cy="106680"/>
              <wp:wrapNone/>
              <wp:docPr id="198" name="Shape 19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54.35000000000002pt;margin-top:44.200000000000003pt;width:183.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4504690</wp:posOffset>
              </wp:positionH>
              <wp:positionV relativeFrom="page">
                <wp:posOffset>561340</wp:posOffset>
              </wp:positionV>
              <wp:extent cx="2334895" cy="106680"/>
              <wp:wrapNone/>
              <wp:docPr id="205" name="Shape 20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1" type="#_x0000_t202" style="position:absolute;margin-left:354.69999999999999pt;margin-top:44.200000000000003pt;width:183.84999999999999pt;height:8.4000000000000004pt;z-index:-1887438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4504690</wp:posOffset>
              </wp:positionH>
              <wp:positionV relativeFrom="page">
                <wp:posOffset>561340</wp:posOffset>
              </wp:positionV>
              <wp:extent cx="2334895" cy="106680"/>
              <wp:wrapNone/>
              <wp:docPr id="212" name="Shape 21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8" type="#_x0000_t202" style="position:absolute;margin-left:354.69999999999999pt;margin-top:44.200000000000003pt;width:183.84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214" name="Shape 2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4498975</wp:posOffset>
              </wp:positionH>
              <wp:positionV relativeFrom="page">
                <wp:posOffset>559435</wp:posOffset>
              </wp:positionV>
              <wp:extent cx="2334895" cy="106680"/>
              <wp:wrapNone/>
              <wp:docPr id="219" name="Shape 21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5" type="#_x0000_t202" style="position:absolute;margin-left:354.25pt;margin-top:44.050000000000004pt;width:183.84999999999999pt;height:8.4000000000000004pt;z-index:-18874388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1" name="Shape 2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4498975</wp:posOffset>
              </wp:positionH>
              <wp:positionV relativeFrom="page">
                <wp:posOffset>559435</wp:posOffset>
              </wp:positionV>
              <wp:extent cx="2334895" cy="106680"/>
              <wp:wrapNone/>
              <wp:docPr id="227" name="Shape 22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3" type="#_x0000_t202" style="position:absolute;margin-left:354.25pt;margin-top:44.050000000000004pt;width:183.84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9" name="Shape 2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4498975</wp:posOffset>
              </wp:positionH>
              <wp:positionV relativeFrom="page">
                <wp:posOffset>559435</wp:posOffset>
              </wp:positionV>
              <wp:extent cx="2334895" cy="106680"/>
              <wp:wrapNone/>
              <wp:docPr id="234" name="Shape 2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0" type="#_x0000_t202" style="position:absolute;margin-left:354.25pt;margin-top:44.050000000000004pt;width:183.84999999999999pt;height:8.4000000000000004pt;z-index:-18874387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4498975</wp:posOffset>
              </wp:positionH>
              <wp:positionV relativeFrom="page">
                <wp:posOffset>485775</wp:posOffset>
              </wp:positionV>
              <wp:extent cx="2334895" cy="106680"/>
              <wp:wrapNone/>
              <wp:docPr id="241" name="Shape 2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7" type="#_x0000_t202" style="position:absolute;margin-left:354.25pt;margin-top:38.25pt;width:183.84999999999999pt;height:8.4000000000000004pt;z-index:-18874386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4464685</wp:posOffset>
              </wp:positionH>
              <wp:positionV relativeFrom="page">
                <wp:posOffset>561340</wp:posOffset>
              </wp:positionV>
              <wp:extent cx="2334895" cy="106680"/>
              <wp:wrapNone/>
              <wp:docPr id="246" name="Shape 24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2" type="#_x0000_t202" style="position:absolute;margin-left:351.55000000000001pt;margin-top:44.200000000000003pt;width:183.84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706120</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4464685</wp:posOffset>
              </wp:positionH>
              <wp:positionV relativeFrom="page">
                <wp:posOffset>561340</wp:posOffset>
              </wp:positionV>
              <wp:extent cx="2334895" cy="106680"/>
              <wp:wrapNone/>
              <wp:docPr id="251" name="Shape 2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7" type="#_x0000_t202" style="position:absolute;margin-left:351.55000000000001pt;margin-top:44.200000000000003pt;width:183.84999999999999pt;height:8.4000000000000004pt;z-index:-1887438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706120</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4452620</wp:posOffset>
              </wp:positionH>
              <wp:positionV relativeFrom="page">
                <wp:posOffset>561340</wp:posOffset>
              </wp:positionV>
              <wp:extent cx="2334895" cy="106680"/>
              <wp:wrapNone/>
              <wp:docPr id="256" name="Shape 25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2" type="#_x0000_t202" style="position:absolute;margin-left:350.60000000000002pt;margin-top:44.200000000000003pt;width:183.84999999999999pt;height:8.4000000000000004pt;z-index:-1887438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648335</wp:posOffset>
              </wp:positionH>
              <wp:positionV relativeFrom="page">
                <wp:posOffset>706120</wp:posOffset>
              </wp:positionV>
              <wp:extent cx="6163310" cy="0"/>
              <wp:wrapNone/>
              <wp:docPr id="258" name="Shape 2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0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4498975</wp:posOffset>
              </wp:positionH>
              <wp:positionV relativeFrom="page">
                <wp:posOffset>485775</wp:posOffset>
              </wp:positionV>
              <wp:extent cx="2334895" cy="106680"/>
              <wp:wrapNone/>
              <wp:docPr id="22" name="Shape 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8" type="#_x0000_t202" style="position:absolute;margin-left:354.25pt;margin-top:38.25pt;width:183.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4523740</wp:posOffset>
              </wp:positionH>
              <wp:positionV relativeFrom="page">
                <wp:posOffset>561340</wp:posOffset>
              </wp:positionV>
              <wp:extent cx="2334895" cy="106680"/>
              <wp:wrapNone/>
              <wp:docPr id="261" name="Shape 2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7" type="#_x0000_t202" style="position:absolute;margin-left:356.19999999999999pt;margin-top:44.200000000000003pt;width:183.84999999999999pt;height:8.4000000000000004pt;z-index:-1887438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4523740</wp:posOffset>
              </wp:positionH>
              <wp:positionV relativeFrom="page">
                <wp:posOffset>561340</wp:posOffset>
              </wp:positionV>
              <wp:extent cx="2334895" cy="106680"/>
              <wp:wrapNone/>
              <wp:docPr id="268" name="Shape 2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4" type="#_x0000_t202" style="position:absolute;margin-left:356.19999999999999pt;margin-top:44.200000000000003pt;width:183.84999999999999pt;height:8.4000000000000004pt;z-index:-1887438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270" name="Shape 2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4498975</wp:posOffset>
              </wp:positionH>
              <wp:positionV relativeFrom="page">
                <wp:posOffset>559435</wp:posOffset>
              </wp:positionV>
              <wp:extent cx="2334895" cy="106680"/>
              <wp:wrapNone/>
              <wp:docPr id="275" name="Shape 27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1" type="#_x0000_t202" style="position:absolute;margin-left:354.25pt;margin-top:44.050000000000004pt;width:183.84999999999999pt;height:8.4000000000000004pt;z-index:-1887438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77" name="Shape 2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4498975</wp:posOffset>
              </wp:positionH>
              <wp:positionV relativeFrom="page">
                <wp:posOffset>485775</wp:posOffset>
              </wp:positionV>
              <wp:extent cx="2334895" cy="106680"/>
              <wp:wrapNone/>
              <wp:docPr id="282" name="Shape 2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8" type="#_x0000_t202" style="position:absolute;margin-left:354.25pt;margin-top:38.25pt;width:183.84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284" name="Shape 2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4498975</wp:posOffset>
              </wp:positionH>
              <wp:positionV relativeFrom="page">
                <wp:posOffset>559435</wp:posOffset>
              </wp:positionV>
              <wp:extent cx="2334895" cy="106680"/>
              <wp:wrapNone/>
              <wp:docPr id="287" name="Shape 2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3" type="#_x0000_t202" style="position:absolute;margin-left:354.25pt;margin-top:44.050000000000004pt;width:183.84999999999999pt;height:8.4000000000000004pt;z-index:-1887438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89" name="Shape 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4499610</wp:posOffset>
              </wp:positionH>
              <wp:positionV relativeFrom="page">
                <wp:posOffset>561340</wp:posOffset>
              </wp:positionV>
              <wp:extent cx="2334895" cy="106680"/>
              <wp:wrapNone/>
              <wp:docPr id="294" name="Shape 2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0" type="#_x0000_t202" style="position:absolute;margin-left:354.30000000000001pt;margin-top:44.200000000000003pt;width:183.84999999999999pt;height:8.4000000000000004pt;z-index:-1887438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296" name="Shape 2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4499610</wp:posOffset>
              </wp:positionH>
              <wp:positionV relativeFrom="page">
                <wp:posOffset>561340</wp:posOffset>
              </wp:positionV>
              <wp:extent cx="2334895" cy="106680"/>
              <wp:wrapNone/>
              <wp:docPr id="302" name="Shape 3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8" type="#_x0000_t202" style="position:absolute;margin-left:354.30000000000001pt;margin-top:44.200000000000003pt;width:183.84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4499610</wp:posOffset>
              </wp:positionH>
              <wp:positionV relativeFrom="page">
                <wp:posOffset>561340</wp:posOffset>
              </wp:positionV>
              <wp:extent cx="2334895" cy="106680"/>
              <wp:wrapNone/>
              <wp:docPr id="309" name="Shape 3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5" type="#_x0000_t202" style="position:absolute;margin-left:354.30000000000001pt;margin-top:44.200000000000003pt;width:183.84999999999999pt;height:8.4000000000000004pt;z-index:-1887438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4523740</wp:posOffset>
              </wp:positionH>
              <wp:positionV relativeFrom="page">
                <wp:posOffset>561340</wp:posOffset>
              </wp:positionV>
              <wp:extent cx="2334895" cy="106680"/>
              <wp:wrapNone/>
              <wp:docPr id="316" name="Shape 3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2" type="#_x0000_t202" style="position:absolute;margin-left:356.19999999999999pt;margin-top:44.200000000000003pt;width:183.84999999999999pt;height:8.4000000000000004pt;z-index:-1887438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4498975</wp:posOffset>
              </wp:positionH>
              <wp:positionV relativeFrom="page">
                <wp:posOffset>559435</wp:posOffset>
              </wp:positionV>
              <wp:extent cx="2334895" cy="106680"/>
              <wp:wrapNone/>
              <wp:docPr id="323" name="Shape 3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49" type="#_x0000_t202" style="position:absolute;margin-left:354.25pt;margin-top:44.050000000000004pt;width:183.84999999999999pt;height:8.4000000000000004pt;z-index:-18874379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5" name="Shape 3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4498975</wp:posOffset>
              </wp:positionH>
              <wp:positionV relativeFrom="page">
                <wp:posOffset>559435</wp:posOffset>
              </wp:positionV>
              <wp:extent cx="2334895" cy="106680"/>
              <wp:wrapNone/>
              <wp:docPr id="29" name="Shape 2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5" type="#_x0000_t202" style="position:absolute;margin-left:354.25pt;margin-top:44.050000000000004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4498975</wp:posOffset>
              </wp:positionH>
              <wp:positionV relativeFrom="page">
                <wp:posOffset>559435</wp:posOffset>
              </wp:positionV>
              <wp:extent cx="2334895" cy="106680"/>
              <wp:wrapNone/>
              <wp:docPr id="330" name="Shape 3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6" type="#_x0000_t202" style="position:absolute;margin-left:354.25pt;margin-top:44.050000000000004pt;width:183.84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2" name="Shape 3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4498975</wp:posOffset>
              </wp:positionH>
              <wp:positionV relativeFrom="page">
                <wp:posOffset>485775</wp:posOffset>
              </wp:positionV>
              <wp:extent cx="2334895" cy="106680"/>
              <wp:wrapNone/>
              <wp:docPr id="337" name="Shape 3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3" type="#_x0000_t202" style="position:absolute;margin-left:354.25pt;margin-top:38.25pt;width:183.8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4498975</wp:posOffset>
              </wp:positionH>
              <wp:positionV relativeFrom="page">
                <wp:posOffset>485775</wp:posOffset>
              </wp:positionV>
              <wp:extent cx="2334895" cy="106680"/>
              <wp:wrapNone/>
              <wp:docPr id="342" name="Shape 34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8" type="#_x0000_t202" style="position:absolute;margin-left:354.25pt;margin-top:38.25pt;width:183.84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344" name="Shape 3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4498975</wp:posOffset>
              </wp:positionH>
              <wp:positionV relativeFrom="page">
                <wp:posOffset>559435</wp:posOffset>
              </wp:positionV>
              <wp:extent cx="2334895" cy="106680"/>
              <wp:wrapNone/>
              <wp:docPr id="348" name="Shape 3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4" type="#_x0000_t202" style="position:absolute;margin-left:354.25pt;margin-top:44.050000000000004pt;width:183.84999999999999pt;height:8.4000000000000004pt;z-index:-18874377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0" name="Shape 3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4498975</wp:posOffset>
              </wp:positionH>
              <wp:positionV relativeFrom="page">
                <wp:posOffset>559435</wp:posOffset>
              </wp:positionV>
              <wp:extent cx="2334895" cy="106680"/>
              <wp:wrapNone/>
              <wp:docPr id="355" name="Shape 3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1" type="#_x0000_t202" style="position:absolute;margin-left:354.25pt;margin-top:44.050000000000004pt;width:183.84999999999999pt;height:8.4000000000000004pt;z-index:-18874377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7" name="Shape 3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4498975</wp:posOffset>
              </wp:positionH>
              <wp:positionV relativeFrom="page">
                <wp:posOffset>485775</wp:posOffset>
              </wp:positionV>
              <wp:extent cx="2334895" cy="106680"/>
              <wp:wrapNone/>
              <wp:docPr id="362" name="Shape 3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8" type="#_x0000_t202" style="position:absolute;margin-left:354.25pt;margin-top:38.25pt;width:183.84999999999999pt;height:8.4000000000000004pt;z-index:-18874376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364" name="Shape 3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4498975</wp:posOffset>
              </wp:positionH>
              <wp:positionV relativeFrom="page">
                <wp:posOffset>485775</wp:posOffset>
              </wp:positionV>
              <wp:extent cx="2334895" cy="106680"/>
              <wp:wrapNone/>
              <wp:docPr id="367" name="Shape 3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3" type="#_x0000_t202" style="position:absolute;margin-left:354.25pt;margin-top:38.25pt;width:183.84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369" name="Shape 3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4498975</wp:posOffset>
              </wp:positionH>
              <wp:positionV relativeFrom="page">
                <wp:posOffset>559435</wp:posOffset>
              </wp:positionV>
              <wp:extent cx="2334895" cy="106680"/>
              <wp:wrapNone/>
              <wp:docPr id="374" name="Shape 37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0" type="#_x0000_t202" style="position:absolute;margin-left:354.25pt;margin-top:44.050000000000004pt;width:183.84999999999999pt;height:8.4000000000000004pt;z-index:-18874375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4498975</wp:posOffset>
              </wp:positionH>
              <wp:positionV relativeFrom="page">
                <wp:posOffset>559435</wp:posOffset>
              </wp:positionV>
              <wp:extent cx="2334895" cy="106680"/>
              <wp:wrapNone/>
              <wp:docPr id="381" name="Shape 38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7" type="#_x0000_t202" style="position:absolute;margin-left:354.25pt;margin-top:44.050000000000004pt;width:183.84999999999999pt;height:8.4000000000000004pt;z-index:-18874375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3" name="Shape 3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4498975</wp:posOffset>
              </wp:positionH>
              <wp:positionV relativeFrom="page">
                <wp:posOffset>559435</wp:posOffset>
              </wp:positionV>
              <wp:extent cx="2334895" cy="106680"/>
              <wp:wrapNone/>
              <wp:docPr id="394" name="Shape 3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20" type="#_x0000_t202" style="position:absolute;margin-left:354.25pt;margin-top:44.050000000000004pt;width:183.84999999999999pt;height:8.4000000000000004pt;z-index:-18874374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6" name="Shape 3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4498975</wp:posOffset>
              </wp:positionH>
              <wp:positionV relativeFrom="page">
                <wp:posOffset>559435</wp:posOffset>
              </wp:positionV>
              <wp:extent cx="2334895" cy="106680"/>
              <wp:wrapNone/>
              <wp:docPr id="36" name="Shape 3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2" type="#_x0000_t202" style="position:absolute;margin-left:354.25pt;margin-top:44.050000000000004pt;width:183.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4498975</wp:posOffset>
              </wp:positionH>
              <wp:positionV relativeFrom="page">
                <wp:posOffset>559435</wp:posOffset>
              </wp:positionV>
              <wp:extent cx="2334895" cy="106680"/>
              <wp:wrapNone/>
              <wp:docPr id="401" name="Shape 40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27" type="#_x0000_t202" style="position:absolute;margin-left:354.25pt;margin-top:44.050000000000004pt;width:183.84999999999999pt;height:8.4000000000000004pt;z-index:-18874374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03" name="Shape 4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4472940</wp:posOffset>
              </wp:positionH>
              <wp:positionV relativeFrom="page">
                <wp:posOffset>574040</wp:posOffset>
              </wp:positionV>
              <wp:extent cx="2334895" cy="106680"/>
              <wp:wrapNone/>
              <wp:docPr id="408" name="Shape 40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4" type="#_x0000_t202" style="position:absolute;margin-left:352.19999999999999pt;margin-top:45.200000000000003pt;width:183.84999999999999pt;height:8.4000000000000004pt;z-index:-18874373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718820</wp:posOffset>
              </wp:positionV>
              <wp:extent cx="6163310" cy="0"/>
              <wp:wrapNone/>
              <wp:docPr id="410" name="Shape 4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6.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4495800</wp:posOffset>
              </wp:positionH>
              <wp:positionV relativeFrom="page">
                <wp:posOffset>559435</wp:posOffset>
              </wp:positionV>
              <wp:extent cx="2334895" cy="106680"/>
              <wp:wrapNone/>
              <wp:docPr id="423" name="Shape 4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9" type="#_x0000_t202" style="position:absolute;margin-left:354.pt;margin-top:44.050000000000004pt;width:183.84999999999999pt;height:8.4000000000000004pt;z-index:-18874372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704215</wp:posOffset>
              </wp:positionV>
              <wp:extent cx="6163310" cy="0"/>
              <wp:wrapNone/>
              <wp:docPr id="425" name="Shape 4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450000000000003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4495800</wp:posOffset>
              </wp:positionH>
              <wp:positionV relativeFrom="page">
                <wp:posOffset>559435</wp:posOffset>
              </wp:positionV>
              <wp:extent cx="2334895" cy="106680"/>
              <wp:wrapNone/>
              <wp:docPr id="430" name="Shape 43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6" type="#_x0000_t202" style="position:absolute;margin-left:354.pt;margin-top:44.050000000000004pt;width:183.84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704215</wp:posOffset>
              </wp:positionV>
              <wp:extent cx="6163310" cy="0"/>
              <wp:wrapNone/>
              <wp:docPr id="432" name="Shape 4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450000000000003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4498975</wp:posOffset>
              </wp:positionH>
              <wp:positionV relativeFrom="page">
                <wp:posOffset>485775</wp:posOffset>
              </wp:positionV>
              <wp:extent cx="2334895" cy="106680"/>
              <wp:wrapNone/>
              <wp:docPr id="437" name="Shape 43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63" type="#_x0000_t202" style="position:absolute;margin-left:354.25pt;margin-top:38.25pt;width:183.84999999999999pt;height:8.4000000000000004pt;z-index:-18874371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439" name="Shape 4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4472940</wp:posOffset>
              </wp:positionH>
              <wp:positionV relativeFrom="page">
                <wp:posOffset>559435</wp:posOffset>
              </wp:positionV>
              <wp:extent cx="2334895" cy="106680"/>
              <wp:wrapNone/>
              <wp:docPr id="454" name="Shape 45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0" type="#_x0000_t202" style="position:absolute;margin-left:352.19999999999999pt;margin-top:44.050000000000004pt;width:183.84999999999999pt;height:8.4000000000000004pt;z-index:-18874371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704215</wp:posOffset>
              </wp:positionV>
              <wp:extent cx="6163310" cy="0"/>
              <wp:wrapNone/>
              <wp:docPr id="456" name="Shape 4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450000000000003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4472940</wp:posOffset>
              </wp:positionH>
              <wp:positionV relativeFrom="page">
                <wp:posOffset>559435</wp:posOffset>
              </wp:positionV>
              <wp:extent cx="2334895" cy="106680"/>
              <wp:wrapNone/>
              <wp:docPr id="461" name="Shape 46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7" type="#_x0000_t202" style="position:absolute;margin-left:352.19999999999999pt;margin-top:44.050000000000004pt;width:183.84999999999999pt;height:8.4000000000000004pt;z-index:-18874370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704215</wp:posOffset>
              </wp:positionV>
              <wp:extent cx="6163310" cy="0"/>
              <wp:wrapNone/>
              <wp:docPr id="463" name="Shape 4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5.450000000000003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4472940</wp:posOffset>
              </wp:positionH>
              <wp:positionV relativeFrom="page">
                <wp:posOffset>574040</wp:posOffset>
              </wp:positionV>
              <wp:extent cx="2334895" cy="106680"/>
              <wp:wrapNone/>
              <wp:docPr id="468" name="Shape 4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4" type="#_x0000_t202" style="position:absolute;margin-left:352.19999999999999pt;margin-top:45.200000000000003pt;width:183.84999999999999pt;height:8.4000000000000004pt;z-index:-18874370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718820</wp:posOffset>
              </wp:positionV>
              <wp:extent cx="6163310" cy="0"/>
              <wp:wrapNone/>
              <wp:docPr id="470" name="Shape 4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6.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4498975</wp:posOffset>
              </wp:positionH>
              <wp:positionV relativeFrom="page">
                <wp:posOffset>559435</wp:posOffset>
              </wp:positionV>
              <wp:extent cx="2334895" cy="106680"/>
              <wp:wrapNone/>
              <wp:docPr id="487" name="Shape 48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13" type="#_x0000_t202" style="position:absolute;margin-left:354.25pt;margin-top:44.050000000000004pt;width:183.84999999999999pt;height:8.4000000000000004pt;z-index:-18874369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89" name="Shape 4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4498975</wp:posOffset>
              </wp:positionH>
              <wp:positionV relativeFrom="page">
                <wp:posOffset>559435</wp:posOffset>
              </wp:positionV>
              <wp:extent cx="2334895" cy="106680"/>
              <wp:wrapNone/>
              <wp:docPr id="494" name="Shape 4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0" type="#_x0000_t202" style="position:absolute;margin-left:354.25pt;margin-top:44.050000000000004pt;width:183.84999999999999pt;height:8.4000000000000004pt;z-index:-18874368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6" name="Shape 4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4495165</wp:posOffset>
              </wp:positionH>
              <wp:positionV relativeFrom="page">
                <wp:posOffset>561340</wp:posOffset>
              </wp:positionV>
              <wp:extent cx="2334895" cy="106680"/>
              <wp:wrapNone/>
              <wp:docPr id="43" name="Shape 4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9" type="#_x0000_t202" style="position:absolute;margin-left:353.94999999999999pt;margin-top:44.200000000000003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4498975</wp:posOffset>
              </wp:positionH>
              <wp:positionV relativeFrom="page">
                <wp:posOffset>559435</wp:posOffset>
              </wp:positionV>
              <wp:extent cx="2334895" cy="106680"/>
              <wp:wrapNone/>
              <wp:docPr id="507" name="Shape 50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33" type="#_x0000_t202" style="position:absolute;margin-left:354.25pt;margin-top:44.050000000000004pt;width:183.84999999999999pt;height:8.4000000000000004pt;z-index:-18874368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09" name="Shape 5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4498975</wp:posOffset>
              </wp:positionH>
              <wp:positionV relativeFrom="page">
                <wp:posOffset>559435</wp:posOffset>
              </wp:positionV>
              <wp:extent cx="2334895" cy="106680"/>
              <wp:wrapNone/>
              <wp:docPr id="514" name="Shape 51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0" type="#_x0000_t202" style="position:absolute;margin-left:354.25pt;margin-top:44.050000000000004pt;width:183.84999999999999pt;height:8.4000000000000004pt;z-index:-18874367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6" name="Shape 5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4495800</wp:posOffset>
              </wp:positionH>
              <wp:positionV relativeFrom="page">
                <wp:posOffset>559435</wp:posOffset>
              </wp:positionV>
              <wp:extent cx="2334895" cy="106680"/>
              <wp:wrapNone/>
              <wp:docPr id="521" name="Shape 52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7" type="#_x0000_t202" style="position:absolute;margin-left:354.pt;margin-top:44.050000000000004pt;width:183.84999999999999pt;height:8.4000000000000004pt;z-index:-1887436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704215</wp:posOffset>
              </wp:positionV>
              <wp:extent cx="6163310" cy="0"/>
              <wp:wrapNone/>
              <wp:docPr id="523" name="Shape 5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450000000000003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4498975</wp:posOffset>
              </wp:positionH>
              <wp:positionV relativeFrom="page">
                <wp:posOffset>485775</wp:posOffset>
              </wp:positionV>
              <wp:extent cx="2334895" cy="106680"/>
              <wp:wrapNone/>
              <wp:docPr id="534" name="Shape 5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0" type="#_x0000_t202" style="position:absolute;margin-left:354.25pt;margin-top:38.25pt;width:183.84999999999999pt;height:8.4000000000000004pt;z-index:-18874366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536" name="Shape 5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4498975</wp:posOffset>
              </wp:positionH>
              <wp:positionV relativeFrom="page">
                <wp:posOffset>485775</wp:posOffset>
              </wp:positionV>
              <wp:extent cx="2334895" cy="106680"/>
              <wp:wrapNone/>
              <wp:docPr id="539" name="Shape 53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65" type="#_x0000_t202" style="position:absolute;margin-left:354.25pt;margin-top:38.25pt;width:183.84999999999999pt;height:8.4000000000000004pt;z-index:-18874366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541" name="Shape 5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4495800</wp:posOffset>
              </wp:positionH>
              <wp:positionV relativeFrom="page">
                <wp:posOffset>559435</wp:posOffset>
              </wp:positionV>
              <wp:extent cx="2334895" cy="106680"/>
              <wp:wrapNone/>
              <wp:docPr id="544" name="Shape 54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0" type="#_x0000_t202" style="position:absolute;margin-left:354.pt;margin-top:44.050000000000004pt;width:183.84999999999999pt;height:8.4000000000000004pt;z-index:-18874365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704215</wp:posOffset>
              </wp:positionV>
              <wp:extent cx="6163310" cy="0"/>
              <wp:wrapNone/>
              <wp:docPr id="546" name="Shape 5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45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4498975</wp:posOffset>
              </wp:positionH>
              <wp:positionV relativeFrom="page">
                <wp:posOffset>559435</wp:posOffset>
              </wp:positionV>
              <wp:extent cx="2334895" cy="106680"/>
              <wp:wrapNone/>
              <wp:docPr id="551" name="Shape 55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7" type="#_x0000_t202" style="position:absolute;margin-left:354.25pt;margin-top:44.050000000000004pt;width:183.84999999999999pt;height:8.4000000000000004pt;z-index:-188743650;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53" name="Shape 5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4498975</wp:posOffset>
              </wp:positionH>
              <wp:positionV relativeFrom="page">
                <wp:posOffset>559435</wp:posOffset>
              </wp:positionV>
              <wp:extent cx="2334895" cy="106680"/>
              <wp:wrapNone/>
              <wp:docPr id="558" name="Shape 55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84" type="#_x0000_t202" style="position:absolute;margin-left:354.25pt;margin-top:44.050000000000004pt;width:183.84999999999999pt;height:8.4000000000000004pt;z-index:-188743644;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0" name="Shape 5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4495800</wp:posOffset>
              </wp:positionH>
              <wp:positionV relativeFrom="page">
                <wp:posOffset>559435</wp:posOffset>
              </wp:positionV>
              <wp:extent cx="2334895" cy="106680"/>
              <wp:wrapNone/>
              <wp:docPr id="565" name="Shape 56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1" type="#_x0000_t202" style="position:absolute;margin-left:354.pt;margin-top:44.050000000000004pt;width:183.84999999999999pt;height:8.4000000000000004pt;z-index:-18874363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704215</wp:posOffset>
              </wp:positionV>
              <wp:extent cx="6163310" cy="0"/>
              <wp:wrapNone/>
              <wp:docPr id="567" name="Shape 5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450000000000003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4495800</wp:posOffset>
              </wp:positionH>
              <wp:positionV relativeFrom="page">
                <wp:posOffset>559435</wp:posOffset>
              </wp:positionV>
              <wp:extent cx="2334895" cy="106680"/>
              <wp:wrapNone/>
              <wp:docPr id="572" name="Shape 5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8" type="#_x0000_t202" style="position:absolute;margin-left:354.pt;margin-top:44.050000000000004pt;width:183.84999999999999pt;height:8.4000000000000004pt;z-index:-188743632;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704215</wp:posOffset>
              </wp:positionV>
              <wp:extent cx="6163310" cy="0"/>
              <wp:wrapNone/>
              <wp:docPr id="574" name="Shape 5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4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4498975</wp:posOffset>
              </wp:positionH>
              <wp:positionV relativeFrom="page">
                <wp:posOffset>559435</wp:posOffset>
              </wp:positionV>
              <wp:extent cx="2334895" cy="106680"/>
              <wp:wrapNone/>
              <wp:docPr id="50" name="Shape 5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6" type="#_x0000_t202" style="position:absolute;margin-left:354.25pt;margin-top:44.050000000000004pt;width:183.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4439285</wp:posOffset>
              </wp:positionH>
              <wp:positionV relativeFrom="page">
                <wp:posOffset>556260</wp:posOffset>
              </wp:positionV>
              <wp:extent cx="2334895" cy="106680"/>
              <wp:wrapNone/>
              <wp:docPr id="579" name="Shape 57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5" type="#_x0000_t202" style="position:absolute;margin-left:349.55000000000001pt;margin-top:43.800000000000004pt;width:183.84999999999999pt;height:8.4000000000000004pt;z-index:-18874362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704215</wp:posOffset>
              </wp:positionV>
              <wp:extent cx="6163310" cy="0"/>
              <wp:wrapNone/>
              <wp:docPr id="581" name="Shape 5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050000000000004pt;margin-top:55.450000000000003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4479925</wp:posOffset>
              </wp:positionH>
              <wp:positionV relativeFrom="page">
                <wp:posOffset>423545</wp:posOffset>
              </wp:positionV>
              <wp:extent cx="2334895" cy="106680"/>
              <wp:wrapNone/>
              <wp:docPr id="586" name="Shape 58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2" type="#_x0000_t202" style="position:absolute;margin-left:352.75pt;margin-top:33.350000000000001pt;width:183.84999999999999pt;height:8.4000000000000004pt;z-index:-18874362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589280</wp:posOffset>
              </wp:positionV>
              <wp:extent cx="6163310" cy="0"/>
              <wp:wrapNone/>
              <wp:docPr id="588" name="Shape 5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6.399999999999999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4479925</wp:posOffset>
              </wp:positionH>
              <wp:positionV relativeFrom="page">
                <wp:posOffset>423545</wp:posOffset>
              </wp:positionV>
              <wp:extent cx="2334895" cy="106680"/>
              <wp:wrapNone/>
              <wp:docPr id="589" name="Shape 58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5" type="#_x0000_t202" style="position:absolute;margin-left:352.75pt;margin-top:33.350000000000001pt;width:183.84999999999999pt;height:8.4000000000000004pt;z-index:-18874361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589280</wp:posOffset>
              </wp:positionV>
              <wp:extent cx="6163310" cy="0"/>
              <wp:wrapNone/>
              <wp:docPr id="591" name="Shape 5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6.399999999999999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4498975</wp:posOffset>
              </wp:positionH>
              <wp:positionV relativeFrom="page">
                <wp:posOffset>485775</wp:posOffset>
              </wp:positionV>
              <wp:extent cx="2334895" cy="106680"/>
              <wp:wrapNone/>
              <wp:docPr id="592" name="Shape 59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8" type="#_x0000_t202" style="position:absolute;margin-left:354.25pt;margin-top:38.25pt;width:183.84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4498975</wp:posOffset>
              </wp:positionH>
              <wp:positionV relativeFrom="page">
                <wp:posOffset>485775</wp:posOffset>
              </wp:positionV>
              <wp:extent cx="2334895" cy="106680"/>
              <wp:wrapNone/>
              <wp:docPr id="597" name="Shape 59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3" type="#_x0000_t202" style="position:absolute;margin-left:354.25pt;margin-top:38.25pt;width:183.84999999999999pt;height:8.4000000000000004pt;z-index:-18874361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1018540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80.200000000000003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4498975</wp:posOffset>
              </wp:positionH>
              <wp:positionV relativeFrom="page">
                <wp:posOffset>559435</wp:posOffset>
              </wp:positionV>
              <wp:extent cx="2334895" cy="106680"/>
              <wp:wrapNone/>
              <wp:docPr id="602" name="Shape 60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8" type="#_x0000_t202" style="position:absolute;margin-left:354.25pt;margin-top:44.050000000000004pt;width:183.84999999999999pt;height:8.4000000000000004pt;z-index:-188743608;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4" name="Shape 6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4498975</wp:posOffset>
              </wp:positionH>
              <wp:positionV relativeFrom="page">
                <wp:posOffset>559435</wp:posOffset>
              </wp:positionV>
              <wp:extent cx="2334895" cy="106680"/>
              <wp:wrapNone/>
              <wp:docPr id="609" name="Shape 60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5" type="#_x0000_t202" style="position:absolute;margin-left:354.25pt;margin-top:44.050000000000004pt;width:183.84999999999999pt;height:8.4000000000000004pt;z-index:-188743602;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11" name="Shape 6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4439285</wp:posOffset>
              </wp:positionH>
              <wp:positionV relativeFrom="page">
                <wp:posOffset>556260</wp:posOffset>
              </wp:positionV>
              <wp:extent cx="2334895" cy="106680"/>
              <wp:wrapNone/>
              <wp:docPr id="616" name="Shape 6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2" type="#_x0000_t202" style="position:absolute;margin-left:349.55000000000001pt;margin-top:43.800000000000004pt;width:183.84999999999999pt;height:8.4000000000000004pt;z-index:-18874359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704215</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050000000000004pt;margin-top:55.450000000000003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4501515</wp:posOffset>
              </wp:positionH>
              <wp:positionV relativeFrom="page">
                <wp:posOffset>612140</wp:posOffset>
              </wp:positionV>
              <wp:extent cx="2334895" cy="106680"/>
              <wp:wrapNone/>
              <wp:docPr id="623" name="Shape 62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9" type="#_x0000_t202" style="position:absolute;margin-left:354.44999999999999pt;margin-top:48.200000000000003pt;width:183.84999999999999pt;height:8.4000000000000004pt;z-index:-18874359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4501515</wp:posOffset>
              </wp:positionH>
              <wp:positionV relativeFrom="page">
                <wp:posOffset>556260</wp:posOffset>
              </wp:positionV>
              <wp:extent cx="2334895" cy="106680"/>
              <wp:wrapNone/>
              <wp:docPr id="628" name="Shape 6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4" type="#_x0000_t202" style="position:absolute;margin-left:354.44999999999999pt;margin-top:43.800000000000004pt;width:183.84999999999999pt;height:8.4000000000000004pt;z-index:-18874358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700405</wp:posOffset>
              </wp:positionV>
              <wp:extent cx="6163310" cy="0"/>
              <wp:wrapNone/>
              <wp:docPr id="630" name="Shape 6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149999999999999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4498975</wp:posOffset>
              </wp:positionH>
              <wp:positionV relativeFrom="page">
                <wp:posOffset>559435</wp:posOffset>
              </wp:positionV>
              <wp:extent cx="2334895" cy="106680"/>
              <wp:wrapNone/>
              <wp:docPr id="57" name="Shape 5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3" type="#_x0000_t202" style="position:absolute;margin-left:354.25pt;margin-top:44.050000000000004pt;width:183.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4479925</wp:posOffset>
              </wp:positionH>
              <wp:positionV relativeFrom="page">
                <wp:posOffset>423545</wp:posOffset>
              </wp:positionV>
              <wp:extent cx="2334895" cy="106680"/>
              <wp:wrapNone/>
              <wp:docPr id="635" name="Shape 63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1" type="#_x0000_t202" style="position:absolute;margin-left:352.75pt;margin-top:33.350000000000001pt;width:183.84999999999999pt;height:8.4000000000000004pt;z-index:-18874358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589280</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6.399999999999999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4479925</wp:posOffset>
              </wp:positionH>
              <wp:positionV relativeFrom="page">
                <wp:posOffset>423545</wp:posOffset>
              </wp:positionV>
              <wp:extent cx="2334895" cy="106680"/>
              <wp:wrapNone/>
              <wp:docPr id="638" name="Shape 63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4" type="#_x0000_t202" style="position:absolute;margin-left:352.75pt;margin-top:33.350000000000001pt;width:183.84999999999999pt;height:8.4000000000000004pt;z-index:-18874357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589280</wp:posOffset>
              </wp:positionV>
              <wp:extent cx="6163310" cy="0"/>
              <wp:wrapNone/>
              <wp:docPr id="640" name="Shape 6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46.399999999999999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4439285</wp:posOffset>
              </wp:positionH>
              <wp:positionV relativeFrom="page">
                <wp:posOffset>556260</wp:posOffset>
              </wp:positionV>
              <wp:extent cx="2334895" cy="106680"/>
              <wp:wrapNone/>
              <wp:docPr id="641" name="Shape 6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7" type="#_x0000_t202" style="position:absolute;margin-left:349.55000000000001pt;margin-top:43.800000000000004pt;width:183.84999999999999pt;height:8.4000000000000004pt;z-index:-18874357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704215</wp:posOffset>
              </wp:positionV>
              <wp:extent cx="6163310" cy="0"/>
              <wp:wrapNone/>
              <wp:docPr id="643" name="Shape 6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050000000000004pt;margin-top:55.450000000000003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4439285</wp:posOffset>
              </wp:positionH>
              <wp:positionV relativeFrom="page">
                <wp:posOffset>556260</wp:posOffset>
              </wp:positionV>
              <wp:extent cx="2334895" cy="106680"/>
              <wp:wrapNone/>
              <wp:docPr id="648" name="Shape 64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4" type="#_x0000_t202" style="position:absolute;margin-left:349.55000000000001pt;margin-top:43.800000000000004pt;width:183.84999999999999pt;height:8.4000000000000004pt;z-index:-18874357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704215</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050000000000004pt;margin-top:55.450000000000003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4501515</wp:posOffset>
              </wp:positionH>
              <wp:positionV relativeFrom="page">
                <wp:posOffset>556260</wp:posOffset>
              </wp:positionV>
              <wp:extent cx="2334895" cy="106680"/>
              <wp:wrapNone/>
              <wp:docPr id="655" name="Shape 65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1" type="#_x0000_t202" style="position:absolute;margin-left:354.44999999999999pt;margin-top:43.800000000000004pt;width:183.84999999999999pt;height:8.4000000000000004pt;z-index:-18874356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700405</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149999999999999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4474210</wp:posOffset>
              </wp:positionH>
              <wp:positionV relativeFrom="page">
                <wp:posOffset>589280</wp:posOffset>
              </wp:positionV>
              <wp:extent cx="2334895" cy="106680"/>
              <wp:wrapNone/>
              <wp:docPr id="662" name="Shape 66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8" type="#_x0000_t202" style="position:absolute;margin-left:352.30000000000001pt;margin-top:46.399999999999999pt;width:183.84999999999999pt;height:8.4000000000000004pt;z-index:-188743558;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734060</wp:posOffset>
              </wp:positionV>
              <wp:extent cx="6163310" cy="0"/>
              <wp:wrapNone/>
              <wp:docPr id="664" name="Shape 6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57.800000000000004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4474210</wp:posOffset>
              </wp:positionH>
              <wp:positionV relativeFrom="page">
                <wp:posOffset>589280</wp:posOffset>
              </wp:positionV>
              <wp:extent cx="2334895" cy="106680"/>
              <wp:wrapNone/>
              <wp:docPr id="667" name="Shape 66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3" type="#_x0000_t202" style="position:absolute;margin-left:352.30000000000001pt;margin-top:46.399999999999999pt;width:183.84999999999999pt;height:8.4000000000000004pt;z-index:-188743554;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734060</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57.800000000000004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4477385</wp:posOffset>
              </wp:positionH>
              <wp:positionV relativeFrom="page">
                <wp:posOffset>589280</wp:posOffset>
              </wp:positionV>
              <wp:extent cx="2334895" cy="106680"/>
              <wp:wrapNone/>
              <wp:docPr id="672" name="Shape 6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8" type="#_x0000_t202" style="position:absolute;margin-left:352.55000000000001pt;margin-top:46.399999999999999pt;width:183.84999999999999pt;height:8.4000000000000004pt;z-index:-18874355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734060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7.800000000000004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4439285</wp:posOffset>
              </wp:positionH>
              <wp:positionV relativeFrom="page">
                <wp:posOffset>556260</wp:posOffset>
              </wp:positionV>
              <wp:extent cx="2334895" cy="106680"/>
              <wp:wrapNone/>
              <wp:docPr id="677" name="Shape 67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3" type="#_x0000_t202" style="position:absolute;margin-left:349.55000000000001pt;margin-top:43.800000000000004pt;width:183.84999999999999pt;height:8.4000000000000004pt;z-index:-188743546;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704215</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050000000000004pt;margin-top:55.450000000000003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4439285</wp:posOffset>
              </wp:positionH>
              <wp:positionV relativeFrom="page">
                <wp:posOffset>556260</wp:posOffset>
              </wp:positionV>
              <wp:extent cx="2334895" cy="106680"/>
              <wp:wrapNone/>
              <wp:docPr id="684" name="Shape 68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0" type="#_x0000_t202" style="position:absolute;margin-left:349.55000000000001pt;margin-top:43.800000000000004pt;width:183.84999999999999pt;height:8.4000000000000004pt;z-index:-188743540;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635635</wp:posOffset>
              </wp:positionH>
              <wp:positionV relativeFrom="page">
                <wp:posOffset>704215</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050000000000004pt;margin-top:55.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标题 #1_"/>
    <w:basedOn w:val="DefaultParagraphFont"/>
    <w:link w:val="Style21"/>
    <w:rPr>
      <w:rFonts w:ascii="SimSun" w:eastAsia="SimSun" w:hAnsi="SimSun" w:cs="SimSun"/>
      <w:b w:val="0"/>
      <w:bCs w:val="0"/>
      <w:i w:val="0"/>
      <w:iCs w:val="0"/>
      <w:smallCaps w:val="0"/>
      <w:strike w:val="0"/>
      <w:sz w:val="36"/>
      <w:szCs w:val="36"/>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6)_"/>
    <w:basedOn w:val="DefaultParagraphFont"/>
    <w:link w:val="Style58"/>
    <w:rPr>
      <w:rFonts w:ascii="SimSun" w:eastAsia="SimSun" w:hAnsi="SimSun" w:cs="SimSun"/>
      <w:b w:val="0"/>
      <w:bCs w:val="0"/>
      <w:i w:val="0"/>
      <w:iCs w:val="0"/>
      <w:smallCaps w:val="0"/>
      <w:strike w:val="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正文文本 (8)_"/>
    <w:basedOn w:val="DefaultParagraphFont"/>
    <w:link w:val="Style7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7">
    <w:name w:val="正文文本 (7)_"/>
    <w:basedOn w:val="DefaultParagraphFont"/>
    <w:link w:val="Style76"/>
    <w:rPr>
      <w:rFonts w:ascii="Arial" w:eastAsia="Arial" w:hAnsi="Arial" w:cs="Arial"/>
      <w:b/>
      <w:bCs/>
      <w:i w:val="0"/>
      <w:iCs w:val="0"/>
      <w:smallCaps w:val="0"/>
      <w:strike w:val="0"/>
      <w:color w:val="D1D1D1"/>
      <w:sz w:val="38"/>
      <w:szCs w:val="3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2"/>
    <w:basedOn w:val="Normal"/>
    <w:link w:val="CharStyle13"/>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3)"/>
    <w:basedOn w:val="Normal"/>
    <w:link w:val="CharStyle19"/>
    <w:pPr>
      <w:widowControl w:val="0"/>
      <w:shd w:val="clear" w:color="auto" w:fill="auto"/>
      <w:spacing w:after="12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标题 #1"/>
    <w:basedOn w:val="Normal"/>
    <w:link w:val="CharStyle22"/>
    <w:pPr>
      <w:widowControl w:val="0"/>
      <w:shd w:val="clear" w:color="auto" w:fill="auto"/>
      <w:spacing w:after="150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23">
    <w:name w:val="目录"/>
    <w:basedOn w:val="Normal"/>
    <w:link w:val="CharStyle24"/>
    <w:pPr>
      <w:widowControl w:val="0"/>
      <w:shd w:val="clear" w:color="auto" w:fill="auto"/>
      <w:spacing w:after="180"/>
    </w:pPr>
    <w:rPr>
      <w:rFonts w:ascii="SimSun" w:eastAsia="SimSun" w:hAnsi="SimSun" w:cs="SimSun"/>
      <w:b w:val="0"/>
      <w:bCs w:val="0"/>
      <w:i w:val="0"/>
      <w:iCs w:val="0"/>
      <w:smallCaps w:val="0"/>
      <w:strike w:val="0"/>
      <w:u w:val="none"/>
      <w:shd w:val="clear" w:color="auto" w:fill="auto"/>
    </w:rPr>
  </w:style>
  <w:style w:type="paragraph" w:customStyle="1" w:styleId="Style27">
    <w:name w:val="标题 #3"/>
    <w:basedOn w:val="Normal"/>
    <w:link w:val="CharStyle28"/>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2)"/>
    <w:basedOn w:val="Normal"/>
    <w:link w:val="CharStyle32"/>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正文文本"/>
    <w:basedOn w:val="Normal"/>
    <w:link w:val="CharStyle37"/>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6)"/>
    <w:basedOn w:val="Normal"/>
    <w:link w:val="CharStyle59"/>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正文文本 (8)"/>
    <w:basedOn w:val="Normal"/>
    <w:link w:val="CharStyle74"/>
    <w:pPr>
      <w:widowControl w:val="0"/>
      <w:shd w:val="clear" w:color="auto" w:fill="auto"/>
      <w:spacing w:line="407"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6">
    <w:name w:val="正文文本 (7)"/>
    <w:basedOn w:val="Normal"/>
    <w:link w:val="CharStyle77"/>
    <w:pPr>
      <w:widowControl w:val="0"/>
      <w:shd w:val="clear" w:color="auto" w:fill="auto"/>
      <w:spacing w:after="160"/>
      <w:jc w:val="right"/>
    </w:pPr>
    <w:rPr>
      <w:rFonts w:ascii="Arial" w:eastAsia="Arial" w:hAnsi="Arial" w:cs="Arial"/>
      <w:b/>
      <w:bCs/>
      <w:i w:val="0"/>
      <w:iCs w:val="0"/>
      <w:smallCaps w:val="0"/>
      <w:strike w:val="0"/>
      <w:color w:val="D1D1D1"/>
      <w:sz w:val="38"/>
      <w:szCs w:val="3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image" Target="media/image7.jpeg"/><Relationship Id="rId50" Type="http://schemas.openxmlformats.org/officeDocument/2006/relationships/image" Target="media/image7.jpeg" TargetMode="Externa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header" Target="header28.xml"/><Relationship Id="rId74" Type="http://schemas.openxmlformats.org/officeDocument/2006/relationships/footer" Target="footer28.xml"/><Relationship Id="rId75" Type="http://schemas.openxmlformats.org/officeDocument/2006/relationships/image" Target="media/image8.jpeg"/><Relationship Id="rId76" Type="http://schemas.openxmlformats.org/officeDocument/2006/relationships/image" Target="media/image8.jpeg" TargetMode="External"/><Relationship Id="rId77" Type="http://schemas.openxmlformats.org/officeDocument/2006/relationships/header" Target="header29.xml"/><Relationship Id="rId78" Type="http://schemas.openxmlformats.org/officeDocument/2006/relationships/footer" Target="footer29.xml"/><Relationship Id="rId79" Type="http://schemas.openxmlformats.org/officeDocument/2006/relationships/header" Target="header30.xml"/><Relationship Id="rId80" Type="http://schemas.openxmlformats.org/officeDocument/2006/relationships/footer" Target="footer30.xml"/><Relationship Id="rId81" Type="http://schemas.openxmlformats.org/officeDocument/2006/relationships/header" Target="header31.xml"/><Relationship Id="rId82" Type="http://schemas.openxmlformats.org/officeDocument/2006/relationships/footer" Target="footer31.xml"/><Relationship Id="rId83" Type="http://schemas.openxmlformats.org/officeDocument/2006/relationships/header" Target="header32.xml"/><Relationship Id="rId84" Type="http://schemas.openxmlformats.org/officeDocument/2006/relationships/footer" Target="footer32.xml"/><Relationship Id="rId85" Type="http://schemas.openxmlformats.org/officeDocument/2006/relationships/header" Target="header33.xml"/><Relationship Id="rId86" Type="http://schemas.openxmlformats.org/officeDocument/2006/relationships/footer" Target="footer33.xml"/><Relationship Id="rId87" Type="http://schemas.openxmlformats.org/officeDocument/2006/relationships/image" Target="media/image9.png"/><Relationship Id="rId88" Type="http://schemas.openxmlformats.org/officeDocument/2006/relationships/image" Target="media/image9.png" TargetMode="External"/><Relationship Id="rId89" Type="http://schemas.openxmlformats.org/officeDocument/2006/relationships/header" Target="header34.xml"/><Relationship Id="rId90" Type="http://schemas.openxmlformats.org/officeDocument/2006/relationships/footer" Target="footer34.xml"/><Relationship Id="rId91" Type="http://schemas.openxmlformats.org/officeDocument/2006/relationships/header" Target="header35.xml"/><Relationship Id="rId92" Type="http://schemas.openxmlformats.org/officeDocument/2006/relationships/footer" Target="footer35.xml"/><Relationship Id="rId93" Type="http://schemas.openxmlformats.org/officeDocument/2006/relationships/header" Target="header36.xml"/><Relationship Id="rId94" Type="http://schemas.openxmlformats.org/officeDocument/2006/relationships/footer" Target="footer36.xml"/><Relationship Id="rId95" Type="http://schemas.openxmlformats.org/officeDocument/2006/relationships/header" Target="header37.xml"/><Relationship Id="rId96" Type="http://schemas.openxmlformats.org/officeDocument/2006/relationships/footer" Target="footer37.xml"/><Relationship Id="rId97" Type="http://schemas.openxmlformats.org/officeDocument/2006/relationships/header" Target="header38.xml"/><Relationship Id="rId98" Type="http://schemas.openxmlformats.org/officeDocument/2006/relationships/footer" Target="footer38.xml"/><Relationship Id="rId99" Type="http://schemas.openxmlformats.org/officeDocument/2006/relationships/header" Target="header39.xml"/><Relationship Id="rId100" Type="http://schemas.openxmlformats.org/officeDocument/2006/relationships/footer" Target="footer39.xml"/><Relationship Id="rId101" Type="http://schemas.openxmlformats.org/officeDocument/2006/relationships/header" Target="header40.xml"/><Relationship Id="rId102" Type="http://schemas.openxmlformats.org/officeDocument/2006/relationships/footer" Target="footer40.xml"/><Relationship Id="rId103" Type="http://schemas.openxmlformats.org/officeDocument/2006/relationships/header" Target="header41.xml"/><Relationship Id="rId104" Type="http://schemas.openxmlformats.org/officeDocument/2006/relationships/footer" Target="footer41.xml"/><Relationship Id="rId105" Type="http://schemas.openxmlformats.org/officeDocument/2006/relationships/header" Target="header42.xml"/><Relationship Id="rId106" Type="http://schemas.openxmlformats.org/officeDocument/2006/relationships/footer" Target="footer42.xm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 Id="rId113" Type="http://schemas.openxmlformats.org/officeDocument/2006/relationships/image" Target="media/image10.jpeg"/><Relationship Id="rId114" Type="http://schemas.openxmlformats.org/officeDocument/2006/relationships/image" Target="media/image10.jpeg" TargetMode="External"/><Relationship Id="rId115" Type="http://schemas.openxmlformats.org/officeDocument/2006/relationships/header" Target="header46.xml"/><Relationship Id="rId116" Type="http://schemas.openxmlformats.org/officeDocument/2006/relationships/footer" Target="footer46.xml"/><Relationship Id="rId117" Type="http://schemas.openxmlformats.org/officeDocument/2006/relationships/header" Target="header47.xml"/><Relationship Id="rId118" Type="http://schemas.openxmlformats.org/officeDocument/2006/relationships/footer" Target="footer47.xm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header" Target="header49.xml"/><Relationship Id="rId122" Type="http://schemas.openxmlformats.org/officeDocument/2006/relationships/footer" Target="footer49.xml"/><Relationship Id="rId123" Type="http://schemas.openxmlformats.org/officeDocument/2006/relationships/header" Target="header50.xml"/><Relationship Id="rId124" Type="http://schemas.openxmlformats.org/officeDocument/2006/relationships/footer" Target="footer50.xml"/><Relationship Id="rId125" Type="http://schemas.openxmlformats.org/officeDocument/2006/relationships/header" Target="header51.xml"/><Relationship Id="rId126" Type="http://schemas.openxmlformats.org/officeDocument/2006/relationships/footer" Target="footer51.xml"/><Relationship Id="rId127" Type="http://schemas.openxmlformats.org/officeDocument/2006/relationships/header" Target="header52.xml"/><Relationship Id="rId128" Type="http://schemas.openxmlformats.org/officeDocument/2006/relationships/footer" Target="footer52.xml"/><Relationship Id="rId129" Type="http://schemas.openxmlformats.org/officeDocument/2006/relationships/image" Target="media/image11.jpeg"/><Relationship Id="rId130" Type="http://schemas.openxmlformats.org/officeDocument/2006/relationships/image" Target="media/image11.jpeg" TargetMode="External"/><Relationship Id="rId131" Type="http://schemas.openxmlformats.org/officeDocument/2006/relationships/header" Target="header53.xml"/><Relationship Id="rId132" Type="http://schemas.openxmlformats.org/officeDocument/2006/relationships/footer" Target="footer53.xml"/><Relationship Id="rId133" Type="http://schemas.openxmlformats.org/officeDocument/2006/relationships/header" Target="header54.xml"/><Relationship Id="rId134" Type="http://schemas.openxmlformats.org/officeDocument/2006/relationships/footer" Target="footer54.xml"/><Relationship Id="rId135" Type="http://schemas.openxmlformats.org/officeDocument/2006/relationships/header" Target="header55.xml"/><Relationship Id="rId136" Type="http://schemas.openxmlformats.org/officeDocument/2006/relationships/footer" Target="footer55.xml"/><Relationship Id="rId137" Type="http://schemas.openxmlformats.org/officeDocument/2006/relationships/header" Target="header56.xml"/><Relationship Id="rId138" Type="http://schemas.openxmlformats.org/officeDocument/2006/relationships/footer" Target="footer56.xml"/><Relationship Id="rId139" Type="http://schemas.openxmlformats.org/officeDocument/2006/relationships/image" Target="media/image12.jpeg"/><Relationship Id="rId140" Type="http://schemas.openxmlformats.org/officeDocument/2006/relationships/image" Target="media/image12.jpeg" TargetMode="External"/><Relationship Id="rId141" Type="http://schemas.openxmlformats.org/officeDocument/2006/relationships/header" Target="header57.xml"/><Relationship Id="rId142" Type="http://schemas.openxmlformats.org/officeDocument/2006/relationships/footer" Target="footer57.xml"/><Relationship Id="rId143" Type="http://schemas.openxmlformats.org/officeDocument/2006/relationships/header" Target="header58.xml"/><Relationship Id="rId144" Type="http://schemas.openxmlformats.org/officeDocument/2006/relationships/footer" Target="footer58.xml"/><Relationship Id="rId145" Type="http://schemas.openxmlformats.org/officeDocument/2006/relationships/header" Target="header59.xml"/><Relationship Id="rId146" Type="http://schemas.openxmlformats.org/officeDocument/2006/relationships/footer" Target="footer59.xml"/><Relationship Id="rId147" Type="http://schemas.openxmlformats.org/officeDocument/2006/relationships/header" Target="header60.xml"/><Relationship Id="rId148" Type="http://schemas.openxmlformats.org/officeDocument/2006/relationships/footer" Target="footer60.xml"/><Relationship Id="rId149" Type="http://schemas.openxmlformats.org/officeDocument/2006/relationships/header" Target="header61.xml"/><Relationship Id="rId150" Type="http://schemas.openxmlformats.org/officeDocument/2006/relationships/footer" Target="footer61.xml"/><Relationship Id="rId151" Type="http://schemas.openxmlformats.org/officeDocument/2006/relationships/image" Target="media/image13.jpeg"/><Relationship Id="rId152" Type="http://schemas.openxmlformats.org/officeDocument/2006/relationships/image" Target="media/image13.jpeg" TargetMode="External"/><Relationship Id="rId153" Type="http://schemas.openxmlformats.org/officeDocument/2006/relationships/header" Target="header62.xml"/><Relationship Id="rId154" Type="http://schemas.openxmlformats.org/officeDocument/2006/relationships/footer" Target="footer62.xml"/><Relationship Id="rId155" Type="http://schemas.openxmlformats.org/officeDocument/2006/relationships/header" Target="header63.xml"/><Relationship Id="rId156" Type="http://schemas.openxmlformats.org/officeDocument/2006/relationships/footer" Target="footer63.xml"/><Relationship Id="rId157" Type="http://schemas.openxmlformats.org/officeDocument/2006/relationships/header" Target="header64.xml"/><Relationship Id="rId158" Type="http://schemas.openxmlformats.org/officeDocument/2006/relationships/footer" Target="footer64.xml"/><Relationship Id="rId159" Type="http://schemas.openxmlformats.org/officeDocument/2006/relationships/header" Target="header65.xml"/><Relationship Id="rId160" Type="http://schemas.openxmlformats.org/officeDocument/2006/relationships/footer" Target="footer65.xml"/><Relationship Id="rId161" Type="http://schemas.openxmlformats.org/officeDocument/2006/relationships/header" Target="header66.xml"/><Relationship Id="rId162" Type="http://schemas.openxmlformats.org/officeDocument/2006/relationships/footer" Target="footer66.xml"/><Relationship Id="rId163" Type="http://schemas.openxmlformats.org/officeDocument/2006/relationships/header" Target="header67.xml"/><Relationship Id="rId164" Type="http://schemas.openxmlformats.org/officeDocument/2006/relationships/footer" Target="footer67.xml"/><Relationship Id="rId165" Type="http://schemas.openxmlformats.org/officeDocument/2006/relationships/header" Target="header68.xml"/><Relationship Id="rId166" Type="http://schemas.openxmlformats.org/officeDocument/2006/relationships/footer" Target="footer68.xml"/><Relationship Id="rId167" Type="http://schemas.openxmlformats.org/officeDocument/2006/relationships/header" Target="header69.xml"/><Relationship Id="rId168" Type="http://schemas.openxmlformats.org/officeDocument/2006/relationships/footer" Target="footer69.xml"/><Relationship Id="rId169" Type="http://schemas.openxmlformats.org/officeDocument/2006/relationships/header" Target="header70.xml"/><Relationship Id="rId170" Type="http://schemas.openxmlformats.org/officeDocument/2006/relationships/footer" Target="footer70.xml"/><Relationship Id="rId171" Type="http://schemas.openxmlformats.org/officeDocument/2006/relationships/header" Target="header71.xml"/><Relationship Id="rId172" Type="http://schemas.openxmlformats.org/officeDocument/2006/relationships/footer" Target="footer71.xml"/><Relationship Id="rId173" Type="http://schemas.openxmlformats.org/officeDocument/2006/relationships/header" Target="header72.xml"/><Relationship Id="rId174" Type="http://schemas.openxmlformats.org/officeDocument/2006/relationships/footer" Target="footer72.xml"/><Relationship Id="rId175" Type="http://schemas.openxmlformats.org/officeDocument/2006/relationships/image" Target="media/image14.jpeg"/><Relationship Id="rId176" Type="http://schemas.openxmlformats.org/officeDocument/2006/relationships/image" Target="media/image14.jpeg" TargetMode="External"/><Relationship Id="rId177" Type="http://schemas.openxmlformats.org/officeDocument/2006/relationships/header" Target="header73.xml"/><Relationship Id="rId178" Type="http://schemas.openxmlformats.org/officeDocument/2006/relationships/footer" Target="footer73.xml"/><Relationship Id="rId179" Type="http://schemas.openxmlformats.org/officeDocument/2006/relationships/header" Target="header74.xml"/><Relationship Id="rId180" Type="http://schemas.openxmlformats.org/officeDocument/2006/relationships/footer" Target="footer74.xml"/><Relationship Id="rId181" Type="http://schemas.openxmlformats.org/officeDocument/2006/relationships/header" Target="header75.xml"/><Relationship Id="rId182" Type="http://schemas.openxmlformats.org/officeDocument/2006/relationships/footer" Target="footer75.xml"/><Relationship Id="rId183" Type="http://schemas.openxmlformats.org/officeDocument/2006/relationships/header" Target="header76.xml"/><Relationship Id="rId184" Type="http://schemas.openxmlformats.org/officeDocument/2006/relationships/footer" Target="footer76.xml"/><Relationship Id="rId185" Type="http://schemas.openxmlformats.org/officeDocument/2006/relationships/header" Target="header77.xml"/><Relationship Id="rId186" Type="http://schemas.openxmlformats.org/officeDocument/2006/relationships/footer" Target="footer77.xml"/><Relationship Id="rId187" Type="http://schemas.openxmlformats.org/officeDocument/2006/relationships/header" Target="header78.xml"/><Relationship Id="rId188" Type="http://schemas.openxmlformats.org/officeDocument/2006/relationships/footer" Target="footer78.xml"/><Relationship Id="rId189" Type="http://schemas.openxmlformats.org/officeDocument/2006/relationships/header" Target="header79.xml"/><Relationship Id="rId190" Type="http://schemas.openxmlformats.org/officeDocument/2006/relationships/footer" Target="footer79.xml"/><Relationship Id="rId191" Type="http://schemas.openxmlformats.org/officeDocument/2006/relationships/header" Target="header80.xml"/><Relationship Id="rId192" Type="http://schemas.openxmlformats.org/officeDocument/2006/relationships/footer" Target="footer80.xml"/><Relationship Id="rId193" Type="http://schemas.openxmlformats.org/officeDocument/2006/relationships/header" Target="header81.xml"/><Relationship Id="rId194" Type="http://schemas.openxmlformats.org/officeDocument/2006/relationships/footer" Target="footer81.xml"/><Relationship Id="rId195" Type="http://schemas.openxmlformats.org/officeDocument/2006/relationships/header" Target="header82.xml"/><Relationship Id="rId196" Type="http://schemas.openxmlformats.org/officeDocument/2006/relationships/footer" Target="footer82.xml"/><Relationship Id="rId197" Type="http://schemas.openxmlformats.org/officeDocument/2006/relationships/header" Target="header83.xml"/><Relationship Id="rId198" Type="http://schemas.openxmlformats.org/officeDocument/2006/relationships/footer" Target="footer83.xml"/><Relationship Id="rId199" Type="http://schemas.openxmlformats.org/officeDocument/2006/relationships/header" Target="header84.xml"/><Relationship Id="rId200" Type="http://schemas.openxmlformats.org/officeDocument/2006/relationships/footer" Target="footer84.xml"/><Relationship Id="rId201" Type="http://schemas.openxmlformats.org/officeDocument/2006/relationships/header" Target="header85.xml"/><Relationship Id="rId202" Type="http://schemas.openxmlformats.org/officeDocument/2006/relationships/footer" Target="footer85.xml"/><Relationship Id="rId203" Type="http://schemas.openxmlformats.org/officeDocument/2006/relationships/header" Target="header86.xml"/><Relationship Id="rId204" Type="http://schemas.openxmlformats.org/officeDocument/2006/relationships/footer" Target="footer86.xml"/><Relationship Id="rId205" Type="http://schemas.openxmlformats.org/officeDocument/2006/relationships/header" Target="header87.xml"/><Relationship Id="rId206" Type="http://schemas.openxmlformats.org/officeDocument/2006/relationships/footer" Target="footer87.xml"/><Relationship Id="rId207" Type="http://schemas.openxmlformats.org/officeDocument/2006/relationships/header" Target="header88.xml"/><Relationship Id="rId208" Type="http://schemas.openxmlformats.org/officeDocument/2006/relationships/footer" Target="footer88.xml"/><Relationship Id="rId209" Type="http://schemas.openxmlformats.org/officeDocument/2006/relationships/header" Target="header89.xml"/><Relationship Id="rId210" Type="http://schemas.openxmlformats.org/officeDocument/2006/relationships/footer" Target="footer89.xml"/><Relationship Id="rId211" Type="http://schemas.openxmlformats.org/officeDocument/2006/relationships/header" Target="header90.xml"/><Relationship Id="rId212" Type="http://schemas.openxmlformats.org/officeDocument/2006/relationships/footer" Target="footer90.xml"/><Relationship Id="rId213" Type="http://schemas.openxmlformats.org/officeDocument/2006/relationships/header" Target="header91.xml"/><Relationship Id="rId214" Type="http://schemas.openxmlformats.org/officeDocument/2006/relationships/footer" Target="footer91.xml"/><Relationship Id="rId215" Type="http://schemas.openxmlformats.org/officeDocument/2006/relationships/header" Target="header92.xml"/><Relationship Id="rId216" Type="http://schemas.openxmlformats.org/officeDocument/2006/relationships/footer" Target="footer92.xml"/><Relationship Id="rId217" Type="http://schemas.openxmlformats.org/officeDocument/2006/relationships/header" Target="header93.xml"/><Relationship Id="rId218" Type="http://schemas.openxmlformats.org/officeDocument/2006/relationships/footer" Target="footer93.xml"/><Relationship Id="rId219" Type="http://schemas.openxmlformats.org/officeDocument/2006/relationships/header" Target="header94.xml"/><Relationship Id="rId220" Type="http://schemas.openxmlformats.org/officeDocument/2006/relationships/footer" Target="footer94.xml"/><Relationship Id="rId221" Type="http://schemas.openxmlformats.org/officeDocument/2006/relationships/header" Target="header95.xml"/><Relationship Id="rId222" Type="http://schemas.openxmlformats.org/officeDocument/2006/relationships/footer" Target="footer95.xml"/><Relationship Id="rId223" Type="http://schemas.openxmlformats.org/officeDocument/2006/relationships/header" Target="header96.xml"/><Relationship Id="rId224" Type="http://schemas.openxmlformats.org/officeDocument/2006/relationships/footer" Target="footer96.xml"/><Relationship Id="rId225" Type="http://schemas.openxmlformats.org/officeDocument/2006/relationships/header" Target="header97.xml"/><Relationship Id="rId226" Type="http://schemas.openxmlformats.org/officeDocument/2006/relationships/footer" Target="footer97.xml"/><Relationship Id="rId227" Type="http://schemas.openxmlformats.org/officeDocument/2006/relationships/header" Target="header98.xml"/><Relationship Id="rId228" Type="http://schemas.openxmlformats.org/officeDocument/2006/relationships/footer" Target="footer98.xml"/><Relationship Id="rId229" Type="http://schemas.openxmlformats.org/officeDocument/2006/relationships/header" Target="header99.xml"/><Relationship Id="rId230" Type="http://schemas.openxmlformats.org/officeDocument/2006/relationships/footer" Target="footer99.xml"/><Relationship Id="rId231" Type="http://schemas.openxmlformats.org/officeDocument/2006/relationships/header" Target="header100.xml"/><Relationship Id="rId232" Type="http://schemas.openxmlformats.org/officeDocument/2006/relationships/footer" Target="footer100.xml"/><Relationship Id="rId233" Type="http://schemas.openxmlformats.org/officeDocument/2006/relationships/header" Target="header101.xml"/><Relationship Id="rId234" Type="http://schemas.openxmlformats.org/officeDocument/2006/relationships/footer" Target="footer101.xml"/><Relationship Id="rId235" Type="http://schemas.openxmlformats.org/officeDocument/2006/relationships/image" Target="media/image15.jpeg"/><Relationship Id="rId236" Type="http://schemas.openxmlformats.org/officeDocument/2006/relationships/image" Target="media/image15.jpeg" TargetMode="External"/><Relationship Id="rId237" Type="http://schemas.openxmlformats.org/officeDocument/2006/relationships/header" Target="header102.xml"/><Relationship Id="rId238" Type="http://schemas.openxmlformats.org/officeDocument/2006/relationships/footer" Target="footer102.xml"/><Relationship Id="rId239" Type="http://schemas.openxmlformats.org/officeDocument/2006/relationships/header" Target="header103.xml"/><Relationship Id="rId240" Type="http://schemas.openxmlformats.org/officeDocument/2006/relationships/footer" Target="footer103.xml"/><Relationship Id="rId241" Type="http://schemas.openxmlformats.org/officeDocument/2006/relationships/header" Target="header104.xml"/><Relationship Id="rId242" Type="http://schemas.openxmlformats.org/officeDocument/2006/relationships/footer" Target="footer104.xml"/><Relationship Id="rId243" Type="http://schemas.openxmlformats.org/officeDocument/2006/relationships/header" Target="header105.xml"/><Relationship Id="rId244" Type="http://schemas.openxmlformats.org/officeDocument/2006/relationships/footer" Target="footer105.xml"/><Relationship Id="rId245" Type="http://schemas.openxmlformats.org/officeDocument/2006/relationships/header" Target="header106.xml"/><Relationship Id="rId246" Type="http://schemas.openxmlformats.org/officeDocument/2006/relationships/footer" Target="footer106.xml"/><Relationship Id="rId247" Type="http://schemas.openxmlformats.org/officeDocument/2006/relationships/image" Target="media/image16.jpeg"/><Relationship Id="rId248" Type="http://schemas.openxmlformats.org/officeDocument/2006/relationships/image" Target="media/image16.jpeg" TargetMode="External"/><Relationship Id="rId249" Type="http://schemas.openxmlformats.org/officeDocument/2006/relationships/header" Target="header107.xml"/><Relationship Id="rId250" Type="http://schemas.openxmlformats.org/officeDocument/2006/relationships/footer" Target="footer107.xml"/><Relationship Id="rId251" Type="http://schemas.openxmlformats.org/officeDocument/2006/relationships/header" Target="header108.xml"/><Relationship Id="rId252" Type="http://schemas.openxmlformats.org/officeDocument/2006/relationships/footer" Target="footer108.xml"/><Relationship Id="rId253" Type="http://schemas.openxmlformats.org/officeDocument/2006/relationships/header" Target="header109.xml"/><Relationship Id="rId254" Type="http://schemas.openxmlformats.org/officeDocument/2006/relationships/footer" Target="footer109.xml"/><Relationship Id="rId255" Type="http://schemas.openxmlformats.org/officeDocument/2006/relationships/header" Target="header110.xml"/><Relationship Id="rId256" Type="http://schemas.openxmlformats.org/officeDocument/2006/relationships/footer" Target="footer110.xml"/><Relationship Id="rId257" Type="http://schemas.openxmlformats.org/officeDocument/2006/relationships/image" Target="media/image17.jpeg"/><Relationship Id="rId258" Type="http://schemas.openxmlformats.org/officeDocument/2006/relationships/image" Target="media/image17.jpeg" TargetMode="External"/><Relationship Id="rId259" Type="http://schemas.openxmlformats.org/officeDocument/2006/relationships/header" Target="header111.xml"/><Relationship Id="rId260" Type="http://schemas.openxmlformats.org/officeDocument/2006/relationships/footer" Target="footer111.xml"/><Relationship Id="rId261" Type="http://schemas.openxmlformats.org/officeDocument/2006/relationships/header" Target="header112.xml"/><Relationship Id="rId262" Type="http://schemas.openxmlformats.org/officeDocument/2006/relationships/footer" Target="footer112.xml"/><Relationship Id="rId263" Type="http://schemas.openxmlformats.org/officeDocument/2006/relationships/header" Target="header113.xml"/><Relationship Id="rId264" Type="http://schemas.openxmlformats.org/officeDocument/2006/relationships/footer" Target="footer113.xml"/><Relationship Id="rId265" Type="http://schemas.openxmlformats.org/officeDocument/2006/relationships/header" Target="header114.xml"/><Relationship Id="rId266" Type="http://schemas.openxmlformats.org/officeDocument/2006/relationships/footer" Target="footer114.xml"/><Relationship Id="rId267" Type="http://schemas.openxmlformats.org/officeDocument/2006/relationships/header" Target="header115.xml"/><Relationship Id="rId268" Type="http://schemas.openxmlformats.org/officeDocument/2006/relationships/footer" Target="footer115.xml"/><Relationship Id="rId269" Type="http://schemas.openxmlformats.org/officeDocument/2006/relationships/header" Target="header116.xml"/><Relationship Id="rId270" Type="http://schemas.openxmlformats.org/officeDocument/2006/relationships/footer" Target="footer116.xml"/><Relationship Id="rId271" Type="http://schemas.openxmlformats.org/officeDocument/2006/relationships/header" Target="header117.xml"/><Relationship Id="rId272" Type="http://schemas.openxmlformats.org/officeDocument/2006/relationships/footer" Target="footer117.xml"/><Relationship Id="rId273" Type="http://schemas.openxmlformats.org/officeDocument/2006/relationships/header" Target="header118.xml"/><Relationship Id="rId274" Type="http://schemas.openxmlformats.org/officeDocument/2006/relationships/footer" Target="footer118.xml"/><Relationship Id="rId275" Type="http://schemas.openxmlformats.org/officeDocument/2006/relationships/image" Target="media/image18.jpeg"/><Relationship Id="rId276" Type="http://schemas.openxmlformats.org/officeDocument/2006/relationships/image" Target="media/image18.jpeg" TargetMode="External"/><Relationship Id="rId277" Type="http://schemas.openxmlformats.org/officeDocument/2006/relationships/header" Target="header119.xml"/><Relationship Id="rId278" Type="http://schemas.openxmlformats.org/officeDocument/2006/relationships/footer" Target="footer119.xml"/><Relationship Id="rId279" Type="http://schemas.openxmlformats.org/officeDocument/2006/relationships/header" Target="header120.xml"/><Relationship Id="rId280" Type="http://schemas.openxmlformats.org/officeDocument/2006/relationships/footer" Target="footer120.xml"/><Relationship Id="rId281" Type="http://schemas.openxmlformats.org/officeDocument/2006/relationships/header" Target="header121.xml"/><Relationship Id="rId282" Type="http://schemas.openxmlformats.org/officeDocument/2006/relationships/footer" Target="footer121.xml"/><Relationship Id="rId283" Type="http://schemas.openxmlformats.org/officeDocument/2006/relationships/header" Target="header122.xml"/><Relationship Id="rId284" Type="http://schemas.openxmlformats.org/officeDocument/2006/relationships/footer" Target="footer122.xml"/><Relationship Id="rId285" Type="http://schemas.openxmlformats.org/officeDocument/2006/relationships/header" Target="header123.xml"/><Relationship Id="rId286" Type="http://schemas.openxmlformats.org/officeDocument/2006/relationships/footer" Target="footer123.xml"/><Relationship Id="rId287" Type="http://schemas.openxmlformats.org/officeDocument/2006/relationships/header" Target="header124.xml"/><Relationship Id="rId288" Type="http://schemas.openxmlformats.org/officeDocument/2006/relationships/footer" Target="footer124.xml"/><Relationship Id="rId289" Type="http://schemas.openxmlformats.org/officeDocument/2006/relationships/header" Target="header125.xml"/><Relationship Id="rId290" Type="http://schemas.openxmlformats.org/officeDocument/2006/relationships/footer" Target="footer125.xml"/><Relationship Id="rId291" Type="http://schemas.openxmlformats.org/officeDocument/2006/relationships/header" Target="header126.xml"/><Relationship Id="rId292" Type="http://schemas.openxmlformats.org/officeDocument/2006/relationships/footer" Target="footer126.xml"/><Relationship Id="rId293" Type="http://schemas.openxmlformats.org/officeDocument/2006/relationships/header" Target="header127.xml"/><Relationship Id="rId294" Type="http://schemas.openxmlformats.org/officeDocument/2006/relationships/footer" Target="footer127.xml"/><Relationship Id="rId295" Type="http://schemas.openxmlformats.org/officeDocument/2006/relationships/header" Target="header128.xml"/><Relationship Id="rId296" Type="http://schemas.openxmlformats.org/officeDocument/2006/relationships/footer" Target="footer128.xml"/><Relationship Id="rId297" Type="http://schemas.openxmlformats.org/officeDocument/2006/relationships/header" Target="header129.xml"/><Relationship Id="rId298" Type="http://schemas.openxmlformats.org/officeDocument/2006/relationships/footer" Target="footer129.xml"/><Relationship Id="rId299" Type="http://schemas.openxmlformats.org/officeDocument/2006/relationships/header" Target="header130.xml"/><Relationship Id="rId300" Type="http://schemas.openxmlformats.org/officeDocument/2006/relationships/footer" Target="footer130.xml"/><Relationship Id="rId301" Type="http://schemas.openxmlformats.org/officeDocument/2006/relationships/header" Target="header131.xml"/><Relationship Id="rId302" Type="http://schemas.openxmlformats.org/officeDocument/2006/relationships/footer" Target="footer131.xml"/><Relationship Id="rId303" Type="http://schemas.openxmlformats.org/officeDocument/2006/relationships/header" Target="header132.xml"/><Relationship Id="rId304" Type="http://schemas.openxmlformats.org/officeDocument/2006/relationships/footer" Target="footer132.xml"/><Relationship Id="rId305" Type="http://schemas.openxmlformats.org/officeDocument/2006/relationships/header" Target="header133.xml"/><Relationship Id="rId306" Type="http://schemas.openxmlformats.org/officeDocument/2006/relationships/footer" Target="footer133.xml"/><Relationship Id="rId307" Type="http://schemas.openxmlformats.org/officeDocument/2006/relationships/header" Target="header134.xml"/><Relationship Id="rId308" Type="http://schemas.openxmlformats.org/officeDocument/2006/relationships/footer" Target="footer134.xml"/><Relationship Id="rId309" Type="http://schemas.openxmlformats.org/officeDocument/2006/relationships/header" Target="header135.xml"/><Relationship Id="rId310" Type="http://schemas.openxmlformats.org/officeDocument/2006/relationships/footer" Target="footer135.xml"/><Relationship Id="rId311" Type="http://schemas.openxmlformats.org/officeDocument/2006/relationships/header" Target="header136.xml"/><Relationship Id="rId312" Type="http://schemas.openxmlformats.org/officeDocument/2006/relationships/footer" Target="footer136.xml"/><Relationship Id="rId313" Type="http://schemas.openxmlformats.org/officeDocument/2006/relationships/header" Target="header137.xml"/><Relationship Id="rId314" Type="http://schemas.openxmlformats.org/officeDocument/2006/relationships/footer" Target="footer137.xml"/><Relationship Id="rId315" Type="http://schemas.openxmlformats.org/officeDocument/2006/relationships/header" Target="header138.xml"/><Relationship Id="rId316" Type="http://schemas.openxmlformats.org/officeDocument/2006/relationships/footer" Target="footer138.xml"/><Relationship Id="rId317" Type="http://schemas.openxmlformats.org/officeDocument/2006/relationships/header" Target="header139.xml"/><Relationship Id="rId318" Type="http://schemas.openxmlformats.org/officeDocument/2006/relationships/footer" Target="footer139.xml"/><Relationship Id="rId319" Type="http://schemas.openxmlformats.org/officeDocument/2006/relationships/header" Target="header140.xml"/><Relationship Id="rId320" Type="http://schemas.openxmlformats.org/officeDocument/2006/relationships/footer" Target="footer140.xml"/><Relationship Id="rId321" Type="http://schemas.openxmlformats.org/officeDocument/2006/relationships/image" Target="media/image19.jpeg"/><Relationship Id="rId322" Type="http://schemas.openxmlformats.org/officeDocument/2006/relationships/image" Target="media/image19.jpeg" TargetMode="External"/><Relationship Id="rId323" Type="http://schemas.openxmlformats.org/officeDocument/2006/relationships/image" Target="media/image20.jpeg"/><Relationship Id="rId324" Type="http://schemas.openxmlformats.org/officeDocument/2006/relationships/image" Target="media/image20.jpeg" TargetMode="External"/></Relationships>
</file>