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6"/>
        <w:ind w:left="93" w:right="1751" w:firstLine="0"/>
        <w:jc w:val="center"/>
        <w:rPr>
          <w:rFonts w:ascii="黑体" w:hAnsi="黑体" w:cs="黑体" w:eastAsia="黑体" w:hint="default"/>
          <w:sz w:val="52"/>
          <w:szCs w:val="52"/>
        </w:rPr>
      </w:pPr>
      <w:r>
        <w:rPr>
          <w:rFonts w:ascii="黑体" w:hAnsi="黑体" w:cs="黑体" w:eastAsia="黑体" w:hint="default"/>
          <w:sz w:val="52"/>
          <w:szCs w:val="52"/>
        </w:rPr>
        <w:t>深圳达实智能股份有限公司</w:t>
      </w:r>
    </w:p>
    <w:p>
      <w:pPr>
        <w:spacing w:before="45"/>
        <w:ind w:left="94" w:right="1751" w:firstLine="0"/>
        <w:jc w:val="center"/>
        <w:rPr>
          <w:rFonts w:ascii="黑体" w:hAnsi="黑体" w:cs="黑体" w:eastAsia="黑体" w:hint="default"/>
          <w:sz w:val="44"/>
          <w:szCs w:val="44"/>
        </w:rPr>
      </w:pPr>
      <w:r>
        <w:rPr>
          <w:rFonts w:ascii="黑体" w:hAnsi="黑体" w:cs="黑体" w:eastAsia="黑体" w:hint="default"/>
          <w:sz w:val="44"/>
          <w:szCs w:val="44"/>
        </w:rPr>
        <w:t>（</w:t>
      </w:r>
      <w:r>
        <w:rPr>
          <w:rFonts w:ascii="黑体" w:hAnsi="黑体" w:cs="黑体" w:eastAsia="黑体" w:hint="default"/>
          <w:sz w:val="44"/>
          <w:szCs w:val="44"/>
        </w:rPr>
        <w:t>SHENZHEN DAS INTELLITECH CO.,</w:t>
      </w:r>
      <w:r>
        <w:rPr>
          <w:rFonts w:ascii="黑体" w:hAnsi="黑体" w:cs="黑体" w:eastAsia="黑体" w:hint="default"/>
          <w:spacing w:val="1"/>
          <w:sz w:val="44"/>
          <w:szCs w:val="44"/>
        </w:rPr>
        <w:t> </w:t>
      </w:r>
      <w:r>
        <w:rPr>
          <w:rFonts w:ascii="黑体" w:hAnsi="黑体" w:cs="黑体" w:eastAsia="黑体" w:hint="default"/>
          <w:sz w:val="44"/>
          <w:szCs w:val="44"/>
        </w:rPr>
        <w:t>LTD.</w:t>
      </w:r>
      <w:r>
        <w:rPr>
          <w:rFonts w:ascii="黑体" w:hAnsi="黑体" w:cs="黑体" w:eastAsia="黑体" w:hint="default"/>
          <w:sz w:val="44"/>
          <w:szCs w:val="44"/>
        </w:rPr>
        <w:t>）</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0"/>
          <w:szCs w:val="10"/>
        </w:rPr>
      </w:pPr>
    </w:p>
    <w:p>
      <w:pPr>
        <w:spacing w:line="1231" w:lineRule="exact"/>
        <w:ind w:left="2229" w:right="0" w:firstLine="0"/>
        <w:rPr>
          <w:rFonts w:ascii="黑体" w:hAnsi="黑体" w:cs="黑体" w:eastAsia="黑体" w:hint="default"/>
          <w:sz w:val="20"/>
          <w:szCs w:val="20"/>
        </w:rPr>
      </w:pPr>
      <w:r>
        <w:rPr>
          <w:rFonts w:ascii="黑体" w:hAnsi="黑体" w:cs="黑体" w:eastAsia="黑体" w:hint="default"/>
          <w:position w:val="-24"/>
          <w:sz w:val="20"/>
          <w:szCs w:val="20"/>
        </w:rPr>
        <w:drawing>
          <wp:inline distT="0" distB="0" distL="0" distR="0">
            <wp:extent cx="2616819" cy="78181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616819" cy="781812"/>
                    </a:xfrm>
                    <a:prstGeom prst="rect">
                      <a:avLst/>
                    </a:prstGeom>
                  </pic:spPr>
                </pic:pic>
              </a:graphicData>
            </a:graphic>
          </wp:inline>
        </w:drawing>
      </w:r>
      <w:r>
        <w:rPr>
          <w:rFonts w:ascii="黑体" w:hAnsi="黑体" w:cs="黑体" w:eastAsia="黑体" w:hint="default"/>
          <w:position w:val="-24"/>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4"/>
          <w:szCs w:val="24"/>
        </w:rPr>
      </w:pPr>
    </w:p>
    <w:p>
      <w:pPr>
        <w:spacing w:line="620" w:lineRule="exact" w:before="0"/>
        <w:ind w:left="93" w:right="1751" w:firstLine="0"/>
        <w:jc w:val="center"/>
        <w:rPr>
          <w:rFonts w:ascii="黑体" w:hAnsi="黑体" w:cs="黑体" w:eastAsia="黑体" w:hint="default"/>
          <w:sz w:val="52"/>
          <w:szCs w:val="52"/>
        </w:rPr>
      </w:pPr>
      <w:r>
        <w:rPr>
          <w:rFonts w:ascii="黑体" w:hAnsi="黑体" w:cs="黑体" w:eastAsia="黑体" w:hint="default"/>
          <w:sz w:val="52"/>
          <w:szCs w:val="52"/>
        </w:rPr>
        <w:t>2014</w:t>
      </w:r>
      <w:r>
        <w:rPr>
          <w:rFonts w:ascii="黑体" w:hAnsi="黑体" w:cs="黑体" w:eastAsia="黑体" w:hint="default"/>
          <w:spacing w:val="-131"/>
          <w:sz w:val="52"/>
          <w:szCs w:val="52"/>
        </w:rPr>
        <w:t> </w:t>
      </w:r>
      <w:r>
        <w:rPr>
          <w:rFonts w:ascii="黑体" w:hAnsi="黑体" w:cs="黑体" w:eastAsia="黑体" w:hint="default"/>
          <w:sz w:val="52"/>
          <w:szCs w:val="52"/>
        </w:rPr>
        <w:t>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6"/>
        <w:rPr>
          <w:rFonts w:ascii="黑体" w:hAnsi="黑体" w:cs="黑体" w:eastAsia="黑体" w:hint="default"/>
          <w:sz w:val="44"/>
          <w:szCs w:val="44"/>
        </w:rPr>
      </w:pPr>
    </w:p>
    <w:p>
      <w:pPr>
        <w:spacing w:before="0"/>
        <w:ind w:left="94" w:right="175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70" w:top="1580" w:bottom="76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03</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05</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261,600,000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6"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12</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spacing w:val="-131"/>
          <w:w w:val="99"/>
          <w:sz w:val="28"/>
          <w:szCs w:val="28"/>
        </w:rPr>
        <w:t> </w:t>
      </w:r>
      <w:r>
        <w:rPr>
          <w:rFonts w:ascii="宋体" w:hAnsi="宋体" w:cs="宋体" w:eastAsia="宋体" w:hint="default"/>
          <w:b/>
          <w:bCs/>
          <w:w w:val="95"/>
          <w:sz w:val="28"/>
          <w:szCs w:val="28"/>
        </w:rPr>
        <w:t>公司负责人刘磅、主管会计工作负责人黄天朗及会计机构负责人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59"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张长伟声明：保证年度报告中财务报告的真实、准确、完整。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headerReference w:type="default" r:id="rId7"/>
          <w:footerReference w:type="default" r:id="rId8"/>
          <w:pgSz w:w="11910" w:h="16840"/>
          <w:pgMar w:header="877" w:footer="979" w:top="1060" w:bottom="1160" w:left="98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3751" w:right="472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1</w:t>
            </w:r>
          </w:hyperlink>
        </w:p>
        <w:p>
          <w:pPr>
            <w:pStyle w:val="TOC1"/>
            <w:tabs>
              <w:tab w:pos="9783" w:val="right" w:leader="dot"/>
            </w:tabs>
            <w:spacing w:line="240" w:lineRule="auto"/>
            <w:ind w:right="0"/>
            <w:jc w:val="left"/>
            <w:rPr>
              <w:rFonts w:ascii="宋体" w:hAnsi="宋体" w:cs="宋体" w:eastAsia="宋体" w:hint="default"/>
            </w:rPr>
          </w:pPr>
          <w:hyperlink w:history="true" w:anchor="_bookmark1">
            <w:r>
              <w:rPr/>
              <w:t>第二节 公司简介</w:t>
            </w:r>
            <w:r>
              <w:rPr>
                <w:rFonts w:ascii="宋体" w:hAnsi="宋体" w:cs="宋体" w:eastAsia="宋体" w:hint="default"/>
              </w:rPr>
              <w:tab/>
              <w:t>5</w:t>
            </w:r>
          </w:hyperlink>
        </w:p>
        <w:p>
          <w:pPr>
            <w:pStyle w:val="TOC1"/>
            <w:tabs>
              <w:tab w:pos="9783" w:val="right" w:leader="dot"/>
            </w:tabs>
            <w:spacing w:line="240" w:lineRule="auto" w:before="134"/>
            <w:ind w:right="0"/>
            <w:jc w:val="left"/>
            <w:rPr>
              <w:rFonts w:ascii="宋体" w:hAnsi="宋体" w:cs="宋体" w:eastAsia="宋体" w:hint="default"/>
            </w:rPr>
          </w:pPr>
          <w:hyperlink w:history="true" w:anchor="_bookmark2">
            <w:r>
              <w:rPr/>
              <w:t>第三节 会计数据和财务指标摘要</w:t>
            </w:r>
            <w:r>
              <w:rPr>
                <w:rFonts w:ascii="宋体" w:hAnsi="宋体" w:cs="宋体" w:eastAsia="宋体" w:hint="default"/>
              </w:rPr>
              <w:tab/>
              <w:t>7</w:t>
            </w:r>
          </w:hyperlink>
        </w:p>
        <w:p>
          <w:pPr>
            <w:pStyle w:val="TOC1"/>
            <w:tabs>
              <w:tab w:pos="9783" w:val="right" w:leader="dot"/>
            </w:tabs>
            <w:spacing w:line="240" w:lineRule="auto"/>
            <w:ind w:right="0"/>
            <w:jc w:val="left"/>
            <w:rPr>
              <w:rFonts w:ascii="宋体" w:hAnsi="宋体" w:cs="宋体" w:eastAsia="宋体" w:hint="default"/>
            </w:rPr>
          </w:pPr>
          <w:hyperlink w:history="true" w:anchor="_bookmark3">
            <w:r>
              <w:rPr/>
              <w:t>第四节 董事会报告</w:t>
            </w:r>
            <w:r>
              <w:rPr>
                <w:rFonts w:ascii="宋体" w:hAnsi="宋体" w:cs="宋体" w:eastAsia="宋体" w:hint="default"/>
              </w:rPr>
              <w:tab/>
              <w:t>9</w:t>
            </w:r>
          </w:hyperlink>
        </w:p>
        <w:p>
          <w:pPr>
            <w:pStyle w:val="TOC1"/>
            <w:tabs>
              <w:tab w:pos="9783" w:val="right" w:leader="dot"/>
            </w:tabs>
            <w:spacing w:line="240" w:lineRule="auto" w:before="134"/>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30</w:t>
            </w:r>
          </w:hyperlink>
        </w:p>
        <w:p>
          <w:pPr>
            <w:pStyle w:val="TOC1"/>
            <w:tabs>
              <w:tab w:pos="9783" w:val="right" w:leader="dot"/>
            </w:tabs>
            <w:spacing w:line="240" w:lineRule="auto"/>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37</w:t>
            </w:r>
          </w:hyperlink>
        </w:p>
        <w:p>
          <w:pPr>
            <w:pStyle w:val="TOC1"/>
            <w:tabs>
              <w:tab w:pos="9783" w:val="right" w:leader="dot"/>
            </w:tabs>
            <w:spacing w:line="240" w:lineRule="auto" w:before="134"/>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43</w:t>
            </w:r>
          </w:hyperlink>
        </w:p>
        <w:p>
          <w:pPr>
            <w:pStyle w:val="TOC1"/>
            <w:tabs>
              <w:tab w:pos="9783" w:val="right" w:leader="dot"/>
            </w:tabs>
            <w:spacing w:line="240" w:lineRule="auto"/>
            <w:ind w:right="0"/>
            <w:jc w:val="left"/>
            <w:rPr>
              <w:rFonts w:ascii="宋体" w:hAnsi="宋体" w:cs="宋体" w:eastAsia="宋体" w:hint="default"/>
            </w:rPr>
          </w:pPr>
          <w:hyperlink w:history="true" w:anchor="_bookmark7">
            <w:r>
              <w:rPr/>
              <w:t>第八节 董事、监事、高级管理人员和员工情况</w:t>
            </w:r>
            <w:r>
              <w:rPr>
                <w:rFonts w:ascii="宋体" w:hAnsi="宋体" w:cs="宋体" w:eastAsia="宋体" w:hint="default"/>
              </w:rPr>
              <w:tab/>
              <w:t>44</w:t>
            </w:r>
          </w:hyperlink>
        </w:p>
        <w:p>
          <w:pPr>
            <w:pStyle w:val="TOC1"/>
            <w:tabs>
              <w:tab w:pos="9783" w:val="right" w:leader="dot"/>
            </w:tabs>
            <w:spacing w:line="240" w:lineRule="auto"/>
            <w:ind w:right="0"/>
            <w:jc w:val="left"/>
            <w:rPr>
              <w:rFonts w:ascii="宋体" w:hAnsi="宋体" w:cs="宋体" w:eastAsia="宋体" w:hint="default"/>
            </w:rPr>
          </w:pPr>
          <w:hyperlink w:history="true" w:anchor="_bookmark8">
            <w:r>
              <w:rPr/>
              <w:t>第九节 公司治理</w:t>
            </w:r>
            <w:r>
              <w:rPr>
                <w:rFonts w:ascii="宋体" w:hAnsi="宋体" w:cs="宋体" w:eastAsia="宋体" w:hint="default"/>
              </w:rPr>
              <w:tab/>
              <w:t>52</w:t>
            </w:r>
          </w:hyperlink>
        </w:p>
        <w:p>
          <w:pPr>
            <w:pStyle w:val="TOC1"/>
            <w:tabs>
              <w:tab w:pos="9783" w:val="right" w:leader="dot"/>
            </w:tabs>
            <w:spacing w:line="240" w:lineRule="auto" w:before="134"/>
            <w:ind w:right="0"/>
            <w:jc w:val="left"/>
            <w:rPr>
              <w:rFonts w:ascii="宋体" w:hAnsi="宋体" w:cs="宋体" w:eastAsia="宋体" w:hint="default"/>
            </w:rPr>
          </w:pPr>
          <w:hyperlink w:history="true" w:anchor="_bookmark9">
            <w:r>
              <w:rPr/>
              <w:t>第十节 内部控制</w:t>
            </w:r>
            <w:r>
              <w:rPr>
                <w:rFonts w:ascii="宋体" w:hAnsi="宋体" w:cs="宋体" w:eastAsia="宋体" w:hint="default"/>
              </w:rPr>
              <w:tab/>
              <w:t>59</w:t>
            </w:r>
          </w:hyperlink>
        </w:p>
        <w:p>
          <w:pPr>
            <w:pStyle w:val="TOC1"/>
            <w:tabs>
              <w:tab w:pos="9783" w:val="right" w:leader="dot"/>
            </w:tabs>
            <w:spacing w:line="240" w:lineRule="auto"/>
            <w:ind w:right="0"/>
            <w:jc w:val="left"/>
            <w:rPr>
              <w:rFonts w:ascii="宋体" w:hAnsi="宋体" w:cs="宋体" w:eastAsia="宋体" w:hint="default"/>
            </w:rPr>
          </w:pPr>
          <w:hyperlink w:history="true" w:anchor="_bookmark10">
            <w:r>
              <w:rPr/>
              <w:t>第十一节 财务报告</w:t>
            </w:r>
            <w:r>
              <w:rPr>
                <w:rFonts w:ascii="宋体" w:hAnsi="宋体" w:cs="宋体" w:eastAsia="宋体" w:hint="default"/>
              </w:rPr>
              <w:tab/>
              <w:t>62</w:t>
            </w:r>
          </w:hyperlink>
        </w:p>
        <w:p>
          <w:pPr>
            <w:pStyle w:val="TOC1"/>
            <w:tabs>
              <w:tab w:pos="9783" w:val="right" w:leader="dot"/>
            </w:tabs>
            <w:spacing w:line="240" w:lineRule="auto" w:before="134"/>
            <w:ind w:right="0"/>
            <w:jc w:val="left"/>
            <w:rPr>
              <w:rFonts w:ascii="宋体" w:hAnsi="宋体" w:cs="宋体" w:eastAsia="宋体" w:hint="default"/>
            </w:rPr>
          </w:pPr>
          <w:hyperlink w:history="true" w:anchor="_bookmark11">
            <w:r>
              <w:rPr/>
              <w:t>第十二节 备查文件目录</w:t>
            </w:r>
            <w:r>
              <w:rPr>
                <w:rFonts w:ascii="宋体" w:hAnsi="宋体" w:cs="宋体" w:eastAsia="宋体" w:hint="default"/>
              </w:rPr>
              <w:tab/>
              <w:t>153</w:t>
            </w:r>
          </w:hyperlink>
        </w:p>
        <w:p>
          <w:pPr/>
          <w:r>
            <w:fldChar w:fldCharType="end"/>
          </w:r>
        </w:p>
      </w:sdtContent>
    </w:sdt>
    <w:p>
      <w:pPr>
        <w:spacing w:after="0"/>
        <w:sectPr>
          <w:pgSz w:w="11910" w:h="16840"/>
          <w:pgMar w:header="877" w:footer="979" w:top="1100" w:bottom="1160" w:left="980" w:right="0"/>
        </w:sect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before="236"/>
        <w:ind w:left="3751" w:right="472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深圳达实智能股份有限公司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达实信息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深圳达实信息技术有限公司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达实德润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北京达实德润能源科技有限公司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达实联欣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上海达实联欣科技发展有限公司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联欣金山</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上海联欣金山建筑科技发展有限公司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达实自动化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上海达实自动化工程有限公司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达实租赁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深圳达实融资租赁有限公司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上海腾隆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上海腾隆变配电设备管理有限公司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遵义达实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遵义达实绿色智慧发展有限公司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珠海达实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珠海达实科技发展有限公司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1"/>
        <w:ind w:left="3751" w:right="4728"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386" w:lineRule="auto" w:before="0"/>
        <w:ind w:left="154" w:right="0" w:firstLine="1123"/>
        <w:jc w:val="left"/>
        <w:rPr>
          <w:rFonts w:ascii="宋体" w:hAnsi="宋体" w:cs="宋体" w:eastAsia="宋体" w:hint="default"/>
          <w:sz w:val="28"/>
          <w:szCs w:val="28"/>
        </w:rPr>
      </w:pPr>
      <w:r>
        <w:rPr>
          <w:rFonts w:ascii="宋体" w:hAnsi="宋体" w:cs="宋体" w:eastAsia="宋体" w:hint="default"/>
          <w:b/>
          <w:bCs/>
          <w:spacing w:val="3"/>
          <w:w w:val="95"/>
          <w:sz w:val="28"/>
          <w:szCs w:val="28"/>
        </w:rPr>
        <w:t>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董事会报告</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中，详细描述了公司可能面对的风险因素</w:t>
      </w:r>
      <w:r>
        <w:rPr>
          <w:rFonts w:ascii="宋体" w:hAnsi="宋体" w:cs="宋体" w:eastAsia="宋体" w:hint="default"/>
          <w:b/>
          <w:bCs/>
          <w:w w:val="99"/>
          <w:sz w:val="28"/>
          <w:szCs w:val="28"/>
        </w:rPr>
        <w:t> </w:t>
      </w:r>
      <w:r>
        <w:rPr>
          <w:rFonts w:ascii="宋体" w:hAnsi="宋体" w:cs="宋体" w:eastAsia="宋体" w:hint="default"/>
          <w:b/>
          <w:bCs/>
          <w:sz w:val="28"/>
          <w:szCs w:val="28"/>
        </w:rPr>
        <w:t>及应对措施，敬请投资者关注相关内容。</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808384"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pStyle w:val="Heading1"/>
        <w:spacing w:line="240" w:lineRule="auto" w:before="154"/>
        <w:ind w:right="4729"/>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达实智能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002421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达实智能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DAS INTELLITECH CO.,</w:t>
            </w:r>
            <w:r>
              <w:rPr>
                <w:rFonts w:ascii="Times New Roman"/>
                <w:spacing w:val="-2"/>
                <w:sz w:val="18"/>
              </w:rPr>
              <w:t>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DAS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深圳市南山区高新技术村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座五楼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www.chn-das.com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59"/>
        <w:gridCol w:w="3656"/>
        <w:gridCol w:w="3644"/>
      </w:tblGrid>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张红萍</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0755-26525166</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0755-26525166</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0755-26639599</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0755-26639599</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85"/>
        <w:gridCol w:w="1605"/>
        <w:gridCol w:w="1595"/>
        <w:gridCol w:w="1594"/>
        <w:gridCol w:w="1594"/>
        <w:gridCol w:w="1595"/>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
        </w:tc>
        <w:tc>
          <w:tcPr>
            <w:tcW w:w="16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59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工商外企合粤深字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106429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440301618886181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61888618-1</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05"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440301102717424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440301618886181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61888618-1</w:t>
            </w: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2"/>
        <w:gridCol w:w="6376"/>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北京西直门外大街</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号中糖大厦</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潘忠民、龙哲</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10"/>
        <w:gridCol w:w="2475"/>
        <w:gridCol w:w="1595"/>
        <w:gridCol w:w="3189"/>
      </w:tblGrid>
      <w:tr>
        <w:trPr>
          <w:trHeight w:val="402" w:hRule="exact"/>
        </w:trPr>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广州市天河区天河北路</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郭国、胡军</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1,263,062,267.04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1,011,892,653.89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824,070,264.21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112,167,858.11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82,294,209.87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77,801,320.40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104,887,886.97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76,919,640.57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70,210,902.63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114,107,771.58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4,520,823.16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2,424.05%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104,309,932.62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2,600,385,358.72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1,470,609,407.44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1,218,794,869.33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1,617,669,537.17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773,846,216.08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696,172,890.57</w:t>
            </w:r>
          </w:p>
        </w:tc>
      </w:tr>
    </w:tbl>
    <w:p>
      <w:pPr>
        <w:spacing w:line="319" w:lineRule="auto" w:before="51"/>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0.4288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-107,441.18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10,440.91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19,606.71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10,505,327.01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8,289,137.21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8,629,254.25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 入</w:t>
            </w:r>
            <w:r>
              <w:rPr>
                <w:rFonts w:ascii="Times New Roman" w:hAnsi="Times New Roman" w:cs="Times New Roman" w:eastAsia="Times New Roman" w:hint="default"/>
                <w:sz w:val="18"/>
                <w:szCs w:val="18"/>
              </w:rPr>
              <w:t>”</w:t>
            </w:r>
          </w:p>
        </w:tc>
      </w:tr>
    </w:tbl>
    <w:p>
      <w:pPr>
        <w:spacing w:after="0" w:line="30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-22,800.45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-232,525.70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123,125.72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338,086.08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1,542,040.78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1,276,003.27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1,354,253.20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1,343,348.21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1,772,621.96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19,475.62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7,279,971.14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5,374,569.30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7,590,417.77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0"/>
        <w:jc w:val="left"/>
        <w:rPr>
          <w:b w:val="0"/>
          <w:bCs w:val="0"/>
        </w:rPr>
      </w:pPr>
      <w:bookmarkStart w:name="一、概述" w:id="16"/>
      <w:bookmarkEnd w:id="16"/>
      <w:r>
        <w:rPr>
          <w:b w:val="0"/>
          <w:bCs w:val="0"/>
        </w:rPr>
      </w:r>
      <w:r>
        <w:rPr/>
        <w:t>一、概述</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30" w:firstLine="420"/>
        <w:jc w:val="both"/>
      </w:pPr>
      <w:r>
        <w:rPr>
          <w:rFonts w:ascii="宋体" w:hAnsi="宋体" w:cs="宋体" w:eastAsia="宋体" w:hint="default"/>
        </w:rPr>
        <w:t>2014</w:t>
      </w:r>
      <w:r>
        <w:rPr>
          <w:rFonts w:ascii="宋体" w:hAnsi="宋体" w:cs="宋体" w:eastAsia="宋体" w:hint="default"/>
          <w:spacing w:val="-49"/>
        </w:rPr>
        <w:t> </w:t>
      </w:r>
      <w:r>
        <w:rPr>
          <w:spacing w:val="-2"/>
        </w:rPr>
        <w:t>年，面对经营中遇到的各种机遇与挑战，公司董事会审时度势、科学决策，经营管理班子精诚团</w:t>
      </w:r>
      <w:r>
        <w:rPr/>
        <w:t> </w:t>
      </w:r>
      <w:r>
        <w:rPr>
          <w:spacing w:val="-1"/>
        </w:rPr>
        <w:t>结、攻坚克难，全体员工奋勇拼搏，成效显著。公司认真落实了年初提出的“聚焦主业，储备未来；精耕</w:t>
      </w:r>
      <w:r>
        <w:rPr>
          <w:spacing w:val="-85"/>
        </w:rPr>
        <w:t> </w:t>
      </w:r>
      <w:r>
        <w:rPr>
          <w:spacing w:val="-85"/>
        </w:rPr>
      </w:r>
      <w:r>
        <w:rPr>
          <w:spacing w:val="-1"/>
        </w:rPr>
        <w:t>行业，布局区域；精细管理，绩效为先；创新模式，资本助力”的经营方针，以“让城市更智慧，让建筑</w:t>
      </w:r>
      <w:r>
        <w:rPr>
          <w:spacing w:val="-86"/>
        </w:rPr>
        <w:t> </w:t>
      </w:r>
      <w:r>
        <w:rPr>
          <w:spacing w:val="-86"/>
        </w:rPr>
      </w:r>
      <w:r>
        <w:rPr/>
        <w:t>更节能”为经营宗旨，通过“技术</w:t>
      </w:r>
      <w:r>
        <w:rPr>
          <w:rFonts w:ascii="宋体" w:hAnsi="宋体" w:cs="宋体" w:eastAsia="宋体" w:hint="default"/>
        </w:rPr>
        <w:t>+</w:t>
      </w:r>
      <w:r>
        <w:rPr/>
        <w:t>金融”的商业模式，在智能建筑、智慧交通、智慧医疗等诸多领域，</w:t>
      </w:r>
      <w:r>
        <w:rPr>
          <w:spacing w:val="-27"/>
        </w:rPr>
        <w:t> </w:t>
      </w:r>
      <w:r>
        <w:rPr>
          <w:spacing w:val="-27"/>
        </w:rPr>
      </w:r>
      <w:r>
        <w:rPr>
          <w:spacing w:val="-1"/>
        </w:rPr>
        <w:t>向客户提供智慧城市建设及运营服务，逐步实现由建筑智能化集成商向智慧城市建设和运营服务提供商的</w:t>
      </w:r>
      <w:r>
        <w:rPr>
          <w:spacing w:val="-82"/>
        </w:rPr>
        <w:t> </w:t>
      </w:r>
      <w:r>
        <w:rPr>
          <w:spacing w:val="-82"/>
        </w:rPr>
      </w:r>
      <w:r>
        <w:rPr/>
        <w:t>转型。</w:t>
      </w:r>
    </w:p>
    <w:p>
      <w:pPr>
        <w:pStyle w:val="BodyText"/>
        <w:spacing w:line="357" w:lineRule="auto" w:before="31"/>
        <w:ind w:right="1130" w:firstLine="420"/>
        <w:jc w:val="both"/>
      </w:pPr>
      <w:r>
        <w:rPr>
          <w:rFonts w:ascii="宋体" w:hAnsi="宋体" w:cs="宋体" w:eastAsia="宋体" w:hint="default"/>
        </w:rPr>
        <w:t>2014</w:t>
      </w:r>
      <w:r>
        <w:rPr>
          <w:rFonts w:ascii="宋体" w:hAnsi="宋体" w:cs="宋体" w:eastAsia="宋体" w:hint="default"/>
          <w:spacing w:val="-56"/>
        </w:rPr>
        <w:t> </w:t>
      </w:r>
      <w:r>
        <w:rPr/>
        <w:t>年度，公司实现营业总收入</w:t>
      </w:r>
      <w:r>
        <w:rPr>
          <w:spacing w:val="-58"/>
        </w:rPr>
        <w:t> </w:t>
      </w:r>
      <w:r>
        <w:rPr>
          <w:rFonts w:ascii="宋体" w:hAnsi="宋体" w:cs="宋体" w:eastAsia="宋体" w:hint="default"/>
        </w:rPr>
        <w:t>126,306.23</w:t>
      </w:r>
      <w:r>
        <w:rPr>
          <w:rFonts w:ascii="宋体" w:hAnsi="宋体" w:cs="宋体" w:eastAsia="宋体" w:hint="default"/>
          <w:spacing w:val="-57"/>
        </w:rPr>
        <w:t> </w:t>
      </w:r>
      <w:r>
        <w:rPr/>
        <w:t>万元，较上年同期增长</w:t>
      </w:r>
      <w:r>
        <w:rPr>
          <w:spacing w:val="-58"/>
        </w:rPr>
        <w:t> </w:t>
      </w:r>
      <w:r>
        <w:rPr>
          <w:rFonts w:ascii="宋体" w:hAnsi="宋体" w:cs="宋体" w:eastAsia="宋体" w:hint="default"/>
        </w:rPr>
        <w:t>24.82%</w:t>
      </w:r>
      <w:r>
        <w:rPr/>
        <w:t>；营业利润</w:t>
      </w:r>
      <w:r>
        <w:rPr>
          <w:spacing w:val="-59"/>
        </w:rPr>
        <w:t> </w:t>
      </w:r>
      <w:r>
        <w:rPr>
          <w:rFonts w:ascii="宋体" w:hAnsi="宋体" w:cs="宋体" w:eastAsia="宋体" w:hint="default"/>
        </w:rPr>
        <w:t>16,493.35</w:t>
      </w:r>
      <w:r>
        <w:rPr>
          <w:rFonts w:ascii="宋体" w:hAnsi="宋体" w:cs="宋体" w:eastAsia="宋体" w:hint="default"/>
          <w:spacing w:val="-57"/>
        </w:rPr>
        <w:t> </w:t>
      </w:r>
      <w:r>
        <w:rPr/>
        <w:t>万 元，较上年同期增长</w:t>
      </w:r>
      <w:r>
        <w:rPr>
          <w:spacing w:val="-59"/>
        </w:rPr>
        <w:t> </w:t>
      </w:r>
      <w:r>
        <w:rPr>
          <w:rFonts w:ascii="宋体" w:hAnsi="宋体" w:cs="宋体" w:eastAsia="宋体" w:hint="default"/>
        </w:rPr>
        <w:t>39.31%</w:t>
      </w:r>
      <w:r>
        <w:rPr/>
        <w:t>；利润总额</w:t>
      </w:r>
      <w:r>
        <w:rPr>
          <w:spacing w:val="-60"/>
        </w:rPr>
        <w:t> </w:t>
      </w:r>
      <w:r>
        <w:rPr>
          <w:rFonts w:ascii="宋体" w:hAnsi="宋体" w:cs="宋体" w:eastAsia="宋体" w:hint="default"/>
        </w:rPr>
        <w:t>17,509.89</w:t>
      </w:r>
      <w:r>
        <w:rPr>
          <w:rFonts w:ascii="宋体" w:hAnsi="宋体" w:cs="宋体" w:eastAsia="宋体" w:hint="default"/>
          <w:spacing w:val="-59"/>
        </w:rPr>
        <w:t> </w:t>
      </w:r>
      <w:r>
        <w:rPr/>
        <w:t>万元</w:t>
      </w:r>
      <w:r>
        <w:rPr>
          <w:rFonts w:ascii="宋体" w:hAnsi="宋体" w:cs="宋体" w:eastAsia="宋体" w:hint="default"/>
        </w:rPr>
        <w:t>,</w:t>
      </w:r>
      <w:r>
        <w:rPr/>
        <w:t>较上年同期增长</w:t>
      </w:r>
      <w:r>
        <w:rPr>
          <w:spacing w:val="-60"/>
        </w:rPr>
        <w:t> </w:t>
      </w:r>
      <w:r>
        <w:rPr>
          <w:rFonts w:ascii="宋体" w:hAnsi="宋体" w:cs="宋体" w:eastAsia="宋体" w:hint="default"/>
        </w:rPr>
        <w:t>38.07%</w:t>
      </w:r>
      <w:r>
        <w:rPr/>
        <w:t>；归属于上市公司股东的 净利润</w:t>
      </w:r>
      <w:r>
        <w:rPr>
          <w:spacing w:val="-53"/>
        </w:rPr>
        <w:t> </w:t>
      </w:r>
      <w:r>
        <w:rPr>
          <w:rFonts w:ascii="宋体" w:hAnsi="宋体" w:cs="宋体" w:eastAsia="宋体" w:hint="default"/>
        </w:rPr>
        <w:t>11,216.79</w:t>
      </w:r>
      <w:r>
        <w:rPr>
          <w:rFonts w:ascii="宋体" w:hAnsi="宋体" w:cs="宋体" w:eastAsia="宋体" w:hint="default"/>
          <w:spacing w:val="-53"/>
        </w:rPr>
        <w:t> </w:t>
      </w:r>
      <w:r>
        <w:rPr/>
        <w:t>万元，较上年同期增长</w:t>
      </w:r>
      <w:r>
        <w:rPr>
          <w:spacing w:val="-53"/>
        </w:rPr>
        <w:t> </w:t>
      </w:r>
      <w:r>
        <w:rPr>
          <w:rFonts w:ascii="宋体" w:hAnsi="宋体" w:cs="宋体" w:eastAsia="宋体" w:hint="default"/>
        </w:rPr>
        <w:t>36.30%</w:t>
      </w:r>
      <w:r>
        <w:rPr/>
        <w:t>。</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主营业务分析" w:id="17"/>
      <w:bookmarkEnd w:id="1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概述" w:id="18"/>
      <w:bookmarkEnd w:id="18"/>
      <w:r>
        <w:rPr>
          <w:b w:val="0"/>
          <w:bCs w:val="0"/>
        </w:rPr>
      </w: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130" w:firstLine="420"/>
        <w:jc w:val="both"/>
      </w:pPr>
      <w:r>
        <w:rPr>
          <w:rFonts w:ascii="宋体" w:hAnsi="宋体" w:cs="宋体" w:eastAsia="宋体" w:hint="default"/>
          <w:spacing w:val="-1"/>
        </w:rPr>
        <w:t>2014</w:t>
      </w:r>
      <w:r>
        <w:rPr>
          <w:spacing w:val="-1"/>
        </w:rPr>
        <w:t>年公司主营业务收入较</w:t>
      </w:r>
      <w:r>
        <w:rPr>
          <w:rFonts w:ascii="宋体" w:hAnsi="宋体" w:cs="宋体" w:eastAsia="宋体" w:hint="default"/>
          <w:spacing w:val="-1"/>
        </w:rPr>
        <w:t>2013</w:t>
      </w:r>
      <w:r>
        <w:rPr>
          <w:spacing w:val="-1"/>
        </w:rPr>
        <w:t>年增长</w:t>
      </w:r>
      <w:r>
        <w:rPr>
          <w:rFonts w:ascii="宋体" w:hAnsi="宋体" w:cs="宋体" w:eastAsia="宋体" w:hint="default"/>
          <w:spacing w:val="-1"/>
        </w:rPr>
        <w:t>25.56%</w:t>
      </w:r>
      <w:r>
        <w:rPr>
          <w:spacing w:val="-1"/>
        </w:rPr>
        <w:t>，主营业务成本较</w:t>
      </w:r>
      <w:r>
        <w:rPr>
          <w:rFonts w:ascii="宋体" w:hAnsi="宋体" w:cs="宋体" w:eastAsia="宋体" w:hint="default"/>
          <w:spacing w:val="-1"/>
        </w:rPr>
        <w:t>2013</w:t>
      </w:r>
      <w:r>
        <w:rPr>
          <w:spacing w:val="-1"/>
        </w:rPr>
        <w:t>年增长</w:t>
      </w:r>
      <w:r>
        <w:rPr>
          <w:rFonts w:ascii="宋体" w:hAnsi="宋体" w:cs="宋体" w:eastAsia="宋体" w:hint="default"/>
          <w:spacing w:val="-1"/>
        </w:rPr>
        <w:t>21.61%</w:t>
      </w:r>
      <w:r>
        <w:rPr>
          <w:spacing w:val="-1"/>
        </w:rPr>
        <w:t>，毛利率较</w:t>
      </w:r>
      <w:r>
        <w:rPr>
          <w:rFonts w:ascii="宋体" w:hAnsi="宋体" w:cs="宋体" w:eastAsia="宋体" w:hint="default"/>
          <w:spacing w:val="-1"/>
        </w:rPr>
        <w:t>2013</w:t>
      </w:r>
      <w:r>
        <w:rPr>
          <w:spacing w:val="-1"/>
        </w:rPr>
        <w:t>年</w:t>
      </w:r>
      <w:r>
        <w:rPr/>
        <w:t> 度增长</w:t>
      </w:r>
      <w:r>
        <w:rPr>
          <w:rFonts w:ascii="宋体" w:hAnsi="宋体" w:cs="宋体" w:eastAsia="宋体" w:hint="default"/>
        </w:rPr>
        <w:t>2.24%</w:t>
      </w:r>
      <w:r>
        <w:rPr/>
        <w:t>，主要原因是：（</w:t>
      </w:r>
      <w:r>
        <w:rPr>
          <w:rFonts w:ascii="宋体" w:hAnsi="宋体" w:cs="宋体" w:eastAsia="宋体" w:hint="default"/>
        </w:rPr>
        <w:t>1</w:t>
      </w:r>
      <w:r>
        <w:rPr/>
        <w:t>）公司主营业务稳定增长，利润率水平有所提升；（</w:t>
      </w:r>
      <w:r>
        <w:rPr>
          <w:rFonts w:ascii="宋体" w:hAnsi="宋体" w:cs="宋体" w:eastAsia="宋体" w:hint="default"/>
        </w:rPr>
        <w:t>2</w:t>
      </w:r>
      <w:r>
        <w:rPr/>
        <w:t>）公司控股子公司</w:t>
      </w:r>
      <w:r>
        <w:rPr>
          <w:spacing w:val="-28"/>
        </w:rPr>
        <w:t> </w:t>
      </w:r>
      <w:r>
        <w:rPr>
          <w:spacing w:val="-28"/>
        </w:rPr>
      </w:r>
      <w:r>
        <w:rPr/>
        <w:t>达实联欣盈利能力有所提升。</w:t>
      </w:r>
    </w:p>
    <w:p>
      <w:pPr>
        <w:pStyle w:val="BodyText"/>
        <w:spacing w:line="355" w:lineRule="auto" w:before="31"/>
        <w:ind w:right="1132" w:firstLine="420"/>
        <w:jc w:val="both"/>
      </w:pPr>
      <w:r>
        <w:rPr>
          <w:rFonts w:ascii="宋体" w:hAnsi="宋体" w:cs="宋体" w:eastAsia="宋体" w:hint="default"/>
          <w:spacing w:val="-5"/>
        </w:rPr>
        <w:t>2014</w:t>
      </w:r>
      <w:r>
        <w:rPr>
          <w:spacing w:val="-5"/>
        </w:rPr>
        <w:t>年公司管理费用和销售费用仍有较大增长。其中：销售费用较</w:t>
      </w:r>
      <w:r>
        <w:rPr>
          <w:rFonts w:ascii="宋体" w:hAnsi="宋体" w:cs="宋体" w:eastAsia="宋体" w:hint="default"/>
          <w:spacing w:val="-5"/>
        </w:rPr>
        <w:t>2013</w:t>
      </w:r>
      <w:r>
        <w:rPr>
          <w:spacing w:val="-5"/>
        </w:rPr>
        <w:t>年增长</w:t>
      </w:r>
      <w:r>
        <w:rPr>
          <w:rFonts w:ascii="宋体" w:hAnsi="宋体" w:cs="宋体" w:eastAsia="宋体" w:hint="default"/>
          <w:spacing w:val="-5"/>
        </w:rPr>
        <w:t>23.90%</w:t>
      </w:r>
      <w:r>
        <w:rPr>
          <w:spacing w:val="-5"/>
        </w:rPr>
        <w:t>，管理费用较</w:t>
      </w:r>
      <w:r>
        <w:rPr>
          <w:rFonts w:ascii="宋体" w:hAnsi="宋体" w:cs="宋体" w:eastAsia="宋体" w:hint="default"/>
          <w:spacing w:val="-5"/>
        </w:rPr>
        <w:t>2013</w:t>
      </w:r>
      <w:r>
        <w:rPr>
          <w:rFonts w:ascii="宋体" w:hAnsi="宋体" w:cs="宋体" w:eastAsia="宋体" w:hint="default"/>
        </w:rPr>
        <w:t> </w:t>
      </w:r>
      <w:r>
        <w:rPr>
          <w:spacing w:val="7"/>
        </w:rPr>
        <w:t>年增长</w:t>
      </w:r>
      <w:r>
        <w:rPr>
          <w:rFonts w:ascii="宋体" w:hAnsi="宋体" w:cs="宋体" w:eastAsia="宋体" w:hint="default"/>
          <w:spacing w:val="7"/>
        </w:rPr>
        <w:t>20.47%</w:t>
      </w:r>
      <w:r>
        <w:rPr>
          <w:spacing w:val="7"/>
        </w:rPr>
        <w:t>，主要原因是报告期内员工人数增加导致薪酬支出增加所致；财务费用较</w:t>
      </w:r>
      <w:r>
        <w:rPr>
          <w:rFonts w:ascii="宋体" w:hAnsi="宋体" w:cs="宋体" w:eastAsia="宋体" w:hint="default"/>
          <w:spacing w:val="7"/>
        </w:rPr>
        <w:t>2013</w:t>
      </w:r>
      <w:r>
        <w:rPr>
          <w:spacing w:val="7"/>
        </w:rPr>
        <w:t>年度增长</w:t>
      </w:r>
      <w:r>
        <w:rPr>
          <w:spacing w:val="-73"/>
        </w:rPr>
        <w:t> </w:t>
      </w:r>
      <w:r>
        <w:rPr>
          <w:spacing w:val="-73"/>
        </w:rPr>
      </w:r>
      <w:r>
        <w:rPr>
          <w:rFonts w:ascii="宋体" w:hAnsi="宋体" w:cs="宋体" w:eastAsia="宋体" w:hint="default"/>
        </w:rPr>
        <w:t>389.65%</w:t>
      </w:r>
      <w:r>
        <w:rPr/>
        <w:t>，主要原因是本报告期公司支付短期银行借款利息所致。</w:t>
      </w:r>
    </w:p>
    <w:p>
      <w:pPr>
        <w:pStyle w:val="BodyText"/>
        <w:spacing w:line="357" w:lineRule="auto" w:before="33"/>
        <w:ind w:right="1127" w:firstLine="421"/>
        <w:jc w:val="both"/>
      </w:pPr>
      <w:r>
        <w:rPr/>
        <w:t>经营活动产生的现金流量净额较上年同期增长</w:t>
      </w:r>
      <w:r>
        <w:rPr>
          <w:rFonts w:ascii="宋体" w:hAnsi="宋体" w:cs="宋体" w:eastAsia="宋体" w:hint="default"/>
        </w:rPr>
        <w:t>2,424.05%</w:t>
      </w:r>
      <w:r>
        <w:rPr/>
        <w:t>，主要原因是本报告期公司加强项目管理， 加大收款力度，收回前期项目款较多所致；投资活动产生的现金流量净额较上年同期下降</w:t>
      </w:r>
      <w:r>
        <w:rPr>
          <w:rFonts w:ascii="宋体" w:hAnsi="宋体" w:cs="宋体" w:eastAsia="宋体" w:hint="default"/>
        </w:rPr>
        <w:t>1,473.51%</w:t>
      </w:r>
      <w:r>
        <w:rPr/>
        <w:t>，主</w:t>
      </w:r>
      <w:r>
        <w:rPr>
          <w:spacing w:val="-23"/>
        </w:rPr>
        <w:t> </w:t>
      </w:r>
      <w:r>
        <w:rPr/>
        <w:t>要原因是本报告期遵义规划馆</w:t>
      </w:r>
      <w:r>
        <w:rPr>
          <w:rFonts w:ascii="宋体" w:hAnsi="宋体" w:cs="宋体" w:eastAsia="宋体" w:hint="default"/>
        </w:rPr>
        <w:t>BT</w:t>
      </w:r>
      <w:r>
        <w:rPr/>
        <w:t>项目工程款的支付、子公司达实租赁购买融资租赁资产及母公司购买</w:t>
      </w:r>
      <w:r>
        <w:rPr>
          <w:rFonts w:ascii="宋体" w:hAnsi="宋体" w:cs="宋体" w:eastAsia="宋体" w:hint="default"/>
        </w:rPr>
        <w:t>5</w:t>
      </w:r>
      <w:r>
        <w:rPr/>
        <w:t>亿</w:t>
      </w:r>
      <w:r>
        <w:rPr>
          <w:spacing w:val="-25"/>
        </w:rPr>
        <w:t> </w:t>
      </w:r>
      <w:r>
        <w:rPr/>
        <w:t>元保本型银行理财产品所致；筹资活动产生的现金流量净额较上年同期增长</w:t>
      </w:r>
      <w:r>
        <w:rPr>
          <w:rFonts w:ascii="宋体" w:hAnsi="宋体" w:cs="宋体" w:eastAsia="宋体" w:hint="default"/>
        </w:rPr>
        <w:t>2,170.64%</w:t>
      </w:r>
      <w:r>
        <w:rPr/>
        <w:t>，主要原因是本报</w:t>
      </w:r>
      <w:r>
        <w:rPr>
          <w:spacing w:val="-29"/>
        </w:rPr>
        <w:t> </w:t>
      </w:r>
      <w:r>
        <w:rPr>
          <w:spacing w:val="-29"/>
        </w:rPr>
      </w:r>
      <w:r>
        <w:rPr/>
        <w:t>告期公司非公开发行股票募集资金到账及子公司达实租赁收到少数股东的投资款所致。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BodyText"/>
        <w:spacing w:line="240" w:lineRule="auto" w:before="111"/>
        <w:ind w:left="574" w:right="0"/>
        <w:jc w:val="left"/>
      </w:pPr>
      <w:r>
        <w:rPr>
          <w:rFonts w:ascii="宋体" w:hAnsi="宋体" w:cs="宋体" w:eastAsia="宋体" w:hint="default"/>
        </w:rPr>
        <w:t>1</w:t>
      </w:r>
      <w:r>
        <w:rPr/>
        <w:t>、技术推广与应用</w:t>
      </w:r>
    </w:p>
    <w:p>
      <w:pPr>
        <w:pStyle w:val="BodyText"/>
        <w:spacing w:line="357" w:lineRule="auto" w:before="134"/>
        <w:ind w:right="1023" w:firstLine="421"/>
        <w:jc w:val="left"/>
      </w:pPr>
      <w:r>
        <w:rPr>
          <w:spacing w:val="-3"/>
        </w:rPr>
        <w:t>报告期内，公司基于自身的三级研发体系，新申请专利</w:t>
      </w:r>
      <w:r>
        <w:rPr>
          <w:spacing w:val="-49"/>
        </w:rPr>
        <w:t> </w:t>
      </w:r>
      <w:r>
        <w:rPr>
          <w:rFonts w:ascii="宋体" w:hAnsi="宋体" w:cs="宋体" w:eastAsia="宋体" w:hint="default"/>
        </w:rPr>
        <w:t>29</w:t>
      </w:r>
      <w:r>
        <w:rPr>
          <w:rFonts w:ascii="宋体" w:hAnsi="宋体" w:cs="宋体" w:eastAsia="宋体" w:hint="default"/>
          <w:spacing w:val="-49"/>
        </w:rPr>
        <w:t> </w:t>
      </w:r>
      <w:r>
        <w:rPr>
          <w:spacing w:val="-5"/>
        </w:rPr>
        <w:t>项，授权专利</w:t>
      </w:r>
      <w:r>
        <w:rPr>
          <w:spacing w:val="-49"/>
        </w:rPr>
        <w:t> </w:t>
      </w:r>
      <w:r>
        <w:rPr>
          <w:rFonts w:ascii="宋体" w:hAnsi="宋体" w:cs="宋体" w:eastAsia="宋体" w:hint="default"/>
        </w:rPr>
        <w:t>16</w:t>
      </w:r>
      <w:r>
        <w:rPr>
          <w:rFonts w:ascii="宋体" w:hAnsi="宋体" w:cs="宋体" w:eastAsia="宋体" w:hint="default"/>
          <w:spacing w:val="-49"/>
        </w:rPr>
        <w:t> </w:t>
      </w:r>
      <w:r>
        <w:rPr>
          <w:spacing w:val="-4"/>
        </w:rPr>
        <w:t>项（其中发明专利</w:t>
      </w:r>
      <w:r>
        <w:rPr>
          <w:spacing w:val="-50"/>
        </w:rPr>
        <w:t> </w:t>
      </w:r>
      <w:r>
        <w:rPr>
          <w:rFonts w:ascii="宋体" w:hAnsi="宋体" w:cs="宋体" w:eastAsia="宋体" w:hint="default"/>
        </w:rPr>
        <w:t>4</w:t>
      </w:r>
      <w:r>
        <w:rPr>
          <w:rFonts w:ascii="宋体" w:hAnsi="宋体" w:cs="宋体" w:eastAsia="宋体" w:hint="default"/>
          <w:spacing w:val="-49"/>
        </w:rPr>
        <w:t> </w:t>
      </w:r>
      <w:r>
        <w:rPr>
          <w:spacing w:val="-9"/>
        </w:rPr>
        <w:t>项）；</w:t>
      </w:r>
      <w:r>
        <w:rPr/>
        <w:t> 新增软件著作权</w:t>
      </w:r>
      <w:r>
        <w:rPr>
          <w:spacing w:val="-53"/>
        </w:rPr>
        <w:t> </w:t>
      </w:r>
      <w:r>
        <w:rPr>
          <w:rFonts w:ascii="宋体" w:hAnsi="宋体" w:cs="宋体" w:eastAsia="宋体" w:hint="default"/>
        </w:rPr>
        <w:t>8</w:t>
      </w:r>
      <w:r>
        <w:rPr>
          <w:rFonts w:ascii="宋体" w:hAnsi="宋体" w:cs="宋体" w:eastAsia="宋体" w:hint="default"/>
          <w:spacing w:val="-53"/>
        </w:rPr>
        <w:t> </w:t>
      </w:r>
      <w:r>
        <w:rPr/>
        <w:t>项，新增软件产品登记证书</w:t>
      </w:r>
      <w:r>
        <w:rPr>
          <w:spacing w:val="-53"/>
        </w:rPr>
        <w:t> </w:t>
      </w:r>
      <w:r>
        <w:rPr>
          <w:rFonts w:ascii="宋体" w:hAnsi="宋体" w:cs="宋体" w:eastAsia="宋体" w:hint="default"/>
        </w:rPr>
        <w:t>4</w:t>
      </w:r>
      <w:r>
        <w:rPr>
          <w:rFonts w:ascii="宋体" w:hAnsi="宋体" w:cs="宋体" w:eastAsia="宋体" w:hint="default"/>
          <w:spacing w:val="-53"/>
        </w:rPr>
        <w:t> </w:t>
      </w:r>
      <w:r>
        <w:rPr/>
        <w:t>项。自主研发的</w:t>
      </w:r>
      <w:r>
        <w:rPr>
          <w:spacing w:val="-54"/>
        </w:rPr>
        <w:t> </w:t>
      </w:r>
      <w:r>
        <w:rPr>
          <w:rFonts w:ascii="宋体" w:hAnsi="宋体" w:cs="宋体" w:eastAsia="宋体" w:hint="default"/>
        </w:rPr>
        <w:t>Indas-ISCS</w:t>
      </w:r>
      <w:r>
        <w:rPr>
          <w:rFonts w:ascii="宋体" w:hAnsi="宋体" w:cs="宋体" w:eastAsia="宋体" w:hint="default"/>
          <w:spacing w:val="-53"/>
        </w:rPr>
        <w:t> </w:t>
      </w:r>
      <w:r>
        <w:rPr/>
        <w:t>平台软件成功应用于成都、 </w:t>
      </w:r>
      <w:r>
        <w:rPr>
          <w:spacing w:val="-3"/>
        </w:rPr>
        <w:t>南宁、石家庄等地铁综合监控项目；基于云计算技术的“</w:t>
      </w:r>
      <w:r>
        <w:rPr>
          <w:rFonts w:ascii="宋体" w:hAnsi="宋体" w:cs="宋体" w:eastAsia="宋体" w:hint="default"/>
          <w:spacing w:val="-3"/>
        </w:rPr>
        <w:t>C3</w:t>
      </w:r>
      <w:r>
        <w:rPr>
          <w:rFonts w:ascii="宋体" w:hAnsi="宋体" w:cs="宋体" w:eastAsia="宋体" w:hint="default"/>
          <w:spacing w:val="-52"/>
        </w:rPr>
        <w:t> </w:t>
      </w:r>
      <w:r>
        <w:rPr/>
        <w:t>一卡通云平台”在中国银行河北省分行正式上</w:t>
      </w:r>
    </w:p>
    <w:p>
      <w:pPr>
        <w:spacing w:after="0" w:line="357" w:lineRule="auto"/>
        <w:jc w:val="left"/>
        <w:sectPr>
          <w:pgSz w:w="11910" w:h="16840"/>
          <w:pgMar w:header="877" w:footer="979" w:top="1100" w:bottom="1160" w:left="980" w:right="0"/>
        </w:sectPr>
      </w:pPr>
    </w:p>
    <w:p>
      <w:pPr>
        <w:spacing w:line="240" w:lineRule="auto" w:before="2"/>
        <w:rPr>
          <w:rFonts w:ascii="宋体" w:hAnsi="宋体" w:cs="宋体" w:eastAsia="宋体" w:hint="default"/>
          <w:sz w:val="19"/>
          <w:szCs w:val="19"/>
        </w:rPr>
      </w:pPr>
    </w:p>
    <w:p>
      <w:pPr>
        <w:pStyle w:val="BodyText"/>
        <w:spacing w:line="355" w:lineRule="auto" w:before="35"/>
        <w:ind w:right="1093"/>
        <w:jc w:val="left"/>
      </w:pPr>
      <w:r>
        <w:rPr/>
        <w:t>线运行，公司一卡通系统已从企业内联网延伸到互联网平台；公司主编的国内首个《智慧城市系列标准》 发布，助力智慧城市健康发展。</w:t>
      </w:r>
    </w:p>
    <w:p>
      <w:pPr>
        <w:pStyle w:val="BodyText"/>
        <w:spacing w:line="357" w:lineRule="auto" w:before="33"/>
        <w:ind w:right="1023" w:firstLine="420"/>
        <w:jc w:val="left"/>
      </w:pPr>
      <w:r>
        <w:rPr>
          <w:rFonts w:ascii="宋体" w:hAnsi="宋体" w:cs="宋体" w:eastAsia="宋体" w:hint="default"/>
        </w:rPr>
        <w:t>2</w:t>
      </w:r>
      <w:r>
        <w:rPr/>
        <w:t>、报告期内，公司控股子公司达实融资租赁有限公司成功签约</w:t>
      </w:r>
      <w:r>
        <w:rPr>
          <w:spacing w:val="-53"/>
        </w:rPr>
        <w:t> </w:t>
      </w:r>
      <w:r>
        <w:rPr>
          <w:rFonts w:ascii="宋体" w:hAnsi="宋体" w:cs="宋体" w:eastAsia="宋体" w:hint="default"/>
        </w:rPr>
        <w:t>3</w:t>
      </w:r>
      <w:r>
        <w:rPr>
          <w:rFonts w:ascii="宋体" w:hAnsi="宋体" w:cs="宋体" w:eastAsia="宋体" w:hint="default"/>
          <w:spacing w:val="-53"/>
        </w:rPr>
        <w:t> </w:t>
      </w:r>
      <w:r>
        <w:rPr/>
        <w:t>个融资租赁项目并完成投放，标志 着公司金融类业务的正式开启。融资租赁对主营业务的协同销售也有所收获，在储备的智能化及数据中心 </w:t>
      </w:r>
      <w:r>
        <w:rPr>
          <w:spacing w:val="-1"/>
        </w:rPr>
        <w:t>项目中，引入了融资租赁的业务要素，成功诠释了“技术</w:t>
      </w:r>
      <w:r>
        <w:rPr>
          <w:rFonts w:ascii="宋体" w:hAnsi="宋体" w:cs="宋体" w:eastAsia="宋体" w:hint="default"/>
          <w:spacing w:val="-1"/>
        </w:rPr>
        <w:t>+</w:t>
      </w:r>
      <w:r>
        <w:rPr>
          <w:spacing w:val="-1"/>
        </w:rPr>
        <w:t>金融”的商业模式和金融模式创新思路。此外，</w:t>
      </w:r>
      <w:r>
        <w:rPr>
          <w:spacing w:val="-83"/>
        </w:rPr>
        <w:t> </w:t>
      </w:r>
      <w:r>
        <w:rPr>
          <w:spacing w:val="-83"/>
        </w:rPr>
      </w:r>
      <w:r>
        <w:rPr/>
        <w:t>公司签约并完成“遵义市城市规划科技馆布展及绿色建筑公用工程（绿色节能）”建设项目，报告期内回</w:t>
      </w:r>
      <w:r>
        <w:rPr/>
        <w:t> 款</w:t>
      </w:r>
      <w:r>
        <w:rPr>
          <w:spacing w:val="-54"/>
        </w:rPr>
        <w:t> </w:t>
      </w:r>
      <w:r>
        <w:rPr>
          <w:rFonts w:ascii="宋体" w:hAnsi="宋体" w:cs="宋体" w:eastAsia="宋体" w:hint="default"/>
        </w:rPr>
        <w:t>1</w:t>
      </w:r>
      <w:r>
        <w:rPr>
          <w:rFonts w:ascii="宋体" w:hAnsi="宋体" w:cs="宋体" w:eastAsia="宋体" w:hint="default"/>
          <w:spacing w:val="-53"/>
        </w:rPr>
        <w:t> </w:t>
      </w:r>
      <w:r>
        <w:rPr/>
        <w:t>亿元，实现了对</w:t>
      </w:r>
      <w:r>
        <w:rPr>
          <w:spacing w:val="-53"/>
        </w:rPr>
        <w:t> </w:t>
      </w:r>
      <w:r>
        <w:rPr>
          <w:rFonts w:ascii="宋体" w:hAnsi="宋体" w:cs="宋体" w:eastAsia="宋体" w:hint="default"/>
        </w:rPr>
        <w:t>BT</w:t>
      </w:r>
      <w:r>
        <w:rPr>
          <w:rFonts w:ascii="宋体" w:hAnsi="宋体" w:cs="宋体" w:eastAsia="宋体" w:hint="default"/>
          <w:spacing w:val="-54"/>
        </w:rPr>
        <w:t> </w:t>
      </w:r>
      <w:r>
        <w:rPr/>
        <w:t>业务模式的成功探索。</w:t>
      </w:r>
    </w:p>
    <w:p>
      <w:pPr>
        <w:pStyle w:val="BodyText"/>
        <w:spacing w:line="355" w:lineRule="auto"/>
        <w:ind w:left="574" w:right="1092"/>
        <w:jc w:val="left"/>
      </w:pPr>
      <w:r>
        <w:rPr>
          <w:rFonts w:ascii="宋体" w:hAnsi="宋体" w:cs="宋体" w:eastAsia="宋体" w:hint="default"/>
        </w:rPr>
        <w:t>3</w:t>
      </w:r>
      <w:r>
        <w:rPr/>
        <w:t>、精耕细作与细分市场 报告期内，公司继续在细分行业精耕细作，力行了以行业解决方案撬动行业客户的可复制发展思路。</w:t>
      </w:r>
    </w:p>
    <w:p>
      <w:pPr>
        <w:pStyle w:val="BodyText"/>
        <w:spacing w:line="357" w:lineRule="auto" w:before="33"/>
        <w:ind w:right="1024"/>
        <w:jc w:val="left"/>
      </w:pPr>
      <w:r>
        <w:rPr/>
        <w:t>轨道交通综合监控业务新开辟了广州、福州、石家庄、南宁</w:t>
      </w:r>
      <w:r>
        <w:rPr>
          <w:spacing w:val="-59"/>
        </w:rPr>
        <w:t> </w:t>
      </w:r>
      <w:r>
        <w:rPr>
          <w:rFonts w:ascii="宋体" w:hAnsi="宋体" w:cs="宋体" w:eastAsia="宋体" w:hint="default"/>
        </w:rPr>
        <w:t>4</w:t>
      </w:r>
      <w:r>
        <w:rPr>
          <w:rFonts w:ascii="宋体" w:hAnsi="宋体" w:cs="宋体" w:eastAsia="宋体" w:hint="default"/>
          <w:spacing w:val="-59"/>
        </w:rPr>
        <w:t> </w:t>
      </w:r>
      <w:r>
        <w:rPr/>
        <w:t>个城市市场，中标地铁线路数在国内综合监 控市场位居行业第一，行业竞争力进一步增强；继珠海长隆横琴湾酒店后，公司又签订了珠海长隆企鹅酒 </w:t>
      </w:r>
      <w:r>
        <w:rPr>
          <w:spacing w:val="-3"/>
        </w:rPr>
        <w:t>店、珠海长隆国际马戏酒店，进一步巩固了公司在酒店智能化细分市场的龙头地位；签约洛阳市中心医院、</w:t>
      </w:r>
      <w:r>
        <w:rPr>
          <w:spacing w:val="-90"/>
        </w:rPr>
        <w:t> </w:t>
      </w:r>
      <w:r>
        <w:rPr>
          <w:spacing w:val="-90"/>
        </w:rPr>
      </w:r>
      <w:r>
        <w:rPr/>
        <w:t>钦州中医院、仁怀人民医院等典型医院项目，验证了公司在绿色智慧医院细分市场的竞争战略的有效性，</w:t>
      </w:r>
      <w:r>
        <w:rPr/>
        <w:t> 为进一步拓展智慧医疗业务奠定基础。</w:t>
      </w:r>
    </w:p>
    <w:p>
      <w:pPr>
        <w:pStyle w:val="BodyText"/>
        <w:spacing w:line="355" w:lineRule="auto"/>
        <w:ind w:left="574" w:right="0"/>
        <w:jc w:val="left"/>
      </w:pPr>
      <w:r>
        <w:rPr>
          <w:rFonts w:ascii="宋体" w:hAnsi="宋体" w:cs="宋体" w:eastAsia="宋体" w:hint="default"/>
        </w:rPr>
        <w:t>4</w:t>
      </w:r>
      <w:r>
        <w:rPr/>
        <w:t>、内部协同与行业延伸 </w:t>
      </w:r>
      <w:r>
        <w:rPr>
          <w:spacing w:val="-1"/>
        </w:rPr>
        <w:t>报告期内，公司在不同事业部之间、事业部和专业子公司之间，加强了方案、技术、营销融合，推动</w:t>
      </w:r>
    </w:p>
    <w:p>
      <w:pPr>
        <w:pStyle w:val="BodyText"/>
        <w:spacing w:line="357" w:lineRule="auto" w:before="33"/>
        <w:ind w:right="1015"/>
        <w:jc w:val="left"/>
      </w:pPr>
      <w:r>
        <w:rPr>
          <w:spacing w:val="-3"/>
        </w:rPr>
        <w:t>大客户、大项目的深入合作。加强了区域中心的建设，</w:t>
      </w:r>
      <w:r>
        <w:rPr>
          <w:rFonts w:ascii="宋体" w:hAnsi="宋体" w:cs="宋体" w:eastAsia="宋体" w:hint="default"/>
          <w:spacing w:val="-3"/>
        </w:rPr>
        <w:t>14</w:t>
      </w:r>
      <w:r>
        <w:rPr>
          <w:rFonts w:ascii="宋体" w:hAnsi="宋体" w:cs="宋体" w:eastAsia="宋体" w:hint="default"/>
          <w:spacing w:val="-49"/>
        </w:rPr>
        <w:t> </w:t>
      </w:r>
      <w:r>
        <w:rPr>
          <w:spacing w:val="-5"/>
        </w:rPr>
        <w:t>大区域中心遍布华南、华北、华东、华中、西南、</w:t>
      </w:r>
      <w:r>
        <w:rPr/>
        <w:t> 东北等多个省份，市场拓展区域化初显成效，与行业化形成良好衔接。此外，达实联欣成功收购上海腾隆 变配电设备管理有限公司，延伸了公司产业链，优化了业务结构。</w:t>
      </w:r>
    </w:p>
    <w:p>
      <w:pPr>
        <w:pStyle w:val="BodyText"/>
        <w:spacing w:line="240" w:lineRule="auto"/>
        <w:ind w:left="574" w:right="0"/>
        <w:jc w:val="left"/>
      </w:pPr>
      <w:r>
        <w:rPr>
          <w:rFonts w:ascii="宋体" w:hAnsi="宋体" w:cs="宋体" w:eastAsia="宋体" w:hint="default"/>
        </w:rPr>
        <w:t>5</w:t>
      </w:r>
      <w:r>
        <w:rPr/>
        <w:t>、内部管理与荣誉</w:t>
      </w:r>
    </w:p>
    <w:p>
      <w:pPr>
        <w:pStyle w:val="BodyText"/>
        <w:spacing w:line="357" w:lineRule="auto" w:before="134"/>
        <w:ind w:right="0" w:firstLine="420"/>
        <w:jc w:val="left"/>
      </w:pPr>
      <w:r>
        <w:rPr/>
        <w:t>报告期内，公司荣获“</w:t>
      </w:r>
      <w:r>
        <w:rPr>
          <w:rFonts w:ascii="宋体" w:hAnsi="宋体" w:cs="宋体" w:eastAsia="宋体" w:hint="default"/>
        </w:rPr>
        <w:t>2014</w:t>
      </w:r>
      <w:r>
        <w:rPr>
          <w:rFonts w:ascii="宋体" w:hAnsi="宋体" w:cs="宋体" w:eastAsia="宋体" w:hint="default"/>
          <w:spacing w:val="-77"/>
        </w:rPr>
        <w:t> </w:t>
      </w:r>
      <w:r>
        <w:rPr/>
        <w:t>年度福布斯中国最佳潜力企业奖”，顺利通过“国家高新技术企业”重新 </w:t>
      </w:r>
      <w:r>
        <w:rPr>
          <w:spacing w:val="-1"/>
        </w:rPr>
        <w:t>认定；完成“建筑智能化系统设计专项甲级”、“安全生产许可证”、“广东省技防证”换证</w:t>
      </w:r>
      <w:r>
        <w:rPr>
          <w:rFonts w:ascii="宋体" w:hAnsi="宋体" w:cs="宋体" w:eastAsia="宋体" w:hint="default"/>
          <w:spacing w:val="-1"/>
        </w:rPr>
        <w:t>/</w:t>
      </w:r>
      <w:r>
        <w:rPr>
          <w:spacing w:val="-1"/>
        </w:rPr>
        <w:t>延续工作；</w:t>
      </w:r>
      <w:r>
        <w:rPr>
          <w:spacing w:val="-85"/>
        </w:rPr>
        <w:t> </w:t>
      </w:r>
      <w:r>
        <w:rPr>
          <w:spacing w:val="-85"/>
        </w:rPr>
      </w:r>
      <w:r>
        <w:rPr/>
        <w:t>获得“建筑装饰装修工程设计与施工贰级”资质，公司综合实力进一步增强。在第一期限制性股票实现了</w:t>
      </w:r>
      <w:r>
        <w:rPr/>
        <w:t> 第二次解禁后，公司又推出了第二期限制股票激励计划，向</w:t>
      </w:r>
      <w:r>
        <w:rPr>
          <w:spacing w:val="-53"/>
        </w:rPr>
        <w:t> </w:t>
      </w:r>
      <w:r>
        <w:rPr>
          <w:rFonts w:ascii="宋体" w:hAnsi="宋体" w:cs="宋体" w:eastAsia="宋体" w:hint="default"/>
        </w:rPr>
        <w:t>193</w:t>
      </w:r>
      <w:r>
        <w:rPr>
          <w:rFonts w:ascii="宋体" w:hAnsi="宋体" w:cs="宋体" w:eastAsia="宋体" w:hint="default"/>
          <w:spacing w:val="-53"/>
        </w:rPr>
        <w:t> </w:t>
      </w:r>
      <w:r>
        <w:rPr/>
        <w:t>名核心员工首次授予</w:t>
      </w:r>
      <w:r>
        <w:rPr>
          <w:spacing w:val="-53"/>
        </w:rPr>
        <w:t> </w:t>
      </w:r>
      <w:r>
        <w:rPr>
          <w:rFonts w:ascii="宋体" w:hAnsi="宋体" w:cs="宋体" w:eastAsia="宋体" w:hint="default"/>
        </w:rPr>
        <w:t>580</w:t>
      </w:r>
      <w:r>
        <w:rPr>
          <w:rFonts w:ascii="宋体" w:hAnsi="宋体" w:cs="宋体" w:eastAsia="宋体" w:hint="default"/>
          <w:spacing w:val="-53"/>
        </w:rPr>
        <w:t> </w:t>
      </w:r>
      <w:r>
        <w:rPr/>
        <w:t>万限制性股票， 员工与公司的利益再次紧密绑定，在激发员工责任感和创造性的同时，共同分享公司发展的成果。</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收入" w:id="19"/>
      <w:bookmarkEnd w:id="19"/>
      <w:r>
        <w:rPr>
          <w:b w:val="0"/>
          <w:bCs w:val="0"/>
        </w:rPr>
      </w: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40" w:lineRule="auto" w:before="70"/>
        <w:ind w:left="742" w:right="0"/>
        <w:jc w:val="left"/>
      </w:pPr>
      <w:r>
        <w:rPr>
          <w:spacing w:val="-1"/>
        </w:rPr>
        <w:t>报告期内，公司实现营业收入</w:t>
      </w:r>
      <w:r>
        <w:rPr>
          <w:rFonts w:ascii="宋体" w:hAnsi="宋体" w:cs="宋体" w:eastAsia="宋体" w:hint="default"/>
          <w:spacing w:val="-1"/>
        </w:rPr>
        <w:t>126,306.23</w:t>
      </w:r>
      <w:r>
        <w:rPr>
          <w:spacing w:val="-1"/>
        </w:rPr>
        <w:t>万元，同比增长</w:t>
      </w:r>
      <w:r>
        <w:rPr>
          <w:rFonts w:ascii="宋体" w:hAnsi="宋体" w:cs="宋体" w:eastAsia="宋体" w:hint="default"/>
          <w:spacing w:val="-1"/>
        </w:rPr>
        <w:t>24.82%</w:t>
      </w:r>
      <w:r>
        <w:rPr>
          <w:spacing w:val="-1"/>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0"/>
        <w:ind w:right="0"/>
        <w:jc w:val="left"/>
      </w:pPr>
      <w:r>
        <w:rPr/>
        <w:t>单位：元</w:t>
      </w:r>
    </w:p>
    <w:p>
      <w:pPr>
        <w:spacing w:after="0" w:line="240" w:lineRule="auto"/>
        <w:jc w:val="left"/>
        <w:sectPr>
          <w:type w:val="continuous"/>
          <w:pgSz w:w="11910" w:h="16840"/>
          <w:pgMar w:top="1580" w:bottom="760" w:left="980" w:right="0"/>
          <w:cols w:num="2" w:equalWidth="0">
            <w:col w:w="6832" w:space="1967"/>
            <w:col w:w="2131"/>
          </w:cols>
        </w:sectPr>
      </w:pPr>
    </w:p>
    <w:p>
      <w:pPr>
        <w:spacing w:line="240" w:lineRule="auto" w:before="11"/>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2382"/>
        <w:gridCol w:w="2385"/>
        <w:gridCol w:w="2385"/>
        <w:gridCol w:w="2383"/>
      </w:tblGrid>
      <w:tr>
        <w:trPr>
          <w:trHeight w:val="463" w:hRule="exact"/>
        </w:trPr>
        <w:tc>
          <w:tcPr>
            <w:tcW w:w="23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3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年度</w:t>
            </w:r>
          </w:p>
        </w:tc>
        <w:tc>
          <w:tcPr>
            <w:tcW w:w="23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2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9"/>
              <w:ind w:left="374" w:right="0"/>
              <w:jc w:val="left"/>
              <w:rPr>
                <w:rFonts w:ascii="宋体" w:hAnsi="宋体" w:cs="宋体" w:eastAsia="宋体" w:hint="default"/>
                <w:sz w:val="18"/>
                <w:szCs w:val="18"/>
              </w:rPr>
            </w:pPr>
            <w:r>
              <w:rPr>
                <w:rFonts w:ascii="宋体" w:hAnsi="宋体" w:cs="宋体" w:eastAsia="宋体" w:hint="default"/>
                <w:sz w:val="18"/>
                <w:szCs w:val="18"/>
              </w:rPr>
              <w:t>本年比上年增减幅度</w:t>
            </w:r>
          </w:p>
        </w:tc>
      </w:tr>
    </w:tbl>
    <w:p>
      <w:pPr>
        <w:spacing w:after="0" w:line="240" w:lineRule="auto"/>
        <w:jc w:val="left"/>
        <w:rPr>
          <w:rFonts w:ascii="宋体" w:hAnsi="宋体" w:cs="宋体" w:eastAsia="宋体" w:hint="default"/>
          <w:sz w:val="18"/>
          <w:szCs w:val="18"/>
        </w:rPr>
        <w:sectPr>
          <w:type w:val="continuous"/>
          <w:pgSz w:w="11910" w:h="16840"/>
          <w:pgMar w:top="1580" w:bottom="760" w:left="980" w:right="0"/>
        </w:sectPr>
      </w:pPr>
    </w:p>
    <w:p>
      <w:pPr>
        <w:spacing w:line="240" w:lineRule="auto" w:before="6"/>
        <w:rPr>
          <w:rFonts w:ascii="宋体" w:hAnsi="宋体" w:cs="宋体" w:eastAsia="宋体" w:hint="default"/>
          <w:sz w:val="24"/>
          <w:szCs w:val="24"/>
        </w:rPr>
      </w:pPr>
    </w:p>
    <w:tbl>
      <w:tblPr>
        <w:tblW w:w="0" w:type="auto"/>
        <w:jc w:val="left"/>
        <w:tblInd w:w="198" w:type="dxa"/>
        <w:tblLayout w:type="fixed"/>
        <w:tblCellMar>
          <w:top w:w="0" w:type="dxa"/>
          <w:left w:w="0" w:type="dxa"/>
          <w:bottom w:w="0" w:type="dxa"/>
          <w:right w:w="0" w:type="dxa"/>
        </w:tblCellMar>
        <w:tblLook w:val="01E0"/>
      </w:tblPr>
      <w:tblGrid>
        <w:gridCol w:w="2382"/>
        <w:gridCol w:w="2385"/>
        <w:gridCol w:w="2385"/>
        <w:gridCol w:w="2383"/>
      </w:tblGrid>
      <w:tr>
        <w:trPr>
          <w:trHeight w:val="464" w:hRule="exact"/>
        </w:trPr>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建筑智能化及建筑节能</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889,625,801.98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748,600,663.03</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z w:val="18"/>
              </w:rPr>
              <w:t>18.84%</w:t>
            </w:r>
          </w:p>
        </w:tc>
      </w:tr>
      <w:tr>
        <w:trPr>
          <w:trHeight w:val="463" w:hRule="exact"/>
        </w:trPr>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绿色建筑公用工程</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236,671,479.65</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167,998,524.25</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z w:val="18"/>
              </w:rPr>
              <w:t>40.88%</w:t>
            </w:r>
          </w:p>
        </w:tc>
      </w:tr>
      <w:tr>
        <w:trPr>
          <w:trHeight w:val="465" w:hRule="exact"/>
        </w:trPr>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left"/>
              <w:rPr>
                <w:rFonts w:ascii="宋体" w:hAnsi="宋体" w:cs="宋体" w:eastAsia="宋体" w:hint="default"/>
                <w:sz w:val="18"/>
                <w:szCs w:val="18"/>
              </w:rPr>
            </w:pPr>
            <w:r>
              <w:rPr>
                <w:rFonts w:ascii="宋体" w:hAnsi="宋体" w:cs="宋体" w:eastAsia="宋体" w:hint="default"/>
                <w:sz w:val="18"/>
                <w:szCs w:val="18"/>
              </w:rPr>
              <w:t>工业自动化</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
              <w:jc w:val="right"/>
              <w:rPr>
                <w:rFonts w:ascii="Times New Roman" w:hAnsi="Times New Roman" w:cs="Times New Roman" w:eastAsia="Times New Roman" w:hint="default"/>
                <w:sz w:val="18"/>
                <w:szCs w:val="18"/>
              </w:rPr>
            </w:pPr>
            <w:r>
              <w:rPr>
                <w:rFonts w:ascii="Times New Roman"/>
                <w:spacing w:val="-1"/>
                <w:sz w:val="18"/>
              </w:rPr>
              <w:t>42,420,832.79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2"/>
              <w:jc w:val="right"/>
              <w:rPr>
                <w:rFonts w:ascii="Times New Roman" w:hAnsi="Times New Roman" w:cs="Times New Roman" w:eastAsia="Times New Roman" w:hint="default"/>
                <w:sz w:val="18"/>
                <w:szCs w:val="18"/>
              </w:rPr>
            </w:pPr>
            <w:r>
              <w:rPr>
                <w:rFonts w:ascii="Times New Roman"/>
                <w:spacing w:val="-1"/>
                <w:sz w:val="18"/>
              </w:rPr>
              <w:t>22,967,056.20</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
              <w:jc w:val="right"/>
              <w:rPr>
                <w:rFonts w:ascii="Times New Roman" w:hAnsi="Times New Roman" w:cs="Times New Roman" w:eastAsia="Times New Roman" w:hint="default"/>
                <w:sz w:val="18"/>
                <w:szCs w:val="18"/>
              </w:rPr>
            </w:pPr>
            <w:r>
              <w:rPr>
                <w:rFonts w:ascii="Times New Roman"/>
                <w:sz w:val="18"/>
              </w:rPr>
              <w:t>84.70%</w:t>
            </w:r>
          </w:p>
        </w:tc>
      </w:tr>
      <w:tr>
        <w:trPr>
          <w:trHeight w:val="464" w:hRule="exact"/>
        </w:trPr>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终端产品及其他</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55,552,552.51</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39,350,388.70</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z w:val="18"/>
              </w:rPr>
              <w:t>41.17%</w:t>
            </w:r>
          </w:p>
        </w:tc>
      </w:tr>
      <w:tr>
        <w:trPr>
          <w:trHeight w:val="463" w:hRule="exact"/>
        </w:trPr>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4,846,347.24</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z w:val="18"/>
              </w:rPr>
              <w:t>--</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
              <w:jc w:val="right"/>
              <w:rPr>
                <w:rFonts w:ascii="Times New Roman" w:hAnsi="Times New Roman" w:cs="Times New Roman" w:eastAsia="Times New Roman" w:hint="default"/>
                <w:sz w:val="18"/>
                <w:szCs w:val="18"/>
              </w:rPr>
            </w:pPr>
            <w:r>
              <w:rPr>
                <w:rFonts w:ascii="Times New Roman"/>
                <w:spacing w:val="-1"/>
                <w:sz w:val="18"/>
              </w:rPr>
              <w:t>33,945,252.87</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2"/>
              <w:jc w:val="right"/>
              <w:rPr>
                <w:rFonts w:ascii="Times New Roman" w:hAnsi="Times New Roman" w:cs="Times New Roman" w:eastAsia="Times New Roman" w:hint="default"/>
                <w:sz w:val="18"/>
                <w:szCs w:val="18"/>
              </w:rPr>
            </w:pPr>
            <w:r>
              <w:rPr>
                <w:rFonts w:ascii="Times New Roman"/>
                <w:spacing w:val="-1"/>
                <w:sz w:val="18"/>
              </w:rPr>
              <w:t>32,976,021.71</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
              <w:jc w:val="right"/>
              <w:rPr>
                <w:rFonts w:ascii="Times New Roman" w:hAnsi="Times New Roman" w:cs="Times New Roman" w:eastAsia="Times New Roman" w:hint="default"/>
                <w:sz w:val="18"/>
                <w:szCs w:val="18"/>
              </w:rPr>
            </w:pPr>
            <w:r>
              <w:rPr>
                <w:rFonts w:ascii="Times New Roman"/>
                <w:sz w:val="18"/>
              </w:rPr>
              <w:t>2.94%</w:t>
            </w:r>
          </w:p>
        </w:tc>
      </w:tr>
      <w:tr>
        <w:trPr>
          <w:trHeight w:val="464" w:hRule="exact"/>
        </w:trPr>
        <w:tc>
          <w:tcPr>
            <w:tcW w:w="2382" w:type="dxa"/>
            <w:tcBorders>
              <w:top w:val="single" w:sz="6" w:space="0" w:color="000000"/>
              <w:left w:val="single" w:sz="6" w:space="0" w:color="000000"/>
              <w:bottom w:val="single" w:sz="6" w:space="0" w:color="000000"/>
              <w:right w:val="single" w:sz="6" w:space="0" w:color="000000"/>
            </w:tcBorders>
          </w:tcPr>
          <w:p>
            <w:pPr>
              <w:pStyle w:val="TableParagraph"/>
              <w:tabs>
                <w:tab w:pos="539" w:val="left" w:leader="none"/>
              </w:tabs>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1,263,062,267.04</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3"/>
              <w:jc w:val="right"/>
              <w:rPr>
                <w:rFonts w:ascii="Times New Roman" w:hAnsi="Times New Roman" w:cs="Times New Roman" w:eastAsia="Times New Roman" w:hint="default"/>
                <w:sz w:val="18"/>
                <w:szCs w:val="18"/>
              </w:rPr>
            </w:pPr>
            <w:r>
              <w:rPr>
                <w:rFonts w:ascii="Times New Roman"/>
                <w:spacing w:val="-1"/>
                <w:sz w:val="18"/>
              </w:rPr>
              <w:t>1,011,892,653.89</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z w:val="18"/>
              </w:rPr>
              <w:t>24.82%</w:t>
            </w:r>
          </w:p>
        </w:tc>
      </w:tr>
    </w:tbl>
    <w:p>
      <w:pPr>
        <w:spacing w:line="189" w:lineRule="exact" w:before="0"/>
        <w:ind w:left="511"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00" w:lineRule="auto" w:before="75"/>
        <w:ind w:left="511" w:right="84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公司重大的在手订单情况</w:t>
      </w:r>
    </w:p>
    <w:p>
      <w:pPr>
        <w:spacing w:line="300" w:lineRule="auto" w:before="29"/>
        <w:ind w:left="511" w:right="60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公司报告期内产品或服务发生重大变化或调整有关情况</w:t>
      </w:r>
    </w:p>
    <w:p>
      <w:pPr>
        <w:spacing w:line="300" w:lineRule="auto" w:before="30"/>
        <w:ind w:left="511" w:right="85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公司主要销售客户情况</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222,262,241.24</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遵义达实绿色智慧发展有限公司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53,145,000.00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烟台芝罘万达广场有限公司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52,256,982.40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上海山川置业有限公司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44,865,286.99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国网上海市电力公司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38,417,087.05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上海金山万达广场投资有限公司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33,577,884.80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222,262,241.24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成本" w:id="20"/>
      <w:bookmarkEnd w:id="20"/>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487"/>
        <w:gridCol w:w="1569"/>
        <w:gridCol w:w="1481"/>
        <w:gridCol w:w="1559"/>
        <w:gridCol w:w="1495"/>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0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建筑智能化及建筑节能</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654,442,399.29</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560,933,015.91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绿色建筑公用工程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141,432,446.57</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106,843,650.37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工业自动化</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33,600,666.10</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16,204,545.23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107.35%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终端产品及其他</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15,162,550.13</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12,431,583.62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5"/>
        <w:gridCol w:w="1487"/>
        <w:gridCol w:w="1569"/>
        <w:gridCol w:w="1481"/>
        <w:gridCol w:w="1559"/>
        <w:gridCol w:w="1495"/>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2,252,007.64</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16,654,174.57</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16,798,060.25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863,544,244.30</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713,210,855.38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4"/>
        <w:gridCol w:w="1428"/>
        <w:gridCol w:w="1569"/>
        <w:gridCol w:w="1553"/>
        <w:gridCol w:w="1569"/>
        <w:gridCol w:w="1483"/>
      </w:tblGrid>
      <w:tr>
        <w:trPr>
          <w:trHeight w:val="402" w:hRule="exact"/>
        </w:trPr>
        <w:tc>
          <w:tcPr>
            <w:tcW w:w="1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22"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2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974" w:type="dxa"/>
            <w:vMerge/>
            <w:tcBorders>
              <w:left w:val="single" w:sz="4" w:space="0" w:color="000000"/>
              <w:bottom w:val="single" w:sz="4" w:space="0" w:color="000000"/>
              <w:right w:val="single" w:sz="4" w:space="0" w:color="000000"/>
            </w:tcBorders>
            <w:shd w:val="clear" w:color="auto" w:fill="D2D2D2"/>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8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9" w:right="0"/>
              <w:jc w:val="left"/>
              <w:rPr>
                <w:rFonts w:ascii="Times New Roman" w:hAnsi="Times New Roman" w:cs="Times New Roman" w:eastAsia="Times New Roman" w:hint="default"/>
                <w:sz w:val="18"/>
                <w:szCs w:val="18"/>
              </w:rPr>
            </w:pPr>
            <w:r>
              <w:rPr>
                <w:rFonts w:ascii="Times New Roman"/>
                <w:sz w:val="18"/>
              </w:rPr>
              <w:t>863,544,244.30</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0" w:right="0"/>
              <w:jc w:val="left"/>
              <w:rPr>
                <w:rFonts w:ascii="Times New Roman" w:hAnsi="Times New Roman" w:cs="Times New Roman" w:eastAsia="Times New Roman" w:hint="default"/>
                <w:sz w:val="18"/>
                <w:szCs w:val="18"/>
              </w:rPr>
            </w:pPr>
            <w:r>
              <w:rPr>
                <w:rFonts w:ascii="Times New Roman"/>
                <w:sz w:val="18"/>
              </w:rPr>
              <w:t>100.00%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6" w:right="0"/>
              <w:jc w:val="left"/>
              <w:rPr>
                <w:rFonts w:ascii="Times New Roman" w:hAnsi="Times New Roman" w:cs="Times New Roman" w:eastAsia="Times New Roman" w:hint="default"/>
                <w:sz w:val="18"/>
                <w:szCs w:val="18"/>
              </w:rPr>
            </w:pPr>
            <w:r>
              <w:rPr>
                <w:rFonts w:ascii="Times New Roman"/>
                <w:sz w:val="18"/>
              </w:rPr>
              <w:t>713,210,855.38</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0" w:right="0"/>
              <w:jc w:val="left"/>
              <w:rPr>
                <w:rFonts w:ascii="Times New Roman" w:hAnsi="Times New Roman" w:cs="Times New Roman" w:eastAsia="Times New Roman" w:hint="default"/>
                <w:sz w:val="18"/>
                <w:szCs w:val="18"/>
              </w:rPr>
            </w:pPr>
            <w:r>
              <w:rPr>
                <w:rFonts w:ascii="Times New Roman"/>
                <w:sz w:val="18"/>
              </w:rPr>
              <w:t>100.00%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21.08%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60" w:lineRule="auto" w:before="115"/>
        <w:ind w:left="153" w:right="6143" w:firstLine="290"/>
        <w:jc w:val="left"/>
        <w:rPr>
          <w:rFonts w:ascii="宋体" w:hAnsi="宋体" w:cs="宋体" w:eastAsia="宋体" w:hint="default"/>
          <w:sz w:val="18"/>
          <w:szCs w:val="18"/>
        </w:rPr>
      </w:pPr>
      <w:r>
        <w:rPr>
          <w:rFonts w:ascii="宋体" w:hAnsi="宋体" w:cs="宋体" w:eastAsia="宋体" w:hint="default"/>
          <w:sz w:val="18"/>
          <w:szCs w:val="18"/>
        </w:rPr>
        <w:t>公司以实施工程业务为主，按行业分类，不区分产品。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84,224,910.39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w:t>
            </w:r>
          </w:p>
        </w:tc>
      </w:tr>
    </w:tbl>
    <w:p>
      <w:pPr>
        <w:spacing w:before="67"/>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上海大华电器设备有限公司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31,052,527.00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上海龙马建筑安装公司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19,679,183.23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深圳市聚作照明股份有限公司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11,490,481.00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深圳市深安视通科技发展有限公司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11,152,683.81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广州伟誉电子科技有限公司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10,850,035.35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84,224,910.39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费用" w:id="21"/>
      <w:bookmarkEnd w:id="21"/>
      <w:r>
        <w:rPr>
          <w:b w:val="0"/>
          <w:bCs w:val="0"/>
        </w:rPr>
      </w: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393"/>
        <w:gridCol w:w="2394"/>
        <w:gridCol w:w="2394"/>
        <w:gridCol w:w="2394"/>
      </w:tblGrid>
      <w:tr>
        <w:trPr>
          <w:trHeight w:val="427" w:hRule="exact"/>
        </w:trPr>
        <w:tc>
          <w:tcPr>
            <w:tcW w:w="2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费用项目</w:t>
            </w:r>
          </w:p>
        </w:tc>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80" w:right="0"/>
              <w:jc w:val="left"/>
              <w:rPr>
                <w:rFonts w:ascii="宋体" w:hAnsi="宋体" w:cs="宋体" w:eastAsia="宋体" w:hint="default"/>
                <w:sz w:val="18"/>
                <w:szCs w:val="18"/>
              </w:rPr>
            </w:pPr>
            <w:r>
              <w:rPr>
                <w:rFonts w:ascii="宋体" w:hAnsi="宋体" w:cs="宋体" w:eastAsia="宋体" w:hint="default"/>
                <w:sz w:val="18"/>
                <w:szCs w:val="18"/>
              </w:rPr>
              <w:t>本年比上年增减幅度</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92,787,515.45</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74,887,869.12</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23.90%</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91,129,317.19</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75,644,448.00</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20.47%</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4,511,042.52</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-1,557,430.59</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389.65%</w:t>
            </w:r>
          </w:p>
        </w:tc>
      </w:tr>
      <w:tr>
        <w:trPr>
          <w:trHeight w:val="42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27,359,113.90</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19,625,612.45</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39.41%</w:t>
            </w:r>
          </w:p>
        </w:tc>
      </w:tr>
    </w:tbl>
    <w:p>
      <w:pPr>
        <w:spacing w:line="205" w:lineRule="exact" w:before="0"/>
        <w:ind w:left="51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）财务费用较</w:t>
      </w:r>
      <w:r>
        <w:rPr>
          <w:rFonts w:ascii="宋体" w:hAnsi="宋体" w:cs="宋体" w:eastAsia="宋体" w:hint="default"/>
          <w:sz w:val="18"/>
          <w:szCs w:val="18"/>
        </w:rPr>
        <w:t>2013</w:t>
      </w:r>
      <w:r>
        <w:rPr>
          <w:rFonts w:ascii="宋体" w:hAnsi="宋体" w:cs="宋体" w:eastAsia="宋体" w:hint="default"/>
          <w:sz w:val="18"/>
          <w:szCs w:val="18"/>
        </w:rPr>
        <w:t>年增长 </w:t>
      </w:r>
      <w:r>
        <w:rPr>
          <w:rFonts w:ascii="宋体" w:hAnsi="宋体" w:cs="宋体" w:eastAsia="宋体" w:hint="default"/>
          <w:sz w:val="18"/>
          <w:szCs w:val="18"/>
        </w:rPr>
        <w:t>389.65%</w:t>
      </w:r>
      <w:r>
        <w:rPr>
          <w:rFonts w:ascii="宋体" w:hAnsi="宋体" w:cs="宋体" w:eastAsia="宋体" w:hint="default"/>
          <w:sz w:val="18"/>
          <w:szCs w:val="18"/>
        </w:rPr>
        <w:t>，主要原因是本报告期公司支付短期银行借款利息所致。</w:t>
      </w:r>
    </w:p>
    <w:p>
      <w:pPr>
        <w:spacing w:before="115"/>
        <w:ind w:left="51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）所得税费用较</w:t>
      </w:r>
      <w:r>
        <w:rPr>
          <w:rFonts w:ascii="宋体" w:hAnsi="宋体" w:cs="宋体" w:eastAsia="宋体" w:hint="default"/>
          <w:sz w:val="18"/>
          <w:szCs w:val="18"/>
        </w:rPr>
        <w:t>2013</w:t>
      </w:r>
      <w:r>
        <w:rPr>
          <w:rFonts w:ascii="宋体" w:hAnsi="宋体" w:cs="宋体" w:eastAsia="宋体" w:hint="default"/>
          <w:sz w:val="18"/>
          <w:szCs w:val="18"/>
        </w:rPr>
        <w:t>年增长 </w:t>
      </w:r>
      <w:r>
        <w:rPr>
          <w:rFonts w:ascii="宋体" w:hAnsi="宋体" w:cs="宋体" w:eastAsia="宋体" w:hint="default"/>
          <w:sz w:val="18"/>
          <w:szCs w:val="18"/>
        </w:rPr>
        <w:t>39.41%</w:t>
      </w:r>
      <w:r>
        <w:rPr>
          <w:rFonts w:ascii="宋体" w:hAnsi="宋体" w:cs="宋体" w:eastAsia="宋体" w:hint="default"/>
          <w:sz w:val="18"/>
          <w:szCs w:val="18"/>
        </w:rPr>
        <w:t>，主要原因是本报告期收入增长，利润总额增加所致。</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left="153" w:right="0"/>
        <w:jc w:val="left"/>
        <w:rPr>
          <w:b w:val="0"/>
          <w:bCs w:val="0"/>
        </w:rPr>
      </w:pPr>
      <w:bookmarkStart w:name="5、研发支出" w:id="22"/>
      <w:bookmarkEnd w:id="22"/>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820"/>
        <w:gridCol w:w="4821"/>
      </w:tblGrid>
      <w:tr>
        <w:trPr>
          <w:trHeight w:val="42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4,457.26</w:t>
            </w:r>
          </w:p>
        </w:tc>
      </w:tr>
      <w:tr>
        <w:trPr>
          <w:trHeight w:val="42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126,306.23</w:t>
            </w:r>
          </w:p>
        </w:tc>
      </w:tr>
      <w:tr>
        <w:trPr>
          <w:trHeight w:val="42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3.53%</w:t>
            </w:r>
          </w:p>
        </w:tc>
      </w:tr>
      <w:tr>
        <w:trPr>
          <w:trHeight w:val="42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期末归属于母公司净资产</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161,766.95</w:t>
            </w:r>
          </w:p>
        </w:tc>
      </w:tr>
      <w:tr>
        <w:trPr>
          <w:trHeight w:val="42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占归属于母公司净资产比重</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现金流" w:id="23"/>
      <w:bookmarkEnd w:id="23"/>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63"/>
        <w:gridCol w:w="1972"/>
        <w:gridCol w:w="1961"/>
        <w:gridCol w:w="1961"/>
      </w:tblGrid>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1,165,084,950.68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931,722,689.69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25.05%</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1,050,977,179.10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927,201,866.53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13.35%</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114,107,771.58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4,520,823.16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2,424.05%</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150,615,759.54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426,382.27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35,224.11%</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820,915,304.47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43,025,265.43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1,807.98%</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-670,299,544.93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-42,598,883.16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-1,473.51%</w:t>
            </w:r>
            <w:r>
              <w:rPr>
                <w:rFonts w:ascii="Times New Roman"/>
                <w:sz w:val="18"/>
              </w:rPr>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1,017,454,813.76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57,637,998.68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1,665.25%</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217,561,859.96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22,410,294.34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870.81%</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799,892,953.80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35,227,704.34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2,170.64%</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243,701,180.45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-2,850,355.66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8,649.85%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38" w:lineRule="auto" w:before="60"/>
        <w:ind w:left="154" w:right="1083" w:firstLine="35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、经营活动产生的现金流量净额较上年同期增长</w:t>
      </w:r>
      <w:r>
        <w:rPr>
          <w:rFonts w:ascii="Times New Roman" w:hAnsi="Times New Roman" w:cs="Times New Roman" w:eastAsia="Times New Roman" w:hint="default"/>
          <w:sz w:val="18"/>
          <w:szCs w:val="18"/>
        </w:rPr>
        <w:t>2,424.05%</w:t>
      </w:r>
      <w:r>
        <w:rPr>
          <w:rFonts w:ascii="宋体" w:hAnsi="宋体" w:cs="宋体" w:eastAsia="宋体" w:hint="default"/>
          <w:sz w:val="18"/>
          <w:szCs w:val="18"/>
        </w:rPr>
        <w:t>，主要原因是本报告期公司加强项目管理，加大收款力度， 收回前期项目款较多所致。</w:t>
      </w:r>
    </w:p>
    <w:p>
      <w:pPr>
        <w:spacing w:line="338" w:lineRule="auto" w:before="41"/>
        <w:ind w:left="153" w:right="1131" w:firstLine="35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、投资活动产生的现金流量净额较上年同期下降</w:t>
      </w:r>
      <w:r>
        <w:rPr>
          <w:rFonts w:ascii="Times New Roman" w:hAnsi="Times New Roman" w:cs="Times New Roman" w:eastAsia="Times New Roman" w:hint="default"/>
          <w:sz w:val="18"/>
          <w:szCs w:val="18"/>
        </w:rPr>
        <w:t>1,473.51%</w:t>
      </w:r>
      <w:r>
        <w:rPr>
          <w:rFonts w:ascii="宋体" w:hAnsi="宋体" w:cs="宋体" w:eastAsia="宋体" w:hint="default"/>
          <w:sz w:val="18"/>
          <w:szCs w:val="18"/>
        </w:rPr>
        <w:t>，主要原因是本报告期子公司遵义达实收回遵义规划馆</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1</w:t>
      </w:r>
      <w:r>
        <w:rPr>
          <w:rFonts w:ascii="宋体" w:hAnsi="宋体" w:cs="宋体" w:eastAsia="宋体" w:hint="default"/>
          <w:sz w:val="18"/>
          <w:szCs w:val="18"/>
        </w:rPr>
        <w:t>亿元工程款以及子公司达实租赁购买融资租赁资产支付净额</w:t>
      </w:r>
      <w:r>
        <w:rPr>
          <w:rFonts w:ascii="Times New Roman" w:hAnsi="Times New Roman" w:cs="Times New Roman" w:eastAsia="Times New Roman" w:hint="default"/>
          <w:sz w:val="18"/>
          <w:szCs w:val="18"/>
        </w:rPr>
        <w:t>1</w:t>
      </w:r>
      <w:r>
        <w:rPr>
          <w:rFonts w:ascii="宋体" w:hAnsi="宋体" w:cs="宋体" w:eastAsia="宋体" w:hint="default"/>
          <w:sz w:val="18"/>
          <w:szCs w:val="18"/>
        </w:rPr>
        <w:t>亿元、子公司遵义达实支付遵义规划馆</w:t>
      </w:r>
      <w:r>
        <w:rPr>
          <w:rFonts w:ascii="Times New Roman" w:hAnsi="Times New Roman" w:cs="Times New Roman" w:eastAsia="Times New Roman" w:hint="default"/>
          <w:sz w:val="18"/>
          <w:szCs w:val="18"/>
        </w:rPr>
        <w:t>BT</w:t>
      </w:r>
      <w:r>
        <w:rPr>
          <w:rFonts w:ascii="宋体" w:hAnsi="宋体" w:cs="宋体" w:eastAsia="宋体" w:hint="default"/>
          <w:sz w:val="18"/>
          <w:szCs w:val="18"/>
        </w:rPr>
        <w:t>项目工程款、</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子公司达实租赁预付融资租赁款、母公司购买</w:t>
      </w:r>
      <w:r>
        <w:rPr>
          <w:rFonts w:ascii="Times New Roman" w:hAnsi="Times New Roman" w:cs="Times New Roman" w:eastAsia="Times New Roman" w:hint="default"/>
          <w:sz w:val="18"/>
          <w:szCs w:val="18"/>
        </w:rPr>
        <w:t>5</w:t>
      </w:r>
      <w:r>
        <w:rPr>
          <w:rFonts w:ascii="宋体" w:hAnsi="宋体" w:cs="宋体" w:eastAsia="宋体" w:hint="default"/>
          <w:sz w:val="18"/>
          <w:szCs w:val="18"/>
        </w:rPr>
        <w:t>亿元保本型银行理财产品所致。</w:t>
      </w:r>
    </w:p>
    <w:p>
      <w:pPr>
        <w:spacing w:line="338" w:lineRule="auto" w:before="18"/>
        <w:ind w:left="154" w:right="1129" w:firstLine="357"/>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、筹资活动产生的现金流量净额较上年同期增长</w:t>
      </w:r>
      <w:r>
        <w:rPr>
          <w:rFonts w:ascii="Times New Roman" w:hAnsi="Times New Roman" w:cs="Times New Roman" w:eastAsia="Times New Roman" w:hint="default"/>
          <w:spacing w:val="-1"/>
          <w:sz w:val="18"/>
          <w:szCs w:val="18"/>
        </w:rPr>
        <w:t>2,170.64%</w:t>
      </w:r>
      <w:r>
        <w:rPr>
          <w:rFonts w:ascii="宋体" w:hAnsi="宋体" w:cs="宋体" w:eastAsia="宋体" w:hint="default"/>
          <w:spacing w:val="-1"/>
          <w:sz w:val="18"/>
          <w:szCs w:val="18"/>
        </w:rPr>
        <w:t>，主要原因是本报告期公司非公开发行股票募集资金到账及</w:t>
      </w:r>
      <w:r>
        <w:rPr>
          <w:rFonts w:ascii="宋体" w:hAnsi="宋体" w:cs="宋体" w:eastAsia="宋体" w:hint="default"/>
          <w:sz w:val="18"/>
          <w:szCs w:val="18"/>
        </w:rPr>
        <w:t> 子公司达实租赁收到少数股东的投资款所致。</w:t>
      </w:r>
    </w:p>
    <w:p>
      <w:pPr>
        <w:spacing w:before="122"/>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4"/>
      <w:bookmarkEnd w:id="24"/>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336"/>
        <w:gridCol w:w="1338"/>
        <w:gridCol w:w="1336"/>
        <w:gridCol w:w="1337"/>
        <w:gridCol w:w="1336"/>
        <w:gridCol w:w="1340"/>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1"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2" w:right="33"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4" w:right="33"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60"/>
        <w:gridCol w:w="1336"/>
        <w:gridCol w:w="1338"/>
        <w:gridCol w:w="1336"/>
        <w:gridCol w:w="1337"/>
        <w:gridCol w:w="1336"/>
        <w:gridCol w:w="1338"/>
      </w:tblGrid>
      <w:tr>
        <w:trPr>
          <w:trHeight w:val="402" w:hRule="exact"/>
        </w:trPr>
        <w:tc>
          <w:tcPr>
            <w:tcW w:w="958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建筑智能化及建筑 节能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889,625,801.98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654,442,399.29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绿色建筑公用工程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236,671,479.65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141,432,446.57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工业自动化</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42,420,832.79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33,600,666.10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107.35%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终端产品及其他</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55,552,552.51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15,162,550.13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4,846,347.24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2,252,007.64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8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1,229,117,014.17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846,890,069.73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958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407,981,856.53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297,190,149.03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486,143,025.49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315,339,216.21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47,709,670.20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35,663,557.09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53,150,131.59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43,848,960.08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66,632,518.97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43,751,928.80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148,798,610.69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98,339,489.00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111.95%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18,701,200.70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12,756,769.52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负债状况分析" w:id="25"/>
      <w:bookmarkEnd w:id="25"/>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项目重大变动情况" w:id="26"/>
      <w:bookmarkEnd w:id="26"/>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1276"/>
        <w:gridCol w:w="1417"/>
        <w:gridCol w:w="1277"/>
        <w:gridCol w:w="992"/>
        <w:gridCol w:w="1914"/>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6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2602" w:type="dxa"/>
            <w:gridSpan w:val="2"/>
            <w:vMerge/>
            <w:tcBorders>
              <w:left w:val="single" w:sz="4" w:space="0" w:color="000000"/>
              <w:bottom w:val="single" w:sz="4" w:space="0" w:color="000000"/>
              <w:right w:val="single" w:sz="4" w:space="0" w:color="000000"/>
            </w:tcBorders>
            <w:shd w:val="clear" w:color="auto" w:fill="D2D2D2"/>
          </w:tcPr>
          <w:p>
            <w:pPr/>
          </w:p>
        </w:tc>
        <w:tc>
          <w:tcPr>
            <w:tcW w:w="2694"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470,419,138.75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224,722,216.54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7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632,771,644.49</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87" w:right="0"/>
              <w:jc w:val="left"/>
              <w:rPr>
                <w:rFonts w:ascii="Times New Roman" w:hAnsi="Times New Roman" w:cs="Times New Roman" w:eastAsia="Times New Roman" w:hint="default"/>
                <w:sz w:val="18"/>
                <w:szCs w:val="18"/>
              </w:rPr>
            </w:pPr>
            <w:r>
              <w:rPr>
                <w:rFonts w:ascii="Times New Roman"/>
                <w:sz w:val="18"/>
              </w:rPr>
              <w:t>24.33%</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524,318,643.58</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35.65%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-11.32%</w:t>
            </w:r>
          </w:p>
        </w:tc>
        <w:tc>
          <w:tcPr>
            <w:tcW w:w="191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主要原因是本报告期公 司加强项目管理，加大 收款力度，收回前期项 目款较多所致。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47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253,564,231.34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187,907,336.27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129,985,581.31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141,224,624.90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93,165,816.14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90,547,984.44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9,466,668.89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13,393,610.01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2、负债项目重大变动情况" w:id="27"/>
      <w:bookmarkEnd w:id="27"/>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26"/>
        <w:gridCol w:w="1275"/>
        <w:gridCol w:w="1418"/>
        <w:gridCol w:w="1265"/>
        <w:gridCol w:w="1004"/>
        <w:gridCol w:w="1914"/>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6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2601" w:type="dxa"/>
            <w:gridSpan w:val="2"/>
            <w:vMerge/>
            <w:tcBorders>
              <w:left w:val="single" w:sz="4" w:space="0" w:color="000000"/>
              <w:bottom w:val="single" w:sz="4" w:space="0" w:color="000000"/>
              <w:right w:val="single" w:sz="4" w:space="0" w:color="000000"/>
            </w:tcBorders>
            <w:shd w:val="clear" w:color="auto" w:fill="D2D2D2"/>
          </w:tcPr>
          <w:p>
            <w:pPr/>
          </w:p>
        </w:tc>
        <w:tc>
          <w:tcPr>
            <w:tcW w:w="2683" w:type="dxa"/>
            <w:gridSpan w:val="2"/>
            <w:vMerge/>
            <w:tcBorders>
              <w:left w:val="single" w:sz="4" w:space="0" w:color="000000"/>
              <w:bottom w:val="single" w:sz="4" w:space="0" w:color="000000"/>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004"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46" w:right="0"/>
              <w:jc w:val="left"/>
              <w:rPr>
                <w:rFonts w:ascii="Times New Roman" w:hAnsi="Times New Roman" w:cs="Times New Roman" w:eastAsia="Times New Roman" w:hint="default"/>
                <w:sz w:val="18"/>
                <w:szCs w:val="18"/>
              </w:rPr>
            </w:pPr>
            <w:r>
              <w:rPr>
                <w:rFonts w:ascii="Times New Roman"/>
                <w:sz w:val="18"/>
              </w:rPr>
              <w:t>27,000,000.00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7" w:right="0"/>
              <w:jc w:val="left"/>
              <w:rPr>
                <w:rFonts w:ascii="Times New Roman" w:hAnsi="Times New Roman" w:cs="Times New Roman" w:eastAsia="Times New Roman" w:hint="default"/>
                <w:sz w:val="18"/>
                <w:szCs w:val="18"/>
              </w:rPr>
            </w:pPr>
            <w:r>
              <w:rPr>
                <w:rFonts w:ascii="Times New Roman"/>
                <w:sz w:val="18"/>
              </w:rPr>
              <w:t>1.04%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1" w:right="0"/>
              <w:jc w:val="left"/>
              <w:rPr>
                <w:rFonts w:ascii="Times New Roman" w:hAnsi="Times New Roman" w:cs="Times New Roman" w:eastAsia="Times New Roman" w:hint="default"/>
                <w:sz w:val="18"/>
                <w:szCs w:val="18"/>
              </w:rPr>
            </w:pPr>
            <w:r>
              <w:rPr>
                <w:rFonts w:ascii="Times New Roman"/>
                <w:sz w:val="18"/>
              </w:rPr>
              <w:t>50,000,000.00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8" w:right="0"/>
              <w:jc w:val="left"/>
              <w:rPr>
                <w:rFonts w:ascii="Times New Roman" w:hAnsi="Times New Roman" w:cs="Times New Roman" w:eastAsia="Times New Roman" w:hint="default"/>
                <w:sz w:val="18"/>
                <w:szCs w:val="18"/>
              </w:rPr>
            </w:pPr>
            <w:r>
              <w:rPr>
                <w:rFonts w:ascii="Times New Roman"/>
                <w:sz w:val="18"/>
              </w:rPr>
              <w:t>3.40%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-2.36%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公允价值计量的资产和负债" w:id="28"/>
      <w:bookmarkEnd w:id="28"/>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核心竞争力分析" w:id="29"/>
      <w:bookmarkEnd w:id="29"/>
      <w:r>
        <w:rPr>
          <w:b w:val="0"/>
          <w:bCs w:val="0"/>
        </w:rPr>
      </w:r>
      <w:r>
        <w:rPr/>
        <w:t>五、核心竞争力分析</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left="511" w:right="0"/>
        <w:jc w:val="left"/>
      </w:pPr>
      <w:r>
        <w:rPr>
          <w:rFonts w:ascii="宋体" w:hAnsi="宋体" w:cs="宋体" w:eastAsia="宋体" w:hint="default"/>
        </w:rPr>
        <w:t>1</w:t>
      </w:r>
      <w:r>
        <w:rPr/>
        <w:t>、牢固的团队凝聚力 公司现有员工</w:t>
      </w:r>
      <w:r>
        <w:rPr>
          <w:rFonts w:ascii="宋体" w:hAnsi="宋体" w:cs="宋体" w:eastAsia="宋体" w:hint="default"/>
        </w:rPr>
        <w:t>1,404</w:t>
      </w:r>
      <w:r>
        <w:rPr/>
        <w:t>人，团队人员素质高，具有行业丰富的从业经历。“分享”的理念，让</w:t>
      </w:r>
      <w:r>
        <w:rPr>
          <w:rFonts w:ascii="宋体" w:hAnsi="宋体" w:cs="宋体" w:eastAsia="宋体" w:hint="default"/>
        </w:rPr>
        <w:t>141</w:t>
      </w:r>
      <w:r>
        <w:rPr/>
        <w:t>名员工</w:t>
      </w:r>
    </w:p>
    <w:p>
      <w:pPr>
        <w:pStyle w:val="BodyText"/>
        <w:spacing w:line="357" w:lineRule="auto" w:before="33"/>
        <w:ind w:right="1024"/>
        <w:jc w:val="left"/>
      </w:pPr>
      <w:r>
        <w:rPr>
          <w:spacing w:val="-3"/>
        </w:rPr>
        <w:t>持有公司股份，个人利益与公司利益紧密绑定。第一期限制性股票激励计划实施后，无一名激励对象离职，</w:t>
      </w:r>
      <w:r>
        <w:rPr>
          <w:spacing w:val="-90"/>
        </w:rPr>
        <w:t> </w:t>
      </w:r>
      <w:r>
        <w:rPr>
          <w:spacing w:val="-90"/>
        </w:rPr>
      </w:r>
      <w:r>
        <w:rPr/>
        <w:t>在激发管理层及核心员工的责任感和创造性的同时，保持了稳定性。</w:t>
      </w:r>
      <w:r>
        <w:rPr>
          <w:rFonts w:ascii="宋体" w:hAnsi="宋体" w:cs="宋体" w:eastAsia="宋体" w:hint="default"/>
        </w:rPr>
        <w:t>2014</w:t>
      </w:r>
      <w:r>
        <w:rPr/>
        <w:t>年</w:t>
      </w:r>
      <w:r>
        <w:rPr>
          <w:rFonts w:ascii="宋体" w:hAnsi="宋体" w:cs="宋体" w:eastAsia="宋体" w:hint="default"/>
        </w:rPr>
        <w:t>11</w:t>
      </w:r>
      <w:r>
        <w:rPr/>
        <w:t>月，公司推出了第二期限制 性股票激励计划，</w:t>
      </w:r>
      <w:r>
        <w:rPr>
          <w:rFonts w:ascii="宋体" w:hAnsi="宋体" w:cs="宋体" w:eastAsia="宋体" w:hint="default"/>
        </w:rPr>
        <w:t>193</w:t>
      </w:r>
      <w:r>
        <w:rPr/>
        <w:t>人获授</w:t>
      </w:r>
      <w:r>
        <w:rPr>
          <w:rFonts w:ascii="宋体" w:hAnsi="宋体" w:cs="宋体" w:eastAsia="宋体" w:hint="default"/>
        </w:rPr>
        <w:t>580</w:t>
      </w:r>
      <w:r>
        <w:rPr/>
        <w:t>万股股份。“达则兼善天下，实则恒心如一”的企业文化，有效规划了员 工个人需求，使之与公司的远景目标相一致，增强了管理层和核心人员的归属感，营造出牢固的团队凝聚 力。</w:t>
      </w:r>
    </w:p>
    <w:p>
      <w:pPr>
        <w:pStyle w:val="BodyText"/>
        <w:spacing w:line="355" w:lineRule="auto" w:before="31"/>
        <w:ind w:left="511" w:right="0"/>
        <w:jc w:val="left"/>
      </w:pPr>
      <w:r>
        <w:rPr>
          <w:rFonts w:ascii="宋体" w:hAnsi="宋体" w:cs="宋体" w:eastAsia="宋体" w:hint="default"/>
        </w:rPr>
        <w:t>2</w:t>
      </w:r>
      <w:r>
        <w:rPr/>
        <w:t>、优秀的自主创新能力 公司内设国家博士后科研工作站、深圳市自动化工程技术研究开发中心和解决方案研发中心三级研发</w:t>
      </w:r>
    </w:p>
    <w:p>
      <w:pPr>
        <w:pStyle w:val="BodyText"/>
        <w:spacing w:line="357" w:lineRule="auto" w:before="33"/>
        <w:ind w:right="1026"/>
        <w:jc w:val="left"/>
      </w:pPr>
      <w:r>
        <w:rPr>
          <w:spacing w:val="-3"/>
        </w:rPr>
        <w:t>体系，主持起草了四项国家重要节能标准，获得了“智能卡一卡一密方法”等多项国家专利及软件著作权。</w:t>
      </w:r>
      <w:r>
        <w:rPr>
          <w:spacing w:val="-92"/>
        </w:rPr>
        <w:t> </w:t>
      </w:r>
      <w:r>
        <w:rPr>
          <w:spacing w:val="-92"/>
        </w:rPr>
      </w:r>
      <w:r>
        <w:rPr/>
        <w:t>公司强大的自主创新能力、快速研发系统产品的能力和产业化推广的能力，使得公司在技术创新和应用创</w:t>
      </w:r>
      <w:r>
        <w:rPr/>
        <w:t> 新上均实现了新突破。报告期内，自主研发的</w:t>
      </w:r>
      <w:r>
        <w:rPr>
          <w:rFonts w:ascii="宋体" w:hAnsi="宋体" w:cs="宋体" w:eastAsia="宋体" w:hint="default"/>
        </w:rPr>
        <w:t>Indas-ISCS</w:t>
      </w:r>
      <w:r>
        <w:rPr/>
        <w:t>平台软件成功应用于成都、南宁、石家庄等城市 地铁的大型综合监控项目，基于云计算技术的“C3一卡通云平台”在中国银行河北省分行正式上线运行， 一卡通系统从企业内联网延伸到互联网平台。</w:t>
      </w:r>
    </w:p>
    <w:p>
      <w:pPr>
        <w:pStyle w:val="BodyText"/>
        <w:spacing w:line="355" w:lineRule="auto" w:before="31"/>
        <w:ind w:left="511" w:right="0"/>
        <w:jc w:val="left"/>
      </w:pPr>
      <w:r>
        <w:rPr>
          <w:rFonts w:ascii="宋体" w:hAnsi="宋体" w:cs="宋体" w:eastAsia="宋体" w:hint="default"/>
        </w:rPr>
        <w:t>3</w:t>
      </w:r>
      <w:r>
        <w:rPr/>
        <w:t>、综合的建筑全生命周期服务能力 公司以“让城市更智慧、让建筑更节能”为经营宗旨，以用户需求为中心，以最大幅度的提升建筑形</w:t>
      </w:r>
    </w:p>
    <w:p>
      <w:pPr>
        <w:pStyle w:val="BodyText"/>
        <w:spacing w:line="357" w:lineRule="auto" w:before="33"/>
        <w:ind w:left="154" w:right="1026"/>
        <w:jc w:val="both"/>
      </w:pPr>
      <w:r>
        <w:rPr/>
        <w:t>象和功能、降低建设和日常运营成本为目标，以物联网及智能技术为基础，满足用户全生命周期的建筑机 电节能需求。服务内容包括绿色建筑认证咨询服务，智能化系统专项设计及工程服务，供配电系统专项设 计及工程服务，中央空调系统设计、工程及投资运营服务（合同能源管理），以及智能卡产品等。迄今为 止，公司的用户遍及全国各地，包括深圳市民中心、深圳地铁、华为、长安标致雪铁龙、沃尔玛、大连万 </w:t>
      </w:r>
      <w:r>
        <w:rPr>
          <w:spacing w:val="-3"/>
        </w:rPr>
        <w:t>达以及恒大地产等。报告期内，公司主编的国内首个《智慧城市系列标准》发布，助力智慧城市健康发展。</w:t>
      </w:r>
    </w:p>
    <w:p>
      <w:pPr>
        <w:pStyle w:val="BodyText"/>
        <w:spacing w:line="355" w:lineRule="auto" w:before="31"/>
        <w:ind w:left="511" w:right="0"/>
        <w:jc w:val="left"/>
      </w:pPr>
      <w:r>
        <w:rPr>
          <w:rFonts w:ascii="宋体" w:hAnsi="宋体" w:cs="宋体" w:eastAsia="宋体" w:hint="default"/>
        </w:rPr>
        <w:t>4</w:t>
      </w:r>
      <w:r>
        <w:rPr/>
        <w:t>、创新的商业模式整合能力 公司充分利用专业能力和上市公司融资与资本平台的优势，以客户和项目的融资需求为出发点，将商</w:t>
      </w:r>
    </w:p>
    <w:p>
      <w:pPr>
        <w:spacing w:after="0" w:line="355" w:lineRule="auto"/>
        <w:jc w:val="left"/>
        <w:sectPr>
          <w:pgSz w:w="11910" w:h="16840"/>
          <w:pgMar w:header="877" w:footer="979" w:top="1100" w:bottom="1160" w:left="980" w:right="0"/>
        </w:sectPr>
      </w:pPr>
    </w:p>
    <w:p>
      <w:pPr>
        <w:spacing w:line="240" w:lineRule="auto" w:before="2"/>
        <w:rPr>
          <w:rFonts w:ascii="宋体" w:hAnsi="宋体" w:cs="宋体" w:eastAsia="宋体" w:hint="default"/>
          <w:sz w:val="19"/>
          <w:szCs w:val="19"/>
        </w:rPr>
      </w:pPr>
    </w:p>
    <w:p>
      <w:pPr>
        <w:pStyle w:val="BodyText"/>
        <w:spacing w:line="357" w:lineRule="auto" w:before="35"/>
        <w:ind w:right="1131"/>
        <w:jc w:val="both"/>
      </w:pPr>
      <w:r>
        <w:rPr>
          <w:spacing w:val="-1"/>
        </w:rPr>
        <w:t>业模式与金融创新结合，在传统的专业工程承包基础上，辅以合同能源管理、买方信贷、</w:t>
      </w:r>
      <w:r>
        <w:rPr>
          <w:rFonts w:ascii="宋体" w:hAnsi="宋体" w:cs="宋体" w:eastAsia="宋体" w:hint="default"/>
          <w:spacing w:val="-1"/>
        </w:rPr>
        <w:t>BT</w:t>
      </w:r>
      <w:r>
        <w:rPr>
          <w:spacing w:val="-1"/>
        </w:rPr>
        <w:t>、融资租赁等</w:t>
      </w:r>
      <w:r>
        <w:rPr>
          <w:spacing w:val="-83"/>
        </w:rPr>
        <w:t> </w:t>
      </w:r>
      <w:r>
        <w:rPr>
          <w:spacing w:val="-83"/>
        </w:rPr>
      </w:r>
      <w:r>
        <w:rPr>
          <w:spacing w:val="-1"/>
        </w:rPr>
        <w:t>创新商业模式，形成“工程</w:t>
      </w:r>
      <w:r>
        <w:rPr>
          <w:rFonts w:ascii="宋体" w:hAnsi="宋体" w:cs="宋体" w:eastAsia="宋体" w:hint="default"/>
          <w:spacing w:val="-1"/>
        </w:rPr>
        <w:t>+</w:t>
      </w:r>
      <w:r>
        <w:rPr>
          <w:spacing w:val="-1"/>
        </w:rPr>
        <w:t>服务”、“技术</w:t>
      </w:r>
      <w:r>
        <w:rPr>
          <w:rFonts w:ascii="宋体" w:hAnsi="宋体" w:cs="宋体" w:eastAsia="宋体" w:hint="default"/>
          <w:spacing w:val="-1"/>
        </w:rPr>
        <w:t>+</w:t>
      </w:r>
      <w:r>
        <w:rPr>
          <w:spacing w:val="-1"/>
        </w:rPr>
        <w:t>金融”的新型业务模式，持续提高服务大客户、大项目的能</w:t>
      </w:r>
      <w:r>
        <w:rPr>
          <w:spacing w:val="-87"/>
        </w:rPr>
        <w:t> </w:t>
      </w:r>
      <w:r>
        <w:rPr>
          <w:spacing w:val="-87"/>
        </w:rPr>
      </w:r>
      <w:r>
        <w:rPr>
          <w:spacing w:val="-1"/>
        </w:rPr>
        <w:t>力。报告期内，公司签约并完成“遵义市城市规划科技馆布展及绿色建筑公用工程（绿色节能）”建设项</w:t>
      </w:r>
      <w:r>
        <w:rPr>
          <w:spacing w:val="-87"/>
        </w:rPr>
        <w:t> </w:t>
      </w:r>
      <w:r>
        <w:rPr>
          <w:spacing w:val="-87"/>
        </w:rPr>
      </w:r>
      <w:r>
        <w:rPr>
          <w:spacing w:val="-1"/>
        </w:rPr>
        <w:t>目，对</w:t>
      </w:r>
      <w:r>
        <w:rPr>
          <w:rFonts w:ascii="宋体" w:hAnsi="宋体" w:cs="宋体" w:eastAsia="宋体" w:hint="default"/>
          <w:spacing w:val="-1"/>
        </w:rPr>
        <w:t>BT</w:t>
      </w:r>
      <w:r>
        <w:rPr>
          <w:spacing w:val="-1"/>
        </w:rPr>
        <w:t>业务模式进行了成功的探索；达实租赁签约世纪互联融资租赁项目并完成投放，标志着达实智能</w:t>
      </w:r>
      <w:r>
        <w:rPr>
          <w:spacing w:val="-84"/>
        </w:rPr>
        <w:t> </w:t>
      </w:r>
      <w:r>
        <w:rPr>
          <w:spacing w:val="-84"/>
        </w:rPr>
      </w:r>
      <w:r>
        <w:rPr/>
        <w:t>的金融类业务正式开启，公司业务技术创新与金融创新实现了双轮驱动。</w:t>
      </w:r>
    </w:p>
    <w:p>
      <w:pPr>
        <w:pStyle w:val="BodyText"/>
        <w:spacing w:line="357" w:lineRule="auto"/>
        <w:ind w:left="511" w:right="0"/>
        <w:jc w:val="left"/>
      </w:pPr>
      <w:r>
        <w:rPr>
          <w:rFonts w:ascii="宋体" w:hAnsi="宋体" w:cs="宋体" w:eastAsia="宋体" w:hint="default"/>
        </w:rPr>
        <w:t>5</w:t>
      </w:r>
      <w:r>
        <w:rPr/>
        <w:t>、良好的项目管理能力 公司利用自主开发的项目管理系统，在项目立项阶段开始做好严格的项目质量策划，确保设计过程的</w:t>
      </w:r>
    </w:p>
    <w:p>
      <w:pPr>
        <w:pStyle w:val="BodyText"/>
        <w:spacing w:line="357" w:lineRule="auto"/>
        <w:ind w:right="1131"/>
        <w:jc w:val="both"/>
      </w:pPr>
      <w:r>
        <w:rPr>
          <w:spacing w:val="-1"/>
        </w:rPr>
        <w:t>有序、规范；严格挑选供应商，确保采购产品和分包工程质量的可靠；谨慎编制和签订采购、工程施工合</w:t>
      </w:r>
      <w:r>
        <w:rPr>
          <w:spacing w:val="-83"/>
        </w:rPr>
        <w:t> </w:t>
      </w:r>
      <w:r>
        <w:rPr>
          <w:spacing w:val="-83"/>
        </w:rPr>
      </w:r>
      <w:r>
        <w:rPr>
          <w:spacing w:val="-1"/>
        </w:rPr>
        <w:t>同，加强项目施工现场的监督审核，确保工程项目按进度实施；认真进行系统调试，严格遵守项目竣工验</w:t>
      </w:r>
      <w:r>
        <w:rPr>
          <w:spacing w:val="-86"/>
        </w:rPr>
        <w:t> </w:t>
      </w:r>
      <w:r>
        <w:rPr>
          <w:spacing w:val="-86"/>
        </w:rPr>
      </w:r>
      <w:r>
        <w:rPr>
          <w:spacing w:val="-1"/>
        </w:rPr>
        <w:t>收标准，从项目立项、合同管理、执行项目、项目采购管理、项目监控等环节实行全面监控，从而保证项</w:t>
      </w:r>
      <w:r>
        <w:rPr>
          <w:spacing w:val="-83"/>
        </w:rPr>
        <w:t> </w:t>
      </w:r>
      <w:r>
        <w:rPr>
          <w:spacing w:val="-83"/>
        </w:rPr>
      </w:r>
      <w:r>
        <w:rPr/>
        <w:t>目有序进行。报告期内，深圳坪山（腾讯）数据中心被中国数据中心工作组评为年度优秀数据中心。</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六、投资状况分析" w:id="30"/>
      <w:bookmarkEnd w:id="30"/>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对外股权投资情况" w:id="31"/>
      <w:bookmarkEnd w:id="31"/>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对外投资情况" w:id="32"/>
      <w:bookmarkEnd w:id="32"/>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00"/>
        <w:gridCol w:w="5139"/>
        <w:gridCol w:w="163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5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4"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9"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3" w:right="0"/>
              <w:jc w:val="left"/>
              <w:rPr>
                <w:rFonts w:ascii="Times New Roman" w:hAnsi="Times New Roman" w:cs="Times New Roman" w:eastAsia="Times New Roman" w:hint="default"/>
                <w:sz w:val="18"/>
                <w:szCs w:val="18"/>
              </w:rPr>
            </w:pPr>
            <w:r>
              <w:rPr>
                <w:rFonts w:ascii="Times New Roman"/>
                <w:sz w:val="18"/>
              </w:rPr>
              <w:t>105,200,000.00</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40.27%</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3" w:hRule="exact"/>
        </w:trPr>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9" w:right="89"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r>
      <w:tr>
        <w:trPr>
          <w:trHeight w:val="714"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3"/>
              <w:jc w:val="left"/>
              <w:rPr>
                <w:rFonts w:ascii="宋体" w:hAnsi="宋体" w:cs="宋体" w:eastAsia="宋体" w:hint="default"/>
                <w:sz w:val="18"/>
                <w:szCs w:val="18"/>
              </w:rPr>
            </w:pPr>
            <w:r>
              <w:rPr>
                <w:rFonts w:ascii="宋体" w:hAnsi="宋体" w:cs="宋体" w:eastAsia="宋体" w:hint="default"/>
                <w:sz w:val="18"/>
                <w:szCs w:val="18"/>
              </w:rPr>
              <w:t>融资租赁业务；租赁业务；向国内外购买租赁资产；租赁资产的 残值处理及维修；租赁交易咨询和担保。</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r>
      <w:tr>
        <w:trPr>
          <w:trHeight w:val="714"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遵义达实绿色智慧发展有限公司</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3"/>
              <w:jc w:val="left"/>
              <w:rPr>
                <w:rFonts w:ascii="宋体" w:hAnsi="宋体" w:cs="宋体" w:eastAsia="宋体" w:hint="default"/>
                <w:sz w:val="18"/>
                <w:szCs w:val="18"/>
              </w:rPr>
            </w:pPr>
            <w:r>
              <w:rPr>
                <w:rFonts w:ascii="宋体" w:hAnsi="宋体" w:cs="宋体" w:eastAsia="宋体" w:hint="default"/>
                <w:sz w:val="18"/>
                <w:szCs w:val="18"/>
              </w:rPr>
              <w:t>智慧城市、基础设施、科普设施建设、展览设施建设、绿色节能 建筑投资及投资咨询管理。</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165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珠海达实科技发展有限公司</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1"/>
              <w:jc w:val="both"/>
              <w:rPr>
                <w:rFonts w:ascii="宋体" w:hAnsi="宋体" w:cs="宋体" w:eastAsia="宋体" w:hint="default"/>
                <w:sz w:val="18"/>
                <w:szCs w:val="18"/>
              </w:rPr>
            </w:pPr>
            <w:r>
              <w:rPr>
                <w:rFonts w:ascii="宋体" w:hAnsi="宋体" w:cs="宋体" w:eastAsia="宋体" w:hint="default"/>
                <w:sz w:val="18"/>
                <w:szCs w:val="18"/>
              </w:rPr>
              <w:t>研发能源管理产品；</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卡读写机具产品、安防监控设备和信息终 端、智能大厦监控系统、现场网络控制设备、机电设备和仪器仪 表的技术开发及相关系统软件的销售；承接建筑智能化系统和工 业自动化系统的设计、集成、安装、技术咨询；提供能源监测、 节能咨询服务。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1299"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上海腾隆变配电设备管理有限公司</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110KV</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及以下变电站、施工用电箱式变压器的运行管理、设备调 试、维修保养、继保电试，电气安全用具销售及电气工程咨询服 务，机电设备销售及维修，在电力专业领域内从事四技服务，电 </w:t>
            </w:r>
            <w:r>
              <w:rPr>
                <w:rFonts w:ascii="宋体" w:hAnsi="宋体" w:cs="宋体" w:eastAsia="宋体" w:hint="default"/>
                <w:spacing w:val="-5"/>
                <w:sz w:val="18"/>
                <w:szCs w:val="18"/>
              </w:rPr>
              <w:t>力设施承装类四级、承修类三级、承试类五级，自有设备租赁（除</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00"/>
        <w:gridCol w:w="5139"/>
        <w:gridCol w:w="1631"/>
      </w:tblGrid>
      <w:tr>
        <w:trPr>
          <w:trHeight w:val="362" w:hRule="exact"/>
        </w:trPr>
        <w:tc>
          <w:tcPr>
            <w:tcW w:w="2800" w:type="dxa"/>
            <w:tcBorders>
              <w:top w:val="single" w:sz="4" w:space="0" w:color="000000"/>
              <w:left w:val="single" w:sz="4" w:space="0" w:color="000000"/>
              <w:bottom w:val="single" w:sz="4" w:space="0" w:color="000000"/>
              <w:right w:val="single" w:sz="4" w:space="0" w:color="000000"/>
            </w:tcBorders>
          </w:tcPr>
          <w:p>
            <w:pP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金融租赁</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注：上海腾隆变配电设备管理有限公司为子公司达实联欣收购的全资子公司</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持有金融企业股权情况" w:id="33"/>
      <w:bookmarkEnd w:id="33"/>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证券投资情况" w:id="34"/>
      <w:bookmarkEnd w:id="34"/>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4）持有其他上市公司股权情况的说明" w:id="35"/>
      <w:bookmarkEnd w:id="35"/>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公司报告期未持有其他上市公司股权。</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委托理财、衍生品投资和委托贷款情况" w:id="36"/>
      <w:bookmarkEnd w:id="36"/>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37"/>
      <w:bookmarkEnd w:id="3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475"/>
        <w:gridCol w:w="709"/>
        <w:gridCol w:w="992"/>
        <w:gridCol w:w="1029"/>
        <w:gridCol w:w="798"/>
        <w:gridCol w:w="796"/>
        <w:gridCol w:w="798"/>
        <w:gridCol w:w="796"/>
        <w:gridCol w:w="798"/>
        <w:gridCol w:w="797"/>
        <w:gridCol w:w="784"/>
      </w:tblGrid>
      <w:tr>
        <w:trPr>
          <w:trHeight w:val="1025"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0"/>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77"/>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8" w:right="58" w:hanging="360"/>
              <w:jc w:val="left"/>
              <w:rPr>
                <w:rFonts w:ascii="宋体" w:hAnsi="宋体" w:cs="宋体" w:eastAsia="宋体" w:hint="default"/>
                <w:sz w:val="18"/>
                <w:szCs w:val="18"/>
              </w:rPr>
            </w:pPr>
            <w:r>
              <w:rPr>
                <w:rFonts w:ascii="宋体" w:hAnsi="宋体" w:cs="宋体" w:eastAsia="宋体" w:hint="default"/>
                <w:sz w:val="18"/>
                <w:szCs w:val="18"/>
              </w:rPr>
              <w:t>委托理财金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保证型理财 产品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hAnsi="宋体" w:cs="宋体" w:eastAsia="宋体" w:hint="default"/>
                <w:sz w:val="18"/>
                <w:szCs w:val="18"/>
              </w:rPr>
              <w:t>尚未到期</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尚未到期</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上海浦东 发展银行</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5"/>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hAnsi="宋体" w:cs="宋体" w:eastAsia="宋体" w:hint="default"/>
                <w:sz w:val="18"/>
                <w:szCs w:val="18"/>
              </w:rPr>
              <w:t>尚未到期</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326.25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尚未到期</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上海浦东 发展银行</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5"/>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hAnsi="宋体" w:cs="宋体" w:eastAsia="宋体" w:hint="default"/>
                <w:sz w:val="18"/>
                <w:szCs w:val="18"/>
              </w:rPr>
              <w:t>尚未到期</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尚未到期</w:t>
            </w:r>
          </w:p>
        </w:tc>
      </w:tr>
      <w:tr>
        <w:trPr>
          <w:trHeight w:val="402"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466.63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59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年度非公开发行股票募集的资金。</w:t>
            </w:r>
          </w:p>
        </w:tc>
      </w:tr>
      <w:tr>
        <w:trPr>
          <w:trHeight w:val="402"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59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59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78"/>
        <w:gridCol w:w="6595"/>
      </w:tblGrid>
      <w:tr>
        <w:trPr>
          <w:trHeight w:val="332" w:hRule="exact"/>
        </w:trPr>
        <w:tc>
          <w:tcPr>
            <w:tcW w:w="2978" w:type="dxa"/>
            <w:tcBorders>
              <w:top w:val="single" w:sz="6" w:space="0" w:color="000000"/>
              <w:left w:val="nil" w:sz="6" w:space="0" w:color="auto"/>
              <w:bottom w:val="single" w:sz="4" w:space="0" w:color="000000"/>
              <w:right w:val="nil" w:sz="6" w:space="0" w:color="auto"/>
            </w:tcBorders>
          </w:tcPr>
          <w:p>
            <w:pPr/>
          </w:p>
        </w:tc>
        <w:tc>
          <w:tcPr>
            <w:tcW w:w="6595"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3"/>
        <w:spacing w:line="240" w:lineRule="auto" w:before="35"/>
        <w:ind w:left="114" w:right="8233"/>
        <w:jc w:val="left"/>
        <w:rPr>
          <w:b w:val="0"/>
          <w:bCs w:val="0"/>
        </w:rPr>
      </w:pPr>
      <w:bookmarkStart w:name="（2）衍生品投资情况" w:id="38"/>
      <w:bookmarkEnd w:id="38"/>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12"/>
        <w:rPr>
          <w:rFonts w:ascii="宋体" w:hAnsi="宋体" w:cs="宋体" w:eastAsia="宋体" w:hint="default"/>
          <w:sz w:val="20"/>
          <w:szCs w:val="20"/>
        </w:rPr>
      </w:pPr>
    </w:p>
    <w:p>
      <w:pPr>
        <w:pStyle w:val="Heading3"/>
        <w:spacing w:line="240" w:lineRule="auto"/>
        <w:ind w:left="113" w:right="8233"/>
        <w:jc w:val="left"/>
        <w:rPr>
          <w:b w:val="0"/>
          <w:bCs w:val="0"/>
        </w:rPr>
      </w:pPr>
      <w:bookmarkStart w:name="（3）委托贷款情况" w:id="39"/>
      <w:bookmarkEnd w:id="39"/>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left="113" w:right="8233"/>
        <w:jc w:val="left"/>
        <w:rPr>
          <w:b w:val="0"/>
          <w:bCs w:val="0"/>
        </w:rPr>
      </w:pPr>
      <w:bookmarkStart w:name="3、募集资金使用情况" w:id="40"/>
      <w:bookmarkEnd w:id="40"/>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1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13" w:right="0"/>
        <w:jc w:val="left"/>
        <w:rPr>
          <w:b w:val="0"/>
          <w:bCs w:val="0"/>
        </w:rPr>
      </w:pPr>
      <w:bookmarkStart w:name="（1）募集资金总体使用情况" w:id="41"/>
      <w:bookmarkEnd w:id="4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1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44"/>
        <w:ind w:left="0" w:right="1140" w:firstLine="0"/>
        <w:jc w:val="right"/>
        <w:rPr>
          <w:rFonts w:ascii="宋体" w:hAnsi="宋体" w:cs="宋体" w:eastAsia="宋体" w:hint="default"/>
          <w:sz w:val="18"/>
          <w:szCs w:val="18"/>
        </w:rPr>
      </w:pPr>
      <w:r>
        <w:rPr/>
        <w:pict>
          <v:shape style="position:absolute;margin-left:56.459999pt;margin-top:-157.168289pt;width:479.2pt;height:288.150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114,085.37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22,847.72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61,394.18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4,273.72</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93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7" w:firstLine="345"/>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经中国证券监督管理委员会以《关于核准深圳达实智能股份有限公司首次公开发行股票的批复》（证监许可</w:t>
                        </w:r>
                        <w:r>
                          <w:rPr>
                            <w:rFonts w:ascii="Times New Roman" w:hAnsi="Times New Roman" w:cs="Times New Roman" w:eastAsia="Times New Roman" w:hint="default"/>
                            <w:spacing w:val="-2"/>
                            <w:sz w:val="18"/>
                            <w:szCs w:val="18"/>
                          </w:rPr>
                          <w:t>[2010]596</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号）核准，公司公开发行人民币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万股普通股股票，发行价格为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410,000,000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300" w:lineRule="auto" w:before="13"/>
                          <w:ind w:left="22" w:right="21"/>
                          <w:jc w:val="left"/>
                          <w:rPr>
                            <w:rFonts w:ascii="宋体" w:hAnsi="宋体" w:cs="宋体" w:eastAsia="宋体" w:hint="default"/>
                            <w:sz w:val="18"/>
                            <w:szCs w:val="18"/>
                          </w:rPr>
                        </w:pPr>
                        <w:r>
                          <w:rPr>
                            <w:rFonts w:ascii="宋体" w:hAnsi="宋体" w:cs="宋体" w:eastAsia="宋体" w:hint="default"/>
                            <w:sz w:val="18"/>
                            <w:szCs w:val="18"/>
                          </w:rPr>
                          <w:t>扣除相关费用后，实际募集资金净额为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389,549,000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元，超募资金为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233,609,000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元。募集资金用于</w:t>
                        </w:r>
                        <w:r>
                          <w:rPr>
                            <w:rFonts w:ascii="Times New Roman" w:hAnsi="Times New Roman" w:cs="Times New Roman" w:eastAsia="Times New Roman" w:hint="default"/>
                            <w:sz w:val="18"/>
                            <w:szCs w:val="18"/>
                          </w:rPr>
                          <w:t>“</w:t>
                        </w:r>
                        <w:r>
                          <w:rPr>
                            <w:rFonts w:ascii="宋体" w:hAnsi="宋体" w:cs="宋体" w:eastAsia="宋体" w:hint="default"/>
                            <w:sz w:val="18"/>
                            <w:szCs w:val="18"/>
                          </w:rPr>
                          <w:t>新建建筑智能化业务 </w:t>
                        </w:r>
                        <w:r>
                          <w:rPr>
                            <w:rFonts w:ascii="宋体" w:hAnsi="宋体" w:cs="宋体" w:eastAsia="宋体" w:hint="default"/>
                            <w:spacing w:val="-2"/>
                            <w:sz w:val="18"/>
                            <w:szCs w:val="18"/>
                          </w:rPr>
                          <w:t>营运资金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基于城市能源监测管理平台的建筑节能服务项目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公司研发中心建设项目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，截至报告期末，首次公开发行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股票的募集资金已全部投入完毕。经第五届董事会第九次会议审议批准，公司将募集资金账户产生的利息收入</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8,695,412.82</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元永久补充了流动资金。</w:t>
                        </w:r>
                      </w:p>
                      <w:p>
                        <w:pPr>
                          <w:pStyle w:val="TableParagraph"/>
                          <w:spacing w:line="300" w:lineRule="auto" w:before="70"/>
                          <w:ind w:left="22" w:right="23" w:firstLine="345"/>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经中国证券监督管理委员会《关于核准深圳达实智能股份有限公司非公开发行股票的批复》（证监许可</w:t>
                        </w:r>
                        <w:r>
                          <w:rPr>
                            <w:rFonts w:ascii="Times New Roman" w:hAnsi="Times New Roman" w:cs="Times New Roman" w:eastAsia="Times New Roman" w:hint="default"/>
                            <w:spacing w:val="-2"/>
                            <w:sz w:val="18"/>
                            <w:szCs w:val="18"/>
                          </w:rPr>
                          <w:t>[2014]846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 </w:t>
                        </w:r>
                        <w:r>
                          <w:rPr>
                            <w:rFonts w:ascii="宋体" w:hAnsi="宋体" w:cs="宋体" w:eastAsia="宋体" w:hint="default"/>
                            <w:spacing w:val="-4"/>
                            <w:sz w:val="18"/>
                            <w:szCs w:val="18"/>
                          </w:rPr>
                          <w:t>核准，公司非公开发行人民币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万股普通股股票，发行价格为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16.23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股，募集资金总额为人民币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762,810,000.00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6"/>
                            <w:sz w:val="18"/>
                            <w:szCs w:val="18"/>
                          </w:rPr>
                          <w:t> </w:t>
                        </w:r>
                        <w:r>
                          <w:rPr>
                            <w:rFonts w:ascii="宋体" w:hAnsi="宋体" w:cs="宋体" w:eastAsia="宋体" w:hint="default"/>
                            <w:sz w:val="18"/>
                            <w:szCs w:val="18"/>
                          </w:rPr>
                          <w:t>扣除相关费用后，实际募集资金净额为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751,304,731.77</w:t>
                        </w:r>
                        <w:r>
                          <w:rPr>
                            <w:rFonts w:ascii="宋体" w:hAnsi="宋体" w:cs="宋体" w:eastAsia="宋体" w:hint="default"/>
                            <w:sz w:val="18"/>
                            <w:szCs w:val="18"/>
                          </w:rPr>
                          <w:t>，全部用于补充流动资金。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left="114" w:right="0"/>
        <w:jc w:val="left"/>
        <w:rPr>
          <w:b w:val="0"/>
          <w:bCs w:val="0"/>
        </w:rPr>
      </w:pPr>
      <w:bookmarkStart w:name="（2）募集资金承诺项目情况" w:id="42"/>
      <w:bookmarkEnd w:id="4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6"/>
          <w:szCs w:val="26"/>
        </w:rPr>
      </w:pPr>
    </w:p>
    <w:p>
      <w:pPr>
        <w:spacing w:before="0"/>
        <w:ind w:left="114"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060" w:bottom="1160" w:left="1020" w:right="0"/>
        </w:sectPr>
      </w:pPr>
    </w:p>
    <w:p>
      <w:pPr>
        <w:spacing w:line="240" w:lineRule="auto" w:before="12"/>
        <w:rPr>
          <w:rFonts w:ascii="宋体" w:hAnsi="宋体" w:cs="宋体" w:eastAsia="宋体" w:hint="default"/>
          <w:sz w:val="2"/>
          <w:szCs w:val="2"/>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528"/>
        <w:gridCol w:w="530"/>
        <w:gridCol w:w="1000"/>
        <w:gridCol w:w="1028"/>
        <w:gridCol w:w="924"/>
        <w:gridCol w:w="895"/>
        <w:gridCol w:w="868"/>
        <w:gridCol w:w="885"/>
        <w:gridCol w:w="809"/>
        <w:gridCol w:w="701"/>
        <w:gridCol w:w="618"/>
      </w:tblGrid>
      <w:tr>
        <w:trPr>
          <w:trHeight w:val="1962"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09" w:right="36"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0" w:right="47"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4" w:right="43"/>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3" w:right="58"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6" w:right="96"/>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82" w:right="8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28"/>
              <w:ind w:left="68"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76"/>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38" w:right="38"/>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75" w:right="7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33" w:right="32"/>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78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一、首次公开发行募集资金使用情况</w:t>
            </w:r>
          </w:p>
        </w:tc>
      </w:tr>
      <w:tr>
        <w:trPr>
          <w:trHeight w:val="401" w:hRule="exact"/>
        </w:trPr>
        <w:tc>
          <w:tcPr>
            <w:tcW w:w="978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新增建筑智能化业 务营运资金</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8,792.09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8,792.09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基于城市能源监测 管理平台的建筑节 能服务项目</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5,956.15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5,956.15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647.72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5,958.64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100.04%</w:t>
            </w:r>
          </w:p>
          <w:p>
            <w:pPr>
              <w:pStyle w:val="TableParagraph"/>
              <w:spacing w:line="240" w:lineRule="auto" w:before="106"/>
              <w:ind w:left="158" w:right="0"/>
              <w:jc w:val="left"/>
              <w:rPr>
                <w:rFonts w:ascii="宋体" w:hAnsi="宋体" w:cs="宋体" w:eastAsia="宋体" w:hint="default"/>
                <w:sz w:val="18"/>
                <w:szCs w:val="18"/>
              </w:rPr>
            </w:pPr>
            <w:r>
              <w:rPr>
                <w:rFonts w:ascii="宋体" w:hAnsi="宋体" w:cs="宋体" w:eastAsia="宋体" w:hint="default"/>
                <w:sz w:val="18"/>
                <w:szCs w:val="18"/>
              </w:rPr>
              <w:t>（注）</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1,051.89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公司研发中心建设 项目</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3,637.62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1,082.55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1,082.55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15,593.77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15,830.79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647.72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15,833.28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1,051.89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78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33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38"/>
              <w:jc w:val="left"/>
              <w:rPr>
                <w:rFonts w:ascii="宋体" w:hAnsi="宋体" w:cs="宋体" w:eastAsia="宋体" w:hint="default"/>
                <w:sz w:val="18"/>
                <w:szCs w:val="18"/>
              </w:rPr>
            </w:pPr>
            <w:r>
              <w:rPr>
                <w:rFonts w:ascii="宋体" w:hAnsi="宋体" w:cs="宋体" w:eastAsia="宋体" w:hint="default"/>
                <w:sz w:val="18"/>
                <w:szCs w:val="18"/>
              </w:rPr>
              <w:t>对外投资</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收购上 海联欣科技发展有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 部分首期款</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11,010.90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11,010.90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11,010.90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3,774.59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38"/>
              <w:jc w:val="left"/>
              <w:rPr>
                <w:rFonts w:ascii="宋体" w:hAnsi="宋体" w:cs="宋体" w:eastAsia="宋体" w:hint="default"/>
                <w:sz w:val="18"/>
                <w:szCs w:val="18"/>
              </w:rPr>
            </w:pPr>
            <w:r>
              <w:rPr>
                <w:rFonts w:ascii="宋体" w:hAnsi="宋体" w:cs="宋体" w:eastAsia="宋体" w:hint="default"/>
                <w:sz w:val="18"/>
                <w:szCs w:val="18"/>
              </w:rPr>
              <w:t>对外投资</w:t>
            </w:r>
            <w:r>
              <w:rPr>
                <w:rFonts w:ascii="Times New Roman" w:hAnsi="Times New Roman" w:cs="Times New Roman" w:eastAsia="Times New Roman" w:hint="default"/>
                <w:sz w:val="18"/>
                <w:szCs w:val="18"/>
              </w:rPr>
              <w:t>-</w:t>
            </w:r>
            <w:r>
              <w:rPr>
                <w:rFonts w:ascii="宋体" w:hAnsi="宋体" w:cs="宋体" w:eastAsia="宋体" w:hint="default"/>
                <w:sz w:val="18"/>
                <w:szCs w:val="18"/>
              </w:rPr>
              <w:t>收购北 京启迪德润能源科 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 权</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5"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归还银行贷款</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w:t>
            </w:r>
          </w:p>
        </w:tc>
      </w:tr>
      <w:tr>
        <w:trPr>
          <w:trHeight w:val="75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23,360.90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23,360.90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23,360.90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3,785.27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38,954.67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39,191.69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647.72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39,194.18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4,837.16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78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年非公开发行股票募集资金使用情况</w:t>
            </w:r>
          </w:p>
        </w:tc>
      </w:tr>
      <w:tr>
        <w:trPr>
          <w:trHeight w:val="402" w:hRule="exact"/>
        </w:trPr>
        <w:tc>
          <w:tcPr>
            <w:tcW w:w="978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530" w:type="dxa"/>
            <w:tcBorders>
              <w:top w:val="single" w:sz="4" w:space="0" w:color="000000"/>
              <w:left w:val="single" w:sz="13" w:space="0" w:color="D2D2D2"/>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29.55%</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29.55%</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114,085.14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114.322.16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22,847.72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61,394.18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4,837.16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w:t>
            </w:r>
          </w:p>
        </w:tc>
        <w:tc>
          <w:tcPr>
            <w:tcW w:w="825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060" w:bottom="1160" w:left="940" w:right="0"/>
        </w:sectPr>
      </w:pPr>
    </w:p>
    <w:p>
      <w:pPr>
        <w:spacing w:line="240" w:lineRule="auto" w:before="0"/>
        <w:rPr>
          <w:rFonts w:ascii="宋体" w:hAnsi="宋体" w:cs="宋体" w:eastAsia="宋体" w:hint="default"/>
          <w:sz w:val="20"/>
          <w:szCs w:val="20"/>
        </w:rPr>
      </w:pPr>
      <w:r>
        <w:rPr/>
        <w:pict>
          <v:shape style="position:absolute;margin-left:52.860001pt;margin-top:71.999985pt;width:489.9pt;height:681.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0"/>
                    <w:gridCol w:w="8253"/>
                  </w:tblGrid>
                  <w:tr>
                    <w:trPr>
                      <w:trHeight w:val="362" w:hRule="exact"/>
                    </w:trPr>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大变化的情况说明</w:t>
                        </w:r>
                      </w:p>
                    </w:tc>
                    <w:tc>
                      <w:tcPr>
                        <w:tcW w:w="8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7"/>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762" w:hRule="exact"/>
                    </w:trPr>
                    <w:tc>
                      <w:tcPr>
                        <w:tcW w:w="1530" w:type="dxa"/>
                        <w:vMerge/>
                        <w:tcBorders>
                          <w:left w:val="single" w:sz="4" w:space="0" w:color="000000"/>
                          <w:bottom w:val="single" w:sz="4" w:space="0" w:color="000000"/>
                          <w:right w:val="single" w:sz="4" w:space="0" w:color="000000"/>
                        </w:tcBorders>
                        <w:shd w:val="clear" w:color="auto" w:fill="D2D2D2"/>
                      </w:tcPr>
                      <w:p>
                        <w:pP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382" w:right="2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、首次公开发行股票的超募资金使用情况： 为更好的发挥募集资金的效能，提高现有资金的使用效率，经公司</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年第二次临时股东大会审议</w:t>
                        </w:r>
                      </w:p>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通过，公司使用超募资金</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万元用于归还银行贷款，使用</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万元用于永久性补充流动资金；</w:t>
                        </w:r>
                      </w:p>
                      <w:p>
                        <w:pPr>
                          <w:pStyle w:val="TableParagraph"/>
                          <w:spacing w:line="240" w:lineRule="auto" w:before="116"/>
                          <w:ind w:left="38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年第一次临时股东大会审议通过，公司使用</w:t>
                        </w:r>
                        <w:r>
                          <w:rPr>
                            <w:rFonts w:ascii="宋体" w:hAnsi="宋体" w:cs="宋体" w:eastAsia="宋体" w:hint="default"/>
                            <w:spacing w:val="-46"/>
                            <w:sz w:val="18"/>
                            <w:szCs w:val="18"/>
                          </w:rPr>
                          <w:t> </w:t>
                        </w: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z w:val="18"/>
                            <w:szCs w:val="18"/>
                          </w:rPr>
                          <w:t>万元用于永久性补充流动资金；</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经公司第四届董事会第十四次会议批准</w:t>
                        </w:r>
                        <w:r>
                          <w:rPr>
                            <w:rFonts w:ascii="宋体" w:hAnsi="宋体" w:cs="宋体" w:eastAsia="宋体" w:hint="default"/>
                            <w:spacing w:val="-85"/>
                            <w:sz w:val="18"/>
                            <w:szCs w:val="18"/>
                          </w:rPr>
                          <w:t>，</w:t>
                        </w:r>
                        <w:r>
                          <w:rPr>
                            <w:rFonts w:ascii="宋体" w:hAnsi="宋体" w:cs="宋体" w:eastAsia="宋体" w:hint="default"/>
                            <w:sz w:val="18"/>
                            <w:szCs w:val="18"/>
                          </w:rPr>
                          <w:t>公司使用超募资金</w:t>
                        </w:r>
                        <w:r>
                          <w:rPr>
                            <w:rFonts w:ascii="宋体" w:hAnsi="宋体" w:cs="宋体" w:eastAsia="宋体" w:hint="default"/>
                            <w:spacing w:val="-46"/>
                            <w:sz w:val="18"/>
                            <w:szCs w:val="18"/>
                          </w:rPr>
                          <w:t> </w:t>
                        </w:r>
                        <w:r>
                          <w:rPr>
                            <w:rFonts w:ascii="宋体" w:hAnsi="宋体" w:cs="宋体" w:eastAsia="宋体" w:hint="default"/>
                            <w:sz w:val="18"/>
                            <w:szCs w:val="18"/>
                          </w:rPr>
                          <w:t>1,350</w:t>
                        </w:r>
                        <w:r>
                          <w:rPr>
                            <w:rFonts w:ascii="宋体" w:hAnsi="宋体" w:cs="宋体" w:eastAsia="宋体" w:hint="default"/>
                            <w:spacing w:val="-44"/>
                            <w:sz w:val="18"/>
                            <w:szCs w:val="18"/>
                          </w:rPr>
                          <w:t> </w:t>
                        </w:r>
                        <w:r>
                          <w:rPr>
                            <w:rFonts w:ascii="宋体" w:hAnsi="宋体" w:cs="宋体" w:eastAsia="宋体" w:hint="default"/>
                            <w:sz w:val="18"/>
                            <w:szCs w:val="18"/>
                          </w:rPr>
                          <w:t>万元收购北京启迪德润能源科技有</w:t>
                        </w:r>
                      </w:p>
                      <w:p>
                        <w:pPr>
                          <w:pStyle w:val="TableParagraph"/>
                          <w:spacing w:line="319"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54"/>
                            <w:sz w:val="18"/>
                            <w:szCs w:val="18"/>
                          </w:rPr>
                          <w:t> </w:t>
                        </w:r>
                        <w:r>
                          <w:rPr>
                            <w:rFonts w:ascii="宋体" w:hAnsi="宋体" w:cs="宋体" w:eastAsia="宋体" w:hint="default"/>
                            <w:spacing w:val="-7"/>
                            <w:sz w:val="18"/>
                            <w:szCs w:val="18"/>
                          </w:rPr>
                          <w:t>45%</w:t>
                        </w:r>
                        <w:r>
                          <w:rPr>
                            <w:rFonts w:ascii="宋体" w:hAnsi="宋体" w:cs="宋体" w:eastAsia="宋体" w:hint="default"/>
                            <w:spacing w:val="-7"/>
                            <w:sz w:val="18"/>
                            <w:szCs w:val="18"/>
                          </w:rPr>
                          <w:t>的股权，使用超募资金</w:t>
                        </w:r>
                        <w:r>
                          <w:rPr>
                            <w:rFonts w:ascii="宋体" w:hAnsi="宋体" w:cs="宋体" w:eastAsia="宋体" w:hint="default"/>
                            <w:spacing w:val="-54"/>
                            <w:sz w:val="18"/>
                            <w:szCs w:val="18"/>
                          </w:rPr>
                          <w:t> </w:t>
                        </w:r>
                        <w:r>
                          <w:rPr>
                            <w:rFonts w:ascii="宋体" w:hAnsi="宋体" w:cs="宋体" w:eastAsia="宋体" w:hint="default"/>
                            <w:sz w:val="18"/>
                            <w:szCs w:val="18"/>
                          </w:rPr>
                          <w:t>2,000</w:t>
                        </w:r>
                        <w:r>
                          <w:rPr>
                            <w:rFonts w:ascii="宋体" w:hAnsi="宋体" w:cs="宋体" w:eastAsia="宋体" w:hint="default"/>
                            <w:spacing w:val="-54"/>
                            <w:sz w:val="18"/>
                            <w:szCs w:val="18"/>
                          </w:rPr>
                          <w:t> </w:t>
                        </w:r>
                        <w:r>
                          <w:rPr>
                            <w:rFonts w:ascii="宋体" w:hAnsi="宋体" w:cs="宋体" w:eastAsia="宋体" w:hint="default"/>
                            <w:spacing w:val="-5"/>
                            <w:sz w:val="18"/>
                            <w:szCs w:val="18"/>
                          </w:rPr>
                          <w:t>万元用于暂时性补充流动资金，公司已于</w:t>
                        </w:r>
                        <w:r>
                          <w:rPr>
                            <w:rFonts w:ascii="宋体" w:hAnsi="宋体" w:cs="宋体" w:eastAsia="宋体" w:hint="default"/>
                            <w:spacing w:val="-53"/>
                            <w:sz w:val="18"/>
                            <w:szCs w:val="18"/>
                          </w:rPr>
                          <w:t> </w:t>
                        </w: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日将</w:t>
                        </w:r>
                        <w:r>
                          <w:rPr>
                            <w:rFonts w:ascii="宋体" w:hAnsi="宋体" w:cs="宋体" w:eastAsia="宋体" w:hint="default"/>
                            <w:spacing w:val="-53"/>
                            <w:sz w:val="18"/>
                            <w:szCs w:val="18"/>
                          </w:rPr>
                          <w:t> </w:t>
                        </w:r>
                        <w:r>
                          <w:rPr>
                            <w:rFonts w:ascii="宋体" w:hAnsi="宋体" w:cs="宋体" w:eastAsia="宋体" w:hint="default"/>
                            <w:spacing w:val="-1"/>
                            <w:sz w:val="18"/>
                            <w:szCs w:val="18"/>
                          </w:rPr>
                          <w:t>2,000</w:t>
                        </w:r>
                        <w:r>
                          <w:rPr>
                            <w:rFonts w:ascii="宋体" w:hAnsi="宋体" w:cs="宋体" w:eastAsia="宋体" w:hint="default"/>
                            <w:sz w:val="18"/>
                            <w:szCs w:val="18"/>
                          </w:rPr>
                          <w:t> </w:t>
                        </w:r>
                        <w:r>
                          <w:rPr>
                            <w:rFonts w:ascii="宋体" w:hAnsi="宋体" w:cs="宋体" w:eastAsia="宋体" w:hint="default"/>
                            <w:sz w:val="18"/>
                            <w:szCs w:val="18"/>
                          </w:rPr>
                          <w:t>万元人民币全部归还至公司超募资金专用账户；</w:t>
                        </w:r>
                      </w:p>
                      <w:p>
                        <w:pPr>
                          <w:pStyle w:val="TableParagraph"/>
                          <w:spacing w:line="319" w:lineRule="auto" w:before="56"/>
                          <w:ind w:left="22" w:right="23" w:firstLine="36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pacing w:val="-4"/>
                            <w:sz w:val="18"/>
                            <w:szCs w:val="18"/>
                          </w:rPr>
                          <w:t>年第二次临时股东大会审议通过，公司使用超募资金</w:t>
                        </w:r>
                        <w:r>
                          <w:rPr>
                            <w:rFonts w:ascii="宋体" w:hAnsi="宋体" w:cs="宋体" w:eastAsia="宋体" w:hint="default"/>
                            <w:spacing w:val="-45"/>
                            <w:sz w:val="18"/>
                            <w:szCs w:val="18"/>
                          </w:rPr>
                          <w:t> </w:t>
                        </w:r>
                        <w:r>
                          <w:rPr>
                            <w:rFonts w:ascii="宋体" w:hAnsi="宋体" w:cs="宋体" w:eastAsia="宋体" w:hint="default"/>
                            <w:sz w:val="18"/>
                            <w:szCs w:val="18"/>
                          </w:rPr>
                          <w:t>11,010.9</w:t>
                        </w:r>
                        <w:r>
                          <w:rPr>
                            <w:rFonts w:ascii="宋体" w:hAnsi="宋体" w:cs="宋体" w:eastAsia="宋体" w:hint="default"/>
                            <w:spacing w:val="-45"/>
                            <w:sz w:val="18"/>
                            <w:szCs w:val="18"/>
                          </w:rPr>
                          <w:t> </w:t>
                        </w:r>
                        <w:r>
                          <w:rPr>
                            <w:rFonts w:ascii="宋体" w:hAnsi="宋体" w:cs="宋体" w:eastAsia="宋体" w:hint="default"/>
                            <w:sz w:val="18"/>
                            <w:szCs w:val="18"/>
                          </w:rPr>
                          <w:t>万元支付收购上海联欣科 技发展有限公司</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的股权的部分首期款。</w:t>
                        </w:r>
                      </w:p>
                      <w:p>
                        <w:pPr>
                          <w:pStyle w:val="TableParagraph"/>
                          <w:spacing w:line="357" w:lineRule="auto" w:before="56"/>
                          <w:ind w:left="382" w:right="1604" w:firstLine="45"/>
                          <w:jc w:val="left"/>
                          <w:rPr>
                            <w:rFonts w:ascii="宋体" w:hAnsi="宋体" w:cs="宋体" w:eastAsia="宋体" w:hint="default"/>
                            <w:sz w:val="18"/>
                            <w:szCs w:val="18"/>
                          </w:rPr>
                        </w:pPr>
                        <w:r>
                          <w:rPr>
                            <w:rFonts w:ascii="宋体" w:hAnsi="宋体" w:cs="宋体" w:eastAsia="宋体" w:hint="default"/>
                            <w:sz w:val="18"/>
                            <w:szCs w:val="18"/>
                          </w:rPr>
                          <w:t>截止至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日，公司首次公开发行股票的超募资金全部使用完毕。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年非公开发行股票不存在超募资金情况。</w:t>
                        </w:r>
                      </w:p>
                    </w:tc>
                  </w:tr>
                  <w:tr>
                    <w:trPr>
                      <w:trHeight w:val="402" w:hRule="exact"/>
                    </w:trPr>
                    <w:tc>
                      <w:tcPr>
                        <w:tcW w:w="1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530" w:type="dxa"/>
                        <w:vMerge/>
                        <w:tcBorders>
                          <w:left w:val="single" w:sz="4" w:space="0" w:color="000000"/>
                          <w:right w:val="single" w:sz="4" w:space="0" w:color="000000"/>
                        </w:tcBorders>
                        <w:shd w:val="clear" w:color="auto" w:fill="D2D2D2"/>
                      </w:tcPr>
                      <w:p>
                        <w:pP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746" w:hRule="exact"/>
                    </w:trPr>
                    <w:tc>
                      <w:tcPr>
                        <w:tcW w:w="1530" w:type="dxa"/>
                        <w:vMerge/>
                        <w:tcBorders>
                          <w:left w:val="single" w:sz="4" w:space="0" w:color="000000"/>
                          <w:bottom w:val="single" w:sz="4" w:space="0" w:color="000000"/>
                          <w:right w:val="single" w:sz="4" w:space="0" w:color="000000"/>
                        </w:tcBorders>
                        <w:shd w:val="clear" w:color="auto" w:fill="D2D2D2"/>
                      </w:tcPr>
                      <w:p>
                        <w:pP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、首次公开发行股票的募集资金投资项目实施地点变更情况：</w:t>
                        </w:r>
                      </w:p>
                      <w:p>
                        <w:pPr>
                          <w:pStyle w:val="TableParagraph"/>
                          <w:spacing w:line="319" w:lineRule="auto" w:before="116"/>
                          <w:ind w:left="22" w:right="11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）基于城市能源监测管理平台的建筑节能服务项目，实施地点由购买及装修财富大厦第</w:t>
                        </w:r>
                        <w:r>
                          <w:rPr>
                            <w:rFonts w:ascii="宋体" w:hAnsi="宋体" w:cs="宋体" w:eastAsia="宋体" w:hint="default"/>
                            <w:spacing w:val="-58"/>
                            <w:sz w:val="18"/>
                            <w:szCs w:val="18"/>
                          </w:rPr>
                          <w:t>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栋</w:t>
                        </w:r>
                        <w:r>
                          <w:rPr>
                            <w:rFonts w:ascii="宋体" w:hAnsi="宋体" w:cs="宋体" w:eastAsia="宋体" w:hint="default"/>
                            <w:spacing w:val="-58"/>
                            <w:sz w:val="18"/>
                            <w:szCs w:val="18"/>
                          </w:rPr>
                          <w:t> </w:t>
                        </w:r>
                        <w:r>
                          <w:rPr>
                            <w:rFonts w:ascii="宋体" w:hAnsi="宋体" w:cs="宋体" w:eastAsia="宋体" w:hint="default"/>
                            <w:sz w:val="18"/>
                            <w:szCs w:val="18"/>
                          </w:rPr>
                          <w:t>52E 53B</w:t>
                        </w:r>
                        <w:r>
                          <w:rPr>
                            <w:rFonts w:ascii="宋体" w:hAnsi="宋体" w:cs="宋体" w:eastAsia="宋体" w:hint="default"/>
                            <w:spacing w:val="-46"/>
                            <w:sz w:val="18"/>
                            <w:szCs w:val="18"/>
                          </w:rPr>
                          <w:t> </w:t>
                        </w:r>
                        <w:r>
                          <w:rPr>
                            <w:rFonts w:ascii="宋体" w:hAnsi="宋体" w:cs="宋体" w:eastAsia="宋体" w:hint="default"/>
                            <w:sz w:val="18"/>
                            <w:szCs w:val="18"/>
                          </w:rPr>
                          <w:t>部分单元变更为租赁高新工业村</w:t>
                        </w:r>
                        <w:r>
                          <w:rPr>
                            <w:rFonts w:ascii="宋体" w:hAnsi="宋体" w:cs="宋体" w:eastAsia="宋体" w:hint="default"/>
                            <w:spacing w:val="-46"/>
                            <w:sz w:val="18"/>
                            <w:szCs w:val="18"/>
                          </w:rPr>
                          <w:t> </w:t>
                        </w:r>
                        <w:r>
                          <w:rPr>
                            <w:rFonts w:ascii="宋体" w:hAnsi="宋体" w:cs="宋体" w:eastAsia="宋体" w:hint="default"/>
                            <w:sz w:val="18"/>
                            <w:szCs w:val="18"/>
                          </w:rPr>
                          <w:t>C2</w:t>
                        </w:r>
                        <w:r>
                          <w:rPr>
                            <w:rFonts w:ascii="宋体" w:hAnsi="宋体" w:cs="宋体" w:eastAsia="宋体" w:hint="default"/>
                            <w:spacing w:val="-46"/>
                            <w:sz w:val="18"/>
                            <w:szCs w:val="18"/>
                          </w:rPr>
                          <w:t> </w:t>
                        </w:r>
                        <w:r>
                          <w:rPr>
                            <w:rFonts w:ascii="宋体" w:hAnsi="宋体" w:cs="宋体" w:eastAsia="宋体" w:hint="default"/>
                            <w:sz w:val="18"/>
                            <w:szCs w:val="18"/>
                          </w:rPr>
                          <w:t>厂房（子公司物业）</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层西侧；</w:t>
                        </w:r>
                      </w:p>
                      <w:p>
                        <w:pPr>
                          <w:pStyle w:val="TableParagraph"/>
                          <w:spacing w:line="319" w:lineRule="auto" w:before="55"/>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）公司研发中心建设项目，实施地点由购买及装修财富大厦第</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宋体" w:hAnsi="宋体" w:cs="宋体" w:eastAsia="宋体" w:hint="default"/>
                            <w:sz w:val="18"/>
                            <w:szCs w:val="18"/>
                          </w:rPr>
                          <w:t>53B</w:t>
                        </w:r>
                        <w:r>
                          <w:rPr>
                            <w:rFonts w:ascii="宋体" w:hAnsi="宋体" w:cs="宋体" w:eastAsia="宋体" w:hint="default"/>
                            <w:spacing w:val="-46"/>
                            <w:sz w:val="18"/>
                            <w:szCs w:val="18"/>
                          </w:rPr>
                          <w:t> </w:t>
                        </w:r>
                        <w:r>
                          <w:rPr>
                            <w:rFonts w:ascii="宋体" w:hAnsi="宋体" w:cs="宋体" w:eastAsia="宋体" w:hint="default"/>
                            <w:sz w:val="18"/>
                            <w:szCs w:val="18"/>
                          </w:rPr>
                          <w:t>部分单元变更为租赁高新 工业村</w:t>
                        </w:r>
                        <w:r>
                          <w:rPr>
                            <w:rFonts w:ascii="宋体" w:hAnsi="宋体" w:cs="宋体" w:eastAsia="宋体" w:hint="default"/>
                            <w:spacing w:val="-46"/>
                            <w:sz w:val="18"/>
                            <w:szCs w:val="18"/>
                          </w:rPr>
                          <w:t> </w:t>
                        </w:r>
                        <w:r>
                          <w:rPr>
                            <w:rFonts w:ascii="宋体" w:hAnsi="宋体" w:cs="宋体" w:eastAsia="宋体" w:hint="default"/>
                            <w:sz w:val="18"/>
                            <w:szCs w:val="18"/>
                          </w:rPr>
                          <w:t>C2</w:t>
                        </w:r>
                        <w:r>
                          <w:rPr>
                            <w:rFonts w:ascii="宋体" w:hAnsi="宋体" w:cs="宋体" w:eastAsia="宋体" w:hint="default"/>
                            <w:spacing w:val="-46"/>
                            <w:sz w:val="18"/>
                            <w:szCs w:val="18"/>
                          </w:rPr>
                          <w:t> </w:t>
                        </w:r>
                        <w:r>
                          <w:rPr>
                            <w:rFonts w:ascii="宋体" w:hAnsi="宋体" w:cs="宋体" w:eastAsia="宋体" w:hint="default"/>
                            <w:sz w:val="18"/>
                            <w:szCs w:val="18"/>
                          </w:rPr>
                          <w:t>厂房（子公司物业）</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层西侧。</w:t>
                        </w:r>
                      </w:p>
                      <w:p>
                        <w:pPr>
                          <w:pStyle w:val="TableParagraph"/>
                          <w:spacing w:line="319" w:lineRule="auto" w:before="56"/>
                          <w:ind w:left="22" w:right="22" w:firstLine="405"/>
                          <w:jc w:val="left"/>
                          <w:rPr>
                            <w:rFonts w:ascii="宋体" w:hAnsi="宋体" w:cs="宋体" w:eastAsia="宋体" w:hint="default"/>
                            <w:sz w:val="18"/>
                            <w:szCs w:val="18"/>
                          </w:rPr>
                        </w:pPr>
                        <w:r>
                          <w:rPr>
                            <w:rFonts w:ascii="宋体" w:hAnsi="宋体" w:cs="宋体" w:eastAsia="宋体" w:hint="default"/>
                            <w:sz w:val="18"/>
                            <w:szCs w:val="18"/>
                          </w:rPr>
                          <w:t>上述事宜已经公司</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年第一次临时股东大会审议通过，相关内容刊登于</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pacing w:val="-5"/>
                            <w:sz w:val="18"/>
                            <w:szCs w:val="18"/>
                          </w:rPr>
                          <w:t>日《证券</w:t>
                        </w:r>
                        <w:r>
                          <w:rPr>
                            <w:rFonts w:ascii="宋体" w:hAnsi="宋体" w:cs="宋体" w:eastAsia="宋体" w:hint="default"/>
                            <w:sz w:val="18"/>
                            <w:szCs w:val="18"/>
                          </w:rPr>
                          <w:t> 时报》和巨潮资讯网。</w:t>
                        </w:r>
                      </w:p>
                      <w:p>
                        <w:pPr>
                          <w:pStyle w:val="TableParagraph"/>
                          <w:spacing w:line="240" w:lineRule="auto" w:before="58"/>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年非公开发行股票不存在募集资金投资项目实施地点变更情况。</w:t>
                        </w:r>
                      </w:p>
                    </w:tc>
                  </w:tr>
                  <w:tr>
                    <w:trPr>
                      <w:trHeight w:val="402" w:hRule="exact"/>
                    </w:trPr>
                    <w:tc>
                      <w:tcPr>
                        <w:tcW w:w="1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44" w:hRule="exact"/>
                    </w:trPr>
                    <w:tc>
                      <w:tcPr>
                        <w:tcW w:w="1530" w:type="dxa"/>
                        <w:vMerge/>
                        <w:tcBorders>
                          <w:left w:val="single" w:sz="4" w:space="0" w:color="000000"/>
                          <w:bottom w:val="single" w:sz="4" w:space="0" w:color="000000"/>
                          <w:right w:val="single" w:sz="4" w:space="0" w:color="000000"/>
                        </w:tcBorders>
                        <w:shd w:val="clear" w:color="auto" w:fill="D2D2D2"/>
                      </w:tcPr>
                      <w:p>
                        <w:pPr/>
                      </w:p>
                    </w:tc>
                    <w:tc>
                      <w:tcPr>
                        <w:tcW w:w="8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30" w:type="dxa"/>
                        <w:vMerge/>
                        <w:tcBorders>
                          <w:left w:val="single" w:sz="4" w:space="0" w:color="000000"/>
                          <w:bottom w:val="single" w:sz="4" w:space="0" w:color="000000"/>
                          <w:right w:val="single" w:sz="4" w:space="0" w:color="000000"/>
                        </w:tcBorders>
                        <w:shd w:val="clear" w:color="auto" w:fill="D2D2D2"/>
                      </w:tcPr>
                      <w:p>
                        <w:pPr/>
                      </w:p>
                    </w:tc>
                    <w:tc>
                      <w:tcPr>
                        <w:tcW w:w="8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30" w:type="dxa"/>
                        <w:vMerge/>
                        <w:tcBorders>
                          <w:left w:val="single" w:sz="4" w:space="0" w:color="000000"/>
                          <w:bottom w:val="single" w:sz="4" w:space="0" w:color="000000"/>
                          <w:right w:val="single" w:sz="4" w:space="0" w:color="000000"/>
                        </w:tcBorders>
                        <w:shd w:val="clear" w:color="auto" w:fill="D2D2D2"/>
                      </w:tcPr>
                      <w:p>
                        <w:pPr/>
                      </w:p>
                    </w:tc>
                    <w:tc>
                      <w:tcPr>
                        <w:tcW w:w="8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319" w:lineRule="auto"/>
                          <w:ind w:left="22" w:right="5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43" w:hRule="exact"/>
                    </w:trPr>
                    <w:tc>
                      <w:tcPr>
                        <w:tcW w:w="1530" w:type="dxa"/>
                        <w:vMerge/>
                        <w:tcBorders>
                          <w:left w:val="single" w:sz="4" w:space="0" w:color="000000"/>
                          <w:bottom w:val="single" w:sz="4" w:space="0" w:color="000000"/>
                          <w:right w:val="single" w:sz="4" w:space="0" w:color="000000"/>
                        </w:tcBorders>
                        <w:shd w:val="clear" w:color="auto" w:fill="D2D2D2"/>
                      </w:tcPr>
                      <w:p>
                        <w:pP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382" w:right="11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、首次公开发行股票的项目实施出现募集资金结余的金额及原因： </w:t>
                        </w:r>
                        <w:r>
                          <w:rPr>
                            <w:rFonts w:ascii="宋体" w:hAnsi="宋体" w:cs="宋体" w:eastAsia="宋体" w:hint="default"/>
                            <w:spacing w:val="-4"/>
                            <w:sz w:val="18"/>
                            <w:szCs w:val="18"/>
                          </w:rPr>
                          <w:t>公司从项目的实际情况出发，本着节约、合理及有效的原则使用募集资金，致使“研发中心建设项目</w:t>
                        </w:r>
                      </w:p>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项目完工后募集资金节余</w:t>
                        </w:r>
                        <w:r>
                          <w:rPr>
                            <w:rFonts w:ascii="宋体" w:hAnsi="宋体" w:cs="宋体" w:eastAsia="宋体" w:hint="default"/>
                            <w:spacing w:val="-46"/>
                            <w:sz w:val="18"/>
                            <w:szCs w:val="18"/>
                          </w:rPr>
                          <w:t> </w:t>
                        </w:r>
                        <w:r>
                          <w:rPr>
                            <w:rFonts w:ascii="宋体" w:hAnsi="宋体" w:cs="宋体" w:eastAsia="宋体" w:hint="default"/>
                            <w:sz w:val="18"/>
                            <w:szCs w:val="18"/>
                          </w:rPr>
                          <w:t>4,550,744.20</w:t>
                        </w:r>
                        <w:r>
                          <w:rPr>
                            <w:rFonts w:ascii="宋体" w:hAnsi="宋体" w:cs="宋体" w:eastAsia="宋体" w:hint="default"/>
                            <w:spacing w:val="-46"/>
                            <w:sz w:val="18"/>
                            <w:szCs w:val="18"/>
                          </w:rPr>
                          <w:t> </w:t>
                        </w:r>
                        <w:r>
                          <w:rPr>
                            <w:rFonts w:ascii="宋体" w:hAnsi="宋体" w:cs="宋体" w:eastAsia="宋体" w:hint="default"/>
                            <w:sz w:val="18"/>
                            <w:szCs w:val="18"/>
                          </w:rPr>
                          <w:t>元。节余资金及其存放该项目资金的银行账户产生的利息全部用</w:t>
                        </w:r>
                      </w:p>
                      <w:p>
                        <w:pPr>
                          <w:pStyle w:val="TableParagraph"/>
                          <w:spacing w:line="357" w:lineRule="auto" w:before="78"/>
                          <w:ind w:left="442" w:right="60" w:hanging="420"/>
                          <w:jc w:val="left"/>
                          <w:rPr>
                            <w:rFonts w:ascii="宋体" w:hAnsi="宋体" w:cs="宋体" w:eastAsia="宋体" w:hint="default"/>
                            <w:sz w:val="18"/>
                            <w:szCs w:val="18"/>
                          </w:rPr>
                        </w:pPr>
                        <w:r>
                          <w:rPr>
                            <w:rFonts w:ascii="宋体" w:hAnsi="宋体" w:cs="宋体" w:eastAsia="宋体" w:hint="default"/>
                            <w:spacing w:val="-4"/>
                            <w:sz w:val="18"/>
                            <w:szCs w:val="18"/>
                          </w:rPr>
                          <w:t>于补充募集资金投资项目“新增建筑智能化业务营运资金”。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上述事项已经公司第四届董事会第二十三次会议审议通过，相关内容刊登于</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日《证</w:t>
                        </w:r>
                      </w:p>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券时报</w:t>
                        </w:r>
                        <w:r>
                          <w:rPr>
                            <w:rFonts w:ascii="宋体" w:hAnsi="宋体" w:cs="宋体" w:eastAsia="宋体" w:hint="default"/>
                            <w:spacing w:val="-90"/>
                            <w:sz w:val="18"/>
                            <w:szCs w:val="18"/>
                          </w:rPr>
                          <w:t>》、</w:t>
                        </w:r>
                        <w:r>
                          <w:rPr>
                            <w:rFonts w:ascii="宋体" w:hAnsi="宋体" w:cs="宋体" w:eastAsia="宋体" w:hint="default"/>
                            <w:sz w:val="18"/>
                            <w:szCs w:val="18"/>
                          </w:rPr>
                          <w:t>《中国证券报》和巨潮资讯网。</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44"/>
        <w:ind w:left="0" w:right="99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0" w:right="99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060" w:bottom="1160" w:left="940" w:right="0"/>
        </w:sectPr>
      </w:pPr>
    </w:p>
    <w:p>
      <w:pPr>
        <w:spacing w:line="240" w:lineRule="auto" w:before="6"/>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530"/>
        <w:gridCol w:w="8253"/>
      </w:tblGrid>
      <w:tr>
        <w:trPr>
          <w:trHeight w:val="362" w:hRule="exact"/>
        </w:trPr>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年非公开发行股票不存在实施出现募集资金结余的情况。</w:t>
            </w:r>
          </w:p>
        </w:tc>
      </w:tr>
      <w:tr>
        <w:trPr>
          <w:trHeight w:val="1066" w:hRule="exact"/>
        </w:trPr>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、首次公开发行股票的募集资金已全部使用完毕。</w:t>
            </w:r>
          </w:p>
          <w:p>
            <w:pPr>
              <w:pStyle w:val="TableParagraph"/>
              <w:spacing w:line="319" w:lineRule="auto" w:before="116"/>
              <w:ind w:left="22" w:right="22" w:firstLine="36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4"/>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年非公开发行股票尚未使用的募集资金购买了</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亿元理财产品，其余以活期存款或定期存单 形式存储于经批准的银行募集资金账户中。</w:t>
            </w:r>
          </w:p>
        </w:tc>
      </w:tr>
      <w:tr>
        <w:trPr>
          <w:trHeight w:val="1026" w:hRule="exact"/>
        </w:trPr>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2" w:right="0"/>
              <w:jc w:val="left"/>
              <w:rPr>
                <w:rFonts w:ascii="宋体" w:hAnsi="宋体" w:cs="宋体" w:eastAsia="宋体" w:hint="default"/>
                <w:sz w:val="18"/>
                <w:szCs w:val="18"/>
              </w:rPr>
            </w:pPr>
            <w:r>
              <w:rPr>
                <w:rFonts w:ascii="宋体" w:hAnsi="宋体" w:cs="宋体" w:eastAsia="宋体" w:hint="default"/>
                <w:sz w:val="18"/>
                <w:szCs w:val="18"/>
              </w:rPr>
              <w:t>报告期内，不存在此情况。</w:t>
            </w:r>
          </w:p>
        </w:tc>
      </w:tr>
    </w:tbl>
    <w:p>
      <w:pPr>
        <w:spacing w:line="357" w:lineRule="auto" w:before="10"/>
        <w:ind w:left="193" w:right="1123" w:firstLine="360"/>
        <w:jc w:val="left"/>
        <w:rPr>
          <w:rFonts w:ascii="宋体" w:hAnsi="宋体" w:cs="宋体" w:eastAsia="宋体" w:hint="default"/>
          <w:sz w:val="18"/>
          <w:szCs w:val="18"/>
        </w:rPr>
      </w:pPr>
      <w:r>
        <w:rPr>
          <w:rFonts w:ascii="宋体" w:hAnsi="宋体" w:cs="宋体" w:eastAsia="宋体" w:hint="default"/>
          <w:sz w:val="18"/>
          <w:szCs w:val="18"/>
        </w:rPr>
        <w:t>注：基于城市能源监测管理平台的建筑节能服务项目计划投入额与实际投入额差额为</w:t>
      </w:r>
      <w:r>
        <w:rPr>
          <w:rFonts w:ascii="宋体" w:hAnsi="宋体" w:cs="宋体" w:eastAsia="宋体" w:hint="default"/>
          <w:sz w:val="18"/>
          <w:szCs w:val="18"/>
        </w:rPr>
        <w:t>-2.49</w:t>
      </w:r>
      <w:r>
        <w:rPr>
          <w:rFonts w:ascii="宋体" w:hAnsi="宋体" w:cs="宋体" w:eastAsia="宋体" w:hint="default"/>
          <w:sz w:val="18"/>
          <w:szCs w:val="18"/>
        </w:rPr>
        <w:t>万元，是由于公司将存放该 项目募集资金账户的部分利息用于该项目。</w:t>
      </w:r>
    </w:p>
    <w:p>
      <w:pPr>
        <w:spacing w:line="240" w:lineRule="auto" w:before="2"/>
        <w:rPr>
          <w:rFonts w:ascii="宋体" w:hAnsi="宋体" w:cs="宋体" w:eastAsia="宋体" w:hint="default"/>
          <w:sz w:val="26"/>
          <w:szCs w:val="26"/>
        </w:rPr>
      </w:pPr>
    </w:p>
    <w:p>
      <w:pPr>
        <w:pStyle w:val="Heading3"/>
        <w:spacing w:line="240" w:lineRule="auto"/>
        <w:ind w:left="193" w:right="1123"/>
        <w:jc w:val="left"/>
        <w:rPr>
          <w:b w:val="0"/>
          <w:bCs w:val="0"/>
        </w:rPr>
      </w:pPr>
      <w:bookmarkStart w:name="（3）募集资金变更项目情况" w:id="43"/>
      <w:bookmarkEnd w:id="4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9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12"/>
        <w:rPr>
          <w:rFonts w:ascii="宋体" w:hAnsi="宋体" w:cs="宋体" w:eastAsia="宋体" w:hint="default"/>
          <w:sz w:val="20"/>
          <w:szCs w:val="20"/>
        </w:rPr>
      </w:pPr>
    </w:p>
    <w:p>
      <w:pPr>
        <w:pStyle w:val="Heading3"/>
        <w:spacing w:line="240" w:lineRule="auto"/>
        <w:ind w:left="193" w:right="1123"/>
        <w:jc w:val="left"/>
        <w:rPr>
          <w:b w:val="0"/>
          <w:bCs w:val="0"/>
        </w:rPr>
      </w:pPr>
      <w:bookmarkStart w:name="4、主要子公司、参股公司分析" w:id="44"/>
      <w:bookmarkEnd w:id="44"/>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40" w:right="0"/>
        </w:sectPr>
      </w:pPr>
    </w:p>
    <w:p>
      <w:pPr>
        <w:spacing w:line="338" w:lineRule="auto" w:before="44"/>
        <w:ind w:left="19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9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60" w:left="940" w:right="0"/>
          <w:cols w:num="2" w:equalWidth="0">
            <w:col w:w="2355" w:space="6565"/>
            <w:col w:w="2050"/>
          </w:cols>
        </w:sectPr>
      </w:pPr>
    </w:p>
    <w:p>
      <w:pPr>
        <w:spacing w:line="240" w:lineRule="auto" w:before="1"/>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达实自动化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建筑智能化 安防行业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楼宇自动 </w:t>
            </w:r>
            <w:r>
              <w:rPr>
                <w:rFonts w:ascii="宋体" w:hAnsi="宋体" w:cs="宋体" w:eastAsia="宋体" w:hint="default"/>
                <w:spacing w:val="-12"/>
                <w:sz w:val="18"/>
                <w:szCs w:val="18"/>
              </w:rPr>
              <w:t>化、</w:t>
            </w:r>
            <w:r>
              <w:rPr>
                <w:rFonts w:ascii="Times New Roman" w:hAnsi="Times New Roman" w:cs="Times New Roman" w:eastAsia="Times New Roman" w:hint="default"/>
                <w:spacing w:val="-12"/>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卡读 写设备与终 端产品。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11,796,310.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8,806,250.7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19,001,063.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2,691,592.1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1,969,296.0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建筑智能化 安防行业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卡读写</w:t>
            </w:r>
            <w:r>
              <w:rPr>
                <w:rFonts w:ascii="宋体" w:hAnsi="宋体" w:cs="宋体" w:eastAsia="宋体" w:hint="default"/>
                <w:w w:val="99"/>
                <w:sz w:val="18"/>
                <w:szCs w:val="18"/>
              </w:rPr>
              <w:t> </w:t>
            </w:r>
            <w:r>
              <w:rPr>
                <w:rFonts w:ascii="宋体" w:hAnsi="宋体" w:cs="宋体" w:eastAsia="宋体" w:hint="default"/>
                <w:sz w:val="18"/>
                <w:szCs w:val="18"/>
              </w:rPr>
              <w:t>设备与终端</w:t>
            </w:r>
            <w:r>
              <w:rPr>
                <w:rFonts w:ascii="宋体" w:hAnsi="宋体" w:cs="宋体" w:eastAsia="宋体" w:hint="default"/>
                <w:w w:val="99"/>
                <w:sz w:val="18"/>
                <w:szCs w:val="18"/>
              </w:rPr>
              <w:t> </w:t>
            </w:r>
            <w:r>
              <w:rPr>
                <w:rFonts w:ascii="宋体" w:hAnsi="宋体" w:cs="宋体" w:eastAsia="宋体" w:hint="default"/>
                <w:sz w:val="18"/>
                <w:szCs w:val="18"/>
              </w:rPr>
              <w:t>产品。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112,925,444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75,997,264.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98,710,943.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32,458,612.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31,132,991.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达实德润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绿色建筑咨 询认证服务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绿色建筑咨 询认证服 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18,551,826.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14,391,033.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11,935,810.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350,557.60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237,301.95</w:t>
            </w:r>
          </w:p>
        </w:tc>
      </w:tr>
      <w:tr>
        <w:trPr>
          <w:trHeight w:val="285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绿色建筑公 用工程服务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绿色建筑供 电（强电） 系统优化咨 询、工程及 节能服务、 建筑智能化 集成及服 务、建筑节 能工程及节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368,574,804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172,125,654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373,104,764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83,983,791.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74,011,463.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362"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能服务。</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融资租赁业 务；租赁业 务；向国内 外购买租赁 资产；租赁 资产的残值 处理及维 修；租赁交 易咨询和担 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203,665,694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100,968,091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4,846,347.2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451,708.63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306,519.16</w:t>
            </w:r>
          </w:p>
        </w:tc>
      </w:tr>
      <w:tr>
        <w:trPr>
          <w:trHeight w:val="414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遵义达实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0"/>
              <w:jc w:val="left"/>
              <w:rPr>
                <w:rFonts w:ascii="宋体" w:hAnsi="宋体" w:cs="宋体" w:eastAsia="宋体" w:hint="default"/>
                <w:sz w:val="18"/>
                <w:szCs w:val="18"/>
              </w:rPr>
            </w:pPr>
            <w:r>
              <w:rPr>
                <w:rFonts w:ascii="宋体" w:hAnsi="宋体" w:cs="宋体" w:eastAsia="宋体" w:hint="default"/>
                <w:sz w:val="18"/>
                <w:szCs w:val="18"/>
              </w:rPr>
              <w:t>建筑智能化 安防行业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智慧城市投 资、基础设 施投资、科 普设施建设 投资、展览 设施建设投 资、绿色节 能建筑投 资、投资咨 询及管理 </w:t>
            </w:r>
            <w:r>
              <w:rPr>
                <w:rFonts w:ascii="Times New Roman" w:hAnsi="Times New Roman" w:cs="Times New Roman" w:eastAsia="Times New Roman" w:hint="default"/>
                <w:sz w:val="18"/>
                <w:szCs w:val="18"/>
              </w:rPr>
              <w:t>(</w:t>
            </w:r>
            <w:r>
              <w:rPr>
                <w:rFonts w:ascii="宋体" w:hAnsi="宋体" w:cs="宋体" w:eastAsia="宋体" w:hint="default"/>
                <w:sz w:val="18"/>
                <w:szCs w:val="18"/>
              </w:rPr>
              <w:t>最终以工 商注册登记 为准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142,208,059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9,219,047.5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-817,339.22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-780,952.41</w:t>
            </w:r>
          </w:p>
        </w:tc>
      </w:tr>
      <w:tr>
        <w:trPr>
          <w:trHeight w:val="597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珠海达实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建筑智能化 安防行业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研发能源管 理产品；</w:t>
            </w:r>
            <w:r>
              <w:rPr>
                <w:rFonts w:ascii="Times New Roman" w:hAnsi="Times New Roman" w:cs="Times New Roman" w:eastAsia="Times New Roman" w:hint="default"/>
                <w:sz w:val="18"/>
                <w:szCs w:val="18"/>
              </w:rPr>
              <w:t>IC </w:t>
            </w:r>
            <w:r>
              <w:rPr>
                <w:rFonts w:ascii="宋体" w:hAnsi="宋体" w:cs="宋体" w:eastAsia="宋体" w:hint="default"/>
                <w:sz w:val="18"/>
                <w:szCs w:val="18"/>
              </w:rPr>
              <w:t>卡读写机具 产品、安防 监控设备和 信息终端、 智能大厦监 控系统、现 场网络控制 设备、机电 设备和仪器 仪表的技术 开发及相关 系统软件的 销售；承接 建筑智能化 系统和工业 自动化系统 的设计、集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3,087,052.6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3,087,052.6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-12,947.33</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-12,947.33</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161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成、安装、 技术咨询； 提供能源监 测、节能咨 询服务。</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76"/>
        <w:gridCol w:w="4821"/>
        <w:gridCol w:w="1418"/>
        <w:gridCol w:w="2054"/>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2"/>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73"/>
              <w:jc w:val="right"/>
              <w:rPr>
                <w:rFonts w:ascii="宋体" w:hAnsi="宋体" w:cs="宋体" w:eastAsia="宋体" w:hint="default"/>
                <w:sz w:val="18"/>
                <w:szCs w:val="18"/>
              </w:rPr>
            </w:pPr>
            <w:r>
              <w:rPr>
                <w:rFonts w:ascii="宋体" w:hAnsi="宋体" w:cs="宋体" w:eastAsia="宋体" w:hint="default"/>
                <w:sz w:val="18"/>
                <w:szCs w:val="18"/>
              </w:rPr>
              <w:t>遵义达实</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5"/>
              <w:jc w:val="both"/>
              <w:rPr>
                <w:rFonts w:ascii="宋体" w:hAnsi="宋体" w:cs="宋体" w:eastAsia="宋体" w:hint="default"/>
                <w:sz w:val="18"/>
                <w:szCs w:val="18"/>
              </w:rPr>
            </w:pPr>
            <w:r>
              <w:rPr>
                <w:rFonts w:ascii="宋体" w:hAnsi="宋体" w:cs="宋体" w:eastAsia="宋体" w:hint="default"/>
                <w:sz w:val="18"/>
                <w:szCs w:val="18"/>
              </w:rPr>
              <w:t>加强公司在贵州及遵义地区的业务开拓及实施力度，扩大公 司区域影响力，对全面实施公司发展战略，进一步完善公司 业务模式，实现公司的全国化扩张具有一定的促进作用。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2"/>
              <w:jc w:val="right"/>
              <w:rPr>
                <w:rFonts w:ascii="宋体" w:hAnsi="宋体" w:cs="宋体" w:eastAsia="宋体" w:hint="default"/>
                <w:sz w:val="18"/>
                <w:szCs w:val="18"/>
              </w:rPr>
            </w:pPr>
            <w:r>
              <w:rPr>
                <w:rFonts w:ascii="宋体" w:hAnsi="宋体" w:cs="宋体" w:eastAsia="宋体" w:hint="default"/>
                <w:sz w:val="18"/>
                <w:szCs w:val="18"/>
              </w:rPr>
              <w:t>新设立</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-780,952.41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珠海达实</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加强公司在珠海地区的业务开拓及实施力度，有助于公司提 高把握市场的能力，增强运营效率，对全面实施公司</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 市</w:t>
            </w:r>
            <w:r>
              <w:rPr>
                <w:rFonts w:ascii="宋体" w:hAnsi="宋体" w:cs="宋体" w:eastAsia="宋体" w:hint="default"/>
                <w:spacing w:val="13"/>
                <w:sz w:val="18"/>
                <w:szCs w:val="18"/>
              </w:rPr>
              <w:t> </w:t>
            </w:r>
            <w:r>
              <w:rPr>
                <w:rFonts w:ascii="宋体" w:hAnsi="宋体" w:cs="宋体" w:eastAsia="宋体" w:hint="default"/>
                <w:spacing w:val="-4"/>
                <w:sz w:val="18"/>
                <w:szCs w:val="18"/>
              </w:rPr>
              <w:t>低碳发展</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的发展战略，扩大区域影响力，实现全国化扩张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具有一定的促进作用。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新设立</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-12,947.33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非募集资金投资的重大项目情况" w:id="45"/>
      <w:bookmarkEnd w:id="45"/>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1"/>
              <w:jc w:val="right"/>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116"/>
              <w:ind w:left="23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33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3"/>
              <w:jc w:val="left"/>
              <w:rPr>
                <w:rFonts w:ascii="宋体" w:hAnsi="宋体" w:cs="宋体" w:eastAsia="宋体" w:hint="default"/>
                <w:sz w:val="18"/>
                <w:szCs w:val="18"/>
              </w:rPr>
            </w:pPr>
            <w:r>
              <w:rPr>
                <w:rFonts w:ascii="宋体" w:hAnsi="宋体" w:cs="宋体" w:eastAsia="宋体" w:hint="default"/>
                <w:sz w:val="18"/>
                <w:szCs w:val="18"/>
              </w:rPr>
              <w:t>对子公司达实 租赁增资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5,289.52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7,539.52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《关于增加控 股子公司注册 资本暨关联交 易的公告》</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3"/>
              <w:jc w:val="both"/>
              <w:rPr>
                <w:rFonts w:ascii="宋体" w:hAnsi="宋体" w:cs="宋体" w:eastAsia="宋体" w:hint="default"/>
                <w:sz w:val="18"/>
                <w:szCs w:val="18"/>
              </w:rPr>
            </w:pPr>
            <w:r>
              <w:rPr>
                <w:rFonts w:ascii="宋体" w:hAnsi="宋体" w:cs="宋体" w:eastAsia="宋体" w:hint="default"/>
                <w:sz w:val="18"/>
                <w:szCs w:val="18"/>
              </w:rPr>
              <w:t>遵义市城市规 划科技馆布展 及绿色建筑公 用工程（绿色 </w:t>
            </w:r>
            <w:r>
              <w:rPr>
                <w:rFonts w:ascii="宋体" w:hAnsi="宋体" w:cs="宋体" w:eastAsia="宋体" w:hint="default"/>
                <w:spacing w:val="-7"/>
                <w:sz w:val="18"/>
                <w:szCs w:val="18"/>
              </w:rPr>
              <w:t>节能）</w:t>
            </w:r>
            <w:r>
              <w:rPr>
                <w:rFonts w:ascii="Times New Roman" w:hAnsi="Times New Roman" w:cs="Times New Roman" w:eastAsia="Times New Roman" w:hint="default"/>
                <w:spacing w:val="-7"/>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建设 项目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10,849.64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10,849.64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2776.95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《关于签订遵 义市城市规划 科技馆布展及 绿色建筑公用 工程（绿色节 能）建设合同 的公告》</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16,139.16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18,389.16</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公司控制的特殊目的主体情况" w:id="46"/>
      <w:bookmarkEnd w:id="46"/>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公司未来发展的展望" w:id="47"/>
      <w:bookmarkEnd w:id="47"/>
      <w:r>
        <w:rPr>
          <w:b w:val="0"/>
          <w:bCs w:val="0"/>
        </w:rPr>
      </w:r>
      <w:r>
        <w:rPr/>
        <w:t>八、公司未来发展的展望</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left="574" w:right="0"/>
        <w:jc w:val="left"/>
      </w:pPr>
      <w:r>
        <w:rPr/>
        <w:t>（一）</w:t>
      </w:r>
      <w:r>
        <w:rPr>
          <w:rFonts w:ascii="宋体" w:hAnsi="宋体" w:cs="宋体" w:eastAsia="宋体" w:hint="default"/>
        </w:rPr>
        <w:t>2015</w:t>
      </w:r>
      <w:r>
        <w:rPr/>
        <w:t>年度经营计划 </w:t>
      </w:r>
      <w:r>
        <w:rPr>
          <w:rFonts w:ascii="宋体" w:hAnsi="宋体" w:cs="宋体" w:eastAsia="宋体" w:hint="default"/>
          <w:spacing w:val="-1"/>
        </w:rPr>
        <w:t>2015</w:t>
      </w:r>
      <w:r>
        <w:rPr>
          <w:spacing w:val="-1"/>
        </w:rPr>
        <w:t>年度，公司将继续以“让城市更智慧，让建筑能节能”为经营宗旨，传统智能建筑业务以一个认</w:t>
      </w:r>
    </w:p>
    <w:p>
      <w:pPr>
        <w:pStyle w:val="BodyText"/>
        <w:spacing w:line="357" w:lineRule="auto"/>
        <w:ind w:left="154" w:right="1023"/>
        <w:jc w:val="left"/>
      </w:pPr>
      <w:r>
        <w:rPr/>
        <w:t>证三大系统为核心产品，以节能服务与配套融资为竞争的差异化要素，保持传统业务的竞争优势，同时根 </w:t>
      </w:r>
      <w:r>
        <w:rPr>
          <w:spacing w:val="-3"/>
        </w:rPr>
        <w:t>据移动互联、物联的发展趋势，探索智能化、信息化在智慧医疗、智慧社区等智慧城市领域内的垂直应用，</w:t>
      </w:r>
      <w:r>
        <w:rPr>
          <w:spacing w:val="-95"/>
        </w:rPr>
        <w:t> </w:t>
      </w:r>
      <w:r>
        <w:rPr>
          <w:spacing w:val="-95"/>
        </w:rPr>
      </w:r>
      <w:r>
        <w:rPr/>
        <w:t>顺应“新常态”和“互联网化”带来结构调整的发展机遇，为未来的持续增长奠定基础。</w:t>
      </w:r>
    </w:p>
    <w:p>
      <w:pPr>
        <w:pStyle w:val="BodyText"/>
        <w:spacing w:line="240" w:lineRule="auto"/>
        <w:ind w:left="574" w:right="0"/>
        <w:jc w:val="left"/>
      </w:pPr>
      <w:r>
        <w:rPr>
          <w:rFonts w:ascii="宋体" w:hAnsi="宋体" w:cs="宋体" w:eastAsia="宋体" w:hint="default"/>
        </w:rPr>
        <w:t>1</w:t>
      </w:r>
      <w:r>
        <w:rPr/>
        <w:t>、完成重大资产重组的相关工作</w:t>
      </w:r>
    </w:p>
    <w:p>
      <w:pPr>
        <w:pStyle w:val="BodyText"/>
        <w:spacing w:line="357" w:lineRule="auto" w:before="134"/>
        <w:ind w:right="1023" w:firstLine="420"/>
        <w:jc w:val="left"/>
      </w:pP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22</w:t>
      </w:r>
      <w:r>
        <w:rPr/>
        <w:t>日，公司确认筹划的重大事项构成重大资产重组，公司及中介机构正在对本次资产重组 涉及的标的资产进行尽职调查、审计、评估等事项。公司将在承诺期限内披露符合《公开发行证券的公司 </w:t>
      </w:r>
      <w:r>
        <w:rPr>
          <w:spacing w:val="-3"/>
        </w:rPr>
        <w:t>信息披露内容与格式准则第</w:t>
      </w:r>
      <w:r>
        <w:rPr>
          <w:rFonts w:ascii="宋体" w:hAnsi="宋体" w:cs="宋体" w:eastAsia="宋体" w:hint="default"/>
          <w:spacing w:val="-3"/>
        </w:rPr>
        <w:t>26</w:t>
      </w:r>
      <w:r>
        <w:rPr>
          <w:spacing w:val="-3"/>
        </w:rPr>
        <w:t>号—上市公司重大资产重组申请文件》要求的重大资产重组预案（或报告书）</w:t>
      </w:r>
      <w:r>
        <w:rPr>
          <w:spacing w:val="-91"/>
        </w:rPr>
        <w:t> </w:t>
      </w:r>
      <w:r>
        <w:rPr>
          <w:spacing w:val="-91"/>
        </w:rPr>
      </w:r>
      <w:r>
        <w:rPr/>
        <w:t>并复牌。</w:t>
      </w:r>
    </w:p>
    <w:p>
      <w:pPr>
        <w:pStyle w:val="BodyText"/>
        <w:spacing w:line="240" w:lineRule="auto"/>
        <w:ind w:left="574" w:right="0"/>
        <w:jc w:val="left"/>
      </w:pPr>
      <w:r>
        <w:rPr>
          <w:rFonts w:ascii="宋体" w:hAnsi="宋体" w:cs="宋体" w:eastAsia="宋体" w:hint="default"/>
        </w:rPr>
        <w:t>2</w:t>
      </w:r>
      <w:r>
        <w:rPr/>
        <w:t>、做强主业，实现业绩不断增长</w:t>
      </w:r>
    </w:p>
    <w:p>
      <w:pPr>
        <w:pStyle w:val="BodyText"/>
        <w:spacing w:line="357" w:lineRule="auto" w:before="134"/>
        <w:ind w:right="1130" w:firstLine="420"/>
        <w:jc w:val="both"/>
      </w:pPr>
      <w:r>
        <w:rPr>
          <w:rFonts w:ascii="宋体" w:hAnsi="宋体" w:cs="宋体" w:eastAsia="宋体" w:hint="default"/>
          <w:spacing w:val="-1"/>
        </w:rPr>
        <w:t>2015</w:t>
      </w:r>
      <w:r>
        <w:rPr>
          <w:spacing w:val="-1"/>
        </w:rPr>
        <w:t>年度，公司将通过“内部管理精细化”、“业务组织行业化”、“市场拓展区域化”、“差异竞</w:t>
      </w:r>
      <w:r>
        <w:rPr/>
        <w:t> </w:t>
      </w:r>
      <w:r>
        <w:rPr>
          <w:spacing w:val="-1"/>
        </w:rPr>
        <w:t>争金融化”的管理手段，实现“做强智慧建筑及建筑节能业务、做大智慧医疗业务、做通智慧城市业务”</w:t>
      </w:r>
      <w:r>
        <w:rPr>
          <w:spacing w:val="-85"/>
        </w:rPr>
        <w:t> </w:t>
      </w:r>
      <w:r>
        <w:rPr>
          <w:spacing w:val="-85"/>
        </w:rPr>
      </w:r>
      <w:r>
        <w:rPr/>
        <w:t>的工作目标，不断增强公司的自身实力。</w:t>
      </w:r>
    </w:p>
    <w:p>
      <w:pPr>
        <w:pStyle w:val="BodyText"/>
        <w:spacing w:line="357" w:lineRule="auto"/>
        <w:ind w:left="575" w:right="1091" w:hanging="2"/>
        <w:jc w:val="left"/>
      </w:pPr>
      <w:r>
        <w:rPr>
          <w:rFonts w:ascii="宋体" w:hAnsi="宋体" w:cs="宋体" w:eastAsia="宋体" w:hint="default"/>
        </w:rPr>
        <w:t>3</w:t>
      </w:r>
      <w:r>
        <w:rPr/>
        <w:t>、进一步增强精细化、流程化管理 应收账款一直居高不下是公司长期以来面临的问题。</w:t>
      </w:r>
      <w:r>
        <w:rPr>
          <w:rFonts w:ascii="宋体" w:hAnsi="宋体" w:cs="宋体" w:eastAsia="宋体" w:hint="default"/>
        </w:rPr>
        <w:t>2015</w:t>
      </w:r>
      <w:r>
        <w:rPr/>
        <w:t>年度，公司将为每个事业部设置虚拟账户，</w:t>
      </w:r>
    </w:p>
    <w:p>
      <w:pPr>
        <w:pStyle w:val="BodyText"/>
        <w:spacing w:line="355" w:lineRule="auto"/>
        <w:ind w:right="0"/>
        <w:jc w:val="left"/>
      </w:pPr>
      <w:r>
        <w:rPr>
          <w:spacing w:val="-1"/>
        </w:rPr>
        <w:t>回款、付款通过各自账户进出，从各事业部自身加强应收账款的管控。此外，为提升项目的实施质量，公</w:t>
      </w:r>
      <w:r>
        <w:rPr>
          <w:spacing w:val="-83"/>
        </w:rPr>
        <w:t> </w:t>
      </w:r>
      <w:r>
        <w:rPr>
          <w:spacing w:val="-83"/>
        </w:rPr>
      </w:r>
      <w:r>
        <w:rPr/>
        <w:t>司将新设立工程管控中心，加强质量管理、结算审计、关键结点的管控。</w:t>
      </w:r>
    </w:p>
    <w:p>
      <w:pPr>
        <w:pStyle w:val="BodyText"/>
        <w:spacing w:line="355" w:lineRule="auto" w:before="33"/>
        <w:ind w:left="574" w:right="7707" w:hanging="15"/>
        <w:jc w:val="left"/>
      </w:pPr>
      <w:r>
        <w:rPr/>
        <w:t>（二）面临的风险 </w:t>
      </w:r>
      <w:r>
        <w:rPr>
          <w:rFonts w:ascii="宋体" w:hAnsi="宋体" w:cs="宋体" w:eastAsia="宋体" w:hint="default"/>
        </w:rPr>
        <w:t>1</w:t>
      </w:r>
      <w:r>
        <w:rPr/>
        <w:t>、创新商业模式的管理风险</w:t>
      </w:r>
    </w:p>
    <w:p>
      <w:pPr>
        <w:pStyle w:val="BodyText"/>
        <w:spacing w:line="357" w:lineRule="auto" w:before="33"/>
        <w:ind w:left="154" w:right="0" w:firstLine="420"/>
        <w:jc w:val="left"/>
      </w:pPr>
      <w:r>
        <w:rPr>
          <w:spacing w:val="-1"/>
        </w:rPr>
        <w:t>为提高服务客户的能力，公司将融资租赁、买方信贷等金融要素成功引入到建筑智能化及建筑节能的</w:t>
      </w:r>
      <w:r>
        <w:rPr/>
        <w:t> 工程业务中，</w:t>
      </w:r>
      <w:r>
        <w:rPr>
          <w:rFonts w:ascii="宋体" w:hAnsi="宋体" w:cs="宋体" w:eastAsia="宋体" w:hint="default"/>
        </w:rPr>
        <w:t>2014</w:t>
      </w:r>
      <w:r>
        <w:rPr/>
        <w:t>年度又率先在行业内实施了</w:t>
      </w:r>
      <w:r>
        <w:rPr>
          <w:rFonts w:ascii="宋体" w:hAnsi="宋体" w:cs="宋体" w:eastAsia="宋体" w:hint="default"/>
        </w:rPr>
        <w:t>BT</w:t>
      </w:r>
      <w:r>
        <w:rPr/>
        <w:t>项目。虽然公司已经针对工程</w:t>
      </w:r>
      <w:r>
        <w:rPr>
          <w:rFonts w:ascii="宋体" w:hAnsi="宋体" w:cs="宋体" w:eastAsia="宋体" w:hint="default"/>
        </w:rPr>
        <w:t>+</w:t>
      </w:r>
      <w:r>
        <w:rPr/>
        <w:t>金融的创新型业务建立了 </w:t>
      </w:r>
      <w:r>
        <w:rPr>
          <w:spacing w:val="-1"/>
        </w:rPr>
        <w:t>严格的风险评估程序，但公司对此类业务仍处于探索和尝试阶段，经验相对不足，如不能及时解决项目执</w:t>
      </w:r>
      <w:r>
        <w:rPr>
          <w:spacing w:val="-83"/>
        </w:rPr>
        <w:t> </w:t>
      </w:r>
      <w:r>
        <w:rPr>
          <w:spacing w:val="-83"/>
        </w:rPr>
      </w:r>
      <w:r>
        <w:rPr/>
        <w:t>行时涉及的金融、法律和风险控制问题，将对公司的项目推进和经营带来一定的管理风险。</w:t>
      </w:r>
    </w:p>
    <w:p>
      <w:pPr>
        <w:pStyle w:val="BodyText"/>
        <w:spacing w:line="357" w:lineRule="auto"/>
        <w:ind w:left="574" w:right="0"/>
        <w:jc w:val="left"/>
      </w:pPr>
      <w:r>
        <w:rPr>
          <w:rFonts w:ascii="宋体" w:hAnsi="宋体" w:cs="宋体" w:eastAsia="宋体" w:hint="default"/>
        </w:rPr>
        <w:t>2</w:t>
      </w:r>
      <w:r>
        <w:rPr/>
        <w:t>、公司规模扩大引致的管理风险 </w:t>
      </w:r>
      <w:r>
        <w:rPr>
          <w:spacing w:val="-1"/>
        </w:rPr>
        <w:t>近年公司业务持续发展。在销售规模、员工人数、组织结构上均上了一个台阶，公司规模扩大对管理</w:t>
      </w:r>
    </w:p>
    <w:p>
      <w:pPr>
        <w:pStyle w:val="BodyText"/>
        <w:spacing w:line="357" w:lineRule="auto"/>
        <w:ind w:left="154" w:right="1131"/>
        <w:jc w:val="both"/>
      </w:pPr>
      <w:r>
        <w:rPr>
          <w:spacing w:val="-1"/>
        </w:rPr>
        <w:t>提出了更高要求，虽然公司通过实施股权激励及健全的薪酬体系等方式逐渐形成有效的激励机制及内部管</w:t>
      </w:r>
      <w:r>
        <w:rPr>
          <w:spacing w:val="-81"/>
        </w:rPr>
        <w:t> </w:t>
      </w:r>
      <w:r>
        <w:rPr>
          <w:spacing w:val="-81"/>
        </w:rPr>
      </w:r>
      <w:r>
        <w:rPr>
          <w:spacing w:val="-1"/>
        </w:rPr>
        <w:t>理机制，但如果公司不能及时调整、完善管理体制及做好对子公司的监督和管控以满足规模增长产生的人</w:t>
      </w:r>
      <w:r>
        <w:rPr>
          <w:spacing w:val="-81"/>
        </w:rPr>
        <w:t> </w:t>
      </w:r>
      <w:r>
        <w:rPr>
          <w:spacing w:val="-81"/>
        </w:rPr>
      </w:r>
      <w:r>
        <w:rPr/>
        <w:t>员增加和业务整合的需要，将给公司生产经营带来一定的管理风险。</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九、董事会、监事会对会计师事务所本报告期“非标准审计报告”的说明" w:id="48"/>
      <w:bookmarkEnd w:id="48"/>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与上年度财务报告相比，会计政策、会计估计和核算方法发生变化的情况说明" w:id="49"/>
      <w:bookmarkEnd w:id="49"/>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56"/>
        <w:ind w:right="1090" w:firstLine="321"/>
        <w:jc w:val="left"/>
      </w:pPr>
      <w:r>
        <w:rPr>
          <w:rFonts w:ascii="宋体" w:hAnsi="宋体" w:cs="宋体" w:eastAsia="宋体" w:hint="default"/>
        </w:rPr>
        <w:t>1</w:t>
      </w:r>
      <w:r>
        <w:rPr/>
        <w:t>、根据《财政部关于印发修订</w:t>
      </w:r>
      <w:r>
        <w:rPr>
          <w:rFonts w:ascii="宋体" w:hAnsi="宋体" w:cs="宋体" w:eastAsia="宋体" w:hint="default"/>
        </w:rPr>
        <w:t>&lt;</w:t>
      </w:r>
      <w:r>
        <w:rPr/>
        <w:t>企业会计准则第</w:t>
      </w:r>
      <w:r>
        <w:rPr>
          <w:rFonts w:ascii="宋体" w:hAnsi="宋体" w:cs="宋体" w:eastAsia="宋体" w:hint="default"/>
        </w:rPr>
        <w:t>2</w:t>
      </w:r>
      <w:r>
        <w:rPr/>
        <w:t>号—长期股权投资</w:t>
      </w:r>
      <w:r>
        <w:rPr>
          <w:rFonts w:ascii="宋体" w:hAnsi="宋体" w:cs="宋体" w:eastAsia="宋体" w:hint="default"/>
        </w:rPr>
        <w:t>&gt;</w:t>
      </w:r>
      <w:r>
        <w:rPr/>
        <w:t>的通知》（财会</w:t>
      </w:r>
      <w:r>
        <w:rPr>
          <w:rFonts w:ascii="宋体" w:hAnsi="宋体" w:cs="宋体" w:eastAsia="宋体" w:hint="default"/>
        </w:rPr>
        <w:t>[2014]14</w:t>
      </w:r>
      <w:r>
        <w:rPr>
          <w:rFonts w:ascii="宋体" w:hAnsi="宋体" w:cs="宋体" w:eastAsia="宋体" w:hint="default"/>
          <w:spacing w:val="-3"/>
        </w:rPr>
        <w:t> </w:t>
      </w:r>
      <w:r>
        <w:rPr/>
        <w:t>号），</w:t>
      </w:r>
      <w:r>
        <w:rPr>
          <w:spacing w:val="1"/>
        </w:rPr>
        <w:t> </w:t>
      </w:r>
      <w:r>
        <w:rPr/>
        <w:t>执行《企业会计准则第</w:t>
      </w:r>
      <w:r>
        <w:rPr>
          <w:rFonts w:ascii="宋体" w:hAnsi="宋体" w:cs="宋体" w:eastAsia="宋体" w:hint="default"/>
        </w:rPr>
        <w:t>2</w:t>
      </w:r>
      <w:r>
        <w:rPr/>
        <w:t>号—长期股权投资》，规范对子公司、合营企业和联营企业的长期股权投资的确 认和计量，投资方对被投资单位不具有控制、共同控制和重大影响的长期股权投资将变为属于《企业会计 准则第</w:t>
      </w:r>
      <w:r>
        <w:rPr>
          <w:rFonts w:ascii="宋体" w:hAnsi="宋体" w:cs="宋体" w:eastAsia="宋体" w:hint="default"/>
        </w:rPr>
        <w:t>22</w:t>
      </w:r>
      <w:r>
        <w:rPr/>
        <w:t>号—金融工具确认和计量》的规范范围，新准则的实施不会对公司财务报表产生影响。</w:t>
      </w:r>
    </w:p>
    <w:p>
      <w:pPr>
        <w:pStyle w:val="BodyText"/>
        <w:spacing w:line="357" w:lineRule="auto"/>
        <w:ind w:right="1198" w:firstLine="420"/>
        <w:jc w:val="left"/>
      </w:pPr>
      <w:r>
        <w:rPr>
          <w:rFonts w:ascii="宋体" w:hAnsi="宋体" w:cs="宋体" w:eastAsia="宋体" w:hint="default"/>
        </w:rPr>
        <w:t>2</w:t>
      </w:r>
      <w:r>
        <w:rPr/>
        <w:t>、根据《关于印发修订</w:t>
      </w:r>
      <w:r>
        <w:rPr>
          <w:rFonts w:ascii="宋体" w:hAnsi="宋体" w:cs="宋体" w:eastAsia="宋体" w:hint="default"/>
        </w:rPr>
        <w:t>&lt;</w:t>
      </w:r>
      <w:r>
        <w:rPr/>
        <w:t>企业会计准则第</w:t>
      </w:r>
      <w:r>
        <w:rPr>
          <w:rFonts w:ascii="宋体" w:hAnsi="宋体" w:cs="宋体" w:eastAsia="宋体" w:hint="default"/>
        </w:rPr>
        <w:t>9</w:t>
      </w:r>
      <w:r>
        <w:rPr/>
        <w:t>号——职工薪酬</w:t>
      </w:r>
      <w:r>
        <w:rPr>
          <w:rFonts w:ascii="宋体" w:hAnsi="宋体" w:cs="宋体" w:eastAsia="宋体" w:hint="default"/>
        </w:rPr>
        <w:t>&gt;</w:t>
      </w:r>
      <w:r>
        <w:rPr/>
        <w:t>的通知》（财会</w:t>
      </w:r>
      <w:r>
        <w:rPr>
          <w:rFonts w:ascii="宋体" w:hAnsi="宋体" w:cs="宋体" w:eastAsia="宋体" w:hint="default"/>
        </w:rPr>
        <w:t>[2014]8</w:t>
      </w:r>
      <w:r>
        <w:rPr/>
        <w:t>号），执行《企 业会计准则第</w:t>
      </w:r>
      <w:r>
        <w:rPr>
          <w:rFonts w:ascii="宋体" w:hAnsi="宋体" w:cs="宋体" w:eastAsia="宋体" w:hint="default"/>
        </w:rPr>
        <w:t>9</w:t>
      </w:r>
      <w:r>
        <w:rPr/>
        <w:t>号——职工薪酬》，根据该准则的要求在财务报表中进行相应披露。</w:t>
      </w:r>
    </w:p>
    <w:p>
      <w:pPr>
        <w:pStyle w:val="BodyText"/>
        <w:spacing w:line="357" w:lineRule="auto"/>
        <w:ind w:right="0" w:firstLine="420"/>
        <w:jc w:val="left"/>
      </w:pPr>
      <w:r>
        <w:rPr>
          <w:rFonts w:ascii="宋体" w:hAnsi="宋体" w:cs="宋体" w:eastAsia="宋体" w:hint="default"/>
        </w:rPr>
        <w:t>3</w:t>
      </w:r>
      <w:r>
        <w:rPr/>
        <w:t>、根据《关于印发修订</w:t>
      </w:r>
      <w:r>
        <w:rPr>
          <w:rFonts w:ascii="宋体" w:hAnsi="宋体" w:cs="宋体" w:eastAsia="宋体" w:hint="default"/>
        </w:rPr>
        <w:t>&lt;</w:t>
      </w:r>
      <w:r>
        <w:rPr/>
        <w:t>企业会计准则第</w:t>
      </w:r>
      <w:r>
        <w:rPr>
          <w:rFonts w:ascii="宋体" w:hAnsi="宋体" w:cs="宋体" w:eastAsia="宋体" w:hint="default"/>
        </w:rPr>
        <w:t>30</w:t>
      </w:r>
      <w:r>
        <w:rPr/>
        <w:t>号——财务报表列报</w:t>
      </w:r>
      <w:r>
        <w:rPr>
          <w:rFonts w:ascii="宋体" w:hAnsi="宋体" w:cs="宋体" w:eastAsia="宋体" w:hint="default"/>
        </w:rPr>
        <w:t>&gt;</w:t>
      </w:r>
      <w:r>
        <w:rPr>
          <w:rFonts w:ascii="宋体" w:hAnsi="宋体" w:cs="宋体" w:eastAsia="宋体" w:hint="default"/>
          <w:spacing w:val="-2"/>
        </w:rPr>
        <w:t> </w:t>
      </w:r>
      <w:r>
        <w:rPr/>
        <w:t>的通知》（财会</w:t>
      </w:r>
      <w:r>
        <w:rPr>
          <w:rFonts w:ascii="宋体" w:hAnsi="宋体" w:cs="宋体" w:eastAsia="宋体" w:hint="default"/>
        </w:rPr>
        <w:t>[2014]7</w:t>
      </w:r>
      <w:r>
        <w:rPr/>
        <w:t>号），执 </w:t>
      </w:r>
      <w:r>
        <w:rPr>
          <w:spacing w:val="-1"/>
        </w:rPr>
        <w:t>行《企业会计准则第</w:t>
      </w:r>
      <w:r>
        <w:rPr>
          <w:rFonts w:ascii="宋体" w:hAnsi="宋体" w:cs="宋体" w:eastAsia="宋体" w:hint="default"/>
          <w:spacing w:val="-1"/>
        </w:rPr>
        <w:t>30</w:t>
      </w:r>
      <w:r>
        <w:rPr>
          <w:spacing w:val="-1"/>
        </w:rPr>
        <w:t>号——财务报表列报》，对利润表中其他综合收益部分的列报，划分为两类：（</w:t>
      </w:r>
      <w:r>
        <w:rPr>
          <w:rFonts w:ascii="宋体" w:hAnsi="宋体" w:cs="宋体" w:eastAsia="宋体" w:hint="default"/>
          <w:spacing w:val="-1"/>
        </w:rPr>
        <w:t>1</w:t>
      </w:r>
      <w:r>
        <w:rPr>
          <w:spacing w:val="-1"/>
        </w:rPr>
        <w:t>）</w:t>
      </w:r>
      <w:r>
        <w:rPr>
          <w:spacing w:val="-83"/>
        </w:rPr>
        <w:t> </w:t>
      </w:r>
      <w:r>
        <w:rPr/>
        <w:t>后续不会重分类至损益的项目；（</w:t>
      </w:r>
      <w:r>
        <w:rPr>
          <w:rFonts w:ascii="宋体" w:hAnsi="宋体" w:cs="宋体" w:eastAsia="宋体" w:hint="default"/>
        </w:rPr>
        <w:t>2</w:t>
      </w:r>
      <w:r>
        <w:rPr/>
        <w:t>）在满足特定条件的情况下，后续可能重分类至损益的项目。</w:t>
      </w:r>
    </w:p>
    <w:p>
      <w:pPr>
        <w:pStyle w:val="BodyText"/>
        <w:spacing w:line="357" w:lineRule="auto"/>
        <w:ind w:right="0" w:firstLine="526"/>
        <w:jc w:val="left"/>
      </w:pPr>
      <w:r>
        <w:rPr>
          <w:rFonts w:ascii="宋体" w:hAnsi="宋体" w:cs="宋体" w:eastAsia="宋体" w:hint="default"/>
        </w:rPr>
        <w:t>4</w:t>
      </w:r>
      <w:r>
        <w:rPr/>
        <w:t>、根据《关于印发修订</w:t>
      </w:r>
      <w:r>
        <w:rPr>
          <w:rFonts w:ascii="宋体" w:hAnsi="宋体" w:cs="宋体" w:eastAsia="宋体" w:hint="default"/>
        </w:rPr>
        <w:t>&lt;</w:t>
      </w:r>
      <w:r>
        <w:rPr/>
        <w:t>企业会计准则第</w:t>
      </w:r>
      <w:r>
        <w:rPr>
          <w:rFonts w:ascii="宋体" w:hAnsi="宋体" w:cs="宋体" w:eastAsia="宋体" w:hint="default"/>
        </w:rPr>
        <w:t>33</w:t>
      </w:r>
      <w:r>
        <w:rPr/>
        <w:t>号——合并财务报表</w:t>
      </w:r>
      <w:r>
        <w:rPr>
          <w:rFonts w:ascii="宋体" w:hAnsi="宋体" w:cs="宋体" w:eastAsia="宋体" w:hint="default"/>
        </w:rPr>
        <w:t>&gt;</w:t>
      </w:r>
      <w:r>
        <w:rPr>
          <w:rFonts w:ascii="宋体" w:hAnsi="宋体" w:cs="宋体" w:eastAsia="宋体" w:hint="default"/>
          <w:spacing w:val="-4"/>
        </w:rPr>
        <w:t> </w:t>
      </w:r>
      <w:r>
        <w:rPr/>
        <w:t>的通知》（财会</w:t>
      </w:r>
      <w:r>
        <w:rPr>
          <w:rFonts w:ascii="宋体" w:hAnsi="宋体" w:cs="宋体" w:eastAsia="宋体" w:hint="default"/>
        </w:rPr>
        <w:t>[2014]10</w:t>
      </w:r>
      <w:r>
        <w:rPr/>
        <w:t>号）， </w:t>
      </w:r>
      <w:r>
        <w:rPr>
          <w:spacing w:val="-1"/>
        </w:rPr>
        <w:t>执行《企业会计准则第</w:t>
      </w:r>
      <w:r>
        <w:rPr>
          <w:rFonts w:ascii="宋体" w:hAnsi="宋体" w:cs="宋体" w:eastAsia="宋体" w:hint="default"/>
          <w:spacing w:val="-1"/>
        </w:rPr>
        <w:t>33</w:t>
      </w:r>
      <w:r>
        <w:rPr>
          <w:spacing w:val="-1"/>
        </w:rPr>
        <w:t>号——合并财务报表》，公司管理层在确定对被投资单位是否具有控制权时，必</w:t>
      </w:r>
      <w:r>
        <w:rPr>
          <w:spacing w:val="-86"/>
        </w:rPr>
        <w:t> </w:t>
      </w:r>
      <w:r>
        <w:rPr>
          <w:spacing w:val="-86"/>
        </w:rPr>
      </w:r>
      <w:r>
        <w:rPr/>
        <w:t>须且合理运用重大判断。公司对合并范围的判断符合修订后准则的规定。</w:t>
      </w:r>
    </w:p>
    <w:p>
      <w:pPr>
        <w:pStyle w:val="BodyText"/>
        <w:spacing w:line="355" w:lineRule="auto" w:before="31"/>
        <w:ind w:right="1132" w:firstLine="420"/>
        <w:jc w:val="both"/>
      </w:pPr>
      <w:r>
        <w:rPr>
          <w:rFonts w:ascii="宋体" w:hAnsi="宋体" w:cs="宋体" w:eastAsia="宋体" w:hint="default"/>
          <w:spacing w:val="-3"/>
        </w:rPr>
        <w:t>5</w:t>
      </w:r>
      <w:r>
        <w:rPr>
          <w:spacing w:val="-3"/>
        </w:rPr>
        <w:t>、公司根据《关于印发</w:t>
      </w:r>
      <w:r>
        <w:rPr>
          <w:rFonts w:ascii="宋体" w:hAnsi="宋体" w:cs="宋体" w:eastAsia="宋体" w:hint="default"/>
          <w:spacing w:val="-3"/>
        </w:rPr>
        <w:t>&lt;</w:t>
      </w:r>
      <w:r>
        <w:rPr>
          <w:spacing w:val="-3"/>
        </w:rPr>
        <w:t>企业会计准则第</w:t>
      </w:r>
      <w:r>
        <w:rPr>
          <w:rFonts w:ascii="宋体" w:hAnsi="宋体" w:cs="宋体" w:eastAsia="宋体" w:hint="default"/>
          <w:spacing w:val="-3"/>
        </w:rPr>
        <w:t>40</w:t>
      </w:r>
      <w:r>
        <w:rPr>
          <w:spacing w:val="-3"/>
        </w:rPr>
        <w:t>号——合营安排</w:t>
      </w:r>
      <w:r>
        <w:rPr>
          <w:rFonts w:ascii="宋体" w:hAnsi="宋体" w:cs="宋体" w:eastAsia="宋体" w:hint="default"/>
          <w:spacing w:val="-3"/>
        </w:rPr>
        <w:t>&gt;</w:t>
      </w:r>
      <w:r>
        <w:rPr>
          <w:spacing w:val="-3"/>
        </w:rPr>
        <w:t>的通知》（财会</w:t>
      </w:r>
      <w:r>
        <w:rPr>
          <w:rFonts w:ascii="宋体" w:hAnsi="宋体" w:cs="宋体" w:eastAsia="宋体" w:hint="default"/>
          <w:spacing w:val="-3"/>
        </w:rPr>
        <w:t>[2014]11</w:t>
      </w:r>
      <w:r>
        <w:rPr>
          <w:spacing w:val="-3"/>
        </w:rPr>
        <w:t>号），执行《企</w:t>
      </w:r>
      <w:r>
        <w:rPr/>
        <w:t> </w:t>
      </w:r>
      <w:r>
        <w:rPr>
          <w:spacing w:val="-1"/>
        </w:rPr>
        <w:t>业会计准则第</w:t>
      </w:r>
      <w:r>
        <w:rPr>
          <w:rFonts w:ascii="宋体" w:hAnsi="宋体" w:cs="宋体" w:eastAsia="宋体" w:hint="default"/>
          <w:spacing w:val="-1"/>
        </w:rPr>
        <w:t>40</w:t>
      </w:r>
      <w:r>
        <w:rPr>
          <w:spacing w:val="-1"/>
        </w:rPr>
        <w:t>号——合营安排》，评估参与合营安排的情况、并执行合营安排的会计政策。截至目前公</w:t>
      </w:r>
      <w:r>
        <w:rPr>
          <w:spacing w:val="-87"/>
        </w:rPr>
        <w:t> </w:t>
      </w:r>
      <w:r>
        <w:rPr>
          <w:spacing w:val="-87"/>
        </w:rPr>
      </w:r>
      <w:r>
        <w:rPr/>
        <w:t>司尚未涉及此项业务内容，新准则的实施不会对公司财务报表产生影响。</w:t>
      </w:r>
    </w:p>
    <w:p>
      <w:pPr>
        <w:pStyle w:val="BodyText"/>
        <w:spacing w:line="240" w:lineRule="auto" w:before="34"/>
        <w:ind w:left="574" w:right="0"/>
        <w:jc w:val="left"/>
      </w:pPr>
      <w:r>
        <w:rPr>
          <w:rFonts w:ascii="宋体" w:hAnsi="宋体" w:cs="宋体" w:eastAsia="宋体" w:hint="default"/>
        </w:rPr>
        <w:t>6</w:t>
      </w:r>
      <w:r>
        <w:rPr/>
        <w:t>、公司根据《关于印发</w:t>
      </w:r>
      <w:r>
        <w:rPr>
          <w:rFonts w:ascii="宋体" w:hAnsi="宋体" w:cs="宋体" w:eastAsia="宋体" w:hint="default"/>
        </w:rPr>
        <w:t>&lt;</w:t>
      </w:r>
      <w:r>
        <w:rPr/>
        <w:t>企业会计准则第</w:t>
      </w:r>
      <w:r>
        <w:rPr>
          <w:rFonts w:ascii="宋体" w:hAnsi="宋体" w:cs="宋体" w:eastAsia="宋体" w:hint="default"/>
        </w:rPr>
        <w:t>39</w:t>
      </w:r>
      <w:r>
        <w:rPr/>
        <w:t>号——公允价值计量</w:t>
      </w:r>
      <w:r>
        <w:rPr>
          <w:rFonts w:ascii="宋体" w:hAnsi="宋体" w:cs="宋体" w:eastAsia="宋体" w:hint="default"/>
        </w:rPr>
        <w:t>&gt;</w:t>
      </w:r>
      <w:r>
        <w:rPr/>
        <w:t>的通知》（财会</w:t>
      </w:r>
      <w:r>
        <w:rPr>
          <w:rFonts w:ascii="宋体" w:hAnsi="宋体" w:cs="宋体" w:eastAsia="宋体" w:hint="default"/>
        </w:rPr>
        <w:t>[2014]6</w:t>
      </w:r>
      <w:r>
        <w:rPr/>
        <w:t>号），执行</w:t>
      </w:r>
    </w:p>
    <w:p>
      <w:pPr>
        <w:pStyle w:val="BodyText"/>
        <w:spacing w:line="357" w:lineRule="auto" w:before="133"/>
        <w:ind w:left="154" w:right="0"/>
        <w:jc w:val="left"/>
      </w:pPr>
      <w:r>
        <w:rPr>
          <w:spacing w:val="-1"/>
        </w:rPr>
        <w:t>《企业会计准则第</w:t>
      </w:r>
      <w:r>
        <w:rPr>
          <w:rFonts w:ascii="宋体" w:hAnsi="宋体" w:cs="宋体" w:eastAsia="宋体" w:hint="default"/>
          <w:spacing w:val="-1"/>
        </w:rPr>
        <w:t>39</w:t>
      </w:r>
      <w:r>
        <w:rPr>
          <w:spacing w:val="-1"/>
        </w:rPr>
        <w:t>号——公允价值计量》，采用该准则后，公司将修订与公允价值计量相关的政策和程</w:t>
      </w:r>
      <w:r>
        <w:rPr>
          <w:spacing w:val="-84"/>
        </w:rPr>
        <w:t> </w:t>
      </w:r>
      <w:r>
        <w:rPr>
          <w:spacing w:val="-84"/>
        </w:rPr>
      </w:r>
      <w:r>
        <w:rPr/>
        <w:t>序，并在财务报表中对公允价值信息进行更广泛的披露。</w:t>
      </w:r>
    </w:p>
    <w:p>
      <w:pPr>
        <w:pStyle w:val="BodyText"/>
        <w:spacing w:line="357" w:lineRule="auto"/>
        <w:ind w:right="0" w:firstLine="420"/>
        <w:jc w:val="left"/>
      </w:pPr>
      <w:r>
        <w:rPr>
          <w:rFonts w:ascii="宋体" w:hAnsi="宋体" w:cs="宋体" w:eastAsia="宋体" w:hint="default"/>
        </w:rPr>
        <w:t>7</w:t>
      </w:r>
      <w:r>
        <w:rPr/>
        <w:t>、公司根据《财政部关于印发</w:t>
      </w:r>
      <w:r>
        <w:rPr>
          <w:rFonts w:ascii="宋体" w:hAnsi="宋体" w:cs="宋体" w:eastAsia="宋体" w:hint="default"/>
        </w:rPr>
        <w:t>&lt;</w:t>
      </w:r>
      <w:r>
        <w:rPr/>
        <w:t>企业会计准则第</w:t>
      </w:r>
      <w:r>
        <w:rPr>
          <w:rFonts w:ascii="宋体" w:hAnsi="宋体" w:cs="宋体" w:eastAsia="宋体" w:hint="default"/>
        </w:rPr>
        <w:t>41</w:t>
      </w:r>
      <w:r>
        <w:rPr/>
        <w:t>号——在其他主体中权益的披露</w:t>
      </w:r>
      <w:r>
        <w:rPr>
          <w:rFonts w:ascii="宋体" w:hAnsi="宋体" w:cs="宋体" w:eastAsia="宋体" w:hint="default"/>
        </w:rPr>
        <w:t>&gt;</w:t>
      </w:r>
      <w:r>
        <w:rPr/>
        <w:t>的通知》（财会 </w:t>
      </w:r>
      <w:r>
        <w:rPr>
          <w:rFonts w:ascii="宋体" w:hAnsi="宋体" w:cs="宋体" w:eastAsia="宋体" w:hint="default"/>
        </w:rPr>
        <w:t>[2014]16</w:t>
      </w:r>
      <w:r>
        <w:rPr/>
        <w:t>号），执行《企业会计准则第</w:t>
      </w:r>
      <w:r>
        <w:rPr>
          <w:rFonts w:ascii="宋体" w:hAnsi="宋体" w:cs="宋体" w:eastAsia="宋体" w:hint="default"/>
        </w:rPr>
        <w:t>41</w:t>
      </w:r>
      <w:r>
        <w:rPr/>
        <w:t>号——</w:t>
      </w:r>
      <w:r>
        <w:rPr>
          <w:spacing w:val="-3"/>
        </w:rPr>
        <w:t> </w:t>
      </w:r>
      <w:r>
        <w:rPr/>
        <w:t>在其他主体中权益的披露》，公司比较财务报表中披露</w:t>
      </w:r>
      <w:r>
        <w:rPr/>
        <w:t> </w:t>
      </w:r>
      <w:r>
        <w:rPr>
          <w:spacing w:val="-1"/>
        </w:rPr>
        <w:t>的该准则施行日之前的信息将按照该准则的规定进行调整（有关未纳入合并财务报表范围的结构化主体的</w:t>
      </w:r>
      <w:r>
        <w:rPr>
          <w:spacing w:val="-81"/>
        </w:rPr>
        <w:t> </w:t>
      </w:r>
      <w:r>
        <w:rPr>
          <w:spacing w:val="-81"/>
        </w:rPr>
      </w:r>
      <w:r>
        <w:rPr/>
        <w:t>披露要求除外）。</w:t>
      </w:r>
    </w:p>
    <w:p>
      <w:pPr>
        <w:pStyle w:val="BodyText"/>
        <w:spacing w:line="357" w:lineRule="auto" w:before="31"/>
        <w:ind w:right="1130" w:firstLine="420"/>
        <w:jc w:val="both"/>
      </w:pPr>
      <w:r>
        <w:rPr>
          <w:rFonts w:ascii="宋体" w:hAnsi="宋体" w:cs="宋体" w:eastAsia="宋体" w:hint="default"/>
          <w:spacing w:val="-4"/>
        </w:rPr>
        <w:t>8</w:t>
      </w:r>
      <w:r>
        <w:rPr>
          <w:spacing w:val="-4"/>
        </w:rPr>
        <w:t>、公司根据《关于印发修订</w:t>
      </w:r>
      <w:r>
        <w:rPr>
          <w:rFonts w:ascii="宋体" w:hAnsi="宋体" w:cs="宋体" w:eastAsia="宋体" w:hint="default"/>
          <w:spacing w:val="-4"/>
        </w:rPr>
        <w:t>&lt;</w:t>
      </w:r>
      <w:r>
        <w:rPr>
          <w:spacing w:val="-4"/>
        </w:rPr>
        <w:t>企业会计准则第</w:t>
      </w:r>
      <w:r>
        <w:rPr>
          <w:rFonts w:ascii="宋体" w:hAnsi="宋体" w:cs="宋体" w:eastAsia="宋体" w:hint="default"/>
          <w:spacing w:val="-4"/>
        </w:rPr>
        <w:t>37</w:t>
      </w:r>
      <w:r>
        <w:rPr>
          <w:spacing w:val="-4"/>
        </w:rPr>
        <w:t>号—金融工具列报</w:t>
      </w:r>
      <w:r>
        <w:rPr>
          <w:rFonts w:ascii="宋体" w:hAnsi="宋体" w:cs="宋体" w:eastAsia="宋体" w:hint="default"/>
          <w:spacing w:val="-4"/>
        </w:rPr>
        <w:t>&gt;</w:t>
      </w:r>
      <w:r>
        <w:rPr>
          <w:spacing w:val="-4"/>
        </w:rPr>
        <w:t>的通知》（财会</w:t>
      </w:r>
      <w:r>
        <w:rPr>
          <w:rFonts w:ascii="宋体" w:hAnsi="宋体" w:cs="宋体" w:eastAsia="宋体" w:hint="default"/>
          <w:spacing w:val="-4"/>
        </w:rPr>
        <w:t>[2014]23</w:t>
      </w:r>
      <w:r>
        <w:rPr>
          <w:spacing w:val="-4"/>
        </w:rPr>
        <w:t>号），</w:t>
      </w:r>
      <w:r>
        <w:rPr>
          <w:spacing w:val="-39"/>
        </w:rPr>
        <w:t> </w:t>
      </w:r>
      <w:r>
        <w:rPr/>
        <w:t>执</w:t>
      </w:r>
      <w:r>
        <w:rPr/>
        <w:t> </w:t>
      </w:r>
      <w:r>
        <w:rPr>
          <w:spacing w:val="-1"/>
        </w:rPr>
        <w:t>行《企业会计准则第</w:t>
      </w:r>
      <w:r>
        <w:rPr>
          <w:rFonts w:ascii="宋体" w:hAnsi="宋体" w:cs="宋体" w:eastAsia="宋体" w:hint="default"/>
          <w:spacing w:val="-1"/>
        </w:rPr>
        <w:t>37</w:t>
      </w:r>
      <w:r>
        <w:rPr>
          <w:spacing w:val="-1"/>
        </w:rPr>
        <w:t>号—金融工具列报》，在</w:t>
      </w:r>
      <w:r>
        <w:rPr>
          <w:rFonts w:ascii="宋体" w:hAnsi="宋体" w:cs="宋体" w:eastAsia="宋体" w:hint="default"/>
          <w:spacing w:val="-1"/>
        </w:rPr>
        <w:t>2014</w:t>
      </w:r>
      <w:r>
        <w:rPr>
          <w:spacing w:val="-1"/>
        </w:rPr>
        <w:t>年度及以后期间的财务报告中按照该准则要求对金融</w:t>
      </w:r>
      <w:r>
        <w:rPr>
          <w:spacing w:val="-82"/>
        </w:rPr>
        <w:t> </w:t>
      </w:r>
      <w:r>
        <w:rPr>
          <w:spacing w:val="-82"/>
        </w:rPr>
      </w:r>
      <w:r>
        <w:rPr/>
        <w:t>工具进行列报。</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十一、报告期内发生重大会计差错更正需追溯重述的情况说明" w:id="50"/>
      <w:bookmarkEnd w:id="50"/>
      <w:r>
        <w:rPr>
          <w:b w:val="0"/>
          <w:bCs w:val="0"/>
        </w:rPr>
      </w: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十二、与上年度财务报告相比，合并报表范围发生变化的情况说明" w:id="51"/>
      <w:bookmarkEnd w:id="51"/>
      <w:r>
        <w:rPr>
          <w:b w:val="0"/>
          <w:bCs w:val="0"/>
        </w:rPr>
      </w: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left="573" w:right="1127"/>
        <w:jc w:val="left"/>
      </w:pPr>
      <w:r>
        <w:rPr/>
        <w:t>报告期内公司新设立的遵义达实、珠海达实两家全资子公司，本报告期纳入合并报表范围。 </w:t>
      </w:r>
      <w:r>
        <w:rPr>
          <w:spacing w:val="-1"/>
        </w:rPr>
        <w:t>本报告期子公司达实联欣以</w:t>
      </w:r>
      <w:r>
        <w:rPr>
          <w:rFonts w:ascii="Times New Roman" w:hAnsi="Times New Roman" w:cs="Times New Roman" w:eastAsia="Times New Roman" w:hint="default"/>
          <w:spacing w:val="-1"/>
        </w:rPr>
        <w:t>1,710</w:t>
      </w:r>
      <w:r>
        <w:rPr>
          <w:spacing w:val="-1"/>
        </w:rPr>
        <w:t>万元收购上海腾隆</w:t>
      </w:r>
      <w:r>
        <w:rPr>
          <w:rFonts w:ascii="Times New Roman" w:hAnsi="Times New Roman" w:cs="Times New Roman" w:eastAsia="Times New Roman" w:hint="default"/>
          <w:spacing w:val="-1"/>
        </w:rPr>
        <w:t>100%</w:t>
      </w:r>
      <w:r>
        <w:rPr>
          <w:spacing w:val="-1"/>
        </w:rPr>
        <w:t>股权，该项收购已于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日完成，本</w:t>
      </w:r>
    </w:p>
    <w:p>
      <w:pPr>
        <w:pStyle w:val="BodyText"/>
        <w:spacing w:line="240" w:lineRule="auto" w:before="7"/>
        <w:ind w:right="0"/>
        <w:jc w:val="left"/>
      </w:pPr>
      <w:r>
        <w:rPr/>
        <w:t>报告期上海腾隆纳入合并报表范围。</w:t>
      </w:r>
    </w:p>
    <w:p>
      <w:pPr>
        <w:spacing w:line="240" w:lineRule="auto" w:before="0"/>
        <w:rPr>
          <w:rFonts w:ascii="宋体" w:hAnsi="宋体" w:cs="宋体" w:eastAsia="宋体" w:hint="default"/>
          <w:sz w:val="20"/>
          <w:szCs w:val="20"/>
        </w:rPr>
      </w:pPr>
    </w:p>
    <w:p>
      <w:pPr>
        <w:pStyle w:val="Heading2"/>
        <w:spacing w:line="240" w:lineRule="auto" w:before="169"/>
        <w:ind w:right="0"/>
        <w:jc w:val="left"/>
        <w:rPr>
          <w:b w:val="0"/>
          <w:bCs w:val="0"/>
        </w:rPr>
      </w:pPr>
      <w:bookmarkStart w:name="十三、公司利润分配及分红派息情况" w:id="52"/>
      <w:bookmarkEnd w:id="52"/>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5" w:lineRule="auto" w:before="56"/>
        <w:ind w:left="154" w:right="1197" w:firstLine="420"/>
        <w:jc w:val="left"/>
      </w:pPr>
      <w:r>
        <w:rPr/>
        <w:t>根据《上市公司监管指引第</w:t>
      </w:r>
      <w:r>
        <w:rPr>
          <w:rFonts w:ascii="宋体" w:hAnsi="宋体" w:cs="宋体" w:eastAsia="宋体" w:hint="default"/>
        </w:rPr>
        <w:t>3</w:t>
      </w:r>
      <w:r>
        <w:rPr/>
        <w:t>号——上市公司现金分红》（证监会公告</w:t>
      </w:r>
      <w:r>
        <w:rPr>
          <w:rFonts w:ascii="宋体" w:hAnsi="宋体" w:cs="宋体" w:eastAsia="宋体" w:hint="default"/>
        </w:rPr>
        <w:t>[2013]43</w:t>
      </w:r>
      <w:r>
        <w:rPr/>
        <w:t>号）的相关要求，公 司对原《公司章程》进行了修改：</w:t>
      </w:r>
    </w:p>
    <w:p>
      <w:pPr>
        <w:pStyle w:val="BodyText"/>
        <w:spacing w:line="355" w:lineRule="auto" w:before="33"/>
        <w:ind w:right="0" w:firstLine="421"/>
        <w:jc w:val="left"/>
      </w:pPr>
      <w:r>
        <w:rPr>
          <w:spacing w:val="-1"/>
        </w:rPr>
        <w:t>在第一百五十四条公司的利润分配决策程序中，增加了“独立董事可以征集中小股东的意见，提出分</w:t>
      </w:r>
      <w:r>
        <w:rPr/>
        <w:t> 红提案，并直接提交董事会审议。”的条款；</w:t>
      </w:r>
    </w:p>
    <w:p>
      <w:pPr>
        <w:pStyle w:val="BodyText"/>
        <w:spacing w:line="357" w:lineRule="auto" w:before="33"/>
        <w:ind w:right="1093" w:firstLine="421"/>
        <w:jc w:val="left"/>
      </w:pPr>
      <w:r>
        <w:rPr>
          <w:spacing w:val="-1"/>
        </w:rPr>
        <w:t>在第一百五十五条公司的利润分配政策中，增加了“（二）公司可以采取现金、股票或现金与股票相</w:t>
      </w:r>
      <w:r>
        <w:rPr/>
        <w:t> 结合的方式分配股利。现金股利以人民币支付。现金分红相对于股票股利在利润分配方式中具有优先性， </w:t>
      </w:r>
      <w:r>
        <w:rPr>
          <w:spacing w:val="-1"/>
        </w:rPr>
        <w:t>如具备现金分红条件的，公司应采用现金分红方式进行利润分配。（三）在公司盈利且现金能够满足公司</w:t>
      </w:r>
      <w:r>
        <w:rPr>
          <w:spacing w:val="-84"/>
        </w:rPr>
        <w:t> </w:t>
      </w:r>
      <w:r>
        <w:rPr>
          <w:spacing w:val="-84"/>
        </w:rPr>
      </w:r>
      <w:r>
        <w:rPr>
          <w:spacing w:val="-1"/>
        </w:rPr>
        <w:t>持续经营和长期发展的前提下，任何三个连续年度内，公司以现金方式累计分配的利润不少于最近三年实</w:t>
      </w:r>
      <w:r>
        <w:rPr>
          <w:spacing w:val="-81"/>
        </w:rPr>
        <w:t> </w:t>
      </w:r>
      <w:r>
        <w:rPr>
          <w:spacing w:val="-81"/>
        </w:rPr>
      </w:r>
      <w:r>
        <w:rPr>
          <w:spacing w:val="-1"/>
        </w:rPr>
        <w:t>现的年均可分配利润的百分之三十，公司也可以进行中期现金分红。公司董事会应当综合考虑所处行业特</w:t>
      </w:r>
      <w:r>
        <w:rPr>
          <w:spacing w:val="-81"/>
        </w:rPr>
        <w:t> </w:t>
      </w:r>
      <w:r>
        <w:rPr>
          <w:spacing w:val="-81"/>
        </w:rPr>
      </w:r>
      <w:r>
        <w:rPr>
          <w:spacing w:val="-1"/>
        </w:rPr>
        <w:t>点、发展阶段、自身经营模式、盈利水平以及是否有重大资金支出安排等因素，区分下列情形，提出具体</w:t>
      </w:r>
      <w:r>
        <w:rPr>
          <w:spacing w:val="-83"/>
        </w:rPr>
        <w:t> </w:t>
      </w:r>
      <w:r>
        <w:rPr>
          <w:spacing w:val="-83"/>
        </w:rPr>
      </w:r>
      <w:r>
        <w:rPr/>
        <w:t>现金分红政策</w:t>
      </w: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1</w:t>
      </w:r>
      <w:r>
        <w:rPr/>
        <w:t>、公司发展阶段属成熟期且无重大资金支出安排的，进行利润分配时，现金分红在本次 </w:t>
      </w:r>
      <w:r>
        <w:rPr>
          <w:spacing w:val="-1"/>
        </w:rPr>
        <w:t>利润分配中所占比例最低应达到</w:t>
      </w:r>
      <w:r>
        <w:rPr>
          <w:rFonts w:ascii="宋体" w:hAnsi="宋体" w:cs="宋体" w:eastAsia="宋体" w:hint="default"/>
          <w:spacing w:val="-1"/>
        </w:rPr>
        <w:t>80%</w:t>
      </w:r>
      <w:r>
        <w:rPr>
          <w:spacing w:val="-1"/>
        </w:rPr>
        <w:t>；</w:t>
      </w:r>
      <w:r>
        <w:rPr>
          <w:rFonts w:ascii="宋体" w:hAnsi="宋体" w:cs="宋体" w:eastAsia="宋体" w:hint="default"/>
          <w:spacing w:val="-1"/>
        </w:rPr>
        <w:t>2</w:t>
      </w:r>
      <w:r>
        <w:rPr>
          <w:spacing w:val="-1"/>
        </w:rPr>
        <w:t>、公司发展阶段属成熟期且有重大资金支出安排的，进行利润分配</w:t>
      </w:r>
      <w:r>
        <w:rPr>
          <w:spacing w:val="-84"/>
        </w:rPr>
        <w:t> </w:t>
      </w:r>
      <w:r>
        <w:rPr>
          <w:spacing w:val="-84"/>
        </w:rPr>
      </w:r>
      <w:r>
        <w:rPr>
          <w:spacing w:val="-1"/>
        </w:rPr>
        <w:t>时，现金分红在本次利润分配中所占比例最低应达到</w:t>
      </w:r>
      <w:r>
        <w:rPr>
          <w:rFonts w:ascii="宋体" w:hAnsi="宋体" w:cs="宋体" w:eastAsia="宋体" w:hint="default"/>
          <w:spacing w:val="-1"/>
        </w:rPr>
        <w:t>40%</w:t>
      </w:r>
      <w:r>
        <w:rPr>
          <w:spacing w:val="-1"/>
        </w:rPr>
        <w:t>；</w:t>
      </w:r>
      <w:r>
        <w:rPr>
          <w:rFonts w:ascii="宋体" w:hAnsi="宋体" w:cs="宋体" w:eastAsia="宋体" w:hint="default"/>
          <w:spacing w:val="-1"/>
        </w:rPr>
        <w:t>3</w:t>
      </w:r>
      <w:r>
        <w:rPr>
          <w:spacing w:val="-1"/>
        </w:rPr>
        <w:t>、公司发展阶段属成长期且有重大资金支出安</w:t>
      </w:r>
      <w:r>
        <w:rPr>
          <w:spacing w:val="-84"/>
        </w:rPr>
        <w:t> </w:t>
      </w:r>
      <w:r>
        <w:rPr>
          <w:spacing w:val="-84"/>
        </w:rPr>
      </w:r>
      <w:r>
        <w:rPr/>
        <w:t>排的，进行利润分配时，现金分红在本次利润分配中所占比例最低应达到</w:t>
      </w:r>
      <w:r>
        <w:rPr>
          <w:rFonts w:ascii="宋体" w:hAnsi="宋体" w:cs="宋体" w:eastAsia="宋体" w:hint="default"/>
        </w:rPr>
        <w:t>20%</w:t>
      </w:r>
      <w:r>
        <w:rPr/>
        <w:t>。”，充分保护中小股东的 利益。</w:t>
      </w:r>
    </w:p>
    <w:p>
      <w:pPr>
        <w:spacing w:line="240" w:lineRule="auto" w:before="13"/>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7066"/>
        <w:gridCol w:w="2491"/>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4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4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4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4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4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4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4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4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4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4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4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4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73" w:lineRule="auto" w:before="26"/>
        <w:ind w:left="573" w:right="0" w:hanging="420"/>
        <w:jc w:val="left"/>
      </w:pPr>
      <w:r>
        <w:rPr/>
        <w:t>公司近</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 </w:t>
      </w:r>
      <w:r>
        <w:rPr>
          <w:rFonts w:ascii="宋体" w:hAnsi="宋体" w:cs="宋体" w:eastAsia="宋体" w:hint="default"/>
          <w:spacing w:val="-1"/>
        </w:rPr>
        <w:t>2012</w:t>
      </w:r>
      <w:r>
        <w:rPr>
          <w:spacing w:val="-1"/>
        </w:rPr>
        <w:t>年半年度的分派方案为：以公司</w:t>
      </w:r>
      <w:r>
        <w:rPr>
          <w:rFonts w:ascii="宋体" w:hAnsi="宋体" w:cs="宋体" w:eastAsia="宋体" w:hint="default"/>
          <w:spacing w:val="-1"/>
        </w:rPr>
        <w:t>2012</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日总股本</w:t>
      </w:r>
      <w:r>
        <w:rPr>
          <w:rFonts w:ascii="宋体" w:hAnsi="宋体" w:cs="宋体" w:eastAsia="宋体" w:hint="default"/>
          <w:spacing w:val="-1"/>
        </w:rPr>
        <w:t>104,400,000</w:t>
      </w:r>
      <w:r>
        <w:rPr>
          <w:spacing w:val="-1"/>
        </w:rPr>
        <w:t>股为基数，以资本公积金向全</w:t>
      </w:r>
    </w:p>
    <w:p>
      <w:pPr>
        <w:pStyle w:val="BodyText"/>
        <w:spacing w:line="355" w:lineRule="auto" w:before="105"/>
        <w:ind w:left="573" w:right="0" w:hanging="420"/>
        <w:jc w:val="left"/>
      </w:pPr>
      <w:r>
        <w:rPr>
          <w:spacing w:val="-1"/>
        </w:rPr>
        <w:t>体股东每</w:t>
      </w:r>
      <w:r>
        <w:rPr>
          <w:rFonts w:ascii="宋体" w:hAnsi="宋体" w:cs="宋体" w:eastAsia="宋体" w:hint="default"/>
          <w:spacing w:val="-1"/>
        </w:rPr>
        <w:t>10</w:t>
      </w:r>
      <w:r>
        <w:rPr>
          <w:spacing w:val="-1"/>
        </w:rPr>
        <w:t>股转增</w:t>
      </w:r>
      <w:r>
        <w:rPr>
          <w:rFonts w:ascii="宋体" w:hAnsi="宋体" w:cs="宋体" w:eastAsia="宋体" w:hint="default"/>
          <w:spacing w:val="-1"/>
        </w:rPr>
        <w:t>10</w:t>
      </w:r>
      <w:r>
        <w:rPr>
          <w:spacing w:val="-1"/>
        </w:rPr>
        <w:t>股，转增后，公司总股本增加至</w:t>
      </w:r>
      <w:r>
        <w:rPr>
          <w:rFonts w:ascii="宋体" w:hAnsi="宋体" w:cs="宋体" w:eastAsia="宋体" w:hint="default"/>
          <w:spacing w:val="-1"/>
        </w:rPr>
        <w:t>208,800,000</w:t>
      </w:r>
      <w:r>
        <w:rPr>
          <w:spacing w:val="-1"/>
        </w:rPr>
        <w:t>股。</w:t>
      </w:r>
      <w:r>
        <w:rPr>
          <w:rFonts w:ascii="宋体" w:hAnsi="宋体" w:cs="宋体" w:eastAsia="宋体" w:hint="default"/>
          <w:spacing w:val="-1"/>
        </w:rPr>
        <w:t>2012</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16</w:t>
      </w:r>
      <w:r>
        <w:rPr>
          <w:spacing w:val="-1"/>
        </w:rPr>
        <w:t>日，该方案得以实施；</w:t>
      </w:r>
      <w:r>
        <w:rPr>
          <w:spacing w:val="-77"/>
        </w:rPr>
        <w:t> </w:t>
      </w:r>
      <w:r>
        <w:rPr>
          <w:spacing w:val="-77"/>
        </w:rPr>
      </w:r>
      <w:r>
        <w:rPr>
          <w:rFonts w:ascii="宋体" w:hAnsi="宋体" w:cs="宋体" w:eastAsia="宋体" w:hint="default"/>
        </w:rPr>
        <w:t>2012</w:t>
      </w:r>
      <w:r>
        <w:rPr/>
        <w:t>年度的分派方案为：以公司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208,800,000</w:t>
      </w:r>
      <w:r>
        <w:rPr/>
        <w:t>股为基数，向全体股东每</w:t>
      </w:r>
      <w:r>
        <w:rPr>
          <w:rFonts w:ascii="宋体" w:hAnsi="宋体" w:cs="宋体" w:eastAsia="宋体" w:hint="default"/>
        </w:rPr>
        <w:t>10</w:t>
      </w:r>
      <w:r>
        <w:rPr/>
        <w:t>股派</w:t>
      </w:r>
    </w:p>
    <w:p>
      <w:pPr>
        <w:pStyle w:val="BodyText"/>
        <w:spacing w:line="240" w:lineRule="auto" w:before="33"/>
        <w:ind w:right="0"/>
        <w:jc w:val="left"/>
        <w:rPr>
          <w:rFonts w:ascii="宋体" w:hAnsi="宋体" w:cs="宋体" w:eastAsia="宋体" w:hint="default"/>
        </w:rPr>
      </w:pPr>
      <w:r>
        <w:rPr>
          <w:rFonts w:ascii="宋体" w:hAnsi="宋体" w:cs="宋体" w:eastAsia="宋体" w:hint="default"/>
        </w:rPr>
        <w:t>0.5</w:t>
      </w:r>
      <w:r>
        <w:rPr/>
        <w:t>元人民币现金（含税），共计派发现金</w:t>
      </w:r>
      <w:r>
        <w:rPr>
          <w:rFonts w:ascii="宋体" w:hAnsi="宋体" w:cs="宋体" w:eastAsia="宋体" w:hint="default"/>
        </w:rPr>
        <w:t>10,440,000</w:t>
      </w:r>
      <w:r>
        <w:rPr/>
        <w:t>元，剩余未分配利润结转以后年度进行分配。</w:t>
      </w:r>
      <w:r>
        <w:rPr>
          <w:rFonts w:ascii="宋体" w:hAnsi="宋体" w:cs="宋体" w:eastAsia="宋体" w:hint="default"/>
        </w:rPr>
        <w:t>2013</w:t>
      </w:r>
    </w:p>
    <w:p>
      <w:pPr>
        <w:spacing w:after="0" w:line="240" w:lineRule="auto"/>
        <w:jc w:val="left"/>
        <w:rPr>
          <w:rFonts w:ascii="宋体" w:hAnsi="宋体" w:cs="宋体" w:eastAsia="宋体" w:hint="default"/>
        </w:rPr>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left="574" w:right="0" w:hanging="420"/>
        <w:jc w:val="left"/>
        <w:rPr>
          <w:rFonts w:ascii="宋体" w:hAnsi="宋体" w:cs="宋体" w:eastAsia="宋体" w:hint="default"/>
        </w:rPr>
      </w:pPr>
      <w:r>
        <w:rPr/>
        <w:t>年</w:t>
      </w:r>
      <w:r>
        <w:rPr>
          <w:rFonts w:ascii="宋体" w:hAnsi="宋体" w:cs="宋体" w:eastAsia="宋体" w:hint="default"/>
        </w:rPr>
        <w:t>7</w:t>
      </w:r>
      <w:r>
        <w:rPr/>
        <w:t>月</w:t>
      </w:r>
      <w:r>
        <w:rPr>
          <w:rFonts w:ascii="宋体" w:hAnsi="宋体" w:cs="宋体" w:eastAsia="宋体" w:hint="default"/>
        </w:rPr>
        <w:t>9</w:t>
      </w:r>
      <w:r>
        <w:rPr/>
        <w:t>日，该方案得以实施。 </w:t>
      </w:r>
      <w:r>
        <w:rPr>
          <w:rFonts w:ascii="宋体" w:hAnsi="宋体" w:cs="宋体" w:eastAsia="宋体" w:hint="default"/>
          <w:spacing w:val="-1"/>
        </w:rPr>
        <w:t>2013</w:t>
      </w:r>
      <w:r>
        <w:rPr>
          <w:spacing w:val="-1"/>
        </w:rPr>
        <w:t>年度的分派方案为：以公司</w:t>
      </w: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日总股本</w:t>
      </w:r>
      <w:r>
        <w:rPr>
          <w:rFonts w:ascii="宋体" w:hAnsi="宋体" w:cs="宋体" w:eastAsia="宋体" w:hint="default"/>
          <w:spacing w:val="-1"/>
        </w:rPr>
        <w:t>208,800,000</w:t>
      </w:r>
      <w:r>
        <w:rPr>
          <w:spacing w:val="-1"/>
        </w:rPr>
        <w:t>股为基数，向全体股东每</w:t>
      </w:r>
      <w:r>
        <w:rPr>
          <w:rFonts w:ascii="宋体" w:hAnsi="宋体" w:cs="宋体" w:eastAsia="宋体" w:hint="default"/>
          <w:spacing w:val="-1"/>
        </w:rPr>
        <w:t>10</w:t>
      </w:r>
      <w:r>
        <w:rPr>
          <w:spacing w:val="-1"/>
        </w:rPr>
        <w:t>股派</w:t>
      </w:r>
      <w:r>
        <w:rPr>
          <w:rFonts w:ascii="宋体" w:hAnsi="宋体" w:cs="宋体" w:eastAsia="宋体" w:hint="default"/>
          <w:spacing w:val="-1"/>
        </w:rPr>
        <w:t>1</w:t>
      </w:r>
    </w:p>
    <w:p>
      <w:pPr>
        <w:pStyle w:val="BodyText"/>
        <w:spacing w:line="357" w:lineRule="auto" w:before="33"/>
        <w:ind w:right="0"/>
        <w:jc w:val="left"/>
      </w:pPr>
      <w:r>
        <w:rPr/>
        <w:t>元人民币现金（含税），共计派发现金</w:t>
      </w:r>
      <w:r>
        <w:rPr>
          <w:rFonts w:ascii="宋体" w:hAnsi="宋体" w:cs="宋体" w:eastAsia="宋体" w:hint="default"/>
        </w:rPr>
        <w:t>20,880,000</w:t>
      </w:r>
      <w:r>
        <w:rPr/>
        <w:t>元，剩余未分配利润结转以后年度进行分配。</w:t>
      </w:r>
      <w:r>
        <w:rPr>
          <w:rFonts w:ascii="宋体" w:hAnsi="宋体" w:cs="宋体" w:eastAsia="宋体" w:hint="default"/>
        </w:rPr>
        <w:t>2014</w:t>
      </w:r>
      <w:r>
        <w:rPr/>
        <w:t>年</w:t>
      </w:r>
      <w:r>
        <w:rPr>
          <w:rFonts w:ascii="宋体" w:hAnsi="宋体" w:cs="宋体" w:eastAsia="宋体" w:hint="default"/>
        </w:rPr>
        <w:t>5</w:t>
      </w:r>
      <w:r>
        <w:rPr>
          <w:rFonts w:ascii="宋体" w:hAnsi="宋体" w:cs="宋体" w:eastAsia="宋体" w:hint="default"/>
          <w:spacing w:val="-25"/>
        </w:rPr>
        <w:t> </w:t>
      </w:r>
      <w:r>
        <w:rPr/>
        <w:t>月</w:t>
      </w:r>
      <w:r>
        <w:rPr>
          <w:rFonts w:ascii="宋体" w:hAnsi="宋体" w:cs="宋体" w:eastAsia="宋体" w:hint="default"/>
        </w:rPr>
        <w:t>28</w:t>
      </w:r>
      <w:r>
        <w:rPr/>
        <w:t>日，该方案得以实施。</w:t>
      </w:r>
    </w:p>
    <w:p>
      <w:pPr>
        <w:pStyle w:val="BodyText"/>
        <w:spacing w:line="357" w:lineRule="auto" w:before="31"/>
        <w:ind w:right="1127" w:firstLine="420"/>
        <w:jc w:val="both"/>
      </w:pPr>
      <w:r>
        <w:rPr>
          <w:rFonts w:ascii="宋体" w:hAnsi="宋体" w:cs="宋体" w:eastAsia="宋体" w:hint="default"/>
        </w:rPr>
        <w:t>2014</w:t>
      </w:r>
      <w:r>
        <w:rPr/>
        <w:t>年度的分配预案为：以</w:t>
      </w:r>
      <w:r>
        <w:rPr>
          <w:rFonts w:ascii="宋体" w:hAnsi="宋体" w:cs="宋体" w:eastAsia="宋体" w:hint="default"/>
        </w:rPr>
        <w:t>2015</w:t>
      </w:r>
      <w:r>
        <w:rPr/>
        <w:t>年</w:t>
      </w:r>
      <w:r>
        <w:rPr>
          <w:rFonts w:ascii="宋体" w:hAnsi="宋体" w:cs="宋体" w:eastAsia="宋体" w:hint="default"/>
        </w:rPr>
        <w:t>03</w:t>
      </w:r>
      <w:r>
        <w:rPr/>
        <w:t>月</w:t>
      </w:r>
      <w:r>
        <w:rPr>
          <w:rFonts w:ascii="宋体" w:hAnsi="宋体" w:cs="宋体" w:eastAsia="宋体" w:hint="default"/>
        </w:rPr>
        <w:t>05</w:t>
      </w:r>
      <w:r>
        <w:rPr/>
        <w:t>日的公司总股本</w:t>
      </w:r>
      <w:r>
        <w:rPr>
          <w:rFonts w:ascii="宋体" w:hAnsi="宋体" w:cs="宋体" w:eastAsia="宋体" w:hint="default"/>
        </w:rPr>
        <w:t>261,600,000</w:t>
      </w:r>
      <w:r>
        <w:rPr/>
        <w:t>股为基数，向全体股东每</w:t>
      </w:r>
      <w:r>
        <w:rPr>
          <w:rFonts w:ascii="宋体" w:hAnsi="宋体" w:cs="宋体" w:eastAsia="宋体" w:hint="default"/>
        </w:rPr>
        <w:t>10</w:t>
      </w:r>
      <w:r>
        <w:rPr/>
        <w:t>股 派发现金红利</w:t>
      </w:r>
      <w:r>
        <w:rPr>
          <w:rFonts w:ascii="宋体" w:hAnsi="宋体" w:cs="宋体" w:eastAsia="宋体" w:hint="default"/>
        </w:rPr>
        <w:t>1</w:t>
      </w:r>
      <w:r>
        <w:rPr/>
        <w:t>元人民币（含税），共计派发现金</w:t>
      </w:r>
      <w:r>
        <w:rPr>
          <w:rFonts w:ascii="宋体" w:hAnsi="宋体" w:cs="宋体" w:eastAsia="宋体" w:hint="default"/>
        </w:rPr>
        <w:t>26,160,000</w:t>
      </w:r>
      <w:r>
        <w:rPr/>
        <w:t>元。同时以资本公积金向全体股东每</w:t>
      </w:r>
      <w:r>
        <w:rPr>
          <w:rFonts w:ascii="宋体" w:hAnsi="宋体" w:cs="宋体" w:eastAsia="宋体" w:hint="default"/>
        </w:rPr>
        <w:t>10</w:t>
      </w:r>
      <w:r>
        <w:rPr/>
        <w:t>股转</w:t>
      </w:r>
      <w:r>
        <w:rPr>
          <w:spacing w:val="-23"/>
        </w:rPr>
        <w:t> </w:t>
      </w:r>
      <w:r>
        <w:rPr/>
        <w:t>增</w:t>
      </w:r>
      <w:r>
        <w:rPr>
          <w:rFonts w:ascii="宋体" w:hAnsi="宋体" w:cs="宋体" w:eastAsia="宋体" w:hint="default"/>
        </w:rPr>
        <w:t>12</w:t>
      </w:r>
      <w:r>
        <w:rPr/>
        <w:t>股</w:t>
      </w:r>
      <w:r>
        <w:rPr>
          <w:rFonts w:ascii="宋体" w:hAnsi="宋体" w:cs="宋体" w:eastAsia="宋体" w:hint="default"/>
        </w:rPr>
        <w:t>, </w:t>
      </w:r>
      <w:r>
        <w:rPr/>
        <w:t>转增后</w:t>
      </w:r>
      <w:r>
        <w:rPr>
          <w:rFonts w:ascii="宋体" w:hAnsi="宋体" w:cs="宋体" w:eastAsia="宋体" w:hint="default"/>
        </w:rPr>
        <w:t>,</w:t>
      </w:r>
      <w:r>
        <w:rPr>
          <w:rFonts w:ascii="宋体" w:hAnsi="宋体" w:cs="宋体" w:eastAsia="宋体" w:hint="default"/>
          <w:spacing w:val="-25"/>
        </w:rPr>
        <w:t> </w:t>
      </w:r>
      <w:r>
        <w:rPr/>
        <w:t>公司总股本由</w:t>
      </w:r>
      <w:r>
        <w:rPr>
          <w:rFonts w:ascii="宋体" w:hAnsi="宋体" w:cs="宋体" w:eastAsia="宋体" w:hint="default"/>
        </w:rPr>
        <w:t>261,600,000</w:t>
      </w:r>
      <w:r>
        <w:rPr/>
        <w:t>股增加至</w:t>
      </w:r>
      <w:r>
        <w:rPr>
          <w:rFonts w:ascii="宋体" w:hAnsi="宋体" w:cs="宋体" w:eastAsia="宋体" w:hint="default"/>
        </w:rPr>
        <w:t>575,520,000</w:t>
      </w:r>
      <w:r>
        <w:rPr/>
        <w:t>股。剩余未分配利润结转以后年度进行 分配。该预案尚需股东大会批准。</w:t>
      </w:r>
    </w:p>
    <w:p>
      <w:pPr>
        <w:spacing w:line="240" w:lineRule="auto" w:before="4"/>
        <w:rPr>
          <w:rFonts w:ascii="宋体" w:hAnsi="宋体" w:cs="宋体" w:eastAsia="宋体" w:hint="default"/>
          <w:sz w:val="29"/>
          <w:szCs w:val="29"/>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2"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112,167,858.11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82,294,209.87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77,801,320.40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本报告期利润分配及资本公积金转增股本预案" w:id="53"/>
      <w:bookmarkEnd w:id="53"/>
      <w:r>
        <w:rPr>
          <w:b w:val="0"/>
          <w:bCs w:val="0"/>
        </w:rPr>
      </w:r>
      <w:r>
        <w:rPr/>
        <w:t>十四、本报告期利润分配及资本公积金转增股本预案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261,600,000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26,160,000.00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205,124,770.71</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6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 w:right="0" w:firstLine="357"/>
              <w:jc w:val="left"/>
              <w:rPr>
                <w:rFonts w:ascii="宋体" w:hAnsi="宋体" w:cs="宋体" w:eastAsia="宋体" w:hint="default"/>
                <w:sz w:val="18"/>
                <w:szCs w:val="18"/>
              </w:rPr>
            </w:pPr>
            <w:r>
              <w:rPr>
                <w:rFonts w:ascii="宋体" w:hAnsi="宋体" w:cs="宋体" w:eastAsia="宋体" w:hint="default"/>
                <w:sz w:val="18"/>
                <w:szCs w:val="18"/>
              </w:rPr>
              <w:t>经中勤万信会计师事务所（特殊普通合伙）审计，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年度归属于上市公司股东的净利润为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112,167,858.11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元，母公</w:t>
            </w:r>
          </w:p>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司净利润为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66,855,849.49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66,855,849.49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元为基数，提取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6,685,584.95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减去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年度实施了现金分红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20,880,000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165,834,506.17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年度可供股东分配的利润为</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1"/>
        <w:rPr>
          <w:rFonts w:ascii="宋体" w:hAnsi="宋体" w:cs="宋体" w:eastAsia="宋体" w:hint="default"/>
          <w:sz w:val="28"/>
          <w:szCs w:val="28"/>
        </w:rPr>
      </w:pPr>
    </w:p>
    <w:p>
      <w:pPr>
        <w:spacing w:line="1411" w:lineRule="exact"/>
        <w:ind w:left="154" w:right="0" w:firstLine="0"/>
        <w:rPr>
          <w:rFonts w:ascii="宋体" w:hAnsi="宋体" w:cs="宋体" w:eastAsia="宋体" w:hint="default"/>
          <w:sz w:val="20"/>
          <w:szCs w:val="20"/>
        </w:rPr>
      </w:pPr>
      <w:r>
        <w:rPr>
          <w:rFonts w:ascii="宋体" w:hAnsi="宋体" w:cs="宋体" w:eastAsia="宋体" w:hint="default"/>
          <w:position w:val="-27"/>
          <w:sz w:val="20"/>
          <w:szCs w:val="20"/>
        </w:rPr>
        <w:pict>
          <v:shape style="width:478.45pt;height:70.6pt;mso-position-horizontal-relative:char;mso-position-vertical-relative:line" type="#_x0000_t202" filled="false" stroked="true" strokeweight=".48pt" strokecolor="#000000">
            <w10:anchorlock/>
            <v:textbox inset="0,0,0,0">
              <w:txbxContent>
                <w:p>
                  <w:pPr>
                    <w:spacing w:line="219" w:lineRule="exact" w:before="0"/>
                    <w:ind w:left="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205,124,770.71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元。公司拟按照以下方案实施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w:t>
                  </w:r>
                </w:p>
                <w:p>
                  <w:pPr>
                    <w:spacing w:before="101"/>
                    <w:ind w:left="380" w:right="0" w:firstLine="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日的公</w:t>
                  </w:r>
                  <w:r>
                    <w:rPr>
                      <w:rFonts w:ascii="宋体" w:hAnsi="宋体" w:cs="宋体" w:eastAsia="宋体" w:hint="default"/>
                      <w:spacing w:val="1"/>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261,600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8"/>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8"/>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共</w:t>
                  </w:r>
                </w:p>
                <w:p>
                  <w:pPr>
                    <w:spacing w:before="101"/>
                    <w:ind w:left="22" w:right="0" w:firstLine="0"/>
                    <w:jc w:val="left"/>
                    <w:rPr>
                      <w:rFonts w:ascii="宋体" w:hAnsi="宋体" w:cs="宋体" w:eastAsia="宋体" w:hint="default"/>
                      <w:sz w:val="18"/>
                      <w:szCs w:val="18"/>
                    </w:rPr>
                  </w:pPr>
                  <w:r>
                    <w:rPr>
                      <w:rFonts w:ascii="宋体" w:hAnsi="宋体" w:cs="宋体" w:eastAsia="宋体" w:hint="default"/>
                      <w:sz w:val="18"/>
                      <w:szCs w:val="18"/>
                    </w:rPr>
                    <w:t>计派发现金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26,160,000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元。同时以资本公积金向全体股东每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转增后</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公司总股本由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261,600,000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股增加至</w:t>
                  </w:r>
                </w:p>
                <w:p>
                  <w:pPr>
                    <w:spacing w:before="101"/>
                    <w:ind w:left="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575,520,000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股。剩余未分配利润结转以后年度进行分配。</w:t>
                  </w:r>
                </w:p>
              </w:txbxContent>
            </v:textbox>
          </v:shape>
        </w:pict>
      </w:r>
      <w:r>
        <w:rPr>
          <w:rFonts w:ascii="宋体" w:hAnsi="宋体" w:cs="宋体" w:eastAsia="宋体" w:hint="default"/>
          <w:position w:val="-27"/>
          <w:sz w:val="20"/>
          <w:szCs w:val="20"/>
        </w:rPr>
      </w:r>
    </w:p>
    <w:p>
      <w:pPr>
        <w:spacing w:line="240" w:lineRule="auto" w:before="7"/>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社会责任情况" w:id="54"/>
      <w:bookmarkEnd w:id="54"/>
      <w:r>
        <w:rPr>
          <w:b w:val="0"/>
          <w:bCs w:val="0"/>
        </w:rPr>
      </w:r>
      <w:r>
        <w:rPr/>
        <w:t>十五、社会责任情况</w:t>
      </w:r>
      <w:r>
        <w:rPr>
          <w:b w:val="0"/>
          <w:bCs w:val="0"/>
        </w:rPr>
      </w:r>
    </w:p>
    <w:p>
      <w:pPr>
        <w:spacing w:line="240" w:lineRule="auto" w:before="5"/>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5" w:lineRule="auto" w:before="97"/>
        <w:ind w:left="573" w:right="0"/>
        <w:jc w:val="left"/>
      </w:pPr>
      <w:r>
        <w:rPr/>
        <w:t>公司秉承“让城市更智慧、让建筑更节能”的公司使命，为客户提供建筑智能化及建筑节能服务。 </w:t>
      </w:r>
      <w:r>
        <w:rPr>
          <w:spacing w:val="-1"/>
        </w:rPr>
        <w:t>在健全公司治理结构方面，公司建立了科学有效、权责明确、相互制衡、相互协调的治理结构，获得</w:t>
      </w:r>
    </w:p>
    <w:p>
      <w:pPr>
        <w:pStyle w:val="BodyText"/>
        <w:spacing w:line="355" w:lineRule="auto" w:before="33"/>
        <w:ind w:left="573" w:right="1093" w:hanging="420"/>
        <w:jc w:val="left"/>
      </w:pPr>
      <w:r>
        <w:rPr/>
        <w:t>“2013年中国中小板及创业板上市公司最佳董事会</w:t>
      </w:r>
      <w:r>
        <w:rPr>
          <w:rFonts w:ascii="宋体" w:hAnsi="宋体" w:cs="宋体" w:eastAsia="宋体" w:hint="default"/>
        </w:rPr>
        <w:t>20</w:t>
      </w:r>
      <w:r>
        <w:rPr/>
        <w:t>强”称号； 在维护投资者权益方面，公司通过组织“投资者接待日”、及时回复互动平台问询、接听咨询电话、</w:t>
      </w:r>
    </w:p>
    <w:p>
      <w:pPr>
        <w:pStyle w:val="BodyText"/>
        <w:spacing w:line="357" w:lineRule="auto" w:before="32"/>
        <w:ind w:left="574" w:right="0" w:hanging="420"/>
        <w:jc w:val="left"/>
      </w:pPr>
      <w:r>
        <w:rPr/>
        <w:t>举办网上投资者交流会等方式，与投资者进行积极互动； 在回报股东权益方面，公司实施了</w:t>
      </w:r>
      <w:r>
        <w:rPr>
          <w:rFonts w:ascii="宋体" w:hAnsi="宋体" w:cs="宋体" w:eastAsia="宋体" w:hint="default"/>
        </w:rPr>
        <w:t>2013</w:t>
      </w:r>
      <w:r>
        <w:rPr/>
        <w:t>年度权益分派，向全体股东每</w:t>
      </w:r>
      <w:r>
        <w:rPr>
          <w:rFonts w:ascii="宋体" w:hAnsi="宋体" w:cs="宋体" w:eastAsia="宋体" w:hint="default"/>
        </w:rPr>
        <w:t>10</w:t>
      </w:r>
      <w:r>
        <w:rPr/>
        <w:t>股派</w:t>
      </w:r>
      <w:r>
        <w:rPr>
          <w:rFonts w:ascii="宋体" w:hAnsi="宋体" w:cs="宋体" w:eastAsia="宋体" w:hint="default"/>
        </w:rPr>
        <w:t>1</w:t>
      </w:r>
      <w:r>
        <w:rPr/>
        <w:t>元（含税）现金，自上</w:t>
      </w:r>
    </w:p>
    <w:p>
      <w:pPr>
        <w:pStyle w:val="BodyText"/>
        <w:spacing w:line="357" w:lineRule="auto"/>
        <w:ind w:left="574" w:right="0" w:hanging="420"/>
        <w:jc w:val="left"/>
      </w:pPr>
      <w:r>
        <w:rPr/>
        <w:t>市后连续</w:t>
      </w:r>
      <w:r>
        <w:rPr>
          <w:rFonts w:ascii="宋体" w:hAnsi="宋体" w:cs="宋体" w:eastAsia="宋体" w:hint="default"/>
        </w:rPr>
        <w:t>4</w:t>
      </w:r>
      <w:r>
        <w:rPr/>
        <w:t>年实施了分派方案； </w:t>
      </w:r>
      <w:r>
        <w:rPr>
          <w:spacing w:val="-1"/>
        </w:rPr>
        <w:t>在履行信息披露义务方面，公司报告期内共完成</w:t>
      </w:r>
      <w:r>
        <w:rPr>
          <w:rFonts w:ascii="宋体" w:hAnsi="宋体" w:cs="宋体" w:eastAsia="宋体" w:hint="default"/>
          <w:spacing w:val="-1"/>
        </w:rPr>
        <w:t>38</w:t>
      </w:r>
      <w:r>
        <w:rPr>
          <w:spacing w:val="-1"/>
        </w:rPr>
        <w:t>次信息披露，并进行了适当的主动性披露，</w:t>
      </w:r>
      <w:r>
        <w:rPr>
          <w:rFonts w:ascii="宋体" w:hAnsi="宋体" w:cs="宋体" w:eastAsia="宋体" w:hint="default"/>
          <w:spacing w:val="-1"/>
        </w:rPr>
        <w:t>2013</w:t>
      </w:r>
      <w:r>
        <w:rPr>
          <w:spacing w:val="-1"/>
        </w:rPr>
        <w:t>年</w:t>
      </w:r>
    </w:p>
    <w:p>
      <w:pPr>
        <w:pStyle w:val="BodyText"/>
        <w:spacing w:line="357" w:lineRule="auto"/>
        <w:ind w:left="574" w:right="0" w:hanging="420"/>
        <w:jc w:val="left"/>
      </w:pPr>
      <w:r>
        <w:rPr/>
        <w:t>度信息披露考核结果为</w:t>
      </w:r>
      <w:r>
        <w:rPr>
          <w:rFonts w:ascii="宋体" w:hAnsi="宋体" w:cs="宋体" w:eastAsia="宋体" w:hint="default"/>
        </w:rPr>
        <w:t>B</w:t>
      </w:r>
      <w:r>
        <w:rPr/>
        <w:t>； 在诚信经营、确保产品与服务质量方面，公司连续十二年被评为</w:t>
      </w:r>
      <w:r>
        <w:rPr>
          <w:rFonts w:ascii="宋体" w:hAnsi="宋体" w:cs="宋体" w:eastAsia="宋体" w:hint="default"/>
        </w:rPr>
        <w:t>AAA</w:t>
      </w:r>
      <w:r>
        <w:rPr/>
        <w:t>资信等级，实施的深圳坪山（腾</w:t>
      </w:r>
    </w:p>
    <w:p>
      <w:pPr>
        <w:pStyle w:val="BodyText"/>
        <w:spacing w:line="355" w:lineRule="auto"/>
        <w:ind w:left="573" w:right="0" w:hanging="420"/>
        <w:jc w:val="left"/>
      </w:pPr>
      <w:r>
        <w:rPr/>
        <w:t>讯）数据中心被中国数据中心工作组评为年度优秀数据中心； 在可持续发展与节约资源方面，公司推出建筑节能与工业节能产品，以合同能源管理（</w:t>
      </w:r>
      <w:r>
        <w:rPr>
          <w:rFonts w:ascii="宋体" w:hAnsi="宋体" w:cs="宋体" w:eastAsia="宋体" w:hint="default"/>
        </w:rPr>
        <w:t>EPC</w:t>
      </w:r>
      <w:r>
        <w:rPr/>
        <w:t>）投资方</w:t>
      </w:r>
    </w:p>
    <w:p>
      <w:pPr>
        <w:pStyle w:val="BodyText"/>
        <w:spacing w:line="355" w:lineRule="auto" w:before="33"/>
        <w:ind w:left="574" w:right="0" w:hanging="420"/>
        <w:jc w:val="left"/>
      </w:pPr>
      <w:r>
        <w:rPr/>
        <w:t>式，帮助客户实现节能减排； </w:t>
      </w:r>
      <w:r>
        <w:rPr>
          <w:spacing w:val="-1"/>
        </w:rPr>
        <w:t>在职工权益保护方面，公司为员工购买“五险”、商业保险及住房公积金，积极做好劳动安全防护措</w:t>
      </w:r>
    </w:p>
    <w:p>
      <w:pPr>
        <w:pStyle w:val="BodyText"/>
        <w:spacing w:line="240" w:lineRule="auto" w:before="33"/>
        <w:ind w:right="0"/>
        <w:jc w:val="left"/>
      </w:pPr>
      <w:r>
        <w:rPr/>
        <w:t>施；</w:t>
      </w:r>
    </w:p>
    <w:p>
      <w:pPr>
        <w:pStyle w:val="BodyText"/>
        <w:spacing w:line="357" w:lineRule="auto" w:before="133"/>
        <w:ind w:right="0" w:firstLine="420"/>
        <w:jc w:val="left"/>
      </w:pPr>
      <w:r>
        <w:rPr>
          <w:spacing w:val="-1"/>
        </w:rPr>
        <w:t>在节能宣传方面，公司利用自有办公场地建设的展厅，被评为广东省、深圳市的建筑节能科普教育基</w:t>
      </w:r>
      <w:r>
        <w:rPr/>
        <w:t> 地，全年接待</w:t>
      </w:r>
      <w:r>
        <w:rPr>
          <w:rFonts w:ascii="宋体" w:hAnsi="宋体" w:cs="宋体" w:eastAsia="宋体" w:hint="default"/>
        </w:rPr>
        <w:t>800</w:t>
      </w:r>
      <w:r>
        <w:rPr/>
        <w:t>余次，累计向近</w:t>
      </w:r>
      <w:r>
        <w:rPr>
          <w:rFonts w:ascii="宋体" w:hAnsi="宋体" w:cs="宋体" w:eastAsia="宋体" w:hint="default"/>
        </w:rPr>
        <w:t>6000</w:t>
      </w:r>
      <w:r>
        <w:rPr/>
        <w:t>余人宣传了节能科普知识。</w:t>
      </w:r>
    </w:p>
    <w:p>
      <w:pPr>
        <w:spacing w:before="115"/>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38" w:lineRule="auto" w:before="117"/>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40" w:lineRule="auto" w:before="42"/>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六、报告期内接待调研、沟通、采访等活动登记表" w:id="55"/>
      <w:bookmarkEnd w:id="55"/>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916"/>
        <w:gridCol w:w="992"/>
        <w:gridCol w:w="1276"/>
        <w:gridCol w:w="2805"/>
        <w:gridCol w:w="2075"/>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2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7" w:right="35"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bl>
    <w:p>
      <w:pPr>
        <w:spacing w:after="0" w:line="316"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32.23999pt;margin-top:206.299988pt;width:101.6pt;height:17.650pt;mso-position-horizontal-relative:page;mso-position-vertical-relative:page;z-index:-808264" coordorigin="8645,4126" coordsize="2032,353">
            <v:shape style="position:absolute;left:8645;top:4126;width:2032;height:353" coordorigin="8645,4126" coordsize="2032,353" path="m8645,4479l10676,4479,10676,4126,8645,4126,8645,44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916"/>
        <w:gridCol w:w="992"/>
        <w:gridCol w:w="1276"/>
        <w:gridCol w:w="2805"/>
        <w:gridCol w:w="2087"/>
      </w:tblGrid>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广发基金、南方基金、平安资产、 中银基金、宏源证券、 金鹰基金、 </w:t>
            </w:r>
            <w:r>
              <w:rPr>
                <w:rFonts w:ascii="宋体" w:hAnsi="宋体" w:cs="宋体" w:eastAsia="宋体" w:hint="default"/>
                <w:spacing w:val="-10"/>
                <w:sz w:val="18"/>
                <w:szCs w:val="18"/>
              </w:rPr>
              <w:t>澳银基金、信诚基金、华夏基金、</w:t>
            </w:r>
            <w:r>
              <w:rPr>
                <w:rFonts w:ascii="宋体" w:hAnsi="宋体" w:cs="宋体" w:eastAsia="宋体" w:hint="default"/>
                <w:spacing w:val="-75"/>
                <w:sz w:val="18"/>
                <w:szCs w:val="18"/>
              </w:rPr>
              <w:t> </w:t>
            </w:r>
            <w:r>
              <w:rPr>
                <w:rFonts w:ascii="宋体" w:hAnsi="宋体" w:cs="宋体" w:eastAsia="宋体" w:hint="default"/>
                <w:sz w:val="18"/>
                <w:szCs w:val="18"/>
              </w:rPr>
              <w:t>嘉</w:t>
            </w:r>
            <w:r>
              <w:rPr>
                <w:rFonts w:ascii="宋体" w:hAnsi="宋体" w:cs="宋体" w:eastAsia="宋体" w:hint="default"/>
                <w:sz w:val="18"/>
                <w:szCs w:val="18"/>
              </w:rPr>
              <w:t> 实基金、安信基金、中海基金、金 元证券、润晖投资</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公司主营业务的开展情况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博时基金、太平资产</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公司主营业务的开展情况 及并购规划</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805"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光大证券、东方证券、银河证券、 </w:t>
            </w:r>
            <w:r>
              <w:rPr>
                <w:rFonts w:ascii="宋体" w:hAnsi="宋体" w:cs="宋体" w:eastAsia="宋体" w:hint="default"/>
                <w:spacing w:val="-5"/>
                <w:sz w:val="18"/>
                <w:szCs w:val="18"/>
              </w:rPr>
              <w:t>中投证券、招商基金、新价值投资、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南方基金、景顺长城基金、锦洋投</w:t>
            </w:r>
            <w:r>
              <w:rPr>
                <w:rFonts w:ascii="宋体" w:hAnsi="宋体" w:cs="宋体" w:eastAsia="宋体" w:hint="default"/>
                <w:sz w:val="18"/>
                <w:szCs w:val="18"/>
              </w:rPr>
              <w:t> 资、明华信德投资、中信证券、安 信基金、安信证券</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1" w:right="72"/>
              <w:jc w:val="left"/>
              <w:rPr>
                <w:rFonts w:ascii="宋体" w:hAnsi="宋体" w:cs="宋体" w:eastAsia="宋体" w:hint="default"/>
                <w:sz w:val="18"/>
                <w:szCs w:val="18"/>
              </w:rPr>
            </w:pPr>
            <w:r>
              <w:rPr>
                <w:rFonts w:ascii="宋体" w:hAnsi="宋体" w:cs="宋体" w:eastAsia="宋体" w:hint="default"/>
                <w:sz w:val="18"/>
                <w:szCs w:val="18"/>
              </w:rPr>
              <w:t>公司主营业务的开展情 况、并购规划及非公开发 行股份的有关情况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5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南方基金、景顺长城、长城基金、 太平资产、安信证券、前海人寿保 险、广发证劵、金元证券、华泰联 合证券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公司主营业务的开展情 况、并购规划及未来业务 方向。</w:t>
            </w:r>
          </w:p>
        </w:tc>
      </w:tr>
      <w:tr>
        <w:trPr>
          <w:trHeight w:val="227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通过江海证券、浙商证券、方正证 券、东方证券、兴业证券、国泰君 安、中邮证券、渤海证券、西南证 券、安信证券、中银国际、华融证 券、申银万国、中投证券、万联证 券、华泰证券、国海证券报名的约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公司主营业务的开展情况 及现金流情况。</w:t>
            </w:r>
          </w:p>
        </w:tc>
      </w:tr>
    </w:tbl>
    <w:p>
      <w:pPr>
        <w:spacing w:after="0" w:line="319"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4729"/>
        <w:jc w:val="center"/>
        <w:rPr>
          <w:b w:val="0"/>
          <w:bCs w:val="0"/>
        </w:rPr>
      </w:pPr>
      <w:bookmarkStart w:name="第五节 重要事项" w:id="56"/>
      <w:bookmarkEnd w:id="56"/>
      <w:r>
        <w:rPr>
          <w:b w:val="0"/>
          <w:bCs w:val="0"/>
        </w:rPr>
      </w:r>
      <w:bookmarkStart w:name="_bookmark4" w:id="57"/>
      <w:bookmarkEnd w:id="57"/>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58"/>
      <w:bookmarkEnd w:id="58"/>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59"/>
      <w:bookmarkEnd w:id="59"/>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60"/>
      <w:bookmarkEnd w:id="60"/>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61"/>
      <w:bookmarkEnd w:id="61"/>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62"/>
      <w:bookmarkEnd w:id="62"/>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63"/>
      <w:bookmarkEnd w:id="63"/>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公司报告期未收购资产。</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出售资产情况" w:id="64"/>
      <w:bookmarkEnd w:id="64"/>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公司报告期未出售资产。</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企业合并情况" w:id="65"/>
      <w:bookmarkEnd w:id="65"/>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6"/>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5" w:lineRule="auto" w:before="97"/>
        <w:ind w:right="0" w:firstLine="336"/>
        <w:jc w:val="left"/>
      </w:pPr>
      <w:r>
        <w:rPr/>
        <w:t>本报告期子公司达实联欣以</w:t>
      </w:r>
      <w:r>
        <w:rPr>
          <w:rFonts w:ascii="宋体" w:hAnsi="宋体" w:cs="宋体" w:eastAsia="宋体" w:hint="default"/>
        </w:rPr>
        <w:t>1,710</w:t>
      </w:r>
      <w:r>
        <w:rPr/>
        <w:t>万元收购上海腾隆</w:t>
      </w:r>
      <w:r>
        <w:rPr>
          <w:rFonts w:ascii="宋体" w:hAnsi="宋体" w:cs="宋体" w:eastAsia="宋体" w:hint="default"/>
        </w:rPr>
        <w:t>100%</w:t>
      </w:r>
      <w:r>
        <w:rPr/>
        <w:t>股权。该项收购已于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29</w:t>
      </w:r>
      <w:r>
        <w:rPr/>
        <w:t>日完成，本</w:t>
      </w:r>
      <w:r>
        <w:rPr>
          <w:spacing w:val="1"/>
        </w:rPr>
        <w:t> </w:t>
      </w:r>
      <w:r>
        <w:rPr/>
        <w:t>报告期上海腾隆纳入合并报表范围。</w:t>
      </w:r>
    </w:p>
    <w:p>
      <w:pPr>
        <w:spacing w:after="0" w:line="355" w:lineRule="auto"/>
        <w:jc w:val="left"/>
        <w:sectPr>
          <w:pgSz w:w="11910" w:h="16840"/>
          <w:pgMar w:header="87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公司股权激励的实施情况及其影响" w:id="66"/>
      <w:bookmarkEnd w:id="66"/>
      <w:r>
        <w:rPr>
          <w:b w:val="0"/>
          <w:bCs w:val="0"/>
        </w:rPr>
      </w:r>
      <w:r>
        <w:rPr/>
        <w:t>六、公司股权激励的实施情况及其影响</w:t>
      </w:r>
      <w:r>
        <w:rPr>
          <w:b w:val="0"/>
          <w:bCs w:val="0"/>
        </w:rPr>
      </w:r>
    </w:p>
    <w:p>
      <w:pPr>
        <w:spacing w:line="240" w:lineRule="auto" w:before="5"/>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97"/>
        <w:ind w:right="1131" w:firstLine="360"/>
        <w:jc w:val="both"/>
      </w:pPr>
      <w:r>
        <w:rPr/>
        <w:t>经公司第五届董事会第八次会议审议批准，公司第一期限制性股票激励计划第二个解锁期解锁条件满 </w:t>
      </w:r>
      <w:r>
        <w:rPr>
          <w:spacing w:val="-1"/>
        </w:rPr>
        <w:t>足。根据公司</w:t>
      </w:r>
      <w:r>
        <w:rPr>
          <w:rFonts w:ascii="宋体" w:hAnsi="宋体" w:cs="宋体" w:eastAsia="宋体" w:hint="default"/>
          <w:spacing w:val="-1"/>
        </w:rPr>
        <w:t>2012</w:t>
      </w:r>
      <w:r>
        <w:rPr>
          <w:spacing w:val="-1"/>
        </w:rPr>
        <w:t>年第一次临时股东大会的授权，董事会已按照激励计划的相关规定办理了第二期限制性</w:t>
      </w:r>
      <w:r>
        <w:rPr>
          <w:spacing w:val="-80"/>
        </w:rPr>
        <w:t> </w:t>
      </w:r>
      <w:r>
        <w:rPr>
          <w:spacing w:val="-80"/>
        </w:rPr>
      </w:r>
      <w:r>
        <w:rPr>
          <w:spacing w:val="-1"/>
        </w:rPr>
        <w:t>股票的解锁事宜。第二期解锁的股份数量为</w:t>
      </w:r>
      <w:r>
        <w:rPr>
          <w:rFonts w:ascii="宋体" w:hAnsi="宋体" w:cs="宋体" w:eastAsia="宋体" w:hint="default"/>
          <w:spacing w:val="-1"/>
        </w:rPr>
        <w:t>180</w:t>
      </w:r>
      <w:r>
        <w:rPr>
          <w:spacing w:val="-1"/>
        </w:rPr>
        <w:t>万股，已于</w:t>
      </w: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日上市流通，高级管理人员的股份</w:t>
      </w:r>
      <w:r>
        <w:rPr>
          <w:spacing w:val="-83"/>
        </w:rPr>
        <w:t> </w:t>
      </w:r>
      <w:r>
        <w:rPr>
          <w:spacing w:val="-83"/>
        </w:rPr>
      </w:r>
      <w:r>
        <w:rPr>
          <w:spacing w:val="-1"/>
        </w:rPr>
        <w:t>按照深圳证券交易所的要求进行了锁定。上述事宜详见《关于限制性股票激励计划第二期解锁的公告》及</w:t>
      </w:r>
    </w:p>
    <w:p>
      <w:pPr>
        <w:pStyle w:val="BodyText"/>
        <w:spacing w:line="355" w:lineRule="auto" w:before="31"/>
        <w:ind w:right="0"/>
        <w:jc w:val="left"/>
      </w:pPr>
      <w:r>
        <w:rPr/>
        <w:t>《关于限制性股票激励计划第二期解锁股份上市流通的提示性公告》，分别刊登于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18</w:t>
      </w:r>
      <w:r>
        <w:rPr/>
        <w:t>日、</w:t>
      </w:r>
      <w:r>
        <w:rPr>
          <w:rFonts w:ascii="宋体" w:hAnsi="宋体" w:cs="宋体" w:eastAsia="宋体" w:hint="default"/>
        </w:rPr>
        <w:t>2014</w:t>
      </w:r>
      <w:r>
        <w:rPr>
          <w:rFonts w:ascii="宋体" w:hAnsi="宋体" w:cs="宋体" w:eastAsia="宋体" w:hint="default"/>
          <w:spacing w:val="-29"/>
        </w:rPr>
        <w:t> </w:t>
      </w:r>
      <w:r>
        <w:rPr/>
        <w:t>年</w:t>
      </w:r>
      <w:r>
        <w:rPr>
          <w:rFonts w:ascii="宋体" w:hAnsi="宋体" w:cs="宋体" w:eastAsia="宋体" w:hint="default"/>
        </w:rPr>
        <w:t>6</w:t>
      </w:r>
      <w:r>
        <w:rPr/>
        <w:t>月</w:t>
      </w:r>
      <w:r>
        <w:rPr>
          <w:rFonts w:ascii="宋体" w:hAnsi="宋体" w:cs="宋体" w:eastAsia="宋体" w:hint="default"/>
        </w:rPr>
        <w:t>26</w:t>
      </w:r>
      <w:r>
        <w:rPr/>
        <w:t>日《证券时报》、《中国证券报》及巨潮资讯网（</w:t>
      </w:r>
      <w:hyperlink r:id="rId11">
        <w:r>
          <w:rPr>
            <w:rFonts w:ascii="宋体" w:hAnsi="宋体" w:cs="宋体" w:eastAsia="宋体" w:hint="default"/>
          </w:rPr>
          <w:t>htpp://www.cninfo.com.cn</w:t>
        </w:r>
      </w:hyperlink>
      <w:r>
        <w:rPr/>
        <w:t>）。</w:t>
      </w:r>
    </w:p>
    <w:p>
      <w:pPr>
        <w:pStyle w:val="BodyText"/>
        <w:spacing w:line="357" w:lineRule="auto" w:before="32"/>
        <w:ind w:right="1023" w:firstLine="421"/>
        <w:jc w:val="left"/>
      </w:pPr>
      <w:r>
        <w:rPr/>
        <w:t>经公司</w:t>
      </w:r>
      <w:r>
        <w:rPr>
          <w:rFonts w:ascii="宋体" w:hAnsi="宋体" w:cs="宋体" w:eastAsia="宋体" w:hint="default"/>
        </w:rPr>
        <w:t>2015</w:t>
      </w:r>
      <w:r>
        <w:rPr/>
        <w:t>年第一次临时股东大会及第五届董事会第十三次会议审议批准，公司启动了第二期限制性 </w:t>
      </w:r>
      <w:r>
        <w:rPr>
          <w:spacing w:val="-1"/>
        </w:rPr>
        <w:t>股票激励计划，向高级管理人员、中层管理人员及核心技术（业务）人员授予限制性股票</w:t>
      </w:r>
      <w:r>
        <w:rPr>
          <w:rFonts w:ascii="宋体" w:hAnsi="宋体" w:cs="宋体" w:eastAsia="宋体" w:hint="default"/>
          <w:spacing w:val="-1"/>
        </w:rPr>
        <w:t>644</w:t>
      </w:r>
      <w:r>
        <w:rPr>
          <w:spacing w:val="-1"/>
        </w:rPr>
        <w:t>万股。其中，</w:t>
      </w:r>
      <w:r>
        <w:rPr>
          <w:spacing w:val="-81"/>
        </w:rPr>
        <w:t> </w:t>
      </w:r>
      <w:r>
        <w:rPr>
          <w:spacing w:val="-81"/>
        </w:rPr>
      </w:r>
      <w:r>
        <w:rPr/>
        <w:t>首次授予</w:t>
      </w:r>
      <w:r>
        <w:rPr>
          <w:rFonts w:ascii="宋体" w:hAnsi="宋体" w:cs="宋体" w:eastAsia="宋体" w:hint="default"/>
        </w:rPr>
        <w:t>580</w:t>
      </w:r>
      <w:r>
        <w:rPr/>
        <w:t>万股，激励对象涉及</w:t>
      </w:r>
      <w:r>
        <w:rPr>
          <w:rFonts w:ascii="宋体" w:hAnsi="宋体" w:cs="宋体" w:eastAsia="宋体" w:hint="default"/>
        </w:rPr>
        <w:t>193</w:t>
      </w:r>
      <w:r>
        <w:rPr/>
        <w:t>人，预留</w:t>
      </w:r>
      <w:r>
        <w:rPr>
          <w:rFonts w:ascii="宋体" w:hAnsi="宋体" w:cs="宋体" w:eastAsia="宋体" w:hint="default"/>
        </w:rPr>
        <w:t>64</w:t>
      </w:r>
      <w:r>
        <w:rPr/>
        <w:t>万股，激励计划的有效期为</w:t>
      </w:r>
      <w:r>
        <w:rPr>
          <w:rFonts w:ascii="宋体" w:hAnsi="宋体" w:cs="宋体" w:eastAsia="宋体" w:hint="default"/>
        </w:rPr>
        <w:t>4</w:t>
      </w:r>
      <w:r>
        <w:rPr/>
        <w:t>年，在满足规定的解锁条件</w:t>
      </w:r>
      <w:r>
        <w:rPr>
          <w:spacing w:val="-33"/>
        </w:rPr>
        <w:t> </w:t>
      </w:r>
      <w:r>
        <w:rPr>
          <w:spacing w:val="-33"/>
        </w:rPr>
      </w:r>
      <w:r>
        <w:rPr/>
        <w:t>时，激励对象按照考核结果可分三次申请对应股份的解锁。</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5</w:t>
      </w:r>
      <w:r>
        <w:rPr/>
        <w:t>日，公司完成了首期授予股份的上 市登记事宜。具体内容详见《第二期限制性股票激励计划（草案）》、《第二期限制性股票激励计划（草 案修订稿）》、《关于对第二期限制性股票激励计划进行调整的公告》、《关于向激励对象授予限制性股 </w:t>
      </w:r>
      <w:r>
        <w:rPr>
          <w:spacing w:val="-5"/>
        </w:rPr>
        <w:t>票的公告》、《关于第二期限制性股票激励计划首次授予完成的公告》，分别刊登于</w:t>
      </w:r>
      <w:r>
        <w:rPr>
          <w:rFonts w:ascii="宋体" w:hAnsi="宋体" w:cs="宋体" w:eastAsia="宋体" w:hint="default"/>
          <w:spacing w:val="-5"/>
        </w:rPr>
        <w:t>2014</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11</w:t>
      </w:r>
      <w:r>
        <w:rPr>
          <w:spacing w:val="-5"/>
        </w:rPr>
        <w:t>日、</w:t>
      </w:r>
      <w:r>
        <w:rPr>
          <w:rFonts w:ascii="宋体" w:hAnsi="宋体" w:cs="宋体" w:eastAsia="宋体" w:hint="default"/>
          <w:spacing w:val="-5"/>
        </w:rPr>
        <w:t>2014</w:t>
      </w:r>
      <w:r>
        <w:rPr>
          <w:rFonts w:ascii="宋体" w:hAnsi="宋体" w:cs="宋体" w:eastAsia="宋体" w:hint="default"/>
          <w:spacing w:val="-76"/>
        </w:rPr>
        <w:t> </w:t>
      </w:r>
      <w:r>
        <w:rPr/>
        <w:t>年</w:t>
      </w:r>
      <w:r>
        <w:rPr>
          <w:spacing w:val="-68"/>
        </w:rPr>
        <w:t> </w:t>
      </w:r>
      <w:r>
        <w:rPr>
          <w:rFonts w:ascii="宋体" w:hAnsi="宋体" w:cs="宋体" w:eastAsia="宋体" w:hint="default"/>
        </w:rPr>
        <w:t>11</w:t>
      </w:r>
      <w:r>
        <w:rPr>
          <w:rFonts w:ascii="宋体" w:hAnsi="宋体" w:cs="宋体" w:eastAsia="宋体" w:hint="default"/>
          <w:spacing w:val="-67"/>
        </w:rPr>
        <w:t> </w:t>
      </w:r>
      <w:r>
        <w:rPr/>
        <w:t>月</w:t>
      </w:r>
      <w:r>
        <w:rPr>
          <w:spacing w:val="-68"/>
        </w:rPr>
        <w:t> </w:t>
      </w:r>
      <w:r>
        <w:rPr>
          <w:rFonts w:ascii="宋体" w:hAnsi="宋体" w:cs="宋体" w:eastAsia="宋体" w:hint="default"/>
        </w:rPr>
        <w:t>20</w:t>
      </w:r>
      <w:r>
        <w:rPr>
          <w:rFonts w:ascii="宋体" w:hAnsi="宋体" w:cs="宋体" w:eastAsia="宋体" w:hint="default"/>
          <w:spacing w:val="-69"/>
        </w:rPr>
        <w:t> </w:t>
      </w:r>
      <w:r>
        <w:rPr>
          <w:spacing w:val="19"/>
        </w:rPr>
        <w:t>日、</w:t>
      </w:r>
      <w:r>
        <w:rPr>
          <w:spacing w:val="-68"/>
        </w:rPr>
        <w:t> </w:t>
      </w:r>
      <w:r>
        <w:rPr>
          <w:rFonts w:ascii="宋体" w:hAnsi="宋体" w:cs="宋体" w:eastAsia="宋体" w:hint="default"/>
        </w:rPr>
        <w:t>2015</w:t>
      </w:r>
      <w:r>
        <w:rPr>
          <w:rFonts w:ascii="宋体" w:hAnsi="宋体" w:cs="宋体" w:eastAsia="宋体" w:hint="default"/>
          <w:spacing w:val="-68"/>
        </w:rPr>
        <w:t> </w:t>
      </w:r>
      <w:r>
        <w:rPr/>
        <w:t>年</w:t>
      </w:r>
      <w:r>
        <w:rPr>
          <w:spacing w:val="-69"/>
        </w:rPr>
        <w:t> </w:t>
      </w:r>
      <w:r>
        <w:rPr>
          <w:rFonts w:ascii="宋体" w:hAnsi="宋体" w:cs="宋体" w:eastAsia="宋体" w:hint="default"/>
        </w:rPr>
        <w:t>1</w:t>
      </w:r>
      <w:r>
        <w:rPr>
          <w:rFonts w:ascii="宋体" w:hAnsi="宋体" w:cs="宋体" w:eastAsia="宋体" w:hint="default"/>
          <w:spacing w:val="-67"/>
        </w:rPr>
        <w:t> </w:t>
      </w:r>
      <w:r>
        <w:rPr/>
        <w:t>月</w:t>
      </w:r>
      <w:r>
        <w:rPr>
          <w:spacing w:val="-69"/>
        </w:rPr>
        <w:t> </w:t>
      </w:r>
      <w:r>
        <w:rPr>
          <w:rFonts w:ascii="宋体" w:hAnsi="宋体" w:cs="宋体" w:eastAsia="宋体" w:hint="default"/>
        </w:rPr>
        <w:t>6</w:t>
      </w:r>
      <w:r>
        <w:rPr>
          <w:rFonts w:ascii="宋体" w:hAnsi="宋体" w:cs="宋体" w:eastAsia="宋体" w:hint="default"/>
          <w:spacing w:val="-67"/>
        </w:rPr>
        <w:t> </w:t>
      </w:r>
      <w:r>
        <w:rPr>
          <w:spacing w:val="19"/>
        </w:rPr>
        <w:t>日、</w:t>
      </w:r>
      <w:r>
        <w:rPr>
          <w:spacing w:val="-69"/>
        </w:rPr>
        <w:t> </w:t>
      </w:r>
      <w:r>
        <w:rPr>
          <w:rFonts w:ascii="宋体" w:hAnsi="宋体" w:cs="宋体" w:eastAsia="宋体" w:hint="default"/>
        </w:rPr>
        <w:t>2015</w:t>
      </w:r>
      <w:r>
        <w:rPr>
          <w:rFonts w:ascii="宋体" w:hAnsi="宋体" w:cs="宋体" w:eastAsia="宋体" w:hint="default"/>
          <w:spacing w:val="-68"/>
        </w:rPr>
        <w:t> </w:t>
      </w:r>
      <w:r>
        <w:rPr/>
        <w:t>年</w:t>
      </w:r>
      <w:r>
        <w:rPr>
          <w:spacing w:val="-69"/>
        </w:rPr>
        <w:t> </w:t>
      </w:r>
      <w:r>
        <w:rPr>
          <w:rFonts w:ascii="宋体" w:hAnsi="宋体" w:cs="宋体" w:eastAsia="宋体" w:hint="default"/>
        </w:rPr>
        <w:t>2</w:t>
      </w:r>
      <w:r>
        <w:rPr>
          <w:rFonts w:ascii="宋体" w:hAnsi="宋体" w:cs="宋体" w:eastAsia="宋体" w:hint="default"/>
          <w:spacing w:val="-67"/>
        </w:rPr>
        <w:t> </w:t>
      </w:r>
      <w:r>
        <w:rPr/>
        <w:t>月</w:t>
      </w:r>
      <w:r>
        <w:rPr>
          <w:spacing w:val="-69"/>
        </w:rPr>
        <w:t> </w:t>
      </w:r>
      <w:r>
        <w:rPr>
          <w:rFonts w:ascii="宋体" w:hAnsi="宋体" w:cs="宋体" w:eastAsia="宋体" w:hint="default"/>
        </w:rPr>
        <w:t>5</w:t>
      </w:r>
      <w:r>
        <w:rPr>
          <w:rFonts w:ascii="宋体" w:hAnsi="宋体" w:cs="宋体" w:eastAsia="宋体" w:hint="default"/>
          <w:spacing w:val="-69"/>
        </w:rPr>
        <w:t> </w:t>
      </w:r>
      <w:r>
        <w:rPr/>
        <w:t>日</w:t>
      </w:r>
      <w:r>
        <w:rPr>
          <w:spacing w:val="-68"/>
        </w:rPr>
        <w:t> </w:t>
      </w:r>
      <w:r>
        <w:rPr/>
        <w:t>《</w:t>
      </w:r>
      <w:r>
        <w:rPr>
          <w:spacing w:val="-68"/>
        </w:rPr>
        <w:t> </w:t>
      </w:r>
      <w:r>
        <w:rPr/>
        <w:t>证</w:t>
      </w:r>
      <w:r>
        <w:rPr>
          <w:spacing w:val="-68"/>
        </w:rPr>
        <w:t> </w:t>
      </w:r>
      <w:r>
        <w:rPr/>
        <w:t>券</w:t>
      </w:r>
      <w:r>
        <w:rPr>
          <w:spacing w:val="-70"/>
        </w:rPr>
        <w:t> </w:t>
      </w:r>
      <w:r>
        <w:rPr/>
        <w:t>时</w:t>
      </w:r>
      <w:r>
        <w:rPr>
          <w:spacing w:val="-68"/>
        </w:rPr>
        <w:t> </w:t>
      </w:r>
      <w:r>
        <w:rPr/>
        <w:t>报</w:t>
      </w:r>
      <w:r>
        <w:rPr>
          <w:spacing w:val="-68"/>
        </w:rPr>
        <w:t> </w:t>
      </w:r>
      <w:r>
        <w:rPr/>
        <w:t>》</w:t>
      </w:r>
      <w:r>
        <w:rPr>
          <w:spacing w:val="-68"/>
        </w:rPr>
        <w:t> </w:t>
      </w:r>
      <w:r>
        <w:rPr/>
        <w:t>、</w:t>
      </w:r>
      <w:r>
        <w:rPr>
          <w:spacing w:val="-70"/>
        </w:rPr>
        <w:t> </w:t>
      </w:r>
      <w:r>
        <w:rPr/>
        <w:t>《</w:t>
      </w:r>
      <w:r>
        <w:rPr>
          <w:spacing w:val="-68"/>
        </w:rPr>
        <w:t> </w:t>
      </w:r>
      <w:r>
        <w:rPr/>
        <w:t>中</w:t>
      </w:r>
      <w:r>
        <w:rPr>
          <w:spacing w:val="-68"/>
        </w:rPr>
        <w:t> </w:t>
      </w:r>
      <w:r>
        <w:rPr/>
        <w:t>国</w:t>
      </w:r>
      <w:r>
        <w:rPr>
          <w:spacing w:val="-68"/>
        </w:rPr>
        <w:t> </w:t>
      </w:r>
      <w:r>
        <w:rPr/>
        <w:t>证</w:t>
      </w:r>
      <w:r>
        <w:rPr>
          <w:spacing w:val="-70"/>
        </w:rPr>
        <w:t> </w:t>
      </w:r>
      <w:r>
        <w:rPr/>
        <w:t>券</w:t>
      </w:r>
      <w:r>
        <w:rPr>
          <w:spacing w:val="-68"/>
        </w:rPr>
        <w:t> </w:t>
      </w:r>
      <w:r>
        <w:rPr/>
        <w:t>报</w:t>
      </w:r>
      <w:r>
        <w:rPr>
          <w:spacing w:val="-68"/>
        </w:rPr>
        <w:t> </w:t>
      </w:r>
      <w:r>
        <w:rPr/>
        <w:t>》</w:t>
      </w:r>
      <w:r>
        <w:rPr>
          <w:spacing w:val="-68"/>
        </w:rPr>
        <w:t> </w:t>
      </w:r>
      <w:r>
        <w:rPr/>
        <w:t>及</w:t>
      </w:r>
      <w:r>
        <w:rPr>
          <w:spacing w:val="-70"/>
        </w:rPr>
        <w:t> </w:t>
      </w:r>
      <w:r>
        <w:rPr/>
        <w:t>巨</w:t>
      </w:r>
      <w:r>
        <w:rPr>
          <w:spacing w:val="-68"/>
        </w:rPr>
        <w:t> </w:t>
      </w:r>
      <w:r>
        <w:rPr/>
        <w:t>潮</w:t>
      </w:r>
      <w:r>
        <w:rPr>
          <w:spacing w:val="-68"/>
        </w:rPr>
        <w:t> </w:t>
      </w:r>
      <w:r>
        <w:rPr/>
        <w:t>资</w:t>
      </w:r>
      <w:r>
        <w:rPr>
          <w:spacing w:val="-68"/>
        </w:rPr>
        <w:t> </w:t>
      </w:r>
      <w:r>
        <w:rPr/>
        <w:t>讯</w:t>
      </w:r>
      <w:r>
        <w:rPr>
          <w:spacing w:val="-68"/>
        </w:rPr>
        <w:t> </w:t>
      </w:r>
      <w:r>
        <w:rPr/>
        <w:t>网</w:t>
      </w:r>
    </w:p>
    <w:p>
      <w:pPr>
        <w:pStyle w:val="BodyText"/>
        <w:spacing w:line="240" w:lineRule="auto" w:before="31"/>
        <w:ind w:right="0"/>
        <w:jc w:val="left"/>
      </w:pPr>
      <w:r>
        <w:rPr/>
        <w:t>（</w:t>
      </w:r>
      <w:hyperlink r:id="rId11">
        <w:r>
          <w:rPr>
            <w:rFonts w:ascii="宋体" w:hAnsi="宋体" w:cs="宋体" w:eastAsia="宋体" w:hint="default"/>
          </w:rPr>
          <w:t>htpp://www.cninfo.co</w:t>
        </w:r>
      </w:hyperlink>
      <w:r>
        <w:rPr>
          <w:rFonts w:ascii="宋体" w:hAnsi="宋体" w:cs="宋体" w:eastAsia="宋体" w:hint="default"/>
        </w:rPr>
        <w:t>m.cn</w:t>
      </w:r>
      <w:r>
        <w:rPr/>
        <w:t>）。</w:t>
      </w:r>
    </w:p>
    <w:p>
      <w:pPr>
        <w:spacing w:line="240" w:lineRule="auto" w:before="0"/>
        <w:rPr>
          <w:rFonts w:ascii="宋体" w:hAnsi="宋体" w:cs="宋体" w:eastAsia="宋体" w:hint="default"/>
          <w:sz w:val="20"/>
          <w:szCs w:val="20"/>
        </w:rPr>
      </w:pPr>
    </w:p>
    <w:p>
      <w:pPr>
        <w:pStyle w:val="Heading2"/>
        <w:spacing w:line="240" w:lineRule="auto" w:before="169"/>
        <w:ind w:right="0"/>
        <w:jc w:val="left"/>
        <w:rPr>
          <w:b w:val="0"/>
          <w:bCs w:val="0"/>
        </w:rPr>
      </w:pPr>
      <w:bookmarkStart w:name="七、重大关联交易" w:id="67"/>
      <w:bookmarkEnd w:id="67"/>
      <w:r>
        <w:rPr>
          <w:b w:val="0"/>
          <w:bCs w:val="0"/>
        </w:rPr>
      </w:r>
      <w:r>
        <w:rPr/>
        <w:t>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68"/>
      <w:bookmarkEnd w:id="6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7"/>
        <w:gridCol w:w="799"/>
        <w:gridCol w:w="798"/>
        <w:gridCol w:w="804"/>
        <w:gridCol w:w="798"/>
        <w:gridCol w:w="796"/>
        <w:gridCol w:w="798"/>
        <w:gridCol w:w="798"/>
        <w:gridCol w:w="798"/>
        <w:gridCol w:w="798"/>
        <w:gridCol w:w="796"/>
        <w:gridCol w:w="792"/>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界首市达 实置业有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控股股东 及实际控 制人有重 大影响的 企业的全 资子公司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经营性</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9"/>
              <w:jc w:val="both"/>
              <w:rPr>
                <w:rFonts w:ascii="宋体" w:hAnsi="宋体" w:cs="宋体" w:eastAsia="宋体" w:hint="default"/>
                <w:sz w:val="18"/>
                <w:szCs w:val="18"/>
              </w:rPr>
            </w:pPr>
            <w:r>
              <w:rPr>
                <w:rFonts w:ascii="宋体" w:hAnsi="宋体" w:cs="宋体" w:eastAsia="宋体" w:hint="default"/>
                <w:sz w:val="18"/>
                <w:szCs w:val="18"/>
              </w:rPr>
              <w:t>投资建设 能源站系 统（供配 电系统）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公开、公 平、公正</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合同额</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4,800.00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1,801.16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8"/>
              <w:jc w:val="center"/>
              <w:rPr>
                <w:rFonts w:ascii="宋体" w:hAnsi="宋体" w:cs="宋体" w:eastAsia="宋体" w:hint="default"/>
                <w:sz w:val="18"/>
                <w:szCs w:val="18"/>
              </w:rPr>
            </w:pPr>
            <w:r>
              <w:rPr>
                <w:rFonts w:ascii="宋体" w:hAnsi="宋体" w:cs="宋体" w:eastAsia="宋体" w:hint="default"/>
                <w:sz w:val="18"/>
                <w:szCs w:val="18"/>
              </w:rPr>
              <w:t>每月支付</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7"/>
              <w:jc w:val="both"/>
              <w:rPr>
                <w:rFonts w:ascii="宋体" w:hAnsi="宋体" w:cs="宋体" w:eastAsia="宋体" w:hint="default"/>
                <w:sz w:val="18"/>
                <w:szCs w:val="18"/>
              </w:rPr>
            </w:pPr>
            <w:r>
              <w:rPr>
                <w:rFonts w:ascii="宋体" w:hAnsi="宋体" w:cs="宋体" w:eastAsia="宋体" w:hint="default"/>
                <w:sz w:val="18"/>
                <w:szCs w:val="18"/>
              </w:rPr>
              <w:t>《经营性 关联交易 公告》</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1,801.16</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4"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 w:right="39"/>
              <w:jc w:val="left"/>
              <w:rPr>
                <w:rFonts w:ascii="宋体" w:hAnsi="宋体" w:cs="宋体" w:eastAsia="宋体" w:hint="default"/>
                <w:sz w:val="18"/>
                <w:szCs w:val="18"/>
              </w:rPr>
            </w:pPr>
            <w:r>
              <w:rPr>
                <w:rFonts w:ascii="宋体" w:hAnsi="宋体" w:cs="宋体" w:eastAsia="宋体" w:hint="default"/>
                <w:sz w:val="18"/>
                <w:szCs w:val="18"/>
              </w:rPr>
              <w:t>本次交易是公司能源站业务（强电系统节能）的有益尝试，对公司完善建筑节能 的商业模式，开拓异地市场具有积极作用。</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不影响上市公司的独立性。</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98"/>
        <w:gridCol w:w="6374"/>
      </w:tblGrid>
      <w:tr>
        <w:trPr>
          <w:trHeight w:val="332" w:hRule="exact"/>
        </w:trPr>
        <w:tc>
          <w:tcPr>
            <w:tcW w:w="3198" w:type="dxa"/>
            <w:tcBorders>
              <w:top w:val="single" w:sz="6" w:space="0" w:color="000000"/>
              <w:left w:val="nil" w:sz="6" w:space="0" w:color="auto"/>
              <w:bottom w:val="single" w:sz="4" w:space="0" w:color="000000"/>
              <w:right w:val="nil" w:sz="6" w:space="0" w:color="auto"/>
            </w:tcBorders>
          </w:tcPr>
          <w:p>
            <w:pPr/>
          </w:p>
        </w:tc>
        <w:tc>
          <w:tcPr>
            <w:tcW w:w="6374"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公司对界首市达实置业有限公司不存在依赖关系。</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1"/>
          <w:sz w:val="18"/>
          <w:szCs w:val="18"/>
        </w:rPr>
        <w:t>：</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年第一次临时股东大会批准</w:t>
      </w:r>
      <w:r>
        <w:rPr>
          <w:rFonts w:ascii="宋体" w:hAnsi="宋体" w:cs="宋体" w:eastAsia="宋体" w:hint="default"/>
          <w:spacing w:val="-21"/>
          <w:sz w:val="18"/>
          <w:szCs w:val="18"/>
        </w:rPr>
        <w:t>，</w:t>
      </w:r>
      <w:r>
        <w:rPr>
          <w:rFonts w:ascii="宋体" w:hAnsi="宋体" w:cs="宋体" w:eastAsia="宋体" w:hint="default"/>
          <w:sz w:val="18"/>
          <w:szCs w:val="18"/>
        </w:rPr>
        <w:t>公司为界首市达实置业有限公司投资建设能源站系</w:t>
      </w:r>
      <w:r>
        <w:rPr>
          <w:rFonts w:ascii="宋体" w:hAnsi="宋体" w:cs="宋体" w:eastAsia="宋体" w:hint="default"/>
          <w:spacing w:val="-21"/>
          <w:sz w:val="18"/>
          <w:szCs w:val="18"/>
        </w:rPr>
        <w:t>统</w:t>
      </w:r>
      <w:r>
        <w:rPr>
          <w:rFonts w:ascii="宋体" w:hAnsi="宋体" w:cs="宋体" w:eastAsia="宋体" w:hint="default"/>
          <w:sz w:val="18"/>
          <w:szCs w:val="18"/>
        </w:rPr>
        <w:t>（供配电系统</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项目造</w:t>
      </w:r>
    </w:p>
    <w:p>
      <w:pPr>
        <w:spacing w:before="64"/>
        <w:ind w:left="113" w:right="0" w:firstLine="0"/>
        <w:jc w:val="left"/>
        <w:rPr>
          <w:rFonts w:ascii="宋体" w:hAnsi="宋体" w:cs="宋体" w:eastAsia="宋体" w:hint="default"/>
          <w:sz w:val="18"/>
          <w:szCs w:val="18"/>
        </w:rPr>
      </w:pPr>
      <w:r>
        <w:rPr>
          <w:rFonts w:ascii="宋体" w:hAnsi="宋体" w:cs="宋体" w:eastAsia="宋体" w:hint="default"/>
          <w:sz w:val="18"/>
          <w:szCs w:val="18"/>
        </w:rPr>
        <w:t>价预估为人民币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28,508,690.00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元，合同额预估为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元。截至报告期末，确认收入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1801.16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240" w:lineRule="auto" w:before="9"/>
        <w:rPr>
          <w:rFonts w:ascii="宋体" w:hAnsi="宋体" w:cs="宋体" w:eastAsia="宋体" w:hint="default"/>
          <w:sz w:val="25"/>
          <w:szCs w:val="25"/>
        </w:rPr>
      </w:pPr>
    </w:p>
    <w:p>
      <w:pPr>
        <w:pStyle w:val="Heading3"/>
        <w:spacing w:line="240" w:lineRule="auto"/>
        <w:ind w:left="113" w:right="0"/>
        <w:jc w:val="left"/>
        <w:rPr>
          <w:b w:val="0"/>
          <w:bCs w:val="0"/>
        </w:rPr>
      </w:pPr>
      <w:bookmarkStart w:name="2、资产收购、出售发生的关联交易" w:id="69"/>
      <w:bookmarkEnd w:id="69"/>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公司报告期未发生资产收购、出售的关联交易。</w:t>
      </w:r>
    </w:p>
    <w:p>
      <w:pPr>
        <w:spacing w:line="240" w:lineRule="auto" w:before="1"/>
        <w:rPr>
          <w:rFonts w:ascii="宋体" w:hAnsi="宋体" w:cs="宋体" w:eastAsia="宋体" w:hint="default"/>
          <w:sz w:val="21"/>
          <w:szCs w:val="21"/>
        </w:rPr>
      </w:pPr>
    </w:p>
    <w:p>
      <w:pPr>
        <w:pStyle w:val="Heading3"/>
        <w:spacing w:line="240" w:lineRule="auto"/>
        <w:ind w:left="113" w:right="0"/>
        <w:jc w:val="left"/>
        <w:rPr>
          <w:b w:val="0"/>
          <w:bCs w:val="0"/>
        </w:rPr>
      </w:pPr>
      <w:bookmarkStart w:name="3、共同对外投资的关联交易" w:id="70"/>
      <w:bookmarkEnd w:id="7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before="0"/>
        <w:ind w:left="11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065"/>
        <w:gridCol w:w="1062"/>
        <w:gridCol w:w="1066"/>
        <w:gridCol w:w="1066"/>
        <w:gridCol w:w="1067"/>
        <w:gridCol w:w="1063"/>
        <w:gridCol w:w="1062"/>
        <w:gridCol w:w="1062"/>
        <w:gridCol w:w="1057"/>
      </w:tblGrid>
      <w:tr>
        <w:trPr>
          <w:trHeight w:val="102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7"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8" w:right="76"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1"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r>
        <w:trPr>
          <w:trHeight w:val="290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130"/>
              <w:jc w:val="both"/>
              <w:rPr>
                <w:rFonts w:ascii="宋体" w:hAnsi="宋体" w:cs="宋体" w:eastAsia="宋体" w:hint="default"/>
                <w:sz w:val="18"/>
                <w:szCs w:val="18"/>
              </w:rPr>
            </w:pPr>
            <w:r>
              <w:rPr>
                <w:rFonts w:ascii="宋体" w:hAnsi="宋体" w:cs="宋体" w:eastAsia="宋体" w:hint="default"/>
                <w:sz w:val="18"/>
                <w:szCs w:val="18"/>
              </w:rPr>
              <w:t>东兴企业澳 门离岸商业 服务有限公 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127"/>
              <w:jc w:val="both"/>
              <w:rPr>
                <w:rFonts w:ascii="宋体" w:hAnsi="宋体" w:cs="宋体" w:eastAsia="宋体" w:hint="default"/>
                <w:sz w:val="18"/>
                <w:szCs w:val="18"/>
              </w:rPr>
            </w:pPr>
            <w:r>
              <w:rPr>
                <w:rFonts w:ascii="宋体" w:hAnsi="宋体" w:cs="宋体" w:eastAsia="宋体" w:hint="default"/>
                <w:sz w:val="18"/>
                <w:szCs w:val="18"/>
              </w:rPr>
              <w:t>实际控制人 林步东担任 公司副董事 长</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7" w:right="0"/>
              <w:jc w:val="left"/>
              <w:rPr>
                <w:rFonts w:ascii="宋体" w:hAnsi="宋体" w:cs="宋体" w:eastAsia="宋体" w:hint="default"/>
                <w:sz w:val="18"/>
                <w:szCs w:val="18"/>
              </w:rPr>
            </w:pPr>
            <w:r>
              <w:rPr>
                <w:rFonts w:ascii="宋体" w:hAnsi="宋体" w:cs="宋体" w:eastAsia="宋体" w:hint="default"/>
                <w:sz w:val="18"/>
                <w:szCs w:val="18"/>
              </w:rPr>
              <w:t>市场原则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8"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融资租赁业 务；租赁业 </w:t>
            </w:r>
            <w:r>
              <w:rPr>
                <w:rFonts w:ascii="宋体" w:hAnsi="宋体" w:cs="宋体" w:eastAsia="宋体" w:hint="default"/>
                <w:spacing w:val="-12"/>
                <w:sz w:val="18"/>
                <w:szCs w:val="18"/>
              </w:rPr>
              <w:t>务；向国内外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购买租赁资 </w:t>
            </w:r>
            <w:r>
              <w:rPr>
                <w:rFonts w:ascii="宋体" w:hAnsi="宋体" w:cs="宋体" w:eastAsia="宋体" w:hint="default"/>
                <w:spacing w:val="-12"/>
                <w:sz w:val="18"/>
                <w:szCs w:val="18"/>
              </w:rPr>
              <w:t>产；租赁资产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的残值处理 </w:t>
            </w:r>
            <w:r>
              <w:rPr>
                <w:rFonts w:ascii="宋体" w:hAnsi="宋体" w:cs="宋体" w:eastAsia="宋体" w:hint="default"/>
                <w:spacing w:val="-12"/>
                <w:sz w:val="18"/>
                <w:szCs w:val="18"/>
              </w:rPr>
              <w:t>及维修；租赁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交易咨询和 担保。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20,366.57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10,096.81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20" w:right="0"/>
              <w:jc w:val="left"/>
              <w:rPr>
                <w:rFonts w:ascii="Times New Roman" w:hAnsi="Times New Roman" w:cs="Times New Roman" w:eastAsia="Times New Roman" w:hint="default"/>
                <w:sz w:val="18"/>
                <w:szCs w:val="18"/>
              </w:rPr>
            </w:pPr>
            <w:r>
              <w:rPr>
                <w:rFonts w:ascii="Times New Roman"/>
                <w:sz w:val="18"/>
              </w:rPr>
              <w:t>30.65</w:t>
            </w:r>
          </w:p>
        </w:tc>
      </w:tr>
    </w:tbl>
    <w:p>
      <w:pPr>
        <w:spacing w:line="240" w:lineRule="auto" w:before="2"/>
        <w:rPr>
          <w:rFonts w:ascii="宋体" w:hAnsi="宋体" w:cs="宋体" w:eastAsia="宋体" w:hint="default"/>
          <w:sz w:val="19"/>
          <w:szCs w:val="19"/>
        </w:rPr>
      </w:pPr>
    </w:p>
    <w:p>
      <w:pPr>
        <w:pStyle w:val="Heading3"/>
        <w:spacing w:line="240" w:lineRule="auto" w:before="35"/>
        <w:ind w:left="114" w:right="8233"/>
        <w:jc w:val="left"/>
        <w:rPr>
          <w:b w:val="0"/>
          <w:bCs w:val="0"/>
        </w:rPr>
      </w:pPr>
      <w:bookmarkStart w:name="4、关联债权债务往来" w:id="71"/>
      <w:bookmarkEnd w:id="7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公司报告期不存在非经营性关联债权债务往来。</w:t>
      </w:r>
    </w:p>
    <w:p>
      <w:pPr>
        <w:spacing w:line="240" w:lineRule="auto" w:before="10"/>
        <w:rPr>
          <w:rFonts w:ascii="宋体" w:hAnsi="宋体" w:cs="宋体" w:eastAsia="宋体" w:hint="default"/>
          <w:sz w:val="26"/>
          <w:szCs w:val="26"/>
        </w:rPr>
      </w:pPr>
    </w:p>
    <w:p>
      <w:pPr>
        <w:pStyle w:val="Heading3"/>
        <w:spacing w:line="240" w:lineRule="auto"/>
        <w:ind w:left="114" w:right="8233"/>
        <w:jc w:val="left"/>
        <w:rPr>
          <w:b w:val="0"/>
          <w:bCs w:val="0"/>
        </w:rPr>
      </w:pPr>
      <w:bookmarkStart w:name="5、其他关联交易" w:id="72"/>
      <w:bookmarkEnd w:id="72"/>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6"/>
        <w:rPr>
          <w:rFonts w:ascii="宋体" w:hAnsi="宋体" w:cs="宋体" w:eastAsia="宋体" w:hint="default"/>
          <w:b/>
          <w:bCs/>
          <w:sz w:val="23"/>
          <w:szCs w:val="23"/>
        </w:rPr>
      </w:pPr>
    </w:p>
    <w:p>
      <w:pPr>
        <w:spacing w:before="0"/>
        <w:ind w:left="114"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97"/>
        <w:ind w:left="114" w:right="1131" w:firstLine="290"/>
        <w:jc w:val="both"/>
      </w:pPr>
      <w:r>
        <w:rPr/>
        <w:t>公司</w:t>
      </w:r>
      <w:r>
        <w:rPr>
          <w:rFonts w:ascii="宋体" w:hAnsi="宋体" w:cs="宋体" w:eastAsia="宋体" w:hint="default"/>
        </w:rPr>
        <w:t>2014</w:t>
      </w:r>
      <w:r>
        <w:rPr/>
        <w:t>年度非公开发行</w:t>
      </w:r>
      <w:r>
        <w:rPr>
          <w:rFonts w:ascii="宋体" w:hAnsi="宋体" w:cs="宋体" w:eastAsia="宋体" w:hint="default"/>
        </w:rPr>
        <w:t>4,700</w:t>
      </w:r>
      <w:r>
        <w:rPr/>
        <w:t>万股普通股股票，发行对象为刘磅先生、贾虹女士。其中：刘磅先生以 现金认购本次非公开发行的 </w:t>
      </w:r>
      <w:r>
        <w:rPr>
          <w:rFonts w:ascii="宋体" w:hAnsi="宋体" w:cs="宋体" w:eastAsia="宋体" w:hint="default"/>
        </w:rPr>
        <w:t>2,000</w:t>
      </w:r>
      <w:r>
        <w:rPr/>
        <w:t>万股，贾虹女士以现金认购本次非公开发行的</w:t>
      </w:r>
      <w:r>
        <w:rPr>
          <w:spacing w:val="-23"/>
        </w:rPr>
        <w:t> </w:t>
      </w:r>
      <w:r>
        <w:rPr>
          <w:rFonts w:ascii="宋体" w:hAnsi="宋体" w:cs="宋体" w:eastAsia="宋体" w:hint="default"/>
        </w:rPr>
        <w:t>2,700</w:t>
      </w:r>
      <w:r>
        <w:rPr/>
        <w:t>万股。上述股份已 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14</w:t>
      </w:r>
      <w:r>
        <w:rPr/>
        <w:t>日上市。</w:t>
      </w:r>
    </w:p>
    <w:p>
      <w:pPr>
        <w:spacing w:before="34"/>
        <w:ind w:left="114" w:right="0" w:firstLine="0"/>
        <w:jc w:val="left"/>
        <w:rPr>
          <w:rFonts w:ascii="宋体" w:hAnsi="宋体" w:cs="宋体" w:eastAsia="宋体" w:hint="default"/>
          <w:sz w:val="18"/>
          <w:szCs w:val="18"/>
        </w:rPr>
      </w:pPr>
      <w:r>
        <w:rPr>
          <w:rFonts w:ascii="宋体" w:hAnsi="宋体" w:cs="宋体" w:eastAsia="宋体" w:hint="default"/>
          <w:sz w:val="18"/>
          <w:szCs w:val="18"/>
        </w:rPr>
        <w:t>关联交易临时报告披露网站相关查询</w:t>
      </w:r>
    </w:p>
    <w:p>
      <w:pPr>
        <w:spacing w:line="240" w:lineRule="auto" w:before="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821"/>
        <w:gridCol w:w="2552"/>
        <w:gridCol w:w="2196"/>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《关于与特定对象签订股份认购合同暨关联交易的公告》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877" w:footer="979" w:top="10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0"/>
        <w:jc w:val="left"/>
        <w:rPr>
          <w:b w:val="0"/>
          <w:bCs w:val="0"/>
        </w:rPr>
      </w:pPr>
      <w:bookmarkStart w:name="八、重大合同及其履行情况" w:id="73"/>
      <w:bookmarkEnd w:id="73"/>
      <w:r>
        <w:rPr>
          <w:b w:val="0"/>
          <w:bCs w:val="0"/>
        </w:rPr>
      </w: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74"/>
      <w:bookmarkEnd w:id="7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75"/>
      <w:bookmarkEnd w:id="7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承包情况" w:id="76"/>
      <w:bookmarkEnd w:id="7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租赁情况" w:id="77"/>
      <w:bookmarkEnd w:id="7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355" w:lineRule="auto" w:before="0"/>
        <w:ind w:right="0" w:firstLine="336"/>
        <w:jc w:val="left"/>
      </w:pP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w:t>
      </w:r>
      <w:r>
        <w:rPr/>
        <w:t>日，公司与全资子公司达实信息签订《房地产租赁合同书》，约定租赁其</w:t>
      </w:r>
      <w:r>
        <w:rPr>
          <w:rFonts w:ascii="宋体" w:hAnsi="宋体" w:cs="宋体" w:eastAsia="宋体" w:hint="default"/>
        </w:rPr>
        <w:t>3,473.12</w:t>
      </w:r>
      <w:r>
        <w:rPr/>
        <w:t>平米的</w:t>
      </w:r>
      <w:r>
        <w:rPr>
          <w:spacing w:val="2"/>
        </w:rPr>
        <w:t> </w:t>
      </w:r>
      <w:r>
        <w:rPr/>
        <w:t>场地用于办公，租赁期限自</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1</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30</w:t>
      </w:r>
      <w:r>
        <w:rPr/>
        <w:t>日。</w:t>
      </w:r>
    </w:p>
    <w:p>
      <w:pPr>
        <w:spacing w:before="119"/>
        <w:ind w:left="153"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担保情况" w:id="78"/>
      <w:bookmarkEnd w:id="78"/>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4"/>
        <w:gridCol w:w="1176"/>
        <w:gridCol w:w="911"/>
        <w:gridCol w:w="1274"/>
        <w:gridCol w:w="966"/>
        <w:gridCol w:w="1315"/>
        <w:gridCol w:w="1131"/>
        <w:gridCol w:w="806"/>
        <w:gridCol w:w="786"/>
      </w:tblGrid>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55"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43" w:right="4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19"/>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297" w:right="116"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54"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43" w:right="4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19"/>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297" w:right="116"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2012/07/24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2013/10/28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2013/09/12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2014/3/21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2014/3/21</w:t>
            </w:r>
            <w:r>
              <w:rPr>
                <w:rFonts w:ascii="宋体" w:hAnsi="宋体" w:cs="宋体" w:eastAsia="宋体" w:hint="default"/>
                <w:sz w:val="18"/>
                <w:szCs w:val="18"/>
              </w:rPr>
              <w:t>—</w:t>
            </w:r>
          </w:p>
          <w:p>
            <w:pPr>
              <w:pStyle w:val="TableParagraph"/>
              <w:spacing w:line="240" w:lineRule="auto" w:before="104"/>
              <w:ind w:left="194" w:right="0"/>
              <w:jc w:val="left"/>
              <w:rPr>
                <w:rFonts w:ascii="Times New Roman" w:hAnsi="Times New Roman" w:cs="Times New Roman" w:eastAsia="Times New Roman" w:hint="default"/>
                <w:sz w:val="18"/>
                <w:szCs w:val="18"/>
              </w:rPr>
            </w:pPr>
            <w:r>
              <w:rPr>
                <w:rFonts w:ascii="Times New Roman"/>
                <w:sz w:val="18"/>
              </w:rPr>
              <w:t>2014/9/21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117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2013/09/12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2013/12/12</w:t>
            </w:r>
          </w:p>
        </w:tc>
        <w:tc>
          <w:tcPr>
            <w:tcW w:w="96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315"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2013/12/12</w:t>
            </w:r>
            <w:r>
              <w:rPr>
                <w:rFonts w:ascii="宋体" w:hAnsi="宋体" w:cs="宋体" w:eastAsia="宋体" w:hint="default"/>
                <w:sz w:val="18"/>
                <w:szCs w:val="18"/>
              </w:rPr>
              <w:t>—</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2014/6/12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2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w:t>
            </w:r>
          </w:p>
        </w:tc>
        <w:tc>
          <w:tcPr>
            <w:tcW w:w="27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57"/>
        <w:gridCol w:w="165"/>
        <w:gridCol w:w="2043"/>
        <w:gridCol w:w="114"/>
        <w:gridCol w:w="2143"/>
        <w:gridCol w:w="114"/>
        <w:gridCol w:w="2621"/>
      </w:tblGrid>
      <w:tr>
        <w:trPr>
          <w:trHeight w:val="362" w:hRule="exact"/>
        </w:trPr>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08" w:type="dxa"/>
            <w:gridSpan w:val="2"/>
            <w:tcBorders>
              <w:top w:val="single" w:sz="4" w:space="0" w:color="000000"/>
              <w:left w:val="single" w:sz="13" w:space="0" w:color="D2D2D2"/>
              <w:bottom w:val="single" w:sz="4" w:space="0" w:color="000000"/>
              <w:right w:val="single" w:sz="10" w:space="0" w:color="D2D2D2"/>
            </w:tcBorders>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735" w:type="dxa"/>
            <w:gridSpan w:val="2"/>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报告期末已审批的对子公司 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08"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4"/>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62"/>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714"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8"/>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3,000</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4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违规对外担保情况" w:id="79"/>
      <w:bookmarkEnd w:id="79"/>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其他重大合同" w:id="80"/>
      <w:bookmarkEnd w:id="80"/>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其他重大交易" w:id="81"/>
      <w:bookmarkEnd w:id="81"/>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承诺事项履行情况" w:id="82"/>
      <w:bookmarkEnd w:id="82"/>
      <w:r>
        <w:rPr>
          <w:b w:val="0"/>
          <w:bCs w:val="0"/>
        </w:rPr>
      </w:r>
      <w:r>
        <w:rPr/>
        <w:t>九、承诺事项履行情况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83"/>
      <w:bookmarkEnd w:id="83"/>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74"/>
        <w:gridCol w:w="1997"/>
        <w:gridCol w:w="1786"/>
        <w:gridCol w:w="1276"/>
        <w:gridCol w:w="1616"/>
        <w:gridCol w:w="920"/>
      </w:tblGrid>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1985"/>
        <w:gridCol w:w="1786"/>
        <w:gridCol w:w="1276"/>
        <w:gridCol w:w="1616"/>
        <w:gridCol w:w="920"/>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2" w:right="1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控股股东深圳市达实投 </w:t>
            </w:r>
            <w:r>
              <w:rPr>
                <w:rFonts w:ascii="宋体" w:hAnsi="宋体" w:cs="宋体" w:eastAsia="宋体" w:hint="default"/>
                <w:spacing w:val="-5"/>
                <w:sz w:val="18"/>
                <w:szCs w:val="18"/>
              </w:rPr>
              <w:t>资发展有限公司、实际控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制人刘磅先生、担任公司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董事、高级管理人员的股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东程朋胜先生、苏俊锋先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生、吕枫先生、黄天朗先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避免同业竞争的承诺： 不直接或间接从事与 公司经营范围相同或 相类似的业务。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51"/>
              <w:jc w:val="left"/>
              <w:rPr>
                <w:rFonts w:ascii="宋体" w:hAnsi="宋体" w:cs="宋体" w:eastAsia="宋体" w:hint="default"/>
                <w:sz w:val="20"/>
                <w:szCs w:val="20"/>
              </w:rPr>
            </w:pPr>
            <w:r>
              <w:rPr>
                <w:rFonts w:ascii="宋体" w:hAnsi="宋体" w:cs="宋体" w:eastAsia="宋体" w:hint="default"/>
                <w:position w:val="-24"/>
                <w:sz w:val="20"/>
                <w:szCs w:val="20"/>
              </w:rPr>
              <w:pict>
                <v:group style="width:63.35pt;height:62.45pt;mso-position-horizontal-relative:char;mso-position-vertical-relative:line" coordorigin="0,0" coordsize="1267,1249">
                  <v:group style="position:absolute;left:0;top:0;width:1267;height:1249" coordorigin="0,0" coordsize="1267,1249">
                    <v:shape style="position:absolute;left:0;top:0;width:1267;height:1249" coordorigin="0,0" coordsize="1267,1249" path="m0,1248l1266,1248,1266,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深圳市达实投资发 展有限公司作为公 </w:t>
            </w:r>
            <w:r>
              <w:rPr>
                <w:rFonts w:ascii="宋体" w:hAnsi="宋体" w:cs="宋体" w:eastAsia="宋体" w:hint="default"/>
                <w:spacing w:val="-7"/>
                <w:sz w:val="18"/>
                <w:szCs w:val="18"/>
              </w:rPr>
              <w:t>司控股股东、刘磅先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生作为实际控制人 期间及程朋胜先生、 </w:t>
            </w:r>
            <w:r>
              <w:rPr>
                <w:rFonts w:ascii="宋体" w:hAnsi="宋体" w:cs="宋体" w:eastAsia="宋体" w:hint="default"/>
                <w:spacing w:val="-7"/>
                <w:sz w:val="18"/>
                <w:szCs w:val="18"/>
              </w:rPr>
              <w:t>苏俊锋先生、吕枫先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生、黄天朗先生担任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公司董事、高级管理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人员期间至离职后 两年内。</w:t>
            </w:r>
          </w:p>
        </w:tc>
        <w:tc>
          <w:tcPr>
            <w:tcW w:w="920" w:type="dxa"/>
            <w:tcBorders>
              <w:top w:val="single" w:sz="4" w:space="0" w:color="000000"/>
              <w:left w:val="single" w:sz="9" w:space="0" w:color="FFFFFF"/>
              <w:bottom w:val="single" w:sz="4" w:space="0" w:color="000000"/>
              <w:right w:val="single" w:sz="4" w:space="0" w:color="000000"/>
            </w:tcBorders>
          </w:tcPr>
          <w:p>
            <w:pPr>
              <w:pStyle w:val="TableParagraph"/>
              <w:spacing w:line="1404" w:lineRule="exact"/>
              <w:ind w:left="-7" w:right="-50"/>
              <w:jc w:val="left"/>
              <w:rPr>
                <w:rFonts w:ascii="宋体" w:hAnsi="宋体" w:cs="宋体" w:eastAsia="宋体" w:hint="default"/>
                <w:sz w:val="20"/>
                <w:szCs w:val="20"/>
              </w:rPr>
            </w:pPr>
            <w:r>
              <w:rPr>
                <w:rFonts w:ascii="宋体" w:hAnsi="宋体" w:cs="宋体" w:eastAsia="宋体" w:hint="default"/>
                <w:position w:val="-27"/>
                <w:sz w:val="20"/>
                <w:szCs w:val="20"/>
              </w:rPr>
              <w:pict>
                <v:group style="width:45.5pt;height:70.25pt;mso-position-horizontal-relative:char;mso-position-vertical-relative:line" coordorigin="0,0" coordsize="910,1405">
                  <v:group style="position:absolute;left:0;top:0;width:910;height:1405" coordorigin="0,0" coordsize="910,1405">
                    <v:shape style="position:absolute;left:0;top:0;width:910;height:1405" coordorigin="0,0" coordsize="910,1405" path="m0,1404l910,1404,910,0,0,0,0,1404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50"/>
              <w:jc w:val="both"/>
              <w:rPr>
                <w:rFonts w:ascii="宋体" w:hAnsi="宋体" w:cs="宋体" w:eastAsia="宋体" w:hint="default"/>
                <w:sz w:val="18"/>
                <w:szCs w:val="18"/>
              </w:rPr>
            </w:pPr>
            <w:r>
              <w:rPr>
                <w:rFonts w:ascii="宋体" w:hAnsi="宋体" w:cs="宋体" w:eastAsia="宋体" w:hint="default"/>
                <w:sz w:val="18"/>
                <w:szCs w:val="18"/>
              </w:rPr>
              <w:t>控股股东深圳市达实投 资发展有限公司及实际 控制人刘磅先生</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关于不占用公司资金 </w:t>
            </w:r>
            <w:r>
              <w:rPr>
                <w:rFonts w:ascii="宋体" w:hAnsi="宋体" w:cs="宋体" w:eastAsia="宋体" w:hint="default"/>
                <w:spacing w:val="-7"/>
                <w:sz w:val="18"/>
                <w:szCs w:val="18"/>
              </w:rPr>
              <w:t>的承诺：不以任何方式</w:t>
            </w:r>
            <w:r>
              <w:rPr>
                <w:rFonts w:ascii="宋体" w:hAnsi="宋体" w:cs="宋体" w:eastAsia="宋体" w:hint="default"/>
                <w:sz w:val="18"/>
                <w:szCs w:val="18"/>
              </w:rPr>
              <w:t> 占用公司的资产和资 </w:t>
            </w:r>
            <w:r>
              <w:rPr>
                <w:rFonts w:ascii="宋体" w:hAnsi="宋体" w:cs="宋体" w:eastAsia="宋体" w:hint="default"/>
                <w:spacing w:val="-7"/>
                <w:sz w:val="18"/>
                <w:szCs w:val="18"/>
              </w:rPr>
              <w:t>源，不以任何直接或者</w:t>
            </w:r>
            <w:r>
              <w:rPr>
                <w:rFonts w:ascii="宋体" w:hAnsi="宋体" w:cs="宋体" w:eastAsia="宋体" w:hint="default"/>
                <w:sz w:val="18"/>
                <w:szCs w:val="18"/>
              </w:rPr>
              <w:t> 间接的方式从事损害 或可能损害公司及其 他股东利益的行为。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50"/>
              <w:jc w:val="both"/>
              <w:rPr>
                <w:rFonts w:ascii="宋体" w:hAnsi="宋体" w:cs="宋体" w:eastAsia="宋体" w:hint="default"/>
                <w:sz w:val="18"/>
                <w:szCs w:val="18"/>
              </w:rPr>
            </w:pPr>
            <w:r>
              <w:rPr>
                <w:rFonts w:ascii="宋体" w:hAnsi="宋体" w:cs="宋体" w:eastAsia="宋体" w:hint="default"/>
                <w:sz w:val="18"/>
                <w:szCs w:val="18"/>
              </w:rPr>
              <w:t>控股股东深圳市达实投 资发展有限公司及实际 控制人刘磅先生</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关于公司可能由于住 房公积金政策变化而 导致的处罚或损失的 </w:t>
            </w:r>
            <w:r>
              <w:rPr>
                <w:rFonts w:ascii="宋体" w:hAnsi="宋体" w:cs="宋体" w:eastAsia="宋体" w:hint="default"/>
                <w:spacing w:val="-7"/>
                <w:sz w:val="18"/>
                <w:szCs w:val="18"/>
              </w:rPr>
              <w:t>承诺：将对该等处罚或</w:t>
            </w:r>
            <w:r>
              <w:rPr>
                <w:rFonts w:ascii="宋体" w:hAnsi="宋体" w:cs="宋体" w:eastAsia="宋体" w:hint="default"/>
                <w:sz w:val="18"/>
                <w:szCs w:val="18"/>
              </w:rPr>
              <w:t> 损失承担连带赔偿责 </w:t>
            </w:r>
            <w:r>
              <w:rPr>
                <w:rFonts w:ascii="宋体" w:hAnsi="宋体" w:cs="宋体" w:eastAsia="宋体" w:hint="default"/>
                <w:spacing w:val="-7"/>
                <w:sz w:val="18"/>
                <w:szCs w:val="18"/>
              </w:rPr>
              <w:t>任，以确保公司不会因</w:t>
            </w:r>
            <w:r>
              <w:rPr>
                <w:rFonts w:ascii="宋体" w:hAnsi="宋体" w:cs="宋体" w:eastAsia="宋体" w:hint="default"/>
                <w:sz w:val="18"/>
                <w:szCs w:val="18"/>
              </w:rPr>
              <w:t> 此遭受任何损失。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650"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董事长、总经理刘磅先 生、董事贾虹女士</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本人所认购的公司本 次非公开发行的股份 自本次非公开发行结 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转让。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未完成履行的具体原因 及下一步计划（如有）</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公司资产或项目存在盈利预测，且报告期仍处在盈利预测期间，公司就资产或项目达到" w:id="84"/>
      <w:bookmarkEnd w:id="8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聘任、解聘会计师事务所情况" w:id="85"/>
      <w:bookmarkEnd w:id="85"/>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潘忠民、龙哲</w:t>
            </w:r>
          </w:p>
        </w:tc>
      </w:tr>
    </w:tbl>
    <w:p>
      <w:pPr>
        <w:spacing w:line="20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6" w:lineRule="auto" w:before="115"/>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38" w:lineRule="auto" w:before="43"/>
        <w:ind w:left="513" w:right="111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报告期内，公司因实施了非公开发行股票方案，聘请了广发证券股份有限公司担任保荐机构及主承销商，期间共支付保</w:t>
      </w:r>
    </w:p>
    <w:p>
      <w:pPr>
        <w:spacing w:before="41"/>
        <w:ind w:left="153" w:right="0" w:firstLine="0"/>
        <w:jc w:val="left"/>
        <w:rPr>
          <w:rFonts w:ascii="宋体" w:hAnsi="宋体" w:cs="宋体" w:eastAsia="宋体" w:hint="default"/>
          <w:sz w:val="18"/>
          <w:szCs w:val="18"/>
        </w:rPr>
      </w:pPr>
      <w:r>
        <w:rPr>
          <w:rFonts w:ascii="宋体" w:hAnsi="宋体" w:cs="宋体" w:eastAsia="宋体" w:hint="default"/>
          <w:sz w:val="18"/>
          <w:szCs w:val="18"/>
        </w:rPr>
        <w:t>荐承销费</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pStyle w:val="Heading2"/>
        <w:spacing w:line="240" w:lineRule="auto" w:before="159"/>
        <w:ind w:left="154" w:right="0"/>
        <w:jc w:val="left"/>
        <w:rPr>
          <w:b w:val="0"/>
          <w:bCs w:val="0"/>
        </w:rPr>
      </w:pPr>
      <w:bookmarkStart w:name="十一、监事会、独立董事（如适用）对会计师事务所本报告期“非标准审计报告”的说明" w:id="86"/>
      <w:bookmarkEnd w:id="86"/>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处罚及整改情况" w:id="87"/>
      <w:bookmarkEnd w:id="87"/>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88"/>
      <w:bookmarkEnd w:id="88"/>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89"/>
      <w:bookmarkEnd w:id="89"/>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公司子公司重要事项" w:id="90"/>
      <w:bookmarkEnd w:id="90"/>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513" w:right="589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控股子公司达实租赁主要从事融资租赁及售后回租业务。</w:t>
      </w:r>
    </w:p>
    <w:p>
      <w:pPr>
        <w:spacing w:before="4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月，达实租赁与世纪互联数据中心有限公司、世纪互联集团有限公司签订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亿元融资租赁相关合同。截至报</w:t>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告期末，本项目确认收入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1,727,883.10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月，达实租赁与四川大行宏业集团有限公司签订了</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亿元融资租赁相关合同。截至报告期末，本项目确认收</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1,886,792.45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91"/>
      <w:bookmarkEnd w:id="91"/>
      <w:r>
        <w:rPr>
          <w:b w:val="0"/>
          <w:bCs w:val="0"/>
        </w:rPr>
      </w:r>
      <w:bookmarkStart w:name="_bookmark5" w:id="92"/>
      <w:bookmarkEnd w:id="9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3"/>
      <w:bookmarkEnd w:id="93"/>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68"/>
        <w:gridCol w:w="997"/>
        <w:gridCol w:w="842"/>
        <w:gridCol w:w="917"/>
        <w:gridCol w:w="616"/>
        <w:gridCol w:w="658"/>
        <w:gridCol w:w="937"/>
        <w:gridCol w:w="953"/>
        <w:gridCol w:w="1036"/>
        <w:gridCol w:w="732"/>
      </w:tblGrid>
      <w:tr>
        <w:trPr>
          <w:trHeight w:val="402" w:hRule="exact"/>
        </w:trPr>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68" w:type="dxa"/>
            <w:vMerge w:val="restart"/>
            <w:tcBorders>
              <w:top w:val="nil" w:sz="6" w:space="0" w:color="auto"/>
              <w:left w:val="single" w:sz="4" w:space="0" w:color="000000"/>
              <w:right w:val="single" w:sz="4" w:space="0" w:color="000000"/>
            </w:tcBorders>
            <w:shd w:val="clear" w:color="auto" w:fill="D2D2D2"/>
          </w:tcPr>
          <w:p>
            <w:pP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68" w:type="dxa"/>
            <w:vMerge/>
            <w:tcBorders>
              <w:left w:val="single" w:sz="4" w:space="0" w:color="000000"/>
              <w:bottom w:val="nil" w:sz="6" w:space="0" w:color="auto"/>
              <w:right w:val="single" w:sz="4" w:space="0" w:color="000000"/>
            </w:tcBorders>
            <w:shd w:val="clear" w:color="auto" w:fill="D2D2D2"/>
          </w:tcPr>
          <w:p>
            <w:pP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58"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68" w:type="dxa"/>
            <w:vMerge w:val="restart"/>
            <w:tcBorders>
              <w:top w:val="nil" w:sz="6" w:space="0" w:color="auto"/>
              <w:left w:val="single" w:sz="4" w:space="0" w:color="000000"/>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c>
          <w:tcPr>
            <w:tcW w:w="616"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53" w:type="dxa"/>
            <w:vMerge/>
            <w:tcBorders>
              <w:left w:val="single" w:sz="4" w:space="0" w:color="000000"/>
              <w:bottom w:val="nil" w:sz="6" w:space="0" w:color="auto"/>
              <w:right w:val="single" w:sz="4" w:space="0" w:color="000000"/>
            </w:tcBorders>
            <w:shd w:val="clear" w:color="auto" w:fill="D2D2D2"/>
          </w:tcPr>
          <w:p>
            <w:pPr/>
          </w:p>
        </w:tc>
        <w:tc>
          <w:tcPr>
            <w:tcW w:w="1036" w:type="dxa"/>
            <w:vMerge/>
            <w:tcBorders>
              <w:left w:val="single" w:sz="4" w:space="0" w:color="000000"/>
              <w:bottom w:val="nil" w:sz="6" w:space="0" w:color="auto"/>
              <w:right w:val="single" w:sz="4" w:space="0" w:color="000000"/>
            </w:tcBorders>
            <w:shd w:val="clear" w:color="auto" w:fill="D2D2D2"/>
          </w:tcPr>
          <w:p>
            <w:pPr/>
          </w:p>
        </w:tc>
        <w:tc>
          <w:tcPr>
            <w:tcW w:w="73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68" w:type="dxa"/>
            <w:vMerge/>
            <w:tcBorders>
              <w:left w:val="single" w:sz="4" w:space="0" w:color="000000"/>
              <w:bottom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7,210,810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47,000,000</w:t>
            </w:r>
          </w:p>
        </w:tc>
        <w:tc>
          <w:tcPr>
            <w:tcW w:w="61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-2,604,260</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44,395,740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center"/>
              <w:rPr>
                <w:rFonts w:ascii="Times New Roman" w:hAnsi="Times New Roman" w:cs="Times New Roman" w:eastAsia="Times New Roman" w:hint="default"/>
                <w:sz w:val="18"/>
                <w:szCs w:val="18"/>
              </w:rPr>
            </w:pPr>
            <w:r>
              <w:rPr>
                <w:rFonts w:ascii="Times New Roman"/>
                <w:sz w:val="18"/>
              </w:rPr>
              <w:t>51,606,550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20.17%</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7,210,810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47,000,000</w:t>
            </w:r>
          </w:p>
        </w:tc>
        <w:tc>
          <w:tcPr>
            <w:tcW w:w="61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-2,604,260</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44,395,740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center"/>
              <w:rPr>
                <w:rFonts w:ascii="Times New Roman" w:hAnsi="Times New Roman" w:cs="Times New Roman" w:eastAsia="Times New Roman" w:hint="default"/>
                <w:sz w:val="18"/>
                <w:szCs w:val="18"/>
              </w:rPr>
            </w:pPr>
            <w:r>
              <w:rPr>
                <w:rFonts w:ascii="Times New Roman"/>
                <w:sz w:val="18"/>
              </w:rPr>
              <w:t>51,606,550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20.17%</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7,210,810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47,000,000</w:t>
            </w:r>
          </w:p>
        </w:tc>
        <w:tc>
          <w:tcPr>
            <w:tcW w:w="61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-2,604,260</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44,395,740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center"/>
              <w:rPr>
                <w:rFonts w:ascii="Times New Roman" w:hAnsi="Times New Roman" w:cs="Times New Roman" w:eastAsia="Times New Roman" w:hint="default"/>
                <w:sz w:val="18"/>
                <w:szCs w:val="18"/>
              </w:rPr>
            </w:pPr>
            <w:r>
              <w:rPr>
                <w:rFonts w:ascii="Times New Roman"/>
                <w:sz w:val="18"/>
              </w:rPr>
              <w:t>51,606,550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20.17%</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201,589,190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96.55%</w:t>
            </w:r>
          </w:p>
        </w:tc>
        <w:tc>
          <w:tcPr>
            <w:tcW w:w="917"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2,604,260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center"/>
              <w:rPr>
                <w:rFonts w:ascii="Times New Roman" w:hAnsi="Times New Roman" w:cs="Times New Roman" w:eastAsia="Times New Roman" w:hint="default"/>
                <w:sz w:val="18"/>
                <w:szCs w:val="18"/>
              </w:rPr>
            </w:pPr>
            <w:r>
              <w:rPr>
                <w:rFonts w:ascii="Times New Roman"/>
                <w:sz w:val="18"/>
              </w:rPr>
              <w:t>2,604,260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204,193,450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79.83%</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201,589,190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96.55%</w:t>
            </w:r>
          </w:p>
        </w:tc>
        <w:tc>
          <w:tcPr>
            <w:tcW w:w="917"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2,604,260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center"/>
              <w:rPr>
                <w:rFonts w:ascii="Times New Roman" w:hAnsi="Times New Roman" w:cs="Times New Roman" w:eastAsia="Times New Roman" w:hint="default"/>
                <w:sz w:val="18"/>
                <w:szCs w:val="18"/>
              </w:rPr>
            </w:pPr>
            <w:r>
              <w:rPr>
                <w:rFonts w:ascii="Times New Roman"/>
                <w:sz w:val="18"/>
              </w:rPr>
              <w:t>2,604,260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204,193,450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79.83%</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208,800,000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47,000,000</w:t>
            </w:r>
          </w:p>
        </w:tc>
        <w:tc>
          <w:tcPr>
            <w:tcW w:w="61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47,000,000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255,800,000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6" w:lineRule="auto" w:before="56"/>
        <w:ind w:right="1133" w:firstLine="336"/>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日，公司第一期限制性股票激励计划第二个解锁期解锁条件满足，</w:t>
      </w:r>
      <w:r>
        <w:rPr>
          <w:rFonts w:ascii="Times New Roman" w:hAnsi="Times New Roman" w:cs="Times New Roman" w:eastAsia="Times New Roman" w:hint="default"/>
        </w:rPr>
        <w:t>1,800,000</w:t>
      </w:r>
      <w:r>
        <w:rPr/>
        <w:t>股解除限 售，高级管理人员解除限售后的股份按照深圳证券交易所的相关规定进行了锁定；</w:t>
      </w:r>
    </w:p>
    <w:p>
      <w:pPr>
        <w:pStyle w:val="BodyText"/>
        <w:spacing w:line="336" w:lineRule="auto" w:before="50"/>
        <w:ind w:left="154" w:right="1128" w:firstLine="336"/>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日，第四届监事会职工代表监事毛振宇、林木青申报离任满六个月，所持股份</w:t>
      </w:r>
      <w:r>
        <w:rPr>
          <w:rFonts w:ascii="Times New Roman" w:hAnsi="Times New Roman" w:cs="Times New Roman" w:eastAsia="Times New Roman" w:hint="default"/>
        </w:rPr>
        <w:t>50%</w:t>
      </w:r>
      <w:r>
        <w:rPr/>
        <w:t>解 除限售；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日，第五届监事会职工代表监事钟宇彤离任，所持股份进行了锁定；</w:t>
      </w:r>
    </w:p>
    <w:p>
      <w:pPr>
        <w:pStyle w:val="BodyText"/>
        <w:spacing w:line="240" w:lineRule="auto" w:before="25"/>
        <w:ind w:left="490"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日，公司</w:t>
      </w:r>
      <w:r>
        <w:rPr>
          <w:rFonts w:ascii="Times New Roman" w:hAnsi="Times New Roman" w:cs="Times New Roman" w:eastAsia="Times New Roman" w:hint="default"/>
        </w:rPr>
        <w:t>2014</w:t>
      </w:r>
      <w:r>
        <w:rPr/>
        <w:t>年度非公开发行的</w:t>
      </w:r>
      <w:r>
        <w:rPr>
          <w:rFonts w:ascii="Times New Roman" w:hAnsi="Times New Roman" w:cs="Times New Roman" w:eastAsia="Times New Roman" w:hint="default"/>
        </w:rPr>
        <w:t>4,700</w:t>
      </w:r>
      <w:r>
        <w:rPr/>
        <w:t>万股普通股上市。</w:t>
      </w:r>
    </w:p>
    <w:p>
      <w:pPr>
        <w:pStyle w:val="BodyText"/>
        <w:spacing w:line="240" w:lineRule="auto" w:before="117"/>
        <w:ind w:left="489"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日收市后，高级管理人员持有的股份按照深圳证券交易所的相关规定进行了解锁。</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57"/>
        <w:ind w:left="573" w:right="0"/>
        <w:jc w:val="left"/>
      </w:pPr>
      <w:r>
        <w:rPr>
          <w:rFonts w:ascii="宋体" w:hAnsi="宋体" w:cs="宋体" w:eastAsia="宋体" w:hint="default"/>
        </w:rPr>
        <w:t>1</w:t>
      </w:r>
      <w:r>
        <w:rPr/>
        <w:t>、高级管理人员、离任监事所持股份的变动依据深圳证券交易所的相关规定执行；</w:t>
      </w:r>
    </w:p>
    <w:p>
      <w:pPr>
        <w:pStyle w:val="BodyText"/>
        <w:spacing w:line="357" w:lineRule="auto" w:before="133"/>
        <w:ind w:left="154" w:right="1131" w:firstLine="420"/>
        <w:jc w:val="both"/>
      </w:pPr>
      <w:r>
        <w:rPr>
          <w:rFonts w:ascii="宋体" w:hAnsi="宋体" w:cs="宋体" w:eastAsia="宋体" w:hint="default"/>
        </w:rPr>
        <w:t>2</w:t>
      </w:r>
      <w:r>
        <w:rPr/>
        <w:t>、经公司第五届董事会第八次会议审批批准，公司第一期限制性股票激励计划第二个解锁期解锁条 </w:t>
      </w:r>
      <w:r>
        <w:rPr>
          <w:spacing w:val="-1"/>
        </w:rPr>
        <w:t>件满足。根据公司</w:t>
      </w:r>
      <w:r>
        <w:rPr>
          <w:rFonts w:ascii="宋体" w:hAnsi="宋体" w:cs="宋体" w:eastAsia="宋体" w:hint="default"/>
          <w:spacing w:val="-1"/>
        </w:rPr>
        <w:t>2012</w:t>
      </w:r>
      <w:r>
        <w:rPr>
          <w:spacing w:val="-1"/>
        </w:rPr>
        <w:t>年第一次临时股东大会的授权，董事会已按照激励计划的相关规定办理了第二期限</w:t>
      </w:r>
      <w:r>
        <w:rPr>
          <w:spacing w:val="-79"/>
        </w:rPr>
        <w:t> </w:t>
      </w:r>
      <w:r>
        <w:rPr>
          <w:spacing w:val="-79"/>
        </w:rPr>
      </w:r>
      <w:r>
        <w:rPr/>
        <w:t>制性股票的解锁流通事宜。</w:t>
      </w:r>
    </w:p>
    <w:p>
      <w:pPr>
        <w:pStyle w:val="BodyText"/>
        <w:spacing w:line="357" w:lineRule="auto"/>
        <w:ind w:right="1131" w:firstLine="420"/>
        <w:jc w:val="both"/>
      </w:pPr>
      <w:r>
        <w:rPr>
          <w:rFonts w:ascii="宋体" w:hAnsi="宋体" w:cs="宋体" w:eastAsia="宋体" w:hint="default"/>
        </w:rPr>
        <w:t>3</w:t>
      </w:r>
      <w:r>
        <w:rPr/>
        <w:t>、经中国证券监督管理委员会《关于核准深圳达实智能股份有限公司非公开发行股票的批复》（证 监许可</w:t>
      </w:r>
      <w:r>
        <w:rPr>
          <w:rFonts w:ascii="宋体" w:hAnsi="宋体" w:cs="宋体" w:eastAsia="宋体" w:hint="default"/>
        </w:rPr>
        <w:t>[2014]846</w:t>
      </w:r>
      <w:r>
        <w:rPr/>
        <w:t>号）核准，公司非公开发行人民币</w:t>
      </w:r>
      <w:r>
        <w:rPr>
          <w:rFonts w:ascii="宋体" w:hAnsi="宋体" w:cs="宋体" w:eastAsia="宋体" w:hint="default"/>
        </w:rPr>
        <w:t>4,700</w:t>
      </w:r>
      <w:r>
        <w:rPr>
          <w:rFonts w:ascii="宋体" w:hAnsi="宋体" w:cs="宋体" w:eastAsia="宋体" w:hint="default"/>
          <w:spacing w:val="69"/>
        </w:rPr>
        <w:t> </w:t>
      </w:r>
      <w:r>
        <w:rPr/>
        <w:t>万股普通股股票，其中，刘磅先生以现金认购</w:t>
      </w:r>
      <w:r>
        <w:rPr>
          <w:spacing w:val="-97"/>
        </w:rPr>
        <w:t> </w:t>
      </w:r>
      <w:r>
        <w:rPr>
          <w:spacing w:val="-97"/>
        </w:rPr>
      </w:r>
      <w:r>
        <w:rPr/>
        <w:t>本次非公开发行的 </w:t>
      </w:r>
      <w:r>
        <w:rPr>
          <w:rFonts w:ascii="宋体" w:hAnsi="宋体" w:cs="宋体" w:eastAsia="宋体" w:hint="default"/>
        </w:rPr>
        <w:t>2,000</w:t>
      </w:r>
      <w:r>
        <w:rPr/>
        <w:t>万股，贾虹女士以现金认购本次非公开发行的</w:t>
      </w:r>
      <w:r>
        <w:rPr>
          <w:spacing w:val="-3"/>
        </w:rPr>
        <w:t> </w:t>
      </w:r>
      <w:r>
        <w:rPr>
          <w:rFonts w:ascii="宋体" w:hAnsi="宋体" w:cs="宋体" w:eastAsia="宋体" w:hint="default"/>
        </w:rPr>
        <w:t>2,700</w:t>
      </w:r>
      <w:r>
        <w:rPr/>
        <w:t>万股。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56"/>
        <w:ind w:left="154" w:right="0" w:firstLine="526"/>
        <w:jc w:val="left"/>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19</w:t>
      </w:r>
      <w:r>
        <w:rPr/>
        <w:t>日，公司向董事长刘磅、董事贾虹非公开发行的</w:t>
      </w:r>
      <w:r>
        <w:rPr>
          <w:rFonts w:ascii="宋体" w:hAnsi="宋体" w:cs="宋体" w:eastAsia="宋体" w:hint="default"/>
        </w:rPr>
        <w:t>4,700</w:t>
      </w:r>
      <w:r>
        <w:rPr/>
        <w:t>万股普通股股份完成认购，新增 股份于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14</w:t>
      </w:r>
      <w:r>
        <w:rPr/>
        <w:t>日上市。</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56"/>
        <w:ind w:right="0" w:firstLine="526"/>
        <w:jc w:val="left"/>
      </w:pPr>
      <w:r>
        <w:rPr/>
        <w:t>本报告期基本每股收益和稀释每股收益为</w:t>
      </w:r>
      <w:r>
        <w:rPr>
          <w:rFonts w:ascii="宋体" w:hAnsi="宋体" w:cs="宋体" w:eastAsia="宋体" w:hint="default"/>
        </w:rPr>
        <w:t>0.5086</w:t>
      </w:r>
      <w:r>
        <w:rPr/>
        <w:t>元</w:t>
      </w:r>
      <w:r>
        <w:rPr>
          <w:rFonts w:ascii="宋体" w:hAnsi="宋体" w:cs="宋体" w:eastAsia="宋体" w:hint="default"/>
        </w:rPr>
        <w:t>/</w:t>
      </w:r>
      <w:r>
        <w:rPr/>
        <w:t>股，剔除非公开发行的</w:t>
      </w:r>
      <w:r>
        <w:rPr>
          <w:rFonts w:ascii="宋体" w:hAnsi="宋体" w:cs="宋体" w:eastAsia="宋体" w:hint="default"/>
        </w:rPr>
        <w:t>4,700</w:t>
      </w:r>
      <w:r>
        <w:rPr/>
        <w:t>万股后基本每股收 益和稀释每股收益为</w:t>
      </w:r>
      <w:r>
        <w:rPr>
          <w:rFonts w:ascii="宋体" w:hAnsi="宋体" w:cs="宋体" w:eastAsia="宋体" w:hint="default"/>
        </w:rPr>
        <w:t>0.5372</w:t>
      </w:r>
      <w:r>
        <w:rPr/>
        <w:t>元</w:t>
      </w:r>
      <w:r>
        <w:rPr>
          <w:rFonts w:ascii="宋体" w:hAnsi="宋体" w:cs="宋体" w:eastAsia="宋体" w:hint="default"/>
        </w:rPr>
        <w:t>/</w:t>
      </w:r>
      <w:r>
        <w:rPr/>
        <w:t>股，增长</w:t>
      </w:r>
      <w:r>
        <w:rPr>
          <w:rFonts w:ascii="宋体" w:hAnsi="宋体" w:cs="宋体" w:eastAsia="宋体" w:hint="default"/>
        </w:rPr>
        <w:t>0.0286%</w:t>
      </w:r>
      <w:r>
        <w:rPr/>
        <w:t>；</w:t>
      </w:r>
    </w:p>
    <w:p>
      <w:pPr>
        <w:pStyle w:val="BodyText"/>
        <w:spacing w:line="355" w:lineRule="auto"/>
        <w:ind w:right="0" w:firstLine="526"/>
        <w:jc w:val="left"/>
      </w:pPr>
      <w:r>
        <w:rPr/>
        <w:t>本报告期归属于公司普通股股东的每股净资产为</w:t>
      </w:r>
      <w:r>
        <w:rPr>
          <w:rFonts w:ascii="宋体" w:hAnsi="宋体" w:cs="宋体" w:eastAsia="宋体" w:hint="default"/>
        </w:rPr>
        <w:t>6.3240</w:t>
      </w:r>
      <w:r>
        <w:rPr/>
        <w:t>元</w:t>
      </w:r>
      <w:r>
        <w:rPr>
          <w:rFonts w:ascii="宋体" w:hAnsi="宋体" w:cs="宋体" w:eastAsia="宋体" w:hint="default"/>
        </w:rPr>
        <w:t>/</w:t>
      </w:r>
      <w:r>
        <w:rPr/>
        <w:t>股，剔除非公开发行的</w:t>
      </w:r>
      <w:r>
        <w:rPr>
          <w:rFonts w:ascii="宋体" w:hAnsi="宋体" w:cs="宋体" w:eastAsia="宋体" w:hint="default"/>
        </w:rPr>
        <w:t>4,700</w:t>
      </w:r>
      <w:r>
        <w:rPr/>
        <w:t>万股后归属 于公司普通股股东的每股净资产为</w:t>
      </w:r>
      <w:r>
        <w:rPr>
          <w:rFonts w:ascii="宋体" w:hAnsi="宋体" w:cs="宋体" w:eastAsia="宋体" w:hint="default"/>
        </w:rPr>
        <w:t>7.7475</w:t>
      </w:r>
      <w:r>
        <w:rPr/>
        <w:t>元</w:t>
      </w:r>
      <w:r>
        <w:rPr>
          <w:rFonts w:ascii="宋体" w:hAnsi="宋体" w:cs="宋体" w:eastAsia="宋体" w:hint="default"/>
        </w:rPr>
        <w:t>/</w:t>
      </w:r>
      <w:r>
        <w:rPr/>
        <w:t>股，增长</w:t>
      </w:r>
      <w:r>
        <w:rPr>
          <w:rFonts w:ascii="宋体" w:hAnsi="宋体" w:cs="宋体" w:eastAsia="宋体" w:hint="default"/>
        </w:rPr>
        <w:t>4.0413%</w:t>
      </w:r>
      <w:r>
        <w:rPr/>
        <w:t>。</w:t>
      </w:r>
    </w:p>
    <w:p>
      <w:pPr>
        <w:spacing w:before="11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94"/>
      <w:bookmarkEnd w:id="94"/>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末近三年历次证券发行情况" w:id="95"/>
      <w:bookmarkEnd w:id="95"/>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1125"/>
        <w:gridCol w:w="1144"/>
        <w:gridCol w:w="1590"/>
        <w:gridCol w:w="1529"/>
        <w:gridCol w:w="1207"/>
      </w:tblGrid>
      <w:tr>
        <w:trPr>
          <w:trHeight w:val="75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7"/>
              <w:ind w:left="106"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8.51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47,000,000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pStyle w:val="BodyText"/>
        <w:spacing w:line="240" w:lineRule="auto" w:before="70"/>
        <w:ind w:left="574" w:right="0"/>
        <w:jc w:val="left"/>
      </w:pPr>
      <w:r>
        <w:rPr>
          <w:rFonts w:ascii="宋体" w:hAnsi="宋体" w:cs="宋体" w:eastAsia="宋体" w:hint="default"/>
        </w:rPr>
        <w:t>1</w:t>
      </w:r>
      <w:r>
        <w:rPr/>
        <w:t>、实施限制性股票激励计划情况</w:t>
      </w:r>
    </w:p>
    <w:p>
      <w:pPr>
        <w:pStyle w:val="BodyText"/>
        <w:spacing w:line="240" w:lineRule="auto" w:before="134"/>
        <w:ind w:left="574" w:right="0"/>
        <w:jc w:val="left"/>
      </w:pPr>
      <w:r>
        <w:rPr/>
        <w:t>经中国证监会备案无异议后，</w:t>
      </w:r>
      <w:r>
        <w:rPr>
          <w:rFonts w:ascii="宋体" w:hAnsi="宋体" w:cs="宋体" w:eastAsia="宋体" w:hint="default"/>
        </w:rPr>
        <w:t>2012</w:t>
      </w:r>
      <w:r>
        <w:rPr>
          <w:rFonts w:ascii="宋体" w:hAnsi="宋体" w:cs="宋体" w:eastAsia="宋体" w:hint="default"/>
          <w:spacing w:val="-61"/>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1"/>
        </w:rPr>
        <w:t> </w:t>
      </w:r>
      <w:r>
        <w:rPr>
          <w:rFonts w:ascii="宋体" w:hAnsi="宋体" w:cs="宋体" w:eastAsia="宋体" w:hint="default"/>
        </w:rPr>
        <w:t>25</w:t>
      </w:r>
      <w:r>
        <w:rPr>
          <w:rFonts w:ascii="宋体" w:hAnsi="宋体" w:cs="宋体" w:eastAsia="宋体" w:hint="default"/>
          <w:spacing w:val="-60"/>
        </w:rPr>
        <w:t> </w:t>
      </w:r>
      <w:r>
        <w:rPr>
          <w:spacing w:val="-5"/>
        </w:rPr>
        <w:t>日，公司召开</w:t>
      </w:r>
      <w:r>
        <w:rPr>
          <w:spacing w:val="-61"/>
        </w:rPr>
        <w:t> </w:t>
      </w:r>
      <w:r>
        <w:rPr>
          <w:rFonts w:ascii="宋体" w:hAnsi="宋体" w:cs="宋体" w:eastAsia="宋体" w:hint="default"/>
        </w:rPr>
        <w:t>2012</w:t>
      </w:r>
      <w:r>
        <w:rPr>
          <w:rFonts w:ascii="宋体" w:hAnsi="宋体" w:cs="宋体" w:eastAsia="宋体" w:hint="default"/>
          <w:spacing w:val="-61"/>
        </w:rPr>
        <w:t> </w:t>
      </w:r>
      <w:r>
        <w:rPr/>
        <w:t>年第一次临时股东大会，审议通过了</w:t>
      </w:r>
    </w:p>
    <w:p>
      <w:pPr>
        <w:pStyle w:val="BodyText"/>
        <w:spacing w:line="357" w:lineRule="auto" w:before="133"/>
        <w:ind w:right="0"/>
        <w:jc w:val="left"/>
      </w:pPr>
      <w:r>
        <w:rPr>
          <w:spacing w:val="-1"/>
        </w:rPr>
        <w:t>《深圳达实智能股份有限公司限制性股票激励计划（草案）》，并授权董事会办理公司限制性股票激励计</w:t>
      </w:r>
      <w:r>
        <w:rPr>
          <w:spacing w:val="-86"/>
        </w:rPr>
        <w:t> </w:t>
      </w:r>
      <w:r>
        <w:rPr>
          <w:spacing w:val="-86"/>
        </w:rPr>
      </w:r>
      <w:r>
        <w:rPr/>
        <w:t>划相关事宜，</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14</w:t>
      </w:r>
      <w:r>
        <w:rPr>
          <w:rFonts w:ascii="宋体" w:hAnsi="宋体" w:cs="宋体" w:eastAsia="宋体" w:hint="default"/>
          <w:spacing w:val="-53"/>
        </w:rPr>
        <w:t> </w:t>
      </w:r>
      <w:r>
        <w:rPr/>
        <w:t>日，公司召开第四届董事会第十七次会议，确定</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日为限制性</w:t>
      </w:r>
    </w:p>
    <w:p>
      <w:pPr>
        <w:pStyle w:val="BodyText"/>
        <w:spacing w:line="240" w:lineRule="auto"/>
        <w:ind w:right="0"/>
        <w:jc w:val="left"/>
      </w:pPr>
      <w:r>
        <w:rPr/>
        <w:t>股票激励计划的授予日，向</w:t>
      </w:r>
      <w:r>
        <w:rPr>
          <w:spacing w:val="-54"/>
        </w:rPr>
        <w:t> </w:t>
      </w:r>
      <w:r>
        <w:rPr>
          <w:rFonts w:ascii="宋体" w:hAnsi="宋体" w:cs="宋体" w:eastAsia="宋体" w:hint="default"/>
        </w:rPr>
        <w:t>76</w:t>
      </w:r>
      <w:r>
        <w:rPr>
          <w:rFonts w:ascii="宋体" w:hAnsi="宋体" w:cs="宋体" w:eastAsia="宋体" w:hint="default"/>
          <w:spacing w:val="-54"/>
        </w:rPr>
        <w:t> </w:t>
      </w:r>
      <w:r>
        <w:rPr/>
        <w:t>名激励对象授予</w:t>
      </w:r>
      <w:r>
        <w:rPr>
          <w:spacing w:val="-54"/>
        </w:rPr>
        <w:t> </w:t>
      </w:r>
      <w:r>
        <w:rPr>
          <w:rFonts w:ascii="宋体" w:hAnsi="宋体" w:cs="宋体" w:eastAsia="宋体" w:hint="default"/>
        </w:rPr>
        <w:t>300</w:t>
      </w:r>
      <w:r>
        <w:rPr>
          <w:rFonts w:ascii="宋体" w:hAnsi="宋体" w:cs="宋体" w:eastAsia="宋体" w:hint="default"/>
          <w:spacing w:val="-54"/>
        </w:rPr>
        <w:t> </w:t>
      </w:r>
      <w:r>
        <w:rPr/>
        <w:t>万股限制性股票，授予价格为</w:t>
      </w:r>
      <w:r>
        <w:rPr>
          <w:spacing w:val="-54"/>
        </w:rPr>
        <w:t> </w:t>
      </w:r>
      <w:r>
        <w:rPr>
          <w:rFonts w:ascii="宋体" w:hAnsi="宋体" w:cs="宋体" w:eastAsia="宋体" w:hint="default"/>
        </w:rPr>
        <w:t>8.51</w:t>
      </w:r>
      <w:r>
        <w:rPr>
          <w:rFonts w:ascii="宋体" w:hAnsi="宋体" w:cs="宋体" w:eastAsia="宋体" w:hint="default"/>
          <w:spacing w:val="-55"/>
        </w:rPr>
        <w:t> </w:t>
      </w:r>
      <w:r>
        <w:rPr/>
        <w:t>元</w:t>
      </w:r>
      <w:r>
        <w:rPr>
          <w:rFonts w:ascii="宋体" w:hAnsi="宋体" w:cs="宋体" w:eastAsia="宋体" w:hint="default"/>
        </w:rPr>
        <w:t>/</w:t>
      </w:r>
      <w:r>
        <w:rPr/>
        <w:t>股，上述限制</w:t>
      </w:r>
    </w:p>
    <w:p>
      <w:pPr>
        <w:pStyle w:val="BodyText"/>
        <w:spacing w:line="355" w:lineRule="auto" w:before="134"/>
        <w:ind w:left="573" w:right="7191" w:hanging="420"/>
        <w:jc w:val="left"/>
      </w:pPr>
      <w:r>
        <w:rPr/>
        <w:t>性股票上市日期为</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w:t>
      </w:r>
      <w:r>
        <w:rPr>
          <w:spacing w:val="-2"/>
        </w:rPr>
        <w:t> </w:t>
      </w:r>
      <w:r>
        <w:rPr>
          <w:rFonts w:ascii="宋体" w:hAnsi="宋体" w:cs="宋体" w:eastAsia="宋体" w:hint="default"/>
        </w:rPr>
        <w:t>2</w:t>
      </w:r>
      <w:r>
        <w:rPr/>
        <w:t>、非公开发行股票情况</w:t>
      </w:r>
    </w:p>
    <w:p>
      <w:pPr>
        <w:pStyle w:val="BodyText"/>
        <w:spacing w:line="357" w:lineRule="auto" w:before="32"/>
        <w:ind w:right="1132" w:firstLine="420"/>
        <w:jc w:val="both"/>
      </w:pPr>
      <w:r>
        <w:rPr>
          <w:spacing w:val="-1"/>
        </w:rPr>
        <w:t>经中国证券监督管理委员会《关于核准深圳达实智能股份有限公司非公开发行股票的批复》（证监许</w:t>
      </w:r>
      <w:r>
        <w:rPr/>
        <w:t> 可</w:t>
      </w:r>
      <w:r>
        <w:rPr>
          <w:rFonts w:ascii="宋体" w:hAnsi="宋体" w:cs="宋体" w:eastAsia="宋体" w:hint="default"/>
        </w:rPr>
        <w:t>[2014]846</w:t>
      </w:r>
      <w:r>
        <w:rPr>
          <w:rFonts w:ascii="宋体" w:hAnsi="宋体" w:cs="宋体" w:eastAsia="宋体" w:hint="default"/>
          <w:spacing w:val="-60"/>
        </w:rPr>
        <w:t> </w:t>
      </w:r>
      <w:r>
        <w:rPr/>
        <w:t>号）核准，公司非公开发行人民币</w:t>
      </w:r>
      <w:r>
        <w:rPr>
          <w:spacing w:val="-59"/>
        </w:rPr>
        <w:t> </w:t>
      </w:r>
      <w:r>
        <w:rPr>
          <w:rFonts w:ascii="宋体" w:hAnsi="宋体" w:cs="宋体" w:eastAsia="宋体" w:hint="default"/>
        </w:rPr>
        <w:t>4,700</w:t>
      </w:r>
      <w:r>
        <w:rPr>
          <w:rFonts w:ascii="宋体" w:hAnsi="宋体" w:cs="宋体" w:eastAsia="宋体" w:hint="default"/>
          <w:spacing w:val="-13"/>
        </w:rPr>
        <w:t> </w:t>
      </w:r>
      <w:r>
        <w:rPr/>
        <w:t>万股普通股股票，其中，刘磅先生以现金认购本次 非公开发行的</w:t>
      </w:r>
      <w:r>
        <w:rPr>
          <w:spacing w:val="-1"/>
        </w:rPr>
        <w:t> </w:t>
      </w:r>
      <w:r>
        <w:rPr>
          <w:rFonts w:ascii="宋体" w:hAnsi="宋体" w:cs="宋体" w:eastAsia="宋体" w:hint="default"/>
        </w:rPr>
        <w:t>2,000</w:t>
      </w:r>
      <w:r>
        <w:rPr>
          <w:rFonts w:ascii="宋体" w:hAnsi="宋体" w:cs="宋体" w:eastAsia="宋体" w:hint="default"/>
          <w:spacing w:val="-53"/>
        </w:rPr>
        <w:t> </w:t>
      </w:r>
      <w:r>
        <w:rPr/>
        <w:t>万股，贾虹女士以现金认购本次非公开发行的</w:t>
      </w:r>
      <w:r>
        <w:rPr>
          <w:spacing w:val="-1"/>
        </w:rPr>
        <w:t> </w:t>
      </w:r>
      <w:r>
        <w:rPr>
          <w:rFonts w:ascii="宋体" w:hAnsi="宋体" w:cs="宋体" w:eastAsia="宋体" w:hint="default"/>
        </w:rPr>
        <w:t>2,700</w:t>
      </w:r>
      <w:r>
        <w:rPr>
          <w:rFonts w:ascii="宋体" w:hAnsi="宋体" w:cs="宋体" w:eastAsia="宋体" w:hint="default"/>
          <w:spacing w:val="-53"/>
        </w:rPr>
        <w:t> </w:t>
      </w:r>
      <w:r>
        <w:rPr/>
        <w:t>万股。上述股份的上市日期为</w:t>
      </w:r>
    </w:p>
    <w:p>
      <w:pPr>
        <w:pStyle w:val="BodyText"/>
        <w:spacing w:line="240" w:lineRule="auto" w:before="31"/>
        <w:ind w:left="154" w:right="0"/>
        <w:jc w:val="left"/>
      </w:pP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14</w:t>
      </w:r>
      <w:r>
        <w:rPr>
          <w:rFonts w:ascii="宋体" w:hAnsi="宋体" w:cs="宋体" w:eastAsia="宋体" w:hint="default"/>
          <w:spacing w:val="-53"/>
        </w:rPr>
        <w:t> </w:t>
      </w:r>
      <w:r>
        <w:rPr/>
        <w:t>日。</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公司股份总数及股东结构的变动、公司资产和负债结构的变动情况说明" w:id="96"/>
      <w:bookmarkEnd w:id="9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现存的内部职工股情况" w:id="97"/>
      <w:bookmarkEnd w:id="9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98"/>
      <w:bookmarkEnd w:id="9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99"/>
      <w:bookmarkEnd w:id="9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134"/>
        <w:gridCol w:w="473"/>
        <w:gridCol w:w="389"/>
        <w:gridCol w:w="1043"/>
        <w:gridCol w:w="138"/>
        <w:gridCol w:w="856"/>
        <w:gridCol w:w="761"/>
        <w:gridCol w:w="386"/>
        <w:gridCol w:w="1198"/>
        <w:gridCol w:w="720"/>
        <w:gridCol w:w="882"/>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12,231</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12,419</w:t>
            </w:r>
          </w:p>
        </w:tc>
        <w:tc>
          <w:tcPr>
            <w:tcW w:w="15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31"/>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2"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2"/>
            <w:vMerge/>
            <w:tcBorders>
              <w:left w:val="single" w:sz="9" w:space="0" w:color="D2D2D2"/>
              <w:right w:val="single" w:sz="13" w:space="0" w:color="D2D2D2"/>
            </w:tcBorders>
          </w:tcPr>
          <w:p>
            <w:pPr/>
          </w:p>
        </w:tc>
        <w:tc>
          <w:tcPr>
            <w:tcW w:w="1584" w:type="dxa"/>
            <w:gridSpan w:val="2"/>
            <w:vMerge/>
            <w:tcBorders>
              <w:left w:val="single" w:sz="4" w:space="0" w:color="000000"/>
              <w:right w:val="single" w:sz="4" w:space="0" w:color="000000"/>
            </w:tcBorders>
            <w:shd w:val="clear" w:color="auto" w:fill="D2D2D2"/>
          </w:tcPr>
          <w:p>
            <w:pPr/>
          </w:p>
        </w:tc>
        <w:tc>
          <w:tcPr>
            <w:tcW w:w="1602" w:type="dxa"/>
            <w:gridSpan w:val="2"/>
            <w:vMerge/>
            <w:tcBorders>
              <w:left w:val="single" w:sz="13" w:space="0" w:color="D2D2D2"/>
              <w:right w:val="single" w:sz="4" w:space="0" w:color="000000"/>
            </w:tcBorders>
          </w:tcPr>
          <w:p>
            <w:pPr/>
          </w:p>
        </w:tc>
      </w:tr>
      <w:tr>
        <w:trPr>
          <w:trHeight w:val="70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2"/>
            <w:vMerge/>
            <w:tcBorders>
              <w:left w:val="single" w:sz="9" w:space="0" w:color="D2D2D2"/>
              <w:right w:val="single" w:sz="13" w:space="0" w:color="D2D2D2"/>
            </w:tcBorders>
          </w:tcPr>
          <w:p>
            <w:pPr/>
          </w:p>
        </w:tc>
        <w:tc>
          <w:tcPr>
            <w:tcW w:w="1584" w:type="dxa"/>
            <w:gridSpan w:val="2"/>
            <w:vMerge/>
            <w:tcBorders>
              <w:left w:val="single" w:sz="4" w:space="0" w:color="000000"/>
              <w:right w:val="single" w:sz="4" w:space="0" w:color="000000"/>
            </w:tcBorders>
            <w:shd w:val="clear" w:color="auto" w:fill="D2D2D2"/>
          </w:tcPr>
          <w:p>
            <w:pPr/>
          </w:p>
        </w:tc>
        <w:tc>
          <w:tcPr>
            <w:tcW w:w="1602" w:type="dxa"/>
            <w:gridSpan w:val="2"/>
            <w:vMerge/>
            <w:tcBorders>
              <w:left w:val="single" w:sz="13" w:space="0" w:color="D2D2D2"/>
              <w:right w:val="single" w:sz="4" w:space="0" w:color="000000"/>
            </w:tcBorders>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2"/>
            <w:vMerge/>
            <w:tcBorders>
              <w:left w:val="single" w:sz="9" w:space="0" w:color="D2D2D2"/>
              <w:right w:val="single" w:sz="13" w:space="0" w:color="D2D2D2"/>
            </w:tcBorders>
          </w:tcPr>
          <w:p>
            <w:pPr/>
          </w:p>
        </w:tc>
        <w:tc>
          <w:tcPr>
            <w:tcW w:w="1584" w:type="dxa"/>
            <w:gridSpan w:val="2"/>
            <w:vMerge/>
            <w:tcBorders>
              <w:left w:val="single" w:sz="4" w:space="0" w:color="000000"/>
              <w:right w:val="single" w:sz="4" w:space="0" w:color="000000"/>
            </w:tcBorders>
            <w:shd w:val="clear" w:color="auto" w:fill="D2D2D2"/>
          </w:tcPr>
          <w:p>
            <w:pPr/>
          </w:p>
        </w:tc>
        <w:tc>
          <w:tcPr>
            <w:tcW w:w="1602" w:type="dxa"/>
            <w:gridSpan w:val="2"/>
            <w:vMerge/>
            <w:tcBorders>
              <w:left w:val="single" w:sz="13" w:space="0" w:color="D2D2D2"/>
              <w:right w:val="single" w:sz="4" w:space="0" w:color="000000"/>
            </w:tcBorders>
          </w:tcPr>
          <w:p>
            <w:pPr/>
          </w:p>
        </w:tc>
      </w:tr>
      <w:tr>
        <w:trPr>
          <w:trHeight w:val="166"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2"/>
            <w:vMerge/>
            <w:tcBorders>
              <w:left w:val="single" w:sz="9" w:space="0" w:color="D2D2D2"/>
              <w:bottom w:val="single" w:sz="4" w:space="0" w:color="000000"/>
              <w:right w:val="single" w:sz="13" w:space="0" w:color="D2D2D2"/>
            </w:tcBorders>
          </w:tcPr>
          <w:p>
            <w:pPr/>
          </w:p>
        </w:tc>
        <w:tc>
          <w:tcPr>
            <w:tcW w:w="1584" w:type="dxa"/>
            <w:gridSpan w:val="2"/>
            <w:vMerge/>
            <w:tcBorders>
              <w:left w:val="single" w:sz="4" w:space="0" w:color="000000"/>
              <w:bottom w:val="single" w:sz="4" w:space="0" w:color="000000"/>
              <w:right w:val="single" w:sz="4" w:space="0" w:color="000000"/>
            </w:tcBorders>
            <w:shd w:val="clear" w:color="auto" w:fill="D2D2D2"/>
          </w:tcPr>
          <w:p>
            <w:pPr/>
          </w:p>
        </w:tc>
        <w:tc>
          <w:tcPr>
            <w:tcW w:w="1602" w:type="dxa"/>
            <w:gridSpan w:val="2"/>
            <w:vMerge/>
            <w:tcBorders>
              <w:left w:val="single" w:sz="13" w:space="0" w:color="D2D2D2"/>
              <w:bottom w:val="single" w:sz="4" w:space="0" w:color="000000"/>
              <w:right w:val="single" w:sz="4" w:space="0" w:color="000000"/>
            </w:tcBorders>
          </w:tcPr>
          <w:p>
            <w:pPr/>
          </w:p>
        </w:tc>
      </w:tr>
      <w:tr>
        <w:trPr>
          <w:trHeight w:val="392" w:hRule="exact"/>
        </w:trPr>
        <w:tc>
          <w:tcPr>
            <w:tcW w:w="957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30"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104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4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64"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104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6" w:right="65"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4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0"/>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602"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5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4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43"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47" w:type="dxa"/>
            <w:gridSpan w:val="2"/>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64"/>
              <w:ind w:left="177" w:right="170"/>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8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1043"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47" w:type="dxa"/>
            <w:gridSpan w:val="2"/>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8"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1043"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1147" w:type="dxa"/>
            <w:gridSpan w:val="2"/>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r>
      <w:tr>
        <w:trPr>
          <w:trHeight w:val="2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104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4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8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深圳市达实投资发 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23.71%</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60,639,626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7" w:type="dxa"/>
            <w:gridSpan w:val="2"/>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60,639,626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10.56%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27,000,000</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27,000,000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7.82%</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20,000,000</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20,000,000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盛安机电设备（昌 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3.17%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8,101,051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-578,290</w:t>
            </w:r>
          </w:p>
        </w:tc>
        <w:tc>
          <w:tcPr>
            <w:tcW w:w="1147" w:type="dxa"/>
            <w:gridSpan w:val="2"/>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8,101,051</w:t>
            </w:r>
          </w:p>
        </w:tc>
        <w:tc>
          <w:tcPr>
            <w:tcW w:w="72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中国建设银行－工 银瑞信精选平衡混 合型证券投资基金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2.24%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5,742,381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5,742,381</w:t>
            </w:r>
          </w:p>
        </w:tc>
        <w:tc>
          <w:tcPr>
            <w:tcW w:w="1147" w:type="dxa"/>
            <w:gridSpan w:val="2"/>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5,742,381</w:t>
            </w:r>
          </w:p>
        </w:tc>
        <w:tc>
          <w:tcPr>
            <w:tcW w:w="72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中国工商银行－博 时第三产业成长股 票证券投资基金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2.19%</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5,605,840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5,605,840</w:t>
            </w:r>
          </w:p>
        </w:tc>
        <w:tc>
          <w:tcPr>
            <w:tcW w:w="1147" w:type="dxa"/>
            <w:gridSpan w:val="2"/>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5,605,840</w:t>
            </w:r>
          </w:p>
        </w:tc>
        <w:tc>
          <w:tcPr>
            <w:tcW w:w="72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中国民生银行股份 有限公司－东方精 选混合型开放式证 券投资基金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2.19%</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5,598,007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5,598,007</w:t>
            </w:r>
          </w:p>
        </w:tc>
        <w:tc>
          <w:tcPr>
            <w:tcW w:w="1147" w:type="dxa"/>
            <w:gridSpan w:val="2"/>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5,598,007</w:t>
            </w:r>
          </w:p>
        </w:tc>
        <w:tc>
          <w:tcPr>
            <w:tcW w:w="72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中国农业银行股份 有限公司－工银瑞 信高端制造行业股 票型证券投资基金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2.14%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5,477,325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5,477,325</w:t>
            </w:r>
          </w:p>
        </w:tc>
        <w:tc>
          <w:tcPr>
            <w:tcW w:w="1147" w:type="dxa"/>
            <w:gridSpan w:val="2"/>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5,477,325</w:t>
            </w:r>
          </w:p>
        </w:tc>
        <w:tc>
          <w:tcPr>
            <w:tcW w:w="72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6pt;height:694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134"/>
                    <w:gridCol w:w="863"/>
                    <w:gridCol w:w="1043"/>
                    <w:gridCol w:w="994"/>
                    <w:gridCol w:w="1176"/>
                    <w:gridCol w:w="1175"/>
                    <w:gridCol w:w="222"/>
                    <w:gridCol w:w="492"/>
                    <w:gridCol w:w="882"/>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全国社保基金一一 四组合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3,755,017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1,008,867</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3,755,017</w:t>
                        </w:r>
                      </w:p>
                    </w:tc>
                    <w:tc>
                      <w:tcPr>
                        <w:tcW w:w="714" w:type="dxa"/>
                        <w:gridSpan w:val="2"/>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中国工商银行－南 方隆元产业主题股 票型证券投资基金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3,750,137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3,750,137</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3,750,137</w:t>
                        </w:r>
                      </w:p>
                    </w:tc>
                    <w:tc>
                      <w:tcPr>
                        <w:tcW w:w="714" w:type="dxa"/>
                        <w:gridSpan w:val="2"/>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7" w:type="dxa"/>
                        <w:gridSpan w:val="8"/>
                        <w:vMerge w:val="restart"/>
                        <w:tcBorders>
                          <w:top w:val="single" w:sz="4" w:space="0" w:color="000000"/>
                          <w:left w:val="single" w:sz="9" w:space="0" w:color="D2D2D2"/>
                          <w:right w:val="single" w:sz="4" w:space="0" w:color="000000"/>
                        </w:tcBorders>
                      </w:tcPr>
                      <w:p>
                        <w:pPr>
                          <w:pStyle w:val="TableParagraph"/>
                          <w:spacing w:line="319" w:lineRule="auto" w:before="51"/>
                          <w:ind w:left="16" w:right="22" w:firstLine="360"/>
                          <w:jc w:val="left"/>
                          <w:rPr>
                            <w:rFonts w:ascii="宋体" w:hAnsi="宋体" w:cs="宋体" w:eastAsia="宋体" w:hint="default"/>
                            <w:sz w:val="18"/>
                            <w:szCs w:val="18"/>
                          </w:rPr>
                        </w:pPr>
                        <w:r>
                          <w:rPr>
                            <w:rFonts w:ascii="宋体" w:hAnsi="宋体" w:cs="宋体" w:eastAsia="宋体" w:hint="default"/>
                            <w:spacing w:val="-2"/>
                            <w:sz w:val="18"/>
                            <w:szCs w:val="18"/>
                          </w:rPr>
                          <w:t>深圳市达实投资发展有限公司为控股股东，刘磅先生为实际控制人、董事长、总经</w:t>
                        </w:r>
                        <w:r>
                          <w:rPr>
                            <w:rFonts w:ascii="宋体" w:hAnsi="宋体" w:cs="宋体" w:eastAsia="宋体" w:hint="default"/>
                            <w:sz w:val="18"/>
                            <w:szCs w:val="18"/>
                          </w:rPr>
                          <w:t> </w:t>
                        </w:r>
                        <w:r>
                          <w:rPr>
                            <w:rFonts w:ascii="宋体" w:hAnsi="宋体" w:cs="宋体" w:eastAsia="宋体" w:hint="default"/>
                            <w:spacing w:val="-2"/>
                            <w:sz w:val="18"/>
                            <w:szCs w:val="18"/>
                          </w:rPr>
                          <w:t>理，贾虹女士为公司董事；中国建设银行－工银瑞信精选平衡混合型证券投资基金、中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国农业银行股份有限公司－工银瑞信高端制造行业股票型证券投资基金的基金管理人 均为工银瑞信基金管理有限公司。</w:t>
                        </w:r>
                      </w:p>
                      <w:p>
                        <w:pPr>
                          <w:pStyle w:val="TableParagraph"/>
                          <w:spacing w:line="240" w:lineRule="auto" w:before="56"/>
                          <w:ind w:left="376" w:right="0"/>
                          <w:jc w:val="left"/>
                          <w:rPr>
                            <w:rFonts w:ascii="宋体" w:hAnsi="宋体" w:cs="宋体" w:eastAsia="宋体" w:hint="default"/>
                            <w:sz w:val="18"/>
                            <w:szCs w:val="18"/>
                          </w:rPr>
                        </w:pPr>
                        <w:r>
                          <w:rPr>
                            <w:rFonts w:ascii="宋体" w:hAnsi="宋体" w:cs="宋体" w:eastAsia="宋体" w:hint="default"/>
                            <w:spacing w:val="-4"/>
                            <w:sz w:val="18"/>
                            <w:szCs w:val="18"/>
                          </w:rPr>
                          <w:t>除上述情形外，公司未知其他股东是否存在关联关系，也未知是否属于一致行动人</w:t>
                        </w:r>
                      </w:p>
                    </w:tc>
                  </w:tr>
                  <w:tr>
                    <w:trPr>
                      <w:trHeight w:val="704" w:hRule="exact"/>
                    </w:trPr>
                    <w:tc>
                      <w:tcPr>
                        <w:tcW w:w="273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7" w:type="dxa"/>
                        <w:gridSpan w:val="8"/>
                        <w:vMerge/>
                        <w:tcBorders>
                          <w:left w:val="single" w:sz="9" w:space="0" w:color="D2D2D2"/>
                          <w:right w:val="single" w:sz="4" w:space="0" w:color="000000"/>
                        </w:tcBorders>
                      </w:tcPr>
                      <w:p>
                        <w:pPr/>
                      </w:p>
                    </w:tc>
                  </w:tr>
                  <w:tr>
                    <w:trPr>
                      <w:trHeight w:val="493"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7" w:type="dxa"/>
                        <w:gridSpan w:val="8"/>
                        <w:vMerge/>
                        <w:tcBorders>
                          <w:left w:val="single" w:sz="9" w:space="0" w:color="D2D2D2"/>
                          <w:bottom w:val="single" w:sz="4" w:space="0" w:color="000000"/>
                          <w:right w:val="single" w:sz="4" w:space="0" w:color="000000"/>
                        </w:tcBorders>
                      </w:tcPr>
                      <w:p>
                        <w:pPr/>
                      </w:p>
                    </w:tc>
                  </w:tr>
                  <w:tr>
                    <w:trPr>
                      <w:trHeight w:val="402" w:hRule="exact"/>
                    </w:trPr>
                    <w:tc>
                      <w:tcPr>
                        <w:tcW w:w="957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07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7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8"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76"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1"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076" w:type="dxa"/>
                        <w:gridSpan w:val="4"/>
                        <w:vMerge/>
                        <w:tcBorders>
                          <w:left w:val="single" w:sz="4" w:space="0" w:color="000000"/>
                          <w:bottom w:val="nil" w:sz="6" w:space="0" w:color="auto"/>
                          <w:right w:val="single" w:sz="4" w:space="0" w:color="000000"/>
                        </w:tcBorders>
                        <w:shd w:val="clear" w:color="auto" w:fill="D2D2D2"/>
                      </w:tcPr>
                      <w:p>
                        <w:pPr/>
                      </w:p>
                    </w:tc>
                    <w:tc>
                      <w:tcPr>
                        <w:tcW w:w="13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4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07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gridSpan w:val="2"/>
                        <w:vMerge/>
                        <w:tcBorders>
                          <w:left w:val="single" w:sz="4" w:space="0" w:color="000000"/>
                          <w:bottom w:val="single" w:sz="4" w:space="0" w:color="000000"/>
                          <w:right w:val="single" w:sz="4" w:space="0" w:color="000000"/>
                        </w:tcBorders>
                        <w:shd w:val="clear" w:color="auto" w:fill="D2D2D2"/>
                      </w:tcPr>
                      <w:p>
                        <w:pPr/>
                      </w:p>
                    </w:tc>
                    <w:tc>
                      <w:tcPr>
                        <w:tcW w:w="1374"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40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
                          <w:jc w:val="right"/>
                          <w:rPr>
                            <w:rFonts w:ascii="Times New Roman" w:hAnsi="Times New Roman" w:cs="Times New Roman" w:eastAsia="Times New Roman" w:hint="default"/>
                            <w:sz w:val="18"/>
                            <w:szCs w:val="18"/>
                          </w:rPr>
                        </w:pPr>
                        <w:r>
                          <w:rPr>
                            <w:rFonts w:ascii="Times New Roman"/>
                            <w:sz w:val="18"/>
                          </w:rPr>
                          <w:t>60,639,626</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5" w:right="0"/>
                          <w:jc w:val="left"/>
                          <w:rPr>
                            <w:rFonts w:ascii="Times New Roman" w:hAnsi="Times New Roman" w:cs="Times New Roman" w:eastAsia="Times New Roman" w:hint="default"/>
                            <w:sz w:val="18"/>
                            <w:szCs w:val="18"/>
                          </w:rPr>
                        </w:pPr>
                        <w:r>
                          <w:rPr>
                            <w:rFonts w:ascii="Times New Roman"/>
                            <w:sz w:val="18"/>
                          </w:rPr>
                          <w:t>60,639,626</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盛安机电设备（昌都）有限公司</w:t>
                        </w:r>
                      </w:p>
                    </w:tc>
                    <w:tc>
                      <w:tcPr>
                        <w:tcW w:w="40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
                          <w:jc w:val="right"/>
                          <w:rPr>
                            <w:rFonts w:ascii="Times New Roman" w:hAnsi="Times New Roman" w:cs="Times New Roman" w:eastAsia="Times New Roman" w:hint="default"/>
                            <w:sz w:val="18"/>
                            <w:szCs w:val="18"/>
                          </w:rPr>
                        </w:pPr>
                        <w:r>
                          <w:rPr>
                            <w:rFonts w:ascii="Times New Roman"/>
                            <w:sz w:val="18"/>
                          </w:rPr>
                          <w:t>8,101,051</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1" w:right="0"/>
                          <w:jc w:val="left"/>
                          <w:rPr>
                            <w:rFonts w:ascii="Times New Roman" w:hAnsi="Times New Roman" w:cs="Times New Roman" w:eastAsia="Times New Roman" w:hint="default"/>
                            <w:sz w:val="18"/>
                            <w:szCs w:val="18"/>
                          </w:rPr>
                        </w:pPr>
                        <w:r>
                          <w:rPr>
                            <w:rFonts w:ascii="Times New Roman"/>
                            <w:sz w:val="18"/>
                          </w:rPr>
                          <w:t>8,101,051</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中国建设银行－工银瑞信精选平 衡混合型证券投资基金</w:t>
                        </w:r>
                      </w:p>
                    </w:tc>
                    <w:tc>
                      <w:tcPr>
                        <w:tcW w:w="40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5,742,381</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5,742,381</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中国工商银行－博时第三产业成 长股票证券投资基金</w:t>
                        </w:r>
                      </w:p>
                    </w:tc>
                    <w:tc>
                      <w:tcPr>
                        <w:tcW w:w="40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5,605,840</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5,605,840</w:t>
                        </w:r>
                      </w:p>
                    </w:tc>
                  </w:tr>
                  <w:tr>
                    <w:trPr>
                      <w:trHeight w:val="1026"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7"/>
                          <w:jc w:val="both"/>
                          <w:rPr>
                            <w:rFonts w:ascii="宋体" w:hAnsi="宋体" w:cs="宋体" w:eastAsia="宋体" w:hint="default"/>
                            <w:sz w:val="18"/>
                            <w:szCs w:val="18"/>
                          </w:rPr>
                        </w:pPr>
                        <w:r>
                          <w:rPr>
                            <w:rFonts w:ascii="宋体" w:hAnsi="宋体" w:cs="宋体" w:eastAsia="宋体" w:hint="default"/>
                            <w:sz w:val="18"/>
                            <w:szCs w:val="18"/>
                          </w:rPr>
                          <w:t>中国民生银行股份有限公司－东 方精选混合型开放式证券投资基 金</w:t>
                        </w:r>
                      </w:p>
                    </w:tc>
                    <w:tc>
                      <w:tcPr>
                        <w:tcW w:w="40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5,598,007</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5,598,007</w:t>
                        </w:r>
                      </w:p>
                    </w:tc>
                  </w:tr>
                  <w:tr>
                    <w:trPr>
                      <w:trHeight w:val="1026"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中国农业银行股份有限公司－工 银瑞信高端制造行业股票型证券 投资基金</w:t>
                        </w:r>
                      </w:p>
                    </w:tc>
                    <w:tc>
                      <w:tcPr>
                        <w:tcW w:w="40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5,477,325</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5,477,325</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40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
                          <w:jc w:val="right"/>
                          <w:rPr>
                            <w:rFonts w:ascii="Times New Roman" w:hAnsi="Times New Roman" w:cs="Times New Roman" w:eastAsia="Times New Roman" w:hint="default"/>
                            <w:sz w:val="18"/>
                            <w:szCs w:val="18"/>
                          </w:rPr>
                        </w:pPr>
                        <w:r>
                          <w:rPr>
                            <w:rFonts w:ascii="Times New Roman"/>
                            <w:sz w:val="18"/>
                          </w:rPr>
                          <w:t>3,755,017</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1" w:right="0"/>
                          <w:jc w:val="left"/>
                          <w:rPr>
                            <w:rFonts w:ascii="Times New Roman" w:hAnsi="Times New Roman" w:cs="Times New Roman" w:eastAsia="Times New Roman" w:hint="default"/>
                            <w:sz w:val="18"/>
                            <w:szCs w:val="18"/>
                          </w:rPr>
                        </w:pPr>
                        <w:r>
                          <w:rPr>
                            <w:rFonts w:ascii="Times New Roman"/>
                            <w:sz w:val="18"/>
                          </w:rPr>
                          <w:t>3,755,017</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中国工商银行－南方隆元产业主 题股票型证券投资基金</w:t>
                        </w:r>
                      </w:p>
                    </w:tc>
                    <w:tc>
                      <w:tcPr>
                        <w:tcW w:w="40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3,750,137</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3,750,137</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中国建设银行股份有限公司－银 河行业优选股票型证券投资基金</w:t>
                        </w:r>
                      </w:p>
                    </w:tc>
                    <w:tc>
                      <w:tcPr>
                        <w:tcW w:w="40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3,390,010</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3,390,010</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中信银行股份有限公司－银河主 题策略股票型证券投资基金</w:t>
                        </w:r>
                      </w:p>
                    </w:tc>
                    <w:tc>
                      <w:tcPr>
                        <w:tcW w:w="40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3,200,072</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3,200,072</w:t>
                        </w:r>
                      </w:p>
                    </w:tc>
                  </w:tr>
                  <w:tr>
                    <w:trPr>
                      <w:trHeight w:val="2003"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7"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2"/>
                            <w:sz w:val="18"/>
                            <w:szCs w:val="18"/>
                          </w:rPr>
                          <w:t>中国建设银行－工银瑞信精选平衡混合型证券投资基金、中国农业银行股份有限公</w:t>
                        </w:r>
                        <w:r>
                          <w:rPr>
                            <w:rFonts w:ascii="宋体" w:hAnsi="宋体" w:cs="宋体" w:eastAsia="宋体" w:hint="default"/>
                            <w:sz w:val="18"/>
                            <w:szCs w:val="18"/>
                          </w:rPr>
                          <w:t> 司－工银瑞信高端制造行业股票型证券投资基金的基金管理人均为工银瑞信基金管理 </w:t>
                        </w:r>
                        <w:r>
                          <w:rPr>
                            <w:rFonts w:ascii="宋体" w:hAnsi="宋体" w:cs="宋体" w:eastAsia="宋体" w:hint="default"/>
                            <w:spacing w:val="-2"/>
                            <w:sz w:val="18"/>
                            <w:szCs w:val="18"/>
                          </w:rPr>
                          <w:t>有限公司；中国建设银行股份有限公司－银河行业优选股票型证券投资基金、中信银行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股份有限公司－银河主题策略股票型证券投资基金的基金管理人均为银河基金管理有 限公司。</w:t>
                        </w:r>
                      </w:p>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pacing w:val="-4"/>
                            <w:sz w:val="18"/>
                            <w:szCs w:val="18"/>
                          </w:rPr>
                          <w:t>除上述情形外，公司未知其他股东是否存在关联关系，也未知是否属于一致行动人</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w:t>
                        </w:r>
                      </w:p>
                    </w:tc>
                    <w:tc>
                      <w:tcPr>
                        <w:tcW w:w="68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2"/>
        <w:rPr>
          <w:rFonts w:ascii="宋体" w:hAnsi="宋体" w:cs="宋体" w:eastAsia="宋体" w:hint="default"/>
          <w:sz w:val="28"/>
          <w:szCs w:val="28"/>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35pt;height:34.7pt;mso-position-horizontal-relative:char;mso-position-vertical-relative:line" coordorigin="0,0" coordsize="9587,694">
            <v:group style="position:absolute;left:21;top:14;width:2;height:665" coordorigin="21,14" coordsize="2,665">
              <v:shape style="position:absolute;left:21;top:14;width:2;height:665" coordorigin="21,14" coordsize="0,665" path="m21,14l21,679e" filled="false" stroked="true" strokeweight="1.140pt" strokecolor="#d2d2d2">
                <v:path arrowok="t"/>
              </v:shape>
            </v:group>
            <v:group style="position:absolute;left:2719;top:14;width:2;height:665" coordorigin="2719,14" coordsize="2,665">
              <v:shape style="position:absolute;left:2719;top:14;width:2;height:665" coordorigin="2719,14" coordsize="0,665" path="m2719,14l2719,679e" filled="false" stroked="true" strokeweight="1.140pt" strokecolor="#d2d2d2">
                <v:path arrowok="t"/>
              </v:shape>
            </v:group>
            <v:group style="position:absolute;left:32;top:14;width:2676;height:312" coordorigin="32,14" coordsize="2676,312">
              <v:shape style="position:absolute;left:32;top:14;width:2676;height:312" coordorigin="32,14" coordsize="2676,312" path="m32,326l2708,326,2708,14,32,14,32,326xe" filled="true" fillcolor="#d2d2d2" stroked="false">
                <v:path arrowok="t"/>
                <v:fill type="solid"/>
              </v:shape>
            </v:group>
            <v:group style="position:absolute;left:32;top:326;width:2676;height:353" coordorigin="32,326" coordsize="2676,353">
              <v:shape style="position:absolute;left:32;top:326;width:2676;height:353" coordorigin="32,326" coordsize="2676,353" path="m32,679l2708,679,2708,326,32,326,32,679xe" filled="true" fillcolor="#d2d2d2" stroked="false">
                <v:path arrowok="t"/>
                <v:fill type="solid"/>
              </v:shape>
            </v:group>
            <v:group style="position:absolute;left:10;top:10;width:2721;height:2" coordorigin="10,10" coordsize="2721,2">
              <v:shape style="position:absolute;left:10;top:10;width:2721;height:2" coordorigin="10,10" coordsize="2721,0" path="m10,10l2730,10e" filled="false" stroked="true" strokeweight=".48pt" strokecolor="#000000">
                <v:path arrowok="t"/>
              </v:shape>
            </v:group>
            <v:group style="position:absolute;left:2740;top:10;width:6838;height:2" coordorigin="2740,10" coordsize="6838,2">
              <v:shape style="position:absolute;left:2740;top:10;width:6838;height:2" coordorigin="2740,10" coordsize="6838,0" path="m2740,10l9577,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2721;height:2" coordorigin="10,684" coordsize="2721,2">
              <v:shape style="position:absolute;left:10;top:684;width:2721;height:2" coordorigin="10,684" coordsize="2721,0" path="m10,684l2730,684e" filled="false" stroked="true" strokeweight=".48pt" strokecolor="#000000">
                <v:path arrowok="t"/>
              </v:shape>
            </v:group>
            <v:group style="position:absolute;left:2735;top:5;width:2;height:684" coordorigin="2735,5" coordsize="2,684">
              <v:shape style="position:absolute;left:2735;top:5;width:2;height:684" coordorigin="2735,5" coordsize="0,684" path="m2735,5l2735,689e" filled="false" stroked="true" strokeweight=".48pt" strokecolor="#000000">
                <v:path arrowok="t"/>
              </v:shape>
            </v:group>
            <v:group style="position:absolute;left:2740;top:684;width:6838;height:2" coordorigin="2740,684" coordsize="6838,2">
              <v:shape style="position:absolute;left:2740;top:684;width:6838;height:2" coordorigin="2740,684" coordsize="6838,0" path="m2740,684l9577,684e" filled="false" stroked="true" strokeweight=".48pt" strokecolor="#000000">
                <v:path arrowok="t"/>
              </v:shape>
            </v:group>
            <v:group style="position:absolute;left:9582;top:5;width:2;height:684" coordorigin="9582,5" coordsize="2,684">
              <v:shape style="position:absolute;left:9582;top:5;width:2;height:684" coordorigin="9582,5" coordsize="0,684" path="m9582,5l9582,689e" filled="false" stroked="true" strokeweight=".48pt" strokecolor="#000000">
                <v:path arrowok="t"/>
              </v:shape>
              <v:shape style="position:absolute;left:5;top:10;width:2719;height:675" type="#_x0000_t202" filled="false" stroked="false">
                <v:textbox inset="0,0,0,0">
                  <w:txbxContent>
                    <w:p>
                      <w:pPr>
                        <w:spacing w:line="319" w:lineRule="auto" w:before="15"/>
                        <w:ind w:left="27" w:right="79" w:firstLine="0"/>
                        <w:jc w:val="left"/>
                        <w:rPr>
                          <w:rFonts w:ascii="宋体" w:hAnsi="宋体" w:cs="宋体" w:eastAsia="宋体" w:hint="default"/>
                          <w:sz w:val="18"/>
                          <w:szCs w:val="18"/>
                        </w:rPr>
                      </w:pP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3"/>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00"/>
      <w:bookmarkEnd w:id="10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44"/>
        <w:ind w:left="0" w:right="1139" w:firstLine="0"/>
        <w:jc w:val="right"/>
        <w:rPr>
          <w:rFonts w:ascii="宋体" w:hAnsi="宋体" w:cs="宋体" w:eastAsia="宋体" w:hint="default"/>
          <w:sz w:val="18"/>
          <w:szCs w:val="18"/>
        </w:rPr>
      </w:pPr>
      <w:r>
        <w:rPr/>
        <w:pict>
          <v:shape style="position:absolute;margin-left:56.459999pt;margin-top:-114.518288pt;width:479.2pt;height:319.4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134"/>
                    <w:gridCol w:w="1559"/>
                    <w:gridCol w:w="1418"/>
                    <w:gridCol w:w="1134"/>
                    <w:gridCol w:w="2904"/>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2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24"/>
                          <w:jc w:val="left"/>
                          <w:rPr>
                            <w:rFonts w:ascii="宋体" w:hAnsi="宋体" w:cs="宋体" w:eastAsia="宋体" w:hint="default"/>
                            <w:sz w:val="18"/>
                            <w:szCs w:val="18"/>
                          </w:rPr>
                        </w:pPr>
                        <w:r>
                          <w:rPr>
                            <w:rFonts w:ascii="宋体" w:hAnsi="宋体" w:cs="宋体" w:eastAsia="宋体" w:hint="default"/>
                            <w:sz w:val="18"/>
                            <w:szCs w:val="18"/>
                          </w:rPr>
                          <w:t>深圳市达实投资 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27933775-0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主要从事投资兴办实业（具体项目另</w:t>
                        </w:r>
                        <w:r>
                          <w:rPr>
                            <w:rFonts w:ascii="宋体" w:hAnsi="宋体" w:cs="宋体" w:eastAsia="宋体" w:hint="default"/>
                            <w:sz w:val="18"/>
                            <w:szCs w:val="18"/>
                          </w:rPr>
                          <w:t> </w:t>
                        </w:r>
                        <w:r>
                          <w:rPr>
                            <w:rFonts w:ascii="宋体" w:hAnsi="宋体" w:cs="宋体" w:eastAsia="宋体" w:hint="default"/>
                            <w:spacing w:val="-6"/>
                            <w:sz w:val="18"/>
                            <w:szCs w:val="18"/>
                          </w:rPr>
                          <w:t>报）；国内贸易（法律、行政法规、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国务院决定规定在登记前须经批准 </w:t>
                        </w:r>
                        <w:r>
                          <w:rPr>
                            <w:rFonts w:ascii="宋体" w:hAnsi="宋体" w:cs="宋体" w:eastAsia="宋体" w:hint="default"/>
                            <w:spacing w:val="-6"/>
                            <w:sz w:val="18"/>
                            <w:szCs w:val="18"/>
                          </w:rPr>
                          <w:t>的项目除外）；通讯产品销售及技术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开发、软件技术开发、经济信息咨询</w:t>
                        </w:r>
                      </w:p>
                      <w:p>
                        <w:pPr>
                          <w:pStyle w:val="TableParagraph"/>
                          <w:spacing w:line="319" w:lineRule="auto" w:before="19"/>
                          <w:ind w:left="22" w:right="-9"/>
                          <w:jc w:val="left"/>
                          <w:rPr>
                            <w:rFonts w:ascii="宋体" w:hAnsi="宋体" w:cs="宋体" w:eastAsia="宋体" w:hint="default"/>
                            <w:sz w:val="18"/>
                            <w:szCs w:val="18"/>
                          </w:rPr>
                        </w:pPr>
                        <w:r>
                          <w:rPr>
                            <w:rFonts w:ascii="宋体" w:hAnsi="宋体" w:cs="宋体" w:eastAsia="宋体" w:hint="default"/>
                            <w:spacing w:val="-8"/>
                            <w:sz w:val="18"/>
                            <w:szCs w:val="18"/>
                          </w:rPr>
                          <w:t>（不含证券、保险、基金、金融业务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人才中介服务及其它限制项目）；货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物及技术进出口（法律、行政法规、 </w:t>
                        </w:r>
                        <w:r>
                          <w:rPr>
                            <w:rFonts w:ascii="宋体" w:hAnsi="宋体" w:cs="宋体" w:eastAsia="宋体" w:hint="default"/>
                            <w:spacing w:val="-2"/>
                            <w:sz w:val="18"/>
                            <w:szCs w:val="18"/>
                          </w:rPr>
                          <w:t>国务院决定禁止的项目除外，限制的</w:t>
                        </w:r>
                        <w:r>
                          <w:rPr>
                            <w:rFonts w:ascii="宋体" w:hAnsi="宋体" w:cs="宋体" w:eastAsia="宋体" w:hint="default"/>
                            <w:sz w:val="18"/>
                            <w:szCs w:val="18"/>
                          </w:rPr>
                          <w:t> </w:t>
                        </w:r>
                        <w:r>
                          <w:rPr>
                            <w:rFonts w:ascii="宋体" w:hAnsi="宋体" w:cs="宋体" w:eastAsia="宋体" w:hint="default"/>
                            <w:spacing w:val="-7"/>
                            <w:sz w:val="18"/>
                            <w:szCs w:val="18"/>
                          </w:rPr>
                          <w:t>项目须取得许可后方可经营）。</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815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深耕固有投资领域投资，深化产业整合。</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0"/>
                            <w:sz w:val="18"/>
                            <w:szCs w:val="18"/>
                          </w:rPr>
                          <w:t>经营成果、财务状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况、现金流</w:t>
                        </w:r>
                      </w:p>
                    </w:tc>
                    <w:tc>
                      <w:tcPr>
                        <w:tcW w:w="815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134,823.44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万元，归属于公司股东的净利润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2,083.64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5"/>
                          <w:jc w:val="both"/>
                          <w:rPr>
                            <w:rFonts w:ascii="宋体" w:hAnsi="宋体" w:cs="宋体" w:eastAsia="宋体" w:hint="default"/>
                            <w:sz w:val="18"/>
                            <w:szCs w:val="18"/>
                          </w:rPr>
                        </w:pPr>
                        <w:r>
                          <w:rPr>
                            <w:rFonts w:ascii="宋体" w:hAnsi="宋体" w:cs="宋体" w:eastAsia="宋体" w:hint="default"/>
                            <w:sz w:val="18"/>
                            <w:szCs w:val="18"/>
                          </w:rPr>
                          <w:t>控股股东报告期 内控股和参股的 其他境内外上市 公司的股权情况</w:t>
                        </w:r>
                      </w:p>
                    </w:tc>
                    <w:tc>
                      <w:tcPr>
                        <w:tcW w:w="815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6"/>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公司实际控制人情况" w:id="101"/>
      <w:bookmarkEnd w:id="10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刘磅</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月创立本公司，一直担任本公司董事长、总经理。刘磅是中国自</w:t>
            </w:r>
            <w:r>
              <w:rPr>
                <w:rFonts w:ascii="宋体" w:hAnsi="宋体" w:cs="宋体" w:eastAsia="宋体" w:hint="default"/>
                <w:sz w:val="18"/>
                <w:szCs w:val="18"/>
              </w:rPr>
              <w:t> 动化学会的常务理事、中国节能协会常务委员、智能建筑专家委员会副主任。</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line="348" w:lineRule="auto" w:before="44"/>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4213" w:lineRule="exact"/>
        <w:ind w:left="1502" w:right="0" w:firstLine="0"/>
        <w:rPr>
          <w:rFonts w:ascii="宋体" w:hAnsi="宋体" w:cs="宋体" w:eastAsia="宋体" w:hint="default"/>
          <w:sz w:val="20"/>
          <w:szCs w:val="20"/>
        </w:rPr>
      </w:pPr>
      <w:r>
        <w:rPr>
          <w:rFonts w:ascii="宋体" w:hAnsi="宋体" w:cs="宋体" w:eastAsia="宋体" w:hint="default"/>
          <w:position w:val="-83"/>
          <w:sz w:val="20"/>
          <w:szCs w:val="20"/>
        </w:rPr>
        <w:pict>
          <v:group style="width:334.5pt;height:210.65pt;mso-position-horizontal-relative:char;mso-position-vertical-relative:line" coordorigin="0,0" coordsize="6690,4213">
            <v:group style="position:absolute;left:8;top:8;width:1784;height:737" coordorigin="8,8" coordsize="1784,737">
              <v:shape style="position:absolute;left:8;top:8;width:1784;height:737" coordorigin="8,8" coordsize="1784,737" path="m130,8l83,17,43,43,17,83,8,130,8,622,17,669,43,709,83,735,130,745,1669,745,1716,735,1756,709,1782,669,1792,622,1792,130,1782,83,1756,43,1716,17,1669,8,130,8xe" filled="false" stroked="true" strokeweight=".75pt" strokecolor="#000000">
                <v:path arrowok="t"/>
              </v:shape>
            </v:group>
            <v:group style="position:absolute;left:2454;top:8;width:1784;height:737" coordorigin="2454,8" coordsize="1784,737">
              <v:shape style="position:absolute;left:2454;top:8;width:1784;height:737" coordorigin="2454,8" coordsize="1784,737" path="m2576,8l2529,17,2489,43,2463,83,2454,130,2454,622,2463,669,2489,709,2529,735,2576,745,4115,745,4162,735,4202,709,4228,669,4238,622,4238,130,4228,83,4202,43,4162,17,4115,8,2576,8xe" filled="false" stroked="true" strokeweight=".75pt" strokecolor="#000000">
                <v:path arrowok="t"/>
              </v:shape>
            </v:group>
            <v:group style="position:absolute;left:4898;top:8;width:1785;height:737" coordorigin="4898,8" coordsize="1785,737">
              <v:shape style="position:absolute;left:4898;top:8;width:1785;height:737" coordorigin="4898,8" coordsize="1785,737" path="m5020,8l4973,17,4933,43,4907,83,4898,130,4898,622,4907,669,4933,709,4973,735,5020,745,6560,745,6607,735,6647,709,6673,669,6683,622,6683,130,6673,83,6647,43,6607,17,6560,8,5020,8xe" filled="false" stroked="true" strokeweight=".75pt" strokecolor="#000000">
                <v:path arrowok="t"/>
              </v:shape>
            </v:group>
            <v:group style="position:absolute;left:1038;top:748;width:4535;height:662" coordorigin="1038,748" coordsize="4535,662">
              <v:shape style="position:absolute;left:1038;top:748;width:4535;height:662" coordorigin="1038,748" coordsize="4535,662" path="m1038,748l1038,1410,5573,1410,5573,749e" filled="false" stroked="true" strokeweight=".75pt" strokecolor="#000000">
                <v:path arrowok="t"/>
              </v:shape>
            </v:group>
            <v:group style="position:absolute;left:3345;top:744;width:7;height:1273" coordorigin="3345,744" coordsize="7,1273">
              <v:shape style="position:absolute;left:3345;top:744;width:7;height:1273" coordorigin="3345,744" coordsize="7,1273" path="m3345,744l3352,2017e" filled="false" stroked="true" strokeweight=".75pt" strokecolor="#000000">
                <v:path arrowok="t"/>
              </v:shape>
            </v:group>
            <v:group style="position:absolute;left:1343;top:2018;width:4020;height:736" coordorigin="1343,2018" coordsize="4020,736">
              <v:shape style="position:absolute;left:1343;top:2018;width:4020;height:736" coordorigin="1343,2018" coordsize="4020,736" path="m1465,2018l1417,2027,1378,2053,1352,2092,1343,2140,1343,2631,1352,2679,1378,2718,1417,2744,1465,2754,5240,2754,5288,2744,5327,2718,5353,2679,5363,2631,5363,2140,5353,2092,5327,2053,5288,2027,5240,2018,1465,2018xe" filled="false" stroked="true" strokeweight=".75pt" strokecolor="#000000">
                <v:path arrowok="t"/>
              </v:shape>
            </v:group>
            <v:group style="position:absolute;left:113;top:3470;width:6480;height:736" coordorigin="113,3470" coordsize="6480,736">
              <v:shape style="position:absolute;left:113;top:3470;width:6480;height:736" coordorigin="113,3470" coordsize="6480,736" path="m235,3470l187,3479,148,3505,122,3544,112,3592,112,4083,122,4131,148,4170,187,4196,235,4206,6470,4206,6518,4196,6557,4170,6583,4131,6593,4083,6593,3592,6583,3544,6557,3505,6518,3479,6470,3470,235,3470xe" filled="false" stroked="true" strokeweight=".75pt" strokecolor="#000000">
                <v:path arrowok="t"/>
              </v:shape>
            </v:group>
            <v:group style="position:absolute;left:3353;top:2754;width:2;height:716" coordorigin="3353,2754" coordsize="2,716">
              <v:shape style="position:absolute;left:3353;top:2754;width:2;height:716" coordorigin="3353,2754" coordsize="1,716" path="m3353,2754l3354,3470e" filled="false" stroked="true" strokeweight=".75pt" strokecolor="#000000">
                <v:path arrowok="t"/>
              </v:shape>
            </v:group>
            <v:group style="position:absolute;left:428;top:748;width:2;height:2722" coordorigin="428,748" coordsize="2,2722">
              <v:shape style="position:absolute;left:428;top:748;width:2;height:2722" coordorigin="428,748" coordsize="1,2722" path="m428,748l429,3470e" filled="false" stroked="true" strokeweight=".75pt" strokecolor="#000000">
                <v:path arrowok="t"/>
              </v:shape>
              <v:shape style="position:absolute;left:620;top:327;width:560;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刘磅</w:t>
                      </w:r>
                      <w:r>
                        <w:rPr>
                          <w:rFonts w:ascii="宋体" w:hAnsi="宋体" w:cs="宋体" w:eastAsia="宋体" w:hint="default"/>
                          <w:sz w:val="28"/>
                          <w:szCs w:val="28"/>
                        </w:rPr>
                      </w:r>
                    </w:p>
                  </w:txbxContent>
                </v:textbox>
                <w10:wrap type="none"/>
              </v:shape>
              <v:shape style="position:absolute;left:2927;top:327;width:839;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涂德猛</w:t>
                      </w:r>
                      <w:r>
                        <w:rPr>
                          <w:rFonts w:ascii="宋体" w:hAnsi="宋体" w:cs="宋体" w:eastAsia="宋体" w:hint="default"/>
                          <w:sz w:val="28"/>
                          <w:szCs w:val="28"/>
                        </w:rPr>
                      </w:r>
                    </w:p>
                  </w:txbxContent>
                </v:textbox>
                <w10:wrap type="none"/>
              </v:shape>
              <v:shape style="position:absolute;left:5510;top:327;width:560;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刘昂</w:t>
                      </w:r>
                      <w:r>
                        <w:rPr>
                          <w:rFonts w:ascii="宋体" w:hAnsi="宋体" w:cs="宋体" w:eastAsia="宋体" w:hint="default"/>
                          <w:sz w:val="28"/>
                          <w:szCs w:val="28"/>
                        </w:rPr>
                      </w:r>
                    </w:p>
                  </w:txbxContent>
                </v:textbox>
                <w10:wrap type="none"/>
              </v:shape>
              <v:shape style="position:absolute;left:1562;top:102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61.50%</w:t>
                      </w:r>
                    </w:p>
                  </w:txbxContent>
                </v:textbox>
                <w10:wrap type="none"/>
              </v:shape>
              <v:shape style="position:absolute;left:3664;top:102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23.50%</w:t>
                      </w:r>
                    </w:p>
                  </w:txbxContent>
                </v:textbox>
                <w10:wrap type="none"/>
              </v:shape>
              <v:shape style="position:absolute;left:6003;top:102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15.00%</w:t>
                      </w:r>
                    </w:p>
                  </w:txbxContent>
                </v:textbox>
                <w10:wrap type="none"/>
              </v:shape>
              <v:shape style="position:absolute;left:573;top:2205;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7.82%</w:t>
                      </w:r>
                    </w:p>
                  </w:txbxContent>
                </v:textbox>
                <w10:wrap type="none"/>
              </v:shape>
              <v:shape style="position:absolute;left:1534;top:2337;width:3638;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深圳市达实投资发展有限公司</w:t>
                      </w:r>
                      <w:r>
                        <w:rPr>
                          <w:rFonts w:ascii="宋体" w:hAnsi="宋体" w:cs="宋体" w:eastAsia="宋体" w:hint="default"/>
                          <w:sz w:val="28"/>
                          <w:szCs w:val="28"/>
                        </w:rPr>
                      </w:r>
                    </w:p>
                  </w:txbxContent>
                </v:textbox>
                <w10:wrap type="none"/>
              </v:shape>
              <v:shape style="position:absolute;left:3664;top:3045;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23.71%</w:t>
                      </w:r>
                    </w:p>
                  </w:txbxContent>
                </v:textbox>
                <w10:wrap type="none"/>
              </v:shape>
              <v:shape style="position:absolute;left:1675;top:3791;width:3357;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hAnsi="宋体" w:cs="宋体" w:eastAsia="宋体" w:hint="default"/>
                          <w:w w:val="95"/>
                          <w:sz w:val="28"/>
                          <w:szCs w:val="28"/>
                        </w:rPr>
                        <w:t>深圳达实智能股份有限公司</w:t>
                      </w:r>
                      <w:r>
                        <w:rPr>
                          <w:rFonts w:ascii="宋体" w:hAnsi="宋体" w:cs="宋体" w:eastAsia="宋体" w:hint="default"/>
                          <w:sz w:val="28"/>
                          <w:szCs w:val="28"/>
                        </w:rPr>
                      </w:r>
                    </w:p>
                  </w:txbxContent>
                </v:textbox>
                <w10:wrap type="none"/>
              </v:shape>
            </v:group>
          </v:group>
        </w:pict>
      </w:r>
      <w:r>
        <w:rPr>
          <w:rFonts w:ascii="宋体" w:hAnsi="宋体" w:cs="宋体" w:eastAsia="宋体" w:hint="default"/>
          <w:position w:val="-83"/>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4"/>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02"/>
      <w:bookmarkEnd w:id="10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公司股东及其一致行动人在报告期提出或实施股份增持计划的情况" w:id="103"/>
      <w:bookmarkEnd w:id="103"/>
      <w:r>
        <w:rPr>
          <w:b w:val="0"/>
          <w:bCs w:val="0"/>
        </w:rPr>
      </w: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37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3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04"/>
      <w:bookmarkEnd w:id="104"/>
      <w:r>
        <w:rPr>
          <w:b w:val="0"/>
          <w:bCs w:val="0"/>
        </w:rPr>
      </w:r>
      <w:bookmarkStart w:name="_bookmark6" w:id="105"/>
      <w:bookmarkEnd w:id="10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06"/>
      <w:bookmarkEnd w:id="106"/>
      <w:r>
        <w:rPr>
          <w:b w:val="0"/>
          <w:bCs w:val="0"/>
        </w:rPr>
      </w:r>
      <w:bookmarkStart w:name="_bookmark7" w:id="107"/>
      <w:bookmarkEnd w:id="10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08"/>
      <w:bookmarkEnd w:id="10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1502"/>
        <w:gridCol w:w="853"/>
        <w:gridCol w:w="561"/>
        <w:gridCol w:w="564"/>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885,424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885,424</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包德元</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甘岱松</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614,421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614,421</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865,549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865,549</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1502"/>
        <w:gridCol w:w="853"/>
        <w:gridCol w:w="561"/>
        <w:gridCol w:w="564"/>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副总经理、董事会 秘书</w:t>
            </w:r>
          </w:p>
        </w:tc>
        <w:tc>
          <w:tcPr>
            <w:tcW w:w="853"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钟宇彤</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3"/>
              <w:jc w:val="right"/>
              <w:rPr>
                <w:rFonts w:ascii="Times New Roman" w:hAnsi="Times New Roman" w:cs="Times New Roman" w:eastAsia="Times New Roman" w:hint="default"/>
                <w:sz w:val="18"/>
                <w:szCs w:val="18"/>
              </w:rPr>
            </w:pPr>
            <w:r>
              <w:rPr>
                <w:rFonts w:ascii="Times New Roman"/>
                <w:sz w:val="18"/>
              </w:rPr>
              <w:t>--</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2,994,494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49,961,494</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bookmarkStart w:name="二、任职情况" w:id="109"/>
      <w:bookmarkEnd w:id="109"/>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355" w:lineRule="auto" w:before="57"/>
        <w:ind w:left="574" w:right="0"/>
        <w:jc w:val="left"/>
      </w:pPr>
      <w:r>
        <w:rPr/>
        <w:t>（一）董事最近</w:t>
      </w:r>
      <w:r>
        <w:rPr>
          <w:rFonts w:ascii="宋体" w:hAnsi="宋体" w:cs="宋体" w:eastAsia="宋体" w:hint="default"/>
        </w:rPr>
        <w:t>5</w:t>
      </w:r>
      <w:r>
        <w:rPr/>
        <w:t>年的主要工作经历 </w:t>
      </w:r>
      <w:r>
        <w:rPr>
          <w:rFonts w:ascii="宋体" w:hAnsi="宋体" w:cs="宋体" w:eastAsia="宋体" w:hint="default"/>
          <w:spacing w:val="-1"/>
        </w:rPr>
        <w:t>1</w:t>
      </w:r>
      <w:r>
        <w:rPr>
          <w:spacing w:val="-1"/>
        </w:rPr>
        <w:t>、刘磅先生，</w:t>
      </w:r>
      <w:r>
        <w:rPr>
          <w:rFonts w:ascii="宋体" w:hAnsi="宋体" w:cs="宋体" w:eastAsia="宋体" w:hint="default"/>
          <w:spacing w:val="-1"/>
        </w:rPr>
        <w:t>1963</w:t>
      </w:r>
      <w:r>
        <w:rPr>
          <w:spacing w:val="-1"/>
        </w:rPr>
        <w:t>年</w:t>
      </w:r>
      <w:r>
        <w:rPr>
          <w:rFonts w:ascii="宋体" w:hAnsi="宋体" w:cs="宋体" w:eastAsia="宋体" w:hint="default"/>
          <w:spacing w:val="-1"/>
        </w:rPr>
        <w:t>10</w:t>
      </w:r>
      <w:r>
        <w:rPr>
          <w:spacing w:val="-1"/>
        </w:rPr>
        <w:t>月出生</w:t>
      </w:r>
      <w:r>
        <w:rPr>
          <w:rFonts w:ascii="宋体" w:hAnsi="宋体" w:cs="宋体" w:eastAsia="宋体" w:hint="default"/>
          <w:spacing w:val="-1"/>
        </w:rPr>
        <w:t>,</w:t>
      </w:r>
      <w:r>
        <w:rPr>
          <w:spacing w:val="-1"/>
        </w:rPr>
        <w:t>本公司第一、二、三、四、五届董事会董事长。研究生学历、高级工</w:t>
      </w:r>
    </w:p>
    <w:p>
      <w:pPr>
        <w:pStyle w:val="BodyText"/>
        <w:spacing w:line="355" w:lineRule="auto" w:before="33"/>
        <w:ind w:right="1109"/>
        <w:jc w:val="both"/>
      </w:pPr>
      <w:r>
        <w:rPr/>
        <w:t>程师，</w:t>
      </w:r>
      <w:r>
        <w:rPr>
          <w:rFonts w:ascii="宋体" w:hAnsi="宋体" w:cs="宋体" w:eastAsia="宋体" w:hint="default"/>
        </w:rPr>
        <w:t>1995</w:t>
      </w:r>
      <w:r>
        <w:rPr/>
        <w:t>年</w:t>
      </w:r>
      <w:r>
        <w:rPr>
          <w:rFonts w:ascii="宋体" w:hAnsi="宋体" w:cs="宋体" w:eastAsia="宋体" w:hint="default"/>
        </w:rPr>
        <w:t>3</w:t>
      </w:r>
      <w:r>
        <w:rPr/>
        <w:t>月创立本公司。现任本公司董事长、总经理，深圳市达实投资发展有限公司董事、上海达</w:t>
      </w:r>
      <w:r>
        <w:rPr>
          <w:spacing w:val="-36"/>
        </w:rPr>
        <w:t> </w:t>
      </w:r>
      <w:r>
        <w:rPr>
          <w:spacing w:val="-36"/>
        </w:rPr>
      </w:r>
      <w:r>
        <w:rPr/>
        <w:t>实自动化工程有限公司董事长、合肥达实数字科技有限公司董事长、深圳达实信息技术有限公司董事长、 上海达实联欣科技发展有限公司董事长、深圳达实融资租赁有限公司董事长。</w:t>
      </w:r>
    </w:p>
    <w:p>
      <w:pPr>
        <w:pStyle w:val="BodyText"/>
        <w:spacing w:line="357" w:lineRule="auto" w:before="33"/>
        <w:ind w:right="1131" w:firstLine="420"/>
        <w:jc w:val="both"/>
      </w:pPr>
      <w:r>
        <w:rPr>
          <w:rFonts w:ascii="宋体" w:hAnsi="宋体" w:cs="宋体" w:eastAsia="宋体" w:hint="default"/>
          <w:spacing w:val="-1"/>
        </w:rPr>
        <w:t>2</w:t>
      </w:r>
      <w:r>
        <w:rPr>
          <w:spacing w:val="-1"/>
        </w:rPr>
        <w:t>、林步东先生，</w:t>
      </w:r>
      <w:r>
        <w:rPr>
          <w:rFonts w:ascii="宋体" w:hAnsi="宋体" w:cs="宋体" w:eastAsia="宋体" w:hint="default"/>
          <w:spacing w:val="-1"/>
        </w:rPr>
        <w:t>1952</w:t>
      </w:r>
      <w:r>
        <w:rPr>
          <w:spacing w:val="-1"/>
        </w:rPr>
        <w:t>年</w:t>
      </w:r>
      <w:r>
        <w:rPr>
          <w:rFonts w:ascii="宋体" w:hAnsi="宋体" w:cs="宋体" w:eastAsia="宋体" w:hint="default"/>
          <w:spacing w:val="-1"/>
        </w:rPr>
        <w:t>2</w:t>
      </w:r>
      <w:r>
        <w:rPr>
          <w:spacing w:val="-1"/>
        </w:rPr>
        <w:t>月出生，本公司第一、二、三、四、五届董事会副董事长。香港特别行政区</w:t>
      </w:r>
      <w:r>
        <w:rPr/>
        <w:t> </w:t>
      </w:r>
      <w:r>
        <w:rPr>
          <w:spacing w:val="-1"/>
        </w:rPr>
        <w:t>居民。最近五年一直担任本公司副董事长、盛安机电设备（昌都）有限公司董事长、上海东行自动化设备</w:t>
      </w:r>
      <w:r>
        <w:rPr>
          <w:spacing w:val="-83"/>
        </w:rPr>
        <w:t> </w:t>
      </w:r>
      <w:r>
        <w:rPr>
          <w:spacing w:val="-83"/>
        </w:rPr>
      </w:r>
      <w:r>
        <w:rPr/>
        <w:t>商贸有限公司董事长、深圳达实融资租赁有限公司董事。</w:t>
      </w:r>
    </w:p>
    <w:p>
      <w:pPr>
        <w:pStyle w:val="BodyText"/>
        <w:spacing w:line="357" w:lineRule="auto"/>
        <w:ind w:left="154" w:right="1131" w:firstLine="420"/>
        <w:jc w:val="both"/>
      </w:pPr>
      <w:r>
        <w:rPr>
          <w:rFonts w:ascii="宋体" w:hAnsi="宋体" w:cs="宋体" w:eastAsia="宋体" w:hint="default"/>
          <w:spacing w:val="-1"/>
        </w:rPr>
        <w:t>3</w:t>
      </w:r>
      <w:r>
        <w:rPr>
          <w:spacing w:val="-1"/>
        </w:rPr>
        <w:t>、刘昂先生，</w:t>
      </w:r>
      <w:r>
        <w:rPr>
          <w:rFonts w:ascii="宋体" w:hAnsi="宋体" w:cs="宋体" w:eastAsia="宋体" w:hint="default"/>
          <w:spacing w:val="-1"/>
        </w:rPr>
        <w:t>1967</w:t>
      </w:r>
      <w:r>
        <w:rPr>
          <w:spacing w:val="-1"/>
        </w:rPr>
        <w:t>年</w:t>
      </w:r>
      <w:r>
        <w:rPr>
          <w:rFonts w:ascii="宋体" w:hAnsi="宋体" w:cs="宋体" w:eastAsia="宋体" w:hint="default"/>
          <w:spacing w:val="-1"/>
        </w:rPr>
        <w:t>8</w:t>
      </w:r>
      <w:r>
        <w:rPr>
          <w:spacing w:val="-1"/>
        </w:rPr>
        <w:t>月出生，英国威尔士大学管理学硕士，本公司第一、二、三、四、五届董事会</w:t>
      </w:r>
      <w:r>
        <w:rPr/>
        <w:t> </w:t>
      </w:r>
      <w:r>
        <w:rPr>
          <w:spacing w:val="-1"/>
        </w:rPr>
        <w:t>董事。</w:t>
      </w:r>
      <w:r>
        <w:rPr>
          <w:rFonts w:ascii="宋体" w:hAnsi="宋体" w:cs="宋体" w:eastAsia="宋体" w:hint="default"/>
          <w:spacing w:val="-1"/>
        </w:rPr>
        <w:t>1995</w:t>
      </w:r>
      <w:r>
        <w:rPr>
          <w:spacing w:val="-1"/>
        </w:rPr>
        <w:t>年参与组建本公司。现任本公司董事、深圳市达实投资发展有限公司董事长、总经理，深圳市</w:t>
      </w:r>
      <w:r>
        <w:rPr>
          <w:spacing w:val="-82"/>
        </w:rPr>
        <w:t> </w:t>
      </w:r>
      <w:r>
        <w:rPr>
          <w:spacing w:val="-82"/>
        </w:rPr>
      </w:r>
      <w:r>
        <w:rPr>
          <w:spacing w:val="-1"/>
        </w:rPr>
        <w:t>达实供应链有限公司执行董事、深圳市达实现代物流有限公司执行董事、深圳市诺达自动化技术有限公司</w:t>
      </w:r>
      <w:r>
        <w:rPr>
          <w:spacing w:val="-81"/>
        </w:rPr>
        <w:t> </w:t>
      </w:r>
      <w:r>
        <w:rPr>
          <w:spacing w:val="-81"/>
        </w:rPr>
      </w:r>
      <w:r>
        <w:rPr>
          <w:spacing w:val="-1"/>
        </w:rPr>
        <w:t>副董事长、合肥达实数字科技有限公司副董事长、合肥中正物业管理有限公司执行董事兼经理、安徽达实</w:t>
      </w:r>
      <w:r>
        <w:rPr>
          <w:spacing w:val="-83"/>
        </w:rPr>
        <w:t> </w:t>
      </w:r>
      <w:r>
        <w:rPr>
          <w:spacing w:val="-83"/>
        </w:rPr>
      </w:r>
      <w:r>
        <w:rPr>
          <w:spacing w:val="-1"/>
        </w:rPr>
        <w:t>商贸有限公司监事、界首达实置业有限公司监事、淮北市达实置业有限公司董事长、深圳市英唐智能控制</w:t>
      </w:r>
      <w:r>
        <w:rPr>
          <w:spacing w:val="-83"/>
        </w:rPr>
        <w:t> </w:t>
      </w:r>
      <w:r>
        <w:rPr>
          <w:spacing w:val="-83"/>
        </w:rPr>
      </w:r>
      <w:r>
        <w:rPr/>
        <w:t>股份有限公司监事会主席。</w:t>
      </w:r>
    </w:p>
    <w:p>
      <w:pPr>
        <w:pStyle w:val="BodyText"/>
        <w:spacing w:line="357" w:lineRule="auto" w:before="31"/>
        <w:ind w:left="154" w:right="1131" w:firstLine="420"/>
        <w:jc w:val="both"/>
      </w:pPr>
      <w:r>
        <w:rPr>
          <w:rFonts w:ascii="宋体" w:hAnsi="宋体" w:cs="宋体" w:eastAsia="宋体" w:hint="default"/>
          <w:spacing w:val="-1"/>
        </w:rPr>
        <w:t>4</w:t>
      </w:r>
      <w:r>
        <w:rPr>
          <w:spacing w:val="-1"/>
        </w:rPr>
        <w:t>、程朋胜先生，</w:t>
      </w:r>
      <w:r>
        <w:rPr>
          <w:rFonts w:ascii="宋体" w:hAnsi="宋体" w:cs="宋体" w:eastAsia="宋体" w:hint="default"/>
          <w:spacing w:val="-1"/>
        </w:rPr>
        <w:t>1964</w:t>
      </w:r>
      <w:r>
        <w:rPr>
          <w:spacing w:val="-1"/>
        </w:rPr>
        <w:t>年</w:t>
      </w:r>
      <w:r>
        <w:rPr>
          <w:rFonts w:ascii="宋体" w:hAnsi="宋体" w:cs="宋体" w:eastAsia="宋体" w:hint="default"/>
          <w:spacing w:val="-1"/>
        </w:rPr>
        <w:t>4</w:t>
      </w:r>
      <w:r>
        <w:rPr>
          <w:spacing w:val="-1"/>
        </w:rPr>
        <w:t>月出生，本公司第一、二、三、四、五届董事会董事，本公司主要创始人之</w:t>
      </w:r>
      <w:r>
        <w:rPr/>
        <w:t> </w:t>
      </w:r>
      <w:r>
        <w:rPr>
          <w:spacing w:val="-1"/>
        </w:rPr>
        <w:t>一。工学硕士，教授级高级工程师。</w:t>
      </w:r>
      <w:r>
        <w:rPr>
          <w:rFonts w:ascii="宋体" w:hAnsi="宋体" w:cs="宋体" w:eastAsia="宋体" w:hint="default"/>
          <w:spacing w:val="-1"/>
        </w:rPr>
        <w:t>1995</w:t>
      </w:r>
      <w:r>
        <w:rPr>
          <w:spacing w:val="-1"/>
        </w:rPr>
        <w:t>年进入本公司。现任公司董事、副总经理、研发中心主任、国家</w:t>
      </w:r>
      <w:r>
        <w:rPr>
          <w:spacing w:val="-84"/>
        </w:rPr>
        <w:t> </w:t>
      </w:r>
      <w:r>
        <w:rPr>
          <w:spacing w:val="-84"/>
        </w:rPr>
      </w:r>
      <w:r>
        <w:rPr/>
        <w:t>博士后科研工作站负责人，深圳市达实投资发展有限公司董事、深圳达实信息技术有限公司董事。</w:t>
      </w:r>
    </w:p>
    <w:p>
      <w:pPr>
        <w:pStyle w:val="BodyText"/>
        <w:spacing w:line="357" w:lineRule="auto"/>
        <w:ind w:left="154" w:right="1131" w:firstLine="420"/>
        <w:jc w:val="both"/>
      </w:pPr>
      <w:r>
        <w:rPr>
          <w:rFonts w:ascii="宋体" w:hAnsi="宋体" w:cs="宋体" w:eastAsia="宋体" w:hint="default"/>
          <w:spacing w:val="-1"/>
        </w:rPr>
        <w:t>5</w:t>
      </w:r>
      <w:r>
        <w:rPr>
          <w:spacing w:val="-1"/>
        </w:rPr>
        <w:t>、韩青树先生，</w:t>
      </w:r>
      <w:r>
        <w:rPr>
          <w:rFonts w:ascii="宋体" w:hAnsi="宋体" w:cs="宋体" w:eastAsia="宋体" w:hint="default"/>
          <w:spacing w:val="-1"/>
        </w:rPr>
        <w:t>1961</w:t>
      </w:r>
      <w:r>
        <w:rPr>
          <w:spacing w:val="-1"/>
        </w:rPr>
        <w:t>年</w:t>
      </w:r>
      <w:r>
        <w:rPr>
          <w:rFonts w:ascii="宋体" w:hAnsi="宋体" w:cs="宋体" w:eastAsia="宋体" w:hint="default"/>
          <w:spacing w:val="-1"/>
        </w:rPr>
        <w:t>4</w:t>
      </w:r>
      <w:r>
        <w:rPr>
          <w:spacing w:val="-1"/>
        </w:rPr>
        <w:t>月出生，高级经济师。本公司第二、三、四、五届董事会董事。最近五年一</w:t>
      </w:r>
      <w:r>
        <w:rPr/>
        <w:t> </w:t>
      </w:r>
      <w:r>
        <w:rPr>
          <w:spacing w:val="-1"/>
        </w:rPr>
        <w:t>直担任中国机电出口产品投资有限公司（现已更名为中国节能减排有限公司）产权管理部总经理。曾任深</w:t>
      </w:r>
      <w:r>
        <w:rPr>
          <w:spacing w:val="-83"/>
        </w:rPr>
        <w:t> </w:t>
      </w:r>
      <w:r>
        <w:rPr>
          <w:spacing w:val="-83"/>
        </w:rPr>
      </w:r>
      <w:r>
        <w:rPr/>
        <w:t>圳莱宝高科技股份有限公司董事、宁波韵升股份有限公司董事、陕西银河电力自动化股份公司董事。</w:t>
      </w:r>
    </w:p>
    <w:p>
      <w:pPr>
        <w:pStyle w:val="BodyText"/>
        <w:spacing w:line="357" w:lineRule="auto"/>
        <w:ind w:right="1024" w:firstLine="420"/>
        <w:jc w:val="left"/>
      </w:pPr>
      <w:r>
        <w:rPr>
          <w:rFonts w:ascii="宋体" w:hAnsi="宋体" w:cs="宋体" w:eastAsia="宋体" w:hint="default"/>
        </w:rPr>
        <w:t>6</w:t>
      </w:r>
      <w:r>
        <w:rPr/>
        <w:t>、贾虹女士，</w:t>
      </w:r>
      <w:r>
        <w:rPr>
          <w:rFonts w:ascii="宋体" w:hAnsi="宋体" w:cs="宋体" w:eastAsia="宋体" w:hint="default"/>
        </w:rPr>
        <w:t>1962</w:t>
      </w:r>
      <w:r>
        <w:rPr/>
        <w:t>年出生，</w:t>
      </w:r>
      <w:r>
        <w:rPr>
          <w:rFonts w:ascii="宋体" w:hAnsi="宋体" w:cs="宋体" w:eastAsia="宋体" w:hint="default"/>
        </w:rPr>
        <w:t>MBA</w:t>
      </w:r>
      <w:r>
        <w:rPr/>
        <w:t>，本公司董事。最近五年一直就职于上海联欣科技发展有限公司（现 更名为上海达实联欣科技发展有限公司），先后担任公司副总经理、总经理、联席总经理、常务副总裁， </w:t>
      </w:r>
      <w:r>
        <w:rPr>
          <w:spacing w:val="-3"/>
        </w:rPr>
        <w:t>上海金杖房地产开发有限公司董事长、总经理，上海臻龙投资管理合伙企业（有限合伙）执行事务合伙人，</w:t>
      </w:r>
      <w:r>
        <w:rPr>
          <w:spacing w:val="-93"/>
        </w:rPr>
        <w:t> </w:t>
      </w:r>
      <w:r>
        <w:rPr>
          <w:spacing w:val="-93"/>
        </w:rPr>
      </w:r>
      <w:r>
        <w:rPr/>
        <w:t>曾任上海呈寅投资管理有限公司执行董事。</w:t>
      </w:r>
    </w:p>
    <w:p>
      <w:pPr>
        <w:pStyle w:val="BodyText"/>
        <w:spacing w:line="240" w:lineRule="auto"/>
        <w:ind w:left="574" w:right="0"/>
        <w:jc w:val="left"/>
      </w:pPr>
      <w:r>
        <w:rPr>
          <w:rFonts w:ascii="宋体" w:hAnsi="宋体" w:cs="宋体" w:eastAsia="宋体" w:hint="default"/>
          <w:spacing w:val="-3"/>
        </w:rPr>
        <w:t>7</w:t>
      </w:r>
      <w:r>
        <w:rPr>
          <w:spacing w:val="-3"/>
        </w:rPr>
        <w:t>、包德元先生，</w:t>
      </w:r>
      <w:r>
        <w:rPr>
          <w:rFonts w:ascii="宋体" w:hAnsi="宋体" w:cs="宋体" w:eastAsia="宋体" w:hint="default"/>
          <w:spacing w:val="-3"/>
        </w:rPr>
        <w:t>1953</w:t>
      </w:r>
      <w:r>
        <w:rPr>
          <w:spacing w:val="-3"/>
        </w:rPr>
        <w:t>年</w:t>
      </w:r>
      <w:r>
        <w:rPr>
          <w:rFonts w:ascii="宋体" w:hAnsi="宋体" w:cs="宋体" w:eastAsia="宋体" w:hint="default"/>
          <w:spacing w:val="-3"/>
        </w:rPr>
        <w:t>7</w:t>
      </w:r>
      <w:r>
        <w:rPr>
          <w:spacing w:val="-3"/>
        </w:rPr>
        <w:t>月出生，本科学历，高级经济师，本公司独立董事。全国建设系统劳动模范，</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left="573" w:right="0" w:hanging="420"/>
        <w:jc w:val="left"/>
      </w:pPr>
      <w:r>
        <w:rPr/>
        <w:t>全国五一劳动奖章获得者。最近五年曾担任深圳市燃气集团股份有限公司董事长、党委书记。 </w:t>
      </w:r>
      <w:r>
        <w:rPr>
          <w:rFonts w:ascii="宋体" w:hAnsi="宋体" w:cs="宋体" w:eastAsia="宋体" w:hint="default"/>
          <w:spacing w:val="-1"/>
        </w:rPr>
        <w:t>8</w:t>
      </w:r>
      <w:r>
        <w:rPr>
          <w:spacing w:val="-1"/>
        </w:rPr>
        <w:t>、王晓东先生，</w:t>
      </w:r>
      <w:r>
        <w:rPr>
          <w:rFonts w:ascii="宋体" w:hAnsi="宋体" w:cs="宋体" w:eastAsia="宋体" w:hint="default"/>
          <w:spacing w:val="-1"/>
        </w:rPr>
        <w:t>1960</w:t>
      </w:r>
      <w:r>
        <w:rPr>
          <w:spacing w:val="-1"/>
        </w:rPr>
        <w:t>年</w:t>
      </w:r>
      <w:r>
        <w:rPr>
          <w:rFonts w:ascii="宋体" w:hAnsi="宋体" w:cs="宋体" w:eastAsia="宋体" w:hint="default"/>
          <w:spacing w:val="-1"/>
        </w:rPr>
        <w:t>9</w:t>
      </w:r>
      <w:r>
        <w:rPr>
          <w:spacing w:val="-1"/>
        </w:rPr>
        <w:t>月出生，法学本科学历、数学学士，律师，本公司独立董事。最近五年一直</w:t>
      </w:r>
    </w:p>
    <w:p>
      <w:pPr>
        <w:pStyle w:val="BodyText"/>
        <w:spacing w:line="357" w:lineRule="auto" w:before="33"/>
        <w:ind w:left="154" w:right="0"/>
        <w:jc w:val="left"/>
      </w:pPr>
      <w:r>
        <w:rPr/>
        <w:t>担任国浩律师集团事务所合伙人，</w:t>
      </w:r>
      <w:r>
        <w:rPr>
          <w:rFonts w:ascii="宋体" w:hAnsi="宋体" w:cs="宋体" w:eastAsia="宋体" w:hint="default"/>
        </w:rPr>
        <w:t>2011</w:t>
      </w:r>
      <w:r>
        <w:rPr/>
        <w:t>年</w:t>
      </w:r>
      <w:r>
        <w:rPr>
          <w:rFonts w:ascii="宋体" w:hAnsi="宋体" w:cs="宋体" w:eastAsia="宋体" w:hint="default"/>
        </w:rPr>
        <w:t>5</w:t>
      </w:r>
      <w:r>
        <w:rPr/>
        <w:t>月至今，担任深圳南山热电股份有限公司独立董事，曾任深圳</w:t>
      </w:r>
      <w:r>
        <w:rPr>
          <w:spacing w:val="-30"/>
        </w:rPr>
        <w:t> </w:t>
      </w:r>
      <w:r>
        <w:rPr>
          <w:spacing w:val="-30"/>
        </w:rPr>
      </w:r>
      <w:r>
        <w:rPr/>
        <w:t>市燃气集团股份有限公司独立董事。</w:t>
      </w:r>
    </w:p>
    <w:p>
      <w:pPr>
        <w:pStyle w:val="BodyText"/>
        <w:spacing w:line="357" w:lineRule="auto" w:before="31"/>
        <w:ind w:right="1110" w:firstLine="420"/>
        <w:jc w:val="both"/>
      </w:pPr>
      <w:r>
        <w:rPr>
          <w:rFonts w:ascii="宋体" w:hAnsi="宋体" w:cs="宋体" w:eastAsia="宋体" w:hint="default"/>
        </w:rPr>
        <w:t>9</w:t>
      </w:r>
      <w:r>
        <w:rPr/>
        <w:t>、王礼贵先生，</w:t>
      </w:r>
      <w:r>
        <w:rPr>
          <w:rFonts w:ascii="宋体" w:hAnsi="宋体" w:cs="宋体" w:eastAsia="宋体" w:hint="default"/>
        </w:rPr>
        <w:t>1961</w:t>
      </w:r>
      <w:r>
        <w:rPr/>
        <w:t>年</w:t>
      </w:r>
      <w:r>
        <w:rPr>
          <w:rFonts w:ascii="宋体" w:hAnsi="宋体" w:cs="宋体" w:eastAsia="宋体" w:hint="default"/>
        </w:rPr>
        <w:t>8</w:t>
      </w:r>
      <w:r>
        <w:rPr/>
        <w:t>月出生，中国注册会计师</w:t>
      </w:r>
      <w:r>
        <w:rPr>
          <w:rFonts w:ascii="宋体" w:hAnsi="宋体" w:cs="宋体" w:eastAsia="宋体" w:hint="default"/>
        </w:rPr>
        <w:t>(</w:t>
      </w:r>
      <w:r>
        <w:rPr/>
        <w:t>非执业），高级会计师，硕士研究生，本公司独 立董事。最近五年一直担任中国普天信息产业股份有限公司国际事业本部（深圳）营运总监，</w:t>
      </w:r>
      <w:r>
        <w:rPr>
          <w:rFonts w:ascii="宋体" w:hAnsi="宋体" w:cs="宋体" w:eastAsia="宋体" w:hint="default"/>
        </w:rPr>
        <w:t>2011</w:t>
      </w:r>
      <w:r>
        <w:rPr/>
        <w:t>年</w:t>
      </w:r>
      <w:r>
        <w:rPr>
          <w:rFonts w:ascii="宋体" w:hAnsi="宋体" w:cs="宋体" w:eastAsia="宋体" w:hint="default"/>
        </w:rPr>
        <w:t>4</w:t>
      </w:r>
      <w:r>
        <w:rPr/>
        <w:t>月</w:t>
      </w:r>
      <w:r>
        <w:rPr>
          <w:spacing w:val="-23"/>
        </w:rPr>
        <w:t> </w:t>
      </w:r>
      <w:r>
        <w:rPr>
          <w:spacing w:val="-3"/>
        </w:rPr>
        <w:t>至今担任上海可鲁系统软件有限公司董事、</w:t>
      </w:r>
      <w:r>
        <w:rPr>
          <w:rFonts w:ascii="宋体" w:hAnsi="宋体" w:cs="宋体" w:eastAsia="宋体" w:hint="default"/>
          <w:spacing w:val="-3"/>
        </w:rPr>
        <w:t>2009</w:t>
      </w:r>
      <w:r>
        <w:rPr>
          <w:spacing w:val="-3"/>
        </w:rPr>
        <w:t>年</w:t>
      </w:r>
      <w:r>
        <w:rPr>
          <w:rFonts w:ascii="宋体" w:hAnsi="宋体" w:cs="宋体" w:eastAsia="宋体" w:hint="default"/>
          <w:spacing w:val="-3"/>
        </w:rPr>
        <w:t>6</w:t>
      </w:r>
      <w:r>
        <w:rPr>
          <w:spacing w:val="-3"/>
        </w:rPr>
        <w:t>月至今担任东莞光润家具股份有限公司独立董事、</w:t>
      </w:r>
      <w:r>
        <w:rPr>
          <w:rFonts w:ascii="宋体" w:hAnsi="宋体" w:cs="宋体" w:eastAsia="宋体" w:hint="default"/>
          <w:spacing w:val="-3"/>
        </w:rPr>
        <w:t>2013</w:t>
      </w:r>
      <w:r>
        <w:rPr>
          <w:rFonts w:ascii="宋体" w:hAnsi="宋体" w:cs="宋体" w:eastAsia="宋体" w:hint="default"/>
          <w:spacing w:val="-81"/>
        </w:rPr>
        <w:t> </w:t>
      </w:r>
      <w:r>
        <w:rPr>
          <w:rFonts w:ascii="宋体" w:hAnsi="宋体" w:cs="宋体" w:eastAsia="宋体" w:hint="default"/>
          <w:spacing w:val="-81"/>
        </w:rPr>
      </w:r>
      <w:r>
        <w:rPr/>
        <w:t>年</w:t>
      </w:r>
      <w:r>
        <w:rPr>
          <w:rFonts w:ascii="宋体" w:hAnsi="宋体" w:cs="宋体" w:eastAsia="宋体" w:hint="default"/>
        </w:rPr>
        <w:t>12</w:t>
      </w:r>
      <w:r>
        <w:rPr/>
        <w:t>月起担任东莞市雄林新材料科技股份有限公司独立董事、深圳市中小微企业投资管理有限公司董事。 曾任广东同望科技股份有限公司独立董事、广电运通金融电子股份有限公司独立董事。</w:t>
      </w:r>
    </w:p>
    <w:p>
      <w:pPr>
        <w:pStyle w:val="BodyText"/>
        <w:spacing w:line="355" w:lineRule="auto" w:before="31"/>
        <w:ind w:left="573" w:right="0"/>
        <w:jc w:val="left"/>
      </w:pPr>
      <w:r>
        <w:rPr/>
        <w:t>（二）监事最近</w:t>
      </w:r>
      <w:r>
        <w:rPr>
          <w:rFonts w:ascii="宋体" w:hAnsi="宋体" w:cs="宋体" w:eastAsia="宋体" w:hint="default"/>
        </w:rPr>
        <w:t>5</w:t>
      </w:r>
      <w:r>
        <w:rPr/>
        <w:t>年的主要工作经历 </w:t>
      </w:r>
      <w:r>
        <w:rPr>
          <w:rFonts w:ascii="宋体" w:hAnsi="宋体" w:cs="宋体" w:eastAsia="宋体" w:hint="default"/>
        </w:rPr>
        <w:t>1</w:t>
      </w:r>
      <w:r>
        <w:rPr/>
        <w:t>、甘岱松先生，</w:t>
      </w:r>
      <w:r>
        <w:rPr>
          <w:rFonts w:ascii="宋体" w:hAnsi="宋体" w:cs="宋体" w:eastAsia="宋体" w:hint="default"/>
        </w:rPr>
        <w:t>1973</w:t>
      </w:r>
      <w:r>
        <w:rPr/>
        <w:t>年</w:t>
      </w:r>
      <w:r>
        <w:rPr>
          <w:rFonts w:ascii="宋体" w:hAnsi="宋体" w:cs="宋体" w:eastAsia="宋体" w:hint="default"/>
        </w:rPr>
        <w:t>8</w:t>
      </w:r>
      <w:r>
        <w:rPr/>
        <w:t>月出生，本科学历，曾任深圳市和发实业有限公司副总经理，</w:t>
      </w:r>
      <w:r>
        <w:rPr>
          <w:rFonts w:ascii="宋体" w:hAnsi="宋体" w:cs="宋体" w:eastAsia="宋体" w:hint="default"/>
        </w:rPr>
        <w:t>2013</w:t>
      </w:r>
      <w:r>
        <w:rPr/>
        <w:t>年</w:t>
      </w:r>
      <w:r>
        <w:rPr>
          <w:rFonts w:ascii="宋体" w:hAnsi="宋体" w:cs="宋体" w:eastAsia="宋体" w:hint="default"/>
        </w:rPr>
        <w:t>7</w:t>
      </w:r>
      <w:r>
        <w:rPr/>
        <w:t>月进</w:t>
      </w:r>
    </w:p>
    <w:p>
      <w:pPr>
        <w:pStyle w:val="BodyText"/>
        <w:spacing w:line="355" w:lineRule="auto" w:before="33"/>
        <w:ind w:left="573" w:right="0" w:hanging="420"/>
        <w:jc w:val="left"/>
      </w:pPr>
      <w:r>
        <w:rPr/>
        <w:t>入本公司，曾任本公司建筑智能化事业部副总经理，现任本公司数据中心事业部总经理。 </w:t>
      </w:r>
      <w:r>
        <w:rPr>
          <w:rFonts w:ascii="宋体" w:hAnsi="宋体" w:cs="宋体" w:eastAsia="宋体" w:hint="default"/>
          <w:spacing w:val="-3"/>
        </w:rPr>
        <w:t>2</w:t>
      </w:r>
      <w:r>
        <w:rPr>
          <w:spacing w:val="-3"/>
        </w:rPr>
        <w:t>、曲震先生，</w:t>
      </w:r>
      <w:r>
        <w:rPr>
          <w:rFonts w:ascii="宋体" w:hAnsi="宋体" w:cs="宋体" w:eastAsia="宋体" w:hint="default"/>
          <w:spacing w:val="-3"/>
        </w:rPr>
        <w:t>1968</w:t>
      </w:r>
      <w:r>
        <w:rPr>
          <w:spacing w:val="-3"/>
        </w:rPr>
        <w:t>年</w:t>
      </w:r>
      <w:r>
        <w:rPr>
          <w:rFonts w:ascii="宋体" w:hAnsi="宋体" w:cs="宋体" w:eastAsia="宋体" w:hint="default"/>
          <w:spacing w:val="-3"/>
        </w:rPr>
        <w:t>3</w:t>
      </w:r>
      <w:r>
        <w:rPr>
          <w:spacing w:val="-3"/>
        </w:rPr>
        <w:t>月出生，大学学历，高级会计师，本公司监事。最近五年一直担任本公司监事、</w:t>
      </w:r>
    </w:p>
    <w:p>
      <w:pPr>
        <w:pStyle w:val="BodyText"/>
        <w:spacing w:line="355" w:lineRule="auto" w:before="33"/>
        <w:ind w:left="574" w:right="0" w:hanging="420"/>
        <w:jc w:val="left"/>
      </w:pPr>
      <w:r>
        <w:rPr/>
        <w:t>兖矿集团投资管理公司财务部长。 </w:t>
      </w:r>
      <w:r>
        <w:rPr>
          <w:rFonts w:ascii="宋体" w:hAnsi="宋体" w:cs="宋体" w:eastAsia="宋体" w:hint="default"/>
        </w:rPr>
        <w:t>3</w:t>
      </w:r>
      <w:r>
        <w:rPr/>
        <w:t>、沈宏明先生，</w:t>
      </w:r>
      <w:r>
        <w:rPr>
          <w:rFonts w:ascii="宋体" w:hAnsi="宋体" w:cs="宋体" w:eastAsia="宋体" w:hint="default"/>
        </w:rPr>
        <w:t>1967</w:t>
      </w:r>
      <w:r>
        <w:rPr/>
        <w:t>年</w:t>
      </w:r>
      <w:r>
        <w:rPr>
          <w:rFonts w:ascii="宋体" w:hAnsi="宋体" w:cs="宋体" w:eastAsia="宋体" w:hint="default"/>
        </w:rPr>
        <w:t>10</w:t>
      </w:r>
      <w:r>
        <w:rPr/>
        <w:t>月出生，工学学士，</w:t>
      </w:r>
      <w:r>
        <w:rPr>
          <w:rFonts w:ascii="宋体" w:hAnsi="宋体" w:cs="宋体" w:eastAsia="宋体" w:hint="default"/>
        </w:rPr>
        <w:t>EMBA</w:t>
      </w:r>
      <w:r>
        <w:rPr/>
        <w:t>。本公司职工代表监事。最近五年一直担任北京</w:t>
      </w:r>
    </w:p>
    <w:p>
      <w:pPr>
        <w:pStyle w:val="BodyText"/>
        <w:spacing w:line="357" w:lineRule="auto" w:before="32"/>
        <w:ind w:left="154" w:right="0"/>
        <w:jc w:val="left"/>
      </w:pPr>
      <w:r>
        <w:rPr>
          <w:spacing w:val="-1"/>
        </w:rPr>
        <w:t>启迪德润能源科技有限公司（现更名为北京达实德润能源科技有限公司）副董事长及总经理、北京启迪筑</w:t>
      </w:r>
      <w:r>
        <w:rPr>
          <w:spacing w:val="-83"/>
        </w:rPr>
        <w:t> </w:t>
      </w:r>
      <w:r>
        <w:rPr>
          <w:spacing w:val="-83"/>
        </w:rPr>
      </w:r>
      <w:r>
        <w:rPr/>
        <w:t>能建筑信息技术有限公司总经理。曾任北京紫光德润信息技术有限公司总经理。</w:t>
      </w:r>
    </w:p>
    <w:p>
      <w:pPr>
        <w:pStyle w:val="BodyText"/>
        <w:spacing w:line="357" w:lineRule="auto"/>
        <w:ind w:left="574" w:right="3087"/>
        <w:jc w:val="left"/>
      </w:pPr>
      <w:r>
        <w:rPr/>
        <w:t>（三）高级管理人员最近</w:t>
      </w:r>
      <w:r>
        <w:rPr>
          <w:rFonts w:ascii="宋体" w:hAnsi="宋体" w:cs="宋体" w:eastAsia="宋体" w:hint="default"/>
        </w:rPr>
        <w:t>5</w:t>
      </w:r>
      <w:r>
        <w:rPr/>
        <w:t>年的主要工作经历 </w:t>
      </w:r>
      <w:r>
        <w:rPr>
          <w:rFonts w:ascii="宋体" w:hAnsi="宋体" w:cs="宋体" w:eastAsia="宋体" w:hint="default"/>
        </w:rPr>
        <w:t>1</w:t>
      </w:r>
      <w:r>
        <w:rPr/>
        <w:t>、总经理刘磅先生最近</w:t>
      </w:r>
      <w:r>
        <w:rPr>
          <w:rFonts w:ascii="宋体" w:hAnsi="宋体" w:cs="宋体" w:eastAsia="宋体" w:hint="default"/>
        </w:rPr>
        <w:t>5</w:t>
      </w:r>
      <w:r>
        <w:rPr/>
        <w:t>年的主要工作经历参见董事最近</w:t>
      </w:r>
      <w:r>
        <w:rPr>
          <w:rFonts w:ascii="宋体" w:hAnsi="宋体" w:cs="宋体" w:eastAsia="宋体" w:hint="default"/>
        </w:rPr>
        <w:t>5</w:t>
      </w:r>
      <w:r>
        <w:rPr/>
        <w:t>年的主要工作经历。</w:t>
      </w:r>
    </w:p>
    <w:p>
      <w:pPr>
        <w:pStyle w:val="BodyText"/>
        <w:spacing w:line="240" w:lineRule="auto"/>
        <w:ind w:left="573" w:right="0"/>
        <w:jc w:val="left"/>
      </w:pPr>
      <w:r>
        <w:rPr>
          <w:rFonts w:ascii="宋体" w:hAnsi="宋体" w:cs="宋体" w:eastAsia="宋体" w:hint="default"/>
        </w:rPr>
        <w:t>2</w:t>
      </w:r>
      <w:r>
        <w:rPr/>
        <w:t>、副总经理程朋胜先生最近</w:t>
      </w:r>
      <w:r>
        <w:rPr>
          <w:rFonts w:ascii="宋体" w:hAnsi="宋体" w:cs="宋体" w:eastAsia="宋体" w:hint="default"/>
        </w:rPr>
        <w:t>5</w:t>
      </w:r>
      <w:r>
        <w:rPr/>
        <w:t>年的主要工作经历参见董事最近</w:t>
      </w:r>
      <w:r>
        <w:rPr>
          <w:rFonts w:ascii="宋体" w:hAnsi="宋体" w:cs="宋体" w:eastAsia="宋体" w:hint="default"/>
        </w:rPr>
        <w:t>5</w:t>
      </w:r>
      <w:r>
        <w:rPr/>
        <w:t>年的主要工作经历。</w:t>
      </w:r>
    </w:p>
    <w:p>
      <w:pPr>
        <w:pStyle w:val="BodyText"/>
        <w:spacing w:line="355" w:lineRule="auto" w:before="134"/>
        <w:ind w:right="1132" w:firstLine="420"/>
        <w:jc w:val="both"/>
      </w:pPr>
      <w:r>
        <w:rPr>
          <w:rFonts w:ascii="宋体" w:hAnsi="宋体" w:cs="宋体" w:eastAsia="宋体" w:hint="default"/>
          <w:spacing w:val="-1"/>
        </w:rPr>
        <w:t>3</w:t>
      </w:r>
      <w:r>
        <w:rPr>
          <w:spacing w:val="-1"/>
        </w:rPr>
        <w:t>、苏俊锋先生，</w:t>
      </w:r>
      <w:r>
        <w:rPr>
          <w:rFonts w:ascii="宋体" w:hAnsi="宋体" w:cs="宋体" w:eastAsia="宋体" w:hint="default"/>
          <w:spacing w:val="-1"/>
        </w:rPr>
        <w:t>1971</w:t>
      </w:r>
      <w:r>
        <w:rPr>
          <w:spacing w:val="-1"/>
        </w:rPr>
        <w:t>年</w:t>
      </w:r>
      <w:r>
        <w:rPr>
          <w:rFonts w:ascii="宋体" w:hAnsi="宋体" w:cs="宋体" w:eastAsia="宋体" w:hint="default"/>
          <w:spacing w:val="-1"/>
        </w:rPr>
        <w:t>6</w:t>
      </w:r>
      <w:r>
        <w:rPr>
          <w:spacing w:val="-1"/>
        </w:rPr>
        <w:t>月出生，研究生学历，工学硕士，工程师。</w:t>
      </w:r>
      <w:r>
        <w:rPr>
          <w:rFonts w:ascii="宋体" w:hAnsi="宋体" w:cs="宋体" w:eastAsia="宋体" w:hint="default"/>
          <w:spacing w:val="-1"/>
        </w:rPr>
        <w:t>1996</w:t>
      </w:r>
      <w:r>
        <w:rPr>
          <w:spacing w:val="-1"/>
        </w:rPr>
        <w:t>年进入本公司，从事管理和</w:t>
      </w:r>
      <w:r>
        <w:rPr/>
        <w:t> 技术工作，本公司核心技术人员。现任本公司副总经理、上海达实联欣科技发展有限公司董事。</w:t>
      </w:r>
    </w:p>
    <w:p>
      <w:pPr>
        <w:pStyle w:val="BodyText"/>
        <w:spacing w:line="357" w:lineRule="auto" w:before="32"/>
        <w:ind w:right="1133" w:firstLine="420"/>
        <w:jc w:val="both"/>
      </w:pPr>
      <w:r>
        <w:rPr>
          <w:rFonts w:ascii="宋体" w:hAnsi="宋体" w:cs="宋体" w:eastAsia="宋体" w:hint="default"/>
        </w:rPr>
        <w:t>4</w:t>
      </w:r>
      <w:r>
        <w:rPr/>
        <w:t>、吕枫先生，</w:t>
      </w:r>
      <w:r>
        <w:rPr>
          <w:rFonts w:ascii="宋体" w:hAnsi="宋体" w:cs="宋体" w:eastAsia="宋体" w:hint="default"/>
        </w:rPr>
        <w:t>1968</w:t>
      </w:r>
      <w:r>
        <w:rPr/>
        <w:t>年</w:t>
      </w:r>
      <w:r>
        <w:rPr>
          <w:rFonts w:ascii="宋体" w:hAnsi="宋体" w:cs="宋体" w:eastAsia="宋体" w:hint="default"/>
        </w:rPr>
        <w:t>1</w:t>
      </w:r>
      <w:r>
        <w:rPr/>
        <w:t>月出生，清华大学工商管理硕士（</w:t>
      </w:r>
      <w:r>
        <w:rPr>
          <w:rFonts w:ascii="宋体" w:hAnsi="宋体" w:cs="宋体" w:eastAsia="宋体" w:hint="default"/>
        </w:rPr>
        <w:t>MBA</w:t>
      </w:r>
      <w:r>
        <w:rPr/>
        <w:t>），经济师。</w:t>
      </w:r>
      <w:r>
        <w:rPr>
          <w:rFonts w:ascii="宋体" w:hAnsi="宋体" w:cs="宋体" w:eastAsia="宋体" w:hint="default"/>
        </w:rPr>
        <w:t>2001</w:t>
      </w:r>
      <w:r>
        <w:rPr/>
        <w:t>年</w:t>
      </w:r>
      <w:r>
        <w:rPr>
          <w:rFonts w:ascii="宋体" w:hAnsi="宋体" w:cs="宋体" w:eastAsia="宋体" w:hint="default"/>
        </w:rPr>
        <w:t>10</w:t>
      </w:r>
      <w:r>
        <w:rPr/>
        <w:t>月进入本公司。 现任本公司副总经理、北京达实德润能源科技有限公司董事长、上海达实联欣科技发展有限公司董事。</w:t>
      </w:r>
    </w:p>
    <w:p>
      <w:pPr>
        <w:pStyle w:val="BodyText"/>
        <w:spacing w:line="357" w:lineRule="auto"/>
        <w:ind w:right="1133" w:firstLine="420"/>
        <w:jc w:val="both"/>
      </w:pPr>
      <w:r>
        <w:rPr>
          <w:rFonts w:ascii="宋体" w:hAnsi="宋体" w:cs="宋体" w:eastAsia="宋体" w:hint="default"/>
        </w:rPr>
        <w:t>5</w:t>
      </w:r>
      <w:r>
        <w:rPr/>
        <w:t>、陆启惠先生，</w:t>
      </w:r>
      <w:r>
        <w:rPr>
          <w:rFonts w:ascii="宋体" w:hAnsi="宋体" w:cs="宋体" w:eastAsia="宋体" w:hint="default"/>
        </w:rPr>
        <w:t>1968</w:t>
      </w:r>
      <w:r>
        <w:rPr/>
        <w:t>年</w:t>
      </w:r>
      <w:r>
        <w:rPr>
          <w:rFonts w:ascii="宋体" w:hAnsi="宋体" w:cs="宋体" w:eastAsia="宋体" w:hint="default"/>
        </w:rPr>
        <w:t>5</w:t>
      </w:r>
      <w:r>
        <w:rPr/>
        <w:t>月出生，</w:t>
      </w:r>
      <w:r>
        <w:rPr>
          <w:rFonts w:ascii="宋体" w:hAnsi="宋体" w:cs="宋体" w:eastAsia="宋体" w:hint="default"/>
        </w:rPr>
        <w:t>MBA</w:t>
      </w:r>
      <w:r>
        <w:rPr/>
        <w:t>。最近五年一直就职于上海联欣科技发展有限公司（现更名为 </w:t>
      </w:r>
      <w:r>
        <w:rPr>
          <w:spacing w:val="-1"/>
        </w:rPr>
        <w:t>上海达实联欣科技发展有限公司），先后担任公司副总经理、总经理。现任本公司副总经理、上海达实联</w:t>
      </w:r>
      <w:r>
        <w:rPr>
          <w:spacing w:val="-83"/>
        </w:rPr>
        <w:t> </w:t>
      </w:r>
      <w:r>
        <w:rPr>
          <w:spacing w:val="-83"/>
        </w:rPr>
      </w:r>
      <w:r>
        <w:rPr/>
        <w:t>欣科技发展有限公司董事及总裁、上海联欣金山建筑科技发展有限公司执行董事。</w:t>
      </w:r>
    </w:p>
    <w:p>
      <w:pPr>
        <w:pStyle w:val="BodyText"/>
        <w:spacing w:line="355" w:lineRule="auto" w:before="31"/>
        <w:ind w:left="154" w:right="1132" w:firstLine="420"/>
        <w:jc w:val="both"/>
      </w:pPr>
      <w:r>
        <w:rPr>
          <w:rFonts w:ascii="宋体" w:hAnsi="宋体" w:cs="宋体" w:eastAsia="宋体" w:hint="default"/>
          <w:spacing w:val="-1"/>
        </w:rPr>
        <w:t>6</w:t>
      </w:r>
      <w:r>
        <w:rPr>
          <w:spacing w:val="-1"/>
        </w:rPr>
        <w:t>、林雨斌先生，男，</w:t>
      </w:r>
      <w:r>
        <w:rPr>
          <w:rFonts w:ascii="宋体" w:hAnsi="宋体" w:cs="宋体" w:eastAsia="宋体" w:hint="default"/>
          <w:spacing w:val="-1"/>
        </w:rPr>
        <w:t>1976</w:t>
      </w:r>
      <w:r>
        <w:rPr>
          <w:spacing w:val="-1"/>
        </w:rPr>
        <w:t>年</w:t>
      </w:r>
      <w:r>
        <w:rPr>
          <w:rFonts w:ascii="宋体" w:hAnsi="宋体" w:cs="宋体" w:eastAsia="宋体" w:hint="default"/>
          <w:spacing w:val="-1"/>
        </w:rPr>
        <w:t>6</w:t>
      </w:r>
      <w:r>
        <w:rPr>
          <w:spacing w:val="-1"/>
        </w:rPr>
        <w:t>月出生，本科学历。最近五年曾任云南医药工业股份有限公司董事会秘</w:t>
      </w:r>
      <w:r>
        <w:rPr/>
        <w:t> 书兼总经理助理、广州高信创业投资有限公司投资总监等职务。现任本公司副总经理、董事会秘书。</w:t>
      </w:r>
    </w:p>
    <w:p>
      <w:pPr>
        <w:pStyle w:val="BodyText"/>
        <w:spacing w:line="240" w:lineRule="auto" w:before="32"/>
        <w:ind w:left="573" w:right="0"/>
        <w:jc w:val="left"/>
      </w:pPr>
      <w:r>
        <w:rPr>
          <w:rFonts w:ascii="宋体" w:hAnsi="宋体" w:cs="宋体" w:eastAsia="宋体" w:hint="default"/>
        </w:rPr>
        <w:t>7</w:t>
      </w:r>
      <w:r>
        <w:rPr/>
        <w:t>、黄天朗先生，男，</w:t>
      </w:r>
      <w:r>
        <w:rPr>
          <w:rFonts w:ascii="宋体" w:hAnsi="宋体" w:cs="宋体" w:eastAsia="宋体" w:hint="default"/>
        </w:rPr>
        <w:t>1970</w:t>
      </w:r>
      <w:r>
        <w:rPr/>
        <w:t>年</w:t>
      </w:r>
      <w:r>
        <w:rPr>
          <w:rFonts w:ascii="宋体" w:hAnsi="宋体" w:cs="宋体" w:eastAsia="宋体" w:hint="default"/>
        </w:rPr>
        <w:t>10</w:t>
      </w:r>
      <w:r>
        <w:rPr/>
        <w:t>月出生，本科学历，会计师，注册税务师，信息产业部高级项目经理。</w:t>
      </w:r>
    </w:p>
    <w:p>
      <w:pPr>
        <w:pStyle w:val="BodyText"/>
        <w:spacing w:line="240" w:lineRule="auto" w:before="134"/>
        <w:ind w:left="154" w:right="0"/>
        <w:jc w:val="left"/>
      </w:pPr>
      <w:r>
        <w:rPr>
          <w:rFonts w:ascii="宋体" w:hAnsi="宋体" w:cs="宋体" w:eastAsia="宋体" w:hint="default"/>
        </w:rPr>
        <w:t>1999</w:t>
      </w:r>
      <w:r>
        <w:rPr/>
        <w:t>年</w:t>
      </w:r>
      <w:r>
        <w:rPr>
          <w:rFonts w:ascii="宋体" w:hAnsi="宋体" w:cs="宋体" w:eastAsia="宋体" w:hint="default"/>
        </w:rPr>
        <w:t>11</w:t>
      </w:r>
      <w:r>
        <w:rPr/>
        <w:t>月进入本公司财务部，现任本公司财务总监。</w:t>
      </w:r>
    </w:p>
    <w:p>
      <w:pPr>
        <w:spacing w:line="240" w:lineRule="auto" w:before="10"/>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36"/>
        <w:gridCol w:w="2772"/>
        <w:gridCol w:w="1154"/>
        <w:gridCol w:w="1688"/>
        <w:gridCol w:w="1525"/>
        <w:gridCol w:w="1393"/>
      </w:tblGrid>
      <w:tr>
        <w:trPr>
          <w:trHeight w:val="391" w:hRule="exact"/>
        </w:trPr>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52" w:right="0"/>
              <w:jc w:val="left"/>
              <w:rPr>
                <w:rFonts w:ascii="宋体" w:hAnsi="宋体" w:cs="宋体" w:eastAsia="宋体" w:hint="default"/>
                <w:sz w:val="18"/>
                <w:szCs w:val="18"/>
              </w:rPr>
            </w:pPr>
            <w:r>
              <w:rPr>
                <w:rFonts w:ascii="宋体" w:hAnsi="宋体" w:cs="宋体" w:eastAsia="宋体" w:hint="default"/>
                <w:sz w:val="18"/>
                <w:szCs w:val="18"/>
              </w:rPr>
              <w:t>任职人员</w:t>
            </w:r>
          </w:p>
        </w:tc>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84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2" w:right="0"/>
              <w:jc w:val="left"/>
              <w:rPr>
                <w:rFonts w:ascii="宋体" w:hAnsi="宋体" w:cs="宋体" w:eastAsia="宋体" w:hint="default"/>
                <w:sz w:val="18"/>
                <w:szCs w:val="18"/>
              </w:rPr>
            </w:pPr>
            <w:r>
              <w:rPr>
                <w:rFonts w:ascii="宋体" w:hAnsi="宋体" w:cs="宋体" w:eastAsia="宋体" w:hint="default"/>
                <w:sz w:val="18"/>
                <w:szCs w:val="18"/>
              </w:rPr>
              <w:t>在股东单位担</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9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61" w:right="0"/>
              <w:jc w:val="left"/>
              <w:rPr>
                <w:rFonts w:ascii="宋体" w:hAnsi="宋体" w:cs="宋体" w:eastAsia="宋体" w:hint="default"/>
                <w:sz w:val="18"/>
                <w:szCs w:val="18"/>
              </w:rPr>
            </w:pPr>
            <w:r>
              <w:rPr>
                <w:rFonts w:ascii="宋体" w:hAnsi="宋体" w:cs="宋体" w:eastAsia="宋体" w:hint="default"/>
                <w:sz w:val="18"/>
                <w:szCs w:val="18"/>
              </w:rPr>
              <w:t>在股东单位是否</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36"/>
        <w:gridCol w:w="2772"/>
        <w:gridCol w:w="1154"/>
        <w:gridCol w:w="1688"/>
        <w:gridCol w:w="1526"/>
        <w:gridCol w:w="1392"/>
      </w:tblGrid>
      <w:tr>
        <w:trPr>
          <w:trHeight w:val="362" w:hRule="exact"/>
        </w:trPr>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2" w:right="0"/>
              <w:jc w:val="left"/>
              <w:rPr>
                <w:rFonts w:ascii="宋体" w:hAnsi="宋体" w:cs="宋体" w:eastAsia="宋体" w:hint="default"/>
                <w:sz w:val="18"/>
                <w:szCs w:val="18"/>
              </w:rPr>
            </w:pPr>
            <w:r>
              <w:rPr>
                <w:rFonts w:ascii="宋体" w:hAnsi="宋体" w:cs="宋体" w:eastAsia="宋体" w:hint="default"/>
                <w:sz w:val="18"/>
                <w:szCs w:val="18"/>
              </w:rPr>
              <w:t>任的职务</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领取报酬津贴</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盛安机电设备（昌都）有限公司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578"/>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76"/>
              <w:jc w:val="right"/>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中国节能减排有限公司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企业管理部总 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76"/>
              <w:jc w:val="right"/>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兖矿集团投资管理公司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财务部长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6"/>
              <w:jc w:val="right"/>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36"/>
        <w:gridCol w:w="2955"/>
        <w:gridCol w:w="1008"/>
        <w:gridCol w:w="1652"/>
        <w:gridCol w:w="1526"/>
        <w:gridCol w:w="1392"/>
      </w:tblGrid>
      <w:tr>
        <w:trPr>
          <w:trHeight w:val="754" w:hRule="exact"/>
        </w:trPr>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332" w:right="153"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3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47" w:right="4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151" w:right="59"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合肥达实数字科技有限公司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盛安机电设备（昌都）有限公司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上海东行自动化设备商贸有限公司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433"/>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深圳市达实供应链有限公司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深圳市达实现代物流有限公司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合肥达实数字科技有限公司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深圳市诺达自动化技术有限公司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合肥中正物业管理有限公司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安徽达实商贸有限公司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界首达实置业有限公司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淮北市达实置业有限公司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36"/>
        <w:gridCol w:w="2955"/>
        <w:gridCol w:w="1008"/>
        <w:gridCol w:w="1652"/>
        <w:gridCol w:w="1526"/>
        <w:gridCol w:w="1392"/>
      </w:tblGrid>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深圳市英唐智能控制股份有限公司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中国节能减排有限公司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企业管理部 总经理</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上海臻龙投资管理合伙企业（有限合 伙）</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国浩律师集团事务所</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深圳南山热电股份有限公司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中国普天信息产业股份有限公司国际 事业本部（深圳）</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营运总监</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上海可鲁系统软件有限公司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东莞光润家具股份有限公司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东莞市雄林新材料科技股份有限公司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深圳市中小微企业投资管理有限公司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兖矿集团投资管理公司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财务部长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北京启迪筑能建筑信息技术有限公司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董事及总裁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上海联欣金山建筑科技发展有限公司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110"/>
      <w:bookmarkEnd w:id="110"/>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357" w:lineRule="auto" w:before="71"/>
        <w:ind w:right="1129" w:firstLine="420"/>
        <w:jc w:val="both"/>
      </w:pPr>
      <w:r>
        <w:rPr>
          <w:spacing w:val="-1"/>
        </w:rPr>
        <w:t>根据公司《董事、监事及高级管理人员薪酬管理制度》，公司董事、监事的薪酬由董事会薪酬与考核</w:t>
      </w:r>
      <w:r>
        <w:rPr/>
        <w:t> 委员会提出，经董事会审议通过后，提交股东大会审议批准。公司每年度给予每位独立董事津贴人民币</w:t>
      </w:r>
      <w:r>
        <w:rPr>
          <w:rFonts w:ascii="宋体" w:hAnsi="宋体" w:cs="宋体" w:eastAsia="宋体" w:hint="default"/>
        </w:rPr>
        <w:t>8</w:t>
      </w:r>
      <w:r>
        <w:rPr>
          <w:rFonts w:ascii="宋体" w:hAnsi="宋体" w:cs="宋体" w:eastAsia="宋体" w:hint="default"/>
          <w:spacing w:val="-24"/>
        </w:rPr>
        <w:t> </w:t>
      </w:r>
      <w:r>
        <w:rPr>
          <w:spacing w:val="-1"/>
        </w:rPr>
        <w:t>万元（税前）。高级管理人员实行年薪制，其薪酬由基本工资和绩效奖金两部分构成。基本工资结合行业</w:t>
      </w:r>
      <w:r>
        <w:rPr>
          <w:spacing w:val="-83"/>
        </w:rPr>
        <w:t> </w:t>
      </w:r>
      <w:r>
        <w:rPr>
          <w:spacing w:val="-83"/>
        </w:rPr>
      </w:r>
      <w:r>
        <w:rPr>
          <w:spacing w:val="-1"/>
        </w:rPr>
        <w:t>薪酬水平、岗位职责和履职情况，按月支付。绩效奖金是以年度目标绩效奖金为基础，与公司年度经营绩</w:t>
      </w:r>
      <w:r>
        <w:rPr>
          <w:spacing w:val="-86"/>
        </w:rPr>
        <w:t> </w:t>
      </w:r>
      <w:r>
        <w:rPr>
          <w:spacing w:val="-86"/>
        </w:rPr>
      </w:r>
      <w:r>
        <w:rPr/>
        <w:t>效相挂钩，年终根据当年考核结果统算兑付。</w:t>
      </w:r>
    </w:p>
    <w:p>
      <w:pPr>
        <w:pStyle w:val="BodyText"/>
        <w:spacing w:line="355" w:lineRule="auto" w:before="31"/>
        <w:ind w:right="1024" w:firstLine="420"/>
        <w:jc w:val="left"/>
      </w:pPr>
      <w:r>
        <w:rPr>
          <w:rFonts w:ascii="宋体" w:hAnsi="宋体" w:cs="宋体" w:eastAsia="宋体" w:hint="default"/>
        </w:rPr>
        <w:t>2014</w:t>
      </w:r>
      <w:r>
        <w:rPr/>
        <w:t>年度，公司向独立董事发放的津贴为</w:t>
      </w:r>
      <w:r>
        <w:rPr>
          <w:rFonts w:ascii="宋体" w:hAnsi="宋体" w:cs="宋体" w:eastAsia="宋体" w:hint="default"/>
        </w:rPr>
        <w:t>8</w:t>
      </w:r>
      <w:r>
        <w:rPr/>
        <w:t>万元，独立董事包德元先生因个人原因已将</w:t>
      </w:r>
      <w:r>
        <w:rPr>
          <w:rFonts w:ascii="宋体" w:hAnsi="宋体" w:cs="宋体" w:eastAsia="宋体" w:hint="default"/>
        </w:rPr>
        <w:t>2013</w:t>
      </w:r>
      <w:r>
        <w:rPr/>
        <w:t>、</w:t>
      </w:r>
      <w:r>
        <w:rPr>
          <w:rFonts w:ascii="宋体" w:hAnsi="宋体" w:cs="宋体" w:eastAsia="宋体" w:hint="default"/>
        </w:rPr>
        <w:t>2014</w:t>
      </w:r>
      <w:r>
        <w:rPr/>
        <w:t>年 </w:t>
      </w:r>
      <w:r>
        <w:rPr>
          <w:spacing w:val="-3"/>
        </w:rPr>
        <w:t>度收到的独立董事津贴退回给公司。公司非独立董事、监事未以董事、监事的职务在公司领取薪酬或津贴，</w:t>
      </w:r>
    </w:p>
    <w:p>
      <w:pPr>
        <w:spacing w:after="0" w:line="355"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240" w:lineRule="auto" w:before="35"/>
        <w:ind w:right="0"/>
        <w:jc w:val="left"/>
      </w:pPr>
      <w:r>
        <w:rPr/>
        <w:t>按其在公司担任的职务领取薪酬。上述发放计划已经公司</w:t>
      </w:r>
      <w:r>
        <w:rPr>
          <w:rFonts w:ascii="宋体" w:hAnsi="宋体" w:cs="宋体" w:eastAsia="宋体" w:hint="default"/>
        </w:rPr>
        <w:t>2013</w:t>
      </w:r>
      <w:r>
        <w:rPr/>
        <w:t>年度股东大会审议通过。</w:t>
      </w:r>
    </w:p>
    <w:p>
      <w:pPr>
        <w:spacing w:line="240" w:lineRule="auto" w:before="4"/>
        <w:rPr>
          <w:rFonts w:ascii="宋体" w:hAnsi="宋体" w:cs="宋体" w:eastAsia="宋体" w:hint="default"/>
          <w:sz w:val="13"/>
          <w:szCs w:val="1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780"/>
        <w:gridCol w:w="1001"/>
        <w:gridCol w:w="1001"/>
        <w:gridCol w:w="1001"/>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71.38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69.41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包德元</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甘岱松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55.04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76"/>
                <w:sz w:val="18"/>
                <w:szCs w:val="18"/>
              </w:rPr>
              <w:t>、</w:t>
            </w:r>
            <w:r>
              <w:rPr>
                <w:rFonts w:ascii="宋体" w:hAnsi="宋体" w:cs="宋体" w:eastAsia="宋体" w:hint="default"/>
                <w:sz w:val="18"/>
                <w:szCs w:val="18"/>
              </w:rPr>
              <w:t>董事会秘书</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40.94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钟宇彤</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562.53</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公司董事、监事、高级管理人员变动情况" w:id="111"/>
      <w:bookmarkEnd w:id="111"/>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248"/>
        <w:gridCol w:w="3330"/>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9"/>
              <w:jc w:val="righ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钟宇彤</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9"/>
              <w:jc w:val="righ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甘岱松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9"/>
              <w:jc w:val="righ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职工代表大会选举</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12"/>
      <w:bookmarkEnd w:id="112"/>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right="0"/>
        <w:jc w:val="left"/>
      </w:pPr>
      <w:r>
        <w:rPr/>
        <w:t>报告期内，公司核心技术团队或关键技术人员未发生变动。</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公司员工情况" w:id="113"/>
      <w:bookmarkEnd w:id="113"/>
      <w:r>
        <w:rPr>
          <w:b w:val="0"/>
          <w:bCs w:val="0"/>
        </w:rPr>
      </w:r>
      <w:r>
        <w:rPr/>
        <w:t>六、公司员工情况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right="0"/>
        <w:jc w:val="left"/>
      </w:pPr>
      <w:r>
        <w:rPr/>
        <w:t>截止到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日，员工构成情况如下：</w:t>
      </w:r>
    </w:p>
    <w:p>
      <w:pPr>
        <w:spacing w:line="240" w:lineRule="auto" w:before="9"/>
        <w:rPr>
          <w:rFonts w:ascii="宋体" w:hAnsi="宋体" w:cs="宋体" w:eastAsia="宋体" w:hint="default"/>
          <w:sz w:val="11"/>
          <w:szCs w:val="11"/>
        </w:rPr>
      </w:pPr>
    </w:p>
    <w:tbl>
      <w:tblPr>
        <w:tblW w:w="0" w:type="auto"/>
        <w:jc w:val="left"/>
        <w:tblInd w:w="815" w:type="dxa"/>
        <w:tblLayout w:type="fixed"/>
        <w:tblCellMar>
          <w:top w:w="0" w:type="dxa"/>
          <w:left w:w="0" w:type="dxa"/>
          <w:bottom w:w="0" w:type="dxa"/>
          <w:right w:w="0" w:type="dxa"/>
        </w:tblCellMar>
        <w:tblLook w:val="01E0"/>
      </w:tblPr>
      <w:tblGrid>
        <w:gridCol w:w="2731"/>
        <w:gridCol w:w="2842"/>
        <w:gridCol w:w="2728"/>
      </w:tblGrid>
      <w:tr>
        <w:trPr>
          <w:trHeight w:val="426" w:hRule="exact"/>
        </w:trPr>
        <w:tc>
          <w:tcPr>
            <w:tcW w:w="27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所在机构</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7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363" w:right="0"/>
              <w:jc w:val="left"/>
              <w:rPr>
                <w:rFonts w:ascii="宋体" w:hAnsi="宋体" w:cs="宋体" w:eastAsia="宋体" w:hint="default"/>
                <w:sz w:val="18"/>
                <w:szCs w:val="18"/>
              </w:rPr>
            </w:pPr>
            <w:r>
              <w:rPr>
                <w:rFonts w:ascii="宋体" w:hAnsi="宋体" w:cs="宋体" w:eastAsia="宋体" w:hint="default"/>
                <w:b/>
                <w:bCs/>
                <w:sz w:val="18"/>
                <w:szCs w:val="18"/>
              </w:rPr>
              <w:t>占员工总人数比例（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613</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w:t>
            </w:r>
          </w:p>
        </w:tc>
      </w:tr>
      <w:tr>
        <w:trPr>
          <w:trHeight w:val="427"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子公司员工人数</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791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56%</w:t>
            </w:r>
          </w:p>
        </w:tc>
      </w:tr>
      <w:tr>
        <w:trPr>
          <w:trHeight w:val="427"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1404</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9"/>
        <w:rPr>
          <w:rFonts w:ascii="宋体" w:hAnsi="宋体" w:cs="宋体" w:eastAsia="宋体" w:hint="default"/>
          <w:sz w:val="24"/>
          <w:szCs w:val="24"/>
        </w:rPr>
      </w:pPr>
    </w:p>
    <w:p>
      <w:pPr>
        <w:pStyle w:val="BodyText"/>
        <w:spacing w:line="240" w:lineRule="auto" w:before="35"/>
        <w:ind w:left="574" w:right="0"/>
        <w:jc w:val="left"/>
      </w:pPr>
      <w:r>
        <w:rPr>
          <w:rFonts w:ascii="宋体" w:hAnsi="宋体" w:cs="宋体" w:eastAsia="宋体" w:hint="default"/>
        </w:rPr>
        <w:t>1</w:t>
      </w:r>
      <w:r>
        <w:rPr/>
        <w:t>、专业结构</w:t>
      </w:r>
    </w:p>
    <w:p>
      <w:pPr>
        <w:spacing w:line="240" w:lineRule="auto" w:before="10"/>
        <w:rPr>
          <w:rFonts w:ascii="宋体" w:hAnsi="宋体" w:cs="宋体" w:eastAsia="宋体" w:hint="default"/>
          <w:sz w:val="13"/>
          <w:szCs w:val="13"/>
        </w:rPr>
      </w:pPr>
    </w:p>
    <w:tbl>
      <w:tblPr>
        <w:tblW w:w="0" w:type="auto"/>
        <w:jc w:val="left"/>
        <w:tblInd w:w="815" w:type="dxa"/>
        <w:tblLayout w:type="fixed"/>
        <w:tblCellMar>
          <w:top w:w="0" w:type="dxa"/>
          <w:left w:w="0" w:type="dxa"/>
          <w:bottom w:w="0" w:type="dxa"/>
          <w:right w:w="0" w:type="dxa"/>
        </w:tblCellMar>
        <w:tblLook w:val="01E0"/>
      </w:tblPr>
      <w:tblGrid>
        <w:gridCol w:w="2731"/>
        <w:gridCol w:w="2842"/>
        <w:gridCol w:w="2728"/>
      </w:tblGrid>
      <w:tr>
        <w:trPr>
          <w:trHeight w:val="415" w:hRule="exact"/>
        </w:trPr>
        <w:tc>
          <w:tcPr>
            <w:tcW w:w="27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专业结构</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7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b/>
                <w:bCs/>
                <w:sz w:val="18"/>
                <w:szCs w:val="18"/>
              </w:rPr>
              <w:t>占员工总人数比例（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管理及职能人员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230</w:t>
            </w:r>
          </w:p>
        </w:tc>
        <w:tc>
          <w:tcPr>
            <w:tcW w:w="27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16.38%</w:t>
            </w:r>
          </w:p>
        </w:tc>
      </w:tr>
      <w:tr>
        <w:trPr>
          <w:trHeight w:val="427"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营销与支持人员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305</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21.73%</w:t>
            </w:r>
          </w:p>
        </w:tc>
      </w:tr>
      <w:tr>
        <w:trPr>
          <w:trHeight w:val="427"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工程与生产人员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565</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40.24%</w:t>
            </w:r>
          </w:p>
        </w:tc>
      </w:tr>
      <w:tr>
        <w:trPr>
          <w:trHeight w:val="427"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304</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21.65%</w:t>
            </w:r>
          </w:p>
        </w:tc>
      </w:tr>
      <w:tr>
        <w:trPr>
          <w:trHeight w:val="427"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1404</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1" w:lineRule="exact" w:before="0"/>
        <w:ind w:left="574" w:right="0"/>
        <w:jc w:val="left"/>
      </w:pPr>
      <w:r>
        <w:rPr>
          <w:rFonts w:ascii="宋体" w:hAnsi="宋体" w:cs="宋体" w:eastAsia="宋体" w:hint="default"/>
        </w:rPr>
        <w:t>2</w:t>
      </w:r>
      <w:r>
        <w:rPr/>
        <w:t>、受教育程度</w:t>
      </w:r>
    </w:p>
    <w:p>
      <w:pPr>
        <w:spacing w:line="240" w:lineRule="auto" w:before="10"/>
        <w:rPr>
          <w:rFonts w:ascii="宋体" w:hAnsi="宋体" w:cs="宋体" w:eastAsia="宋体" w:hint="default"/>
          <w:sz w:val="12"/>
          <w:szCs w:val="12"/>
        </w:rPr>
      </w:pPr>
    </w:p>
    <w:tbl>
      <w:tblPr>
        <w:tblW w:w="0" w:type="auto"/>
        <w:jc w:val="left"/>
        <w:tblInd w:w="808" w:type="dxa"/>
        <w:tblLayout w:type="fixed"/>
        <w:tblCellMar>
          <w:top w:w="0" w:type="dxa"/>
          <w:left w:w="0" w:type="dxa"/>
          <w:bottom w:w="0" w:type="dxa"/>
          <w:right w:w="0" w:type="dxa"/>
        </w:tblCellMar>
        <w:tblLook w:val="01E0"/>
      </w:tblPr>
      <w:tblGrid>
        <w:gridCol w:w="2732"/>
        <w:gridCol w:w="2841"/>
        <w:gridCol w:w="2742"/>
      </w:tblGrid>
      <w:tr>
        <w:trPr>
          <w:trHeight w:val="427" w:hRule="exact"/>
        </w:trPr>
        <w:tc>
          <w:tcPr>
            <w:tcW w:w="27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906" w:right="0"/>
              <w:jc w:val="left"/>
              <w:rPr>
                <w:rFonts w:ascii="宋体" w:hAnsi="宋体" w:cs="宋体" w:eastAsia="宋体" w:hint="default"/>
                <w:sz w:val="18"/>
                <w:szCs w:val="18"/>
              </w:rPr>
            </w:pPr>
            <w:r>
              <w:rPr>
                <w:rFonts w:ascii="宋体" w:hAnsi="宋体" w:cs="宋体" w:eastAsia="宋体" w:hint="default"/>
                <w:b/>
                <w:bCs/>
                <w:sz w:val="18"/>
                <w:szCs w:val="18"/>
              </w:rPr>
              <w:t>受教育程度</w:t>
            </w:r>
            <w:r>
              <w:rPr>
                <w:rFonts w:ascii="宋体" w:hAnsi="宋体" w:cs="宋体" w:eastAsia="宋体" w:hint="default"/>
                <w:sz w:val="18"/>
                <w:szCs w:val="18"/>
              </w:rPr>
            </w:r>
          </w:p>
        </w:tc>
        <w:tc>
          <w:tcPr>
            <w:tcW w:w="2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7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b/>
                <w:bCs/>
                <w:sz w:val="18"/>
                <w:szCs w:val="18"/>
              </w:rPr>
              <w:t>占员工总人数比例（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76</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5.41%</w:t>
            </w:r>
          </w:p>
        </w:tc>
      </w:tr>
      <w:tr>
        <w:trPr>
          <w:trHeight w:val="42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483</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34.40%</w:t>
            </w:r>
          </w:p>
        </w:tc>
      </w:tr>
      <w:tr>
        <w:trPr>
          <w:trHeight w:val="42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z w:val="20"/>
              </w:rPr>
              <w:t>442</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31.48%</w:t>
            </w:r>
          </w:p>
        </w:tc>
      </w:tr>
      <w:tr>
        <w:trPr>
          <w:trHeight w:val="42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403</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28.71%</w:t>
            </w:r>
          </w:p>
        </w:tc>
      </w:tr>
      <w:tr>
        <w:trPr>
          <w:trHeight w:val="42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1404</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1" w:lineRule="exact" w:before="0"/>
        <w:ind w:left="574" w:right="0"/>
        <w:jc w:val="left"/>
      </w:pPr>
      <w:r>
        <w:rPr>
          <w:rFonts w:ascii="宋体" w:hAnsi="宋体" w:cs="宋体" w:eastAsia="宋体" w:hint="default"/>
        </w:rPr>
        <w:t>3</w:t>
      </w:r>
      <w:r>
        <w:rPr/>
        <w:t>、年龄分布</w:t>
      </w:r>
    </w:p>
    <w:p>
      <w:pPr>
        <w:spacing w:line="240" w:lineRule="auto" w:before="10"/>
        <w:rPr>
          <w:rFonts w:ascii="宋体" w:hAnsi="宋体" w:cs="宋体" w:eastAsia="宋体" w:hint="default"/>
          <w:sz w:val="12"/>
          <w:szCs w:val="12"/>
        </w:rPr>
      </w:pPr>
    </w:p>
    <w:tbl>
      <w:tblPr>
        <w:tblW w:w="0" w:type="auto"/>
        <w:jc w:val="left"/>
        <w:tblInd w:w="808" w:type="dxa"/>
        <w:tblLayout w:type="fixed"/>
        <w:tblCellMar>
          <w:top w:w="0" w:type="dxa"/>
          <w:left w:w="0" w:type="dxa"/>
          <w:bottom w:w="0" w:type="dxa"/>
          <w:right w:w="0" w:type="dxa"/>
        </w:tblCellMar>
        <w:tblLook w:val="01E0"/>
      </w:tblPr>
      <w:tblGrid>
        <w:gridCol w:w="2732"/>
        <w:gridCol w:w="2841"/>
        <w:gridCol w:w="2742"/>
      </w:tblGrid>
      <w:tr>
        <w:trPr>
          <w:trHeight w:val="427" w:hRule="exact"/>
        </w:trPr>
        <w:tc>
          <w:tcPr>
            <w:tcW w:w="27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年龄分布</w:t>
            </w:r>
            <w:r>
              <w:rPr>
                <w:rFonts w:ascii="宋体" w:hAnsi="宋体" w:cs="宋体" w:eastAsia="宋体" w:hint="default"/>
                <w:sz w:val="18"/>
                <w:szCs w:val="18"/>
              </w:rPr>
            </w:r>
          </w:p>
        </w:tc>
        <w:tc>
          <w:tcPr>
            <w:tcW w:w="2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7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b/>
                <w:bCs/>
                <w:sz w:val="18"/>
                <w:szCs w:val="18"/>
              </w:rPr>
              <w:t>占员工总人数比例（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岁（含）以下</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542</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38.6%</w:t>
            </w:r>
          </w:p>
        </w:tc>
      </w:tr>
      <w:tr>
        <w:trPr>
          <w:trHeight w:val="42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30-45</w:t>
            </w:r>
            <w:r>
              <w:rPr>
                <w:rFonts w:ascii="宋体" w:hAnsi="宋体" w:cs="宋体" w:eastAsia="宋体" w:hint="default"/>
                <w:sz w:val="18"/>
                <w:szCs w:val="18"/>
              </w:rPr>
              <w:t>岁</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472</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33.62%</w:t>
            </w:r>
          </w:p>
        </w:tc>
      </w:tr>
      <w:tr>
        <w:trPr>
          <w:trHeight w:val="42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岁（含）以上</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390</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27.78%</w:t>
            </w:r>
          </w:p>
        </w:tc>
      </w:tr>
      <w:tr>
        <w:trPr>
          <w:trHeight w:val="42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1404</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1" w:lineRule="exact" w:before="0"/>
        <w:ind w:left="574" w:right="0"/>
        <w:jc w:val="left"/>
      </w:pPr>
      <w:r>
        <w:rPr>
          <w:rFonts w:ascii="宋体" w:hAnsi="宋体" w:cs="宋体" w:eastAsia="宋体" w:hint="default"/>
        </w:rPr>
        <w:t>4</w:t>
      </w:r>
      <w:r>
        <w:rPr/>
        <w:t>、薪酬政策</w:t>
      </w:r>
    </w:p>
    <w:p>
      <w:pPr>
        <w:pStyle w:val="BodyText"/>
        <w:spacing w:line="357" w:lineRule="auto" w:before="133"/>
        <w:ind w:right="0" w:firstLine="420"/>
        <w:jc w:val="left"/>
      </w:pPr>
      <w:r>
        <w:rPr>
          <w:spacing w:val="-1"/>
        </w:rPr>
        <w:t>通过对战略目标、任务的管理，公司设计了具有竞争性的员工薪酬体系，建立了良好的内部级别认证</w:t>
      </w:r>
      <w:r>
        <w:rPr/>
        <w:t> 制度及晋升通道，实施了公平公正的绩效考核机制，不断提升员工对于薪酬的满意度。</w:t>
      </w:r>
    </w:p>
    <w:p>
      <w:pPr>
        <w:pStyle w:val="BodyText"/>
        <w:spacing w:line="338" w:lineRule="auto"/>
        <w:ind w:left="573" w:right="1118"/>
        <w:jc w:val="left"/>
      </w:pPr>
      <w:r>
        <w:rPr>
          <w:rFonts w:ascii="Times New Roman" w:hAnsi="Times New Roman" w:cs="Times New Roman" w:eastAsia="Times New Roman" w:hint="default"/>
        </w:rPr>
        <w:t>5</w:t>
      </w:r>
      <w:r>
        <w:rPr/>
        <w:t>、培训计划 </w:t>
      </w:r>
      <w:r>
        <w:rPr>
          <w:spacing w:val="-1"/>
        </w:rPr>
        <w:t>公司自上而下构建了完善的培训体系，培训内容涵盖了新员工培训、专项技术、管理技能、经验交流</w:t>
      </w:r>
    </w:p>
    <w:p>
      <w:pPr>
        <w:spacing w:after="0" w:line="338"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48" w:lineRule="auto" w:before="35"/>
        <w:ind w:right="1132"/>
        <w:jc w:val="both"/>
      </w:pPr>
      <w:r>
        <w:rPr>
          <w:spacing w:val="-1"/>
        </w:rPr>
        <w:t>等多方面的内容，积极寻求各种有效的培训资源（如高校、政府、社会培训学校及内部优秀师资挖掘与培</w:t>
      </w:r>
      <w:r>
        <w:rPr>
          <w:spacing w:val="-86"/>
        </w:rPr>
        <w:t> </w:t>
      </w:r>
      <w:r>
        <w:rPr>
          <w:spacing w:val="-86"/>
        </w:rPr>
      </w:r>
      <w:r>
        <w:rPr/>
        <w:t>养等），同时全年组织员工参加各类职业资格考试，提升员工的工作技术水平，将</w:t>
      </w:r>
      <w:r>
        <w:rPr>
          <w:rFonts w:ascii="Times New Roman" w:hAnsi="Times New Roman" w:cs="Times New Roman" w:eastAsia="Times New Roman" w:hint="default"/>
        </w:rPr>
        <w:t>“</w:t>
      </w:r>
      <w:r>
        <w:rPr/>
        <w:t>分享</w:t>
      </w:r>
      <w:r>
        <w:rPr>
          <w:rFonts w:ascii="Times New Roman" w:hAnsi="Times New Roman" w:cs="Times New Roman" w:eastAsia="Times New Roman" w:hint="default"/>
        </w:rPr>
        <w:t>”</w:t>
      </w:r>
      <w:r>
        <w:rPr/>
        <w:t>的理念贯穿于整 个培训体系。</w:t>
      </w:r>
    </w:p>
    <w:p>
      <w:pPr>
        <w:pStyle w:val="BodyText"/>
        <w:spacing w:line="240" w:lineRule="auto" w:before="39"/>
        <w:ind w:left="573" w:right="0"/>
        <w:jc w:val="left"/>
      </w:pPr>
      <w:r>
        <w:rPr>
          <w:rFonts w:ascii="Times New Roman" w:hAnsi="Times New Roman" w:cs="Times New Roman" w:eastAsia="Times New Roman" w:hint="default"/>
        </w:rPr>
        <w:t>6</w:t>
      </w:r>
      <w:r>
        <w:rPr/>
        <w:t>、公司无需承担费用的离退休职工人员。</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729"/>
        <w:jc w:val="center"/>
        <w:rPr>
          <w:b w:val="0"/>
          <w:bCs w:val="0"/>
        </w:rPr>
      </w:pPr>
      <w:bookmarkStart w:name="第九节 公司治理" w:id="114"/>
      <w:bookmarkEnd w:id="114"/>
      <w:r>
        <w:rPr>
          <w:b w:val="0"/>
          <w:bCs w:val="0"/>
        </w:rPr>
      </w:r>
      <w:bookmarkStart w:name="_bookmark8" w:id="115"/>
      <w:bookmarkEnd w:id="11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16"/>
      <w:bookmarkEnd w:id="116"/>
      <w:r>
        <w:rPr>
          <w:b w:val="0"/>
          <w:bCs w:val="0"/>
        </w:rPr>
      </w:r>
      <w:r>
        <w:rPr/>
        <w:t>一、公司治理的基本状况</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131" w:firstLine="420"/>
        <w:jc w:val="both"/>
      </w:pPr>
      <w:r>
        <w:rPr>
          <w:spacing w:val="-1"/>
        </w:rPr>
        <w:t>报告期内，公司严格按照《公司法》、《证券法》、《深圳证券交易所股票上市规则》、《深圳证券</w:t>
      </w:r>
      <w:r>
        <w:rPr/>
        <w:t> </w:t>
      </w:r>
      <w:r>
        <w:rPr>
          <w:spacing w:val="-1"/>
        </w:rPr>
        <w:t>交易所中小企业板上市公司规范运作指引》和其他相关法律、法规的有关规定，不断完善公司法人治理结</w:t>
      </w:r>
      <w:r>
        <w:rPr>
          <w:spacing w:val="-83"/>
        </w:rPr>
        <w:t> </w:t>
      </w:r>
      <w:r>
        <w:rPr>
          <w:spacing w:val="-83"/>
        </w:rPr>
      </w:r>
      <w:r>
        <w:rPr>
          <w:spacing w:val="-1"/>
        </w:rPr>
        <w:t>构，健全内部控制体系，规范公司运作，保证公司高效运转。截至报告期末，公司治理的实际状况基本符</w:t>
      </w:r>
      <w:r>
        <w:rPr>
          <w:spacing w:val="-83"/>
        </w:rPr>
        <w:t> </w:t>
      </w:r>
      <w:r>
        <w:rPr>
          <w:spacing w:val="-83"/>
        </w:rPr>
      </w:r>
      <w:r>
        <w:rPr/>
        <w:t>合中国证监会发布的有关上市公司治理的规范性文件要求。</w:t>
      </w:r>
    </w:p>
    <w:p>
      <w:pPr>
        <w:spacing w:before="115"/>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38" w:lineRule="auto" w:before="117"/>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公司治理与《公司法》和中国证监会相关规定的要求不存在差异。</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pStyle w:val="BodyText"/>
        <w:spacing w:line="357" w:lineRule="auto" w:before="70"/>
        <w:ind w:right="1132" w:firstLine="420"/>
        <w:jc w:val="both"/>
      </w:pPr>
      <w:r>
        <w:rPr>
          <w:spacing w:val="8"/>
        </w:rPr>
        <w:t>根据中国证券监督管理委员会《关于开展加强上市公司治理专项活动有关事项的通知》（证监字</w:t>
      </w:r>
      <w:r>
        <w:rPr/>
        <w:t> </w:t>
      </w:r>
      <w:r>
        <w:rPr>
          <w:rFonts w:ascii="宋体" w:hAnsi="宋体" w:cs="宋体" w:eastAsia="宋体" w:hint="default"/>
        </w:rPr>
        <w:t>[2007]28</w:t>
      </w:r>
      <w:r>
        <w:rPr>
          <w:rFonts w:ascii="宋体" w:hAnsi="宋体" w:cs="宋体" w:eastAsia="宋体" w:hint="default"/>
          <w:spacing w:val="59"/>
        </w:rPr>
        <w:t> </w:t>
      </w:r>
      <w:r>
        <w:rPr/>
        <w:t>号）及深圳证监局《关于做好深圳辖区上市公司治理专项活动有关工作的通知》（深证局公司</w:t>
      </w:r>
      <w:r>
        <w:rPr>
          <w:spacing w:val="-95"/>
        </w:rPr>
        <w:t> </w:t>
      </w:r>
      <w:r>
        <w:rPr>
          <w:spacing w:val="-95"/>
        </w:rPr>
      </w:r>
      <w:r>
        <w:rPr>
          <w:spacing w:val="-1"/>
        </w:rPr>
        <w:t>字</w:t>
      </w:r>
      <w:r>
        <w:rPr>
          <w:rFonts w:ascii="宋体" w:hAnsi="宋体" w:cs="宋体" w:eastAsia="宋体" w:hint="default"/>
          <w:spacing w:val="-1"/>
        </w:rPr>
        <w:t>[2007]14</w:t>
      </w:r>
      <w:r>
        <w:rPr>
          <w:spacing w:val="-1"/>
        </w:rPr>
        <w:t>号）的文件要求，公司开展了公司治理专项活动。整个活动分自查阶段、公众评议阶段、整改</w:t>
      </w:r>
      <w:r>
        <w:rPr>
          <w:spacing w:val="-79"/>
        </w:rPr>
        <w:t> </w:t>
      </w:r>
      <w:r>
        <w:rPr>
          <w:spacing w:val="-79"/>
        </w:rPr>
      </w:r>
      <w:r>
        <w:rPr>
          <w:spacing w:val="-1"/>
        </w:rPr>
        <w:t>提高阶段进行，形成的《关于公司治理专项活动自查事项说明》、《关于公司治理专项活动的自查报告及</w:t>
      </w:r>
      <w:r>
        <w:rPr>
          <w:spacing w:val="-83"/>
        </w:rPr>
        <w:t> </w:t>
      </w:r>
      <w:r>
        <w:rPr>
          <w:spacing w:val="-83"/>
        </w:rPr>
      </w:r>
      <w:r>
        <w:rPr>
          <w:spacing w:val="-1"/>
        </w:rPr>
        <w:t>整改计划》及《关于公司治理专项活动的整改报告》，分别经公司第四届董事会第三次会议、第四届董事</w:t>
      </w:r>
      <w:r>
        <w:rPr>
          <w:spacing w:val="-82"/>
        </w:rPr>
        <w:t> </w:t>
      </w:r>
      <w:r>
        <w:rPr>
          <w:spacing w:val="-82"/>
        </w:rPr>
      </w:r>
      <w:r>
        <w:rPr/>
        <w:t>会第六次会议审议通过，相关内容分别刊登于</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27</w:t>
      </w:r>
      <w:r>
        <w:rPr/>
        <w:t>日、</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28</w:t>
      </w:r>
      <w:r>
        <w:rPr/>
        <w:t>日《证券时报》及巨潮资讯</w:t>
      </w:r>
      <w:r>
        <w:rPr>
          <w:spacing w:val="-33"/>
        </w:rPr>
        <w:t> </w:t>
      </w:r>
      <w:r>
        <w:rPr>
          <w:spacing w:val="-33"/>
        </w:rPr>
      </w:r>
      <w:r>
        <w:rPr/>
        <w:t>网（</w:t>
      </w:r>
      <w:hyperlink r:id="rId11">
        <w:r>
          <w:rPr>
            <w:rFonts w:ascii="宋体" w:hAnsi="宋体" w:cs="宋体" w:eastAsia="宋体" w:hint="default"/>
          </w:rPr>
          <w:t>http://www.cninfo.com.cn</w:t>
        </w:r>
      </w:hyperlink>
      <w:r>
        <w:rPr/>
        <w:t>）。</w:t>
      </w:r>
    </w:p>
    <w:p>
      <w:pPr>
        <w:pStyle w:val="BodyText"/>
        <w:spacing w:line="357" w:lineRule="auto"/>
        <w:ind w:right="1024" w:firstLine="420"/>
        <w:jc w:val="left"/>
      </w:pPr>
      <w:r>
        <w:rPr>
          <w:spacing w:val="-5"/>
        </w:rPr>
        <w:t>根据《关于上市公司建立内幕信息知情人登记管理制度的规定》（中国证监会公告</w:t>
      </w:r>
      <w:r>
        <w:rPr>
          <w:rFonts w:ascii="宋体" w:hAnsi="宋体" w:cs="宋体" w:eastAsia="宋体" w:hint="default"/>
          <w:spacing w:val="-5"/>
        </w:rPr>
        <w:t>2011[30]</w:t>
      </w:r>
      <w:r>
        <w:rPr>
          <w:spacing w:val="-5"/>
        </w:rPr>
        <w:t>号）及《关</w:t>
      </w:r>
      <w:r>
        <w:rPr/>
        <w:t> 于要求深圳上市公司进一步做好内幕信息管理有关工作的通知》</w:t>
      </w:r>
      <w:r>
        <w:rPr>
          <w:rFonts w:ascii="宋体" w:hAnsi="宋体" w:cs="宋体" w:eastAsia="宋体" w:hint="default"/>
        </w:rPr>
        <w:t>(</w:t>
      </w:r>
      <w:r>
        <w:rPr/>
        <w:t>深证局公司字【</w:t>
      </w:r>
      <w:r>
        <w:rPr>
          <w:rFonts w:ascii="宋体" w:hAnsi="宋体" w:cs="宋体" w:eastAsia="宋体" w:hint="default"/>
        </w:rPr>
        <w:t>2011</w:t>
      </w:r>
      <w:r>
        <w:rPr/>
        <w:t>】</w:t>
      </w:r>
      <w:r>
        <w:rPr>
          <w:rFonts w:ascii="宋体" w:hAnsi="宋体" w:cs="宋体" w:eastAsia="宋体" w:hint="default"/>
        </w:rPr>
        <w:t>108</w:t>
      </w:r>
      <w:r>
        <w:rPr/>
        <w:t>号</w:t>
      </w:r>
      <w:r>
        <w:rPr>
          <w:rFonts w:ascii="宋体" w:hAnsi="宋体" w:cs="宋体" w:eastAsia="宋体" w:hint="default"/>
        </w:rPr>
        <w:t>)</w:t>
      </w:r>
      <w:r>
        <w:rPr/>
        <w:t>的要求，</w:t>
      </w:r>
      <w:r>
        <w:rPr>
          <w:spacing w:val="-26"/>
        </w:rPr>
        <w:t> </w:t>
      </w:r>
      <w:r>
        <w:rPr/>
        <w:t>公司于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27</w:t>
      </w:r>
      <w:r>
        <w:rPr/>
        <w:t>日召开第四届董事会第十三次会议，修订了《内幕信息知情人登记制度》，完善了内</w:t>
      </w:r>
      <w:r>
        <w:rPr>
          <w:spacing w:val="-37"/>
        </w:rPr>
        <w:t> </w:t>
      </w:r>
      <w:r>
        <w:rPr>
          <w:spacing w:val="-37"/>
        </w:rPr>
      </w:r>
      <w:r>
        <w:rPr/>
        <w:t>幕信息知情人的登记及内幕信息档案的管理工作。修订后的《内幕信息知情人登记制度》刊登于巨潮资讯</w:t>
      </w:r>
      <w:r>
        <w:rPr/>
        <w:t> 网（</w:t>
      </w:r>
      <w:hyperlink r:id="rId11">
        <w:r>
          <w:rPr>
            <w:rFonts w:ascii="宋体" w:hAnsi="宋体" w:cs="宋体" w:eastAsia="宋体" w:hint="default"/>
          </w:rPr>
          <w:t>http://www.cninfo.com.cn</w:t>
        </w:r>
      </w:hyperlink>
      <w:r>
        <w:rPr/>
        <w:t>）。公司指定专人负责内幕信息管理，对内幕信息的使用进行登记、归档 </w:t>
      </w:r>
      <w:r>
        <w:rPr>
          <w:spacing w:val="-3"/>
        </w:rPr>
        <w:t>和备查，严格控制知情人范围，在内幕信息公开披露前的报告、传递、编制、审核、披露等环节中，如实、</w:t>
      </w:r>
      <w:r>
        <w:rPr>
          <w:spacing w:val="-97"/>
        </w:rPr>
        <w:t> </w:t>
      </w:r>
      <w:r>
        <w:rPr>
          <w:spacing w:val="-97"/>
        </w:rPr>
      </w:r>
      <w:r>
        <w:rPr/>
        <w:t>完整记录内幕信息知情人名单。报告期内，未发现内幕信息知情人利用内幕信息买卖公司股票的情况。</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报告期内召开的年度股东大会和临时股东大会的有关情况" w:id="117"/>
      <w:bookmarkEnd w:id="117"/>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年度股东大会情况" w:id="118"/>
      <w:bookmarkEnd w:id="118"/>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02"/>
        <w:gridCol w:w="1568"/>
        <w:gridCol w:w="2226"/>
        <w:gridCol w:w="1282"/>
        <w:gridCol w:w="1594"/>
        <w:gridCol w:w="1595"/>
      </w:tblGrid>
      <w:tr>
        <w:trPr>
          <w:trHeight w:val="402" w:hRule="exact"/>
        </w:trPr>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6"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全部议案均审 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w:t>
            </w:r>
            <w:r>
              <w:rPr>
                <w:rFonts w:ascii="宋体" w:hAnsi="宋体" w:cs="宋体" w:eastAsia="宋体" w:hint="default"/>
                <w:spacing w:val="-10"/>
                <w:sz w:val="18"/>
                <w:szCs w:val="18"/>
              </w:rPr>
              <w:t>会决议公告》（公告</w:t>
            </w:r>
            <w:r>
              <w:rPr>
                <w:rFonts w:ascii="宋体" w:hAnsi="宋体" w:cs="宋体" w:eastAsia="宋体" w:hint="default"/>
                <w:sz w:val="18"/>
                <w:szCs w:val="18"/>
              </w:rPr>
              <w:t> </w:t>
            </w:r>
            <w:r>
              <w:rPr>
                <w:rFonts w:ascii="宋体" w:hAnsi="宋体" w:cs="宋体" w:eastAsia="宋体" w:hint="default"/>
                <w:spacing w:val="-14"/>
                <w:sz w:val="18"/>
                <w:szCs w:val="18"/>
              </w:rPr>
              <w:t>编号：</w:t>
            </w:r>
            <w:r>
              <w:rPr>
                <w:rFonts w:ascii="Times New Roman" w:hAnsi="Times New Roman" w:cs="Times New Roman" w:eastAsia="Times New Roman" w:hint="default"/>
                <w:spacing w:val="-14"/>
                <w:sz w:val="18"/>
                <w:szCs w:val="18"/>
              </w:rPr>
              <w:t>2014-020</w:t>
            </w:r>
            <w:r>
              <w:rPr>
                <w:rFonts w:ascii="宋体" w:hAnsi="宋体" w:cs="宋体" w:eastAsia="宋体" w:hint="default"/>
                <w:spacing w:val="-14"/>
                <w:sz w:val="18"/>
                <w:szCs w:val="18"/>
              </w:rPr>
              <w:t>），</w:t>
            </w:r>
            <w:r>
              <w:rPr>
                <w:rFonts w:ascii="宋体" w:hAnsi="宋体" w:cs="宋体" w:eastAsia="宋体" w:hint="default"/>
                <w:sz w:val="18"/>
                <w:szCs w:val="18"/>
              </w:rPr>
            </w:r>
          </w:p>
        </w:tc>
      </w:tr>
    </w:tbl>
    <w:p>
      <w:pPr>
        <w:spacing w:after="0" w:line="309" w:lineRule="auto"/>
        <w:jc w:val="both"/>
        <w:rPr>
          <w:rFonts w:ascii="宋体" w:hAnsi="宋体" w:cs="宋体" w:eastAsia="宋体" w:hint="default"/>
          <w:sz w:val="18"/>
          <w:szCs w:val="18"/>
        </w:rPr>
        <w:sectPr>
          <w:pgSz w:w="11910" w:h="16840"/>
          <w:pgMar w:header="877" w:footer="979" w:top="1060" w:bottom="1160" w:left="980" w:right="0"/>
        </w:sectPr>
      </w:pPr>
    </w:p>
    <w:p>
      <w:pPr>
        <w:spacing w:line="240" w:lineRule="auto" w:before="8"/>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77" w:footer="979" w:top="1060" w:bottom="1160" w:left="980" w:right="0"/>
        </w:sectPr>
      </w:pPr>
    </w:p>
    <w:p>
      <w:pPr>
        <w:spacing w:before="44"/>
        <w:ind w:left="3052" w:right="62" w:firstLine="0"/>
        <w:jc w:val="left"/>
        <w:rPr>
          <w:rFonts w:ascii="Times New Roman" w:hAnsi="Times New Roman" w:cs="Times New Roman" w:eastAsia="Times New Roman" w:hint="default"/>
          <w:sz w:val="18"/>
          <w:szCs w:val="18"/>
        </w:rPr>
      </w:pPr>
      <w:r>
        <w:rPr/>
        <w:pict>
          <v:shape style="position:absolute;margin-left:305.619995pt;margin-top:1.671743pt;width:69.8pt;height:579.3pt;mso-position-horizontal-relative:page;mso-position-vertical-relative:paragraph;z-index:-807808" type="#_x0000_t202" filled="false" stroked="false">
            <v:textbox inset="0,0,0,0">
              <w:txbxContent>
                <w:p>
                  <w:pPr>
                    <w:spacing w:line="240" w:lineRule="auto" w:before="9"/>
                    <w:rPr>
                      <w:rFonts w:ascii="宋体" w:hAnsi="宋体" w:cs="宋体" w:eastAsia="宋体" w:hint="default"/>
                      <w:b/>
                      <w:bCs/>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6.459999pt;margin-top:.951743pt;width:478.9pt;height:580.75pt;mso-position-horizontal-relative:page;mso-position-vertical-relative:paragraph;z-index:-807784" coordorigin="1129,19" coordsize="9578,11615">
            <v:group style="position:absolute;left:6236;top:33;width:1272;height:11586" coordorigin="6236,33" coordsize="1272,11586">
              <v:shape style="position:absolute;left:6236;top:33;width:1272;height:11586" coordorigin="6236,33" coordsize="1272,11586" path="m6236,11619l7508,11619,7508,33,6236,33,6236,11619xe" filled="true" fillcolor="#ffffff" stroked="false">
                <v:path arrowok="t"/>
                <v:fill type="solid"/>
              </v:shape>
            </v:group>
            <v:group style="position:absolute;left:1139;top:29;width:1293;height:2" coordorigin="1139,29" coordsize="1293,2">
              <v:shape style="position:absolute;left:1139;top:29;width:1293;height:2" coordorigin="1139,29" coordsize="1293,0" path="m1139,29l2432,29e" filled="false" stroked="true" strokeweight=".48pt" strokecolor="#000000">
                <v:path arrowok="t"/>
              </v:shape>
            </v:group>
            <v:group style="position:absolute;left:2441;top:29;width:1559;height:2" coordorigin="2441,29" coordsize="1559,2">
              <v:shape style="position:absolute;left:2441;top:29;width:1559;height:2" coordorigin="2441,29" coordsize="1559,0" path="m2441,29l4000,29e" filled="false" stroked="true" strokeweight=".48pt" strokecolor="#000000">
                <v:path arrowok="t"/>
              </v:shape>
            </v:group>
            <v:group style="position:absolute;left:4010;top:29;width:2217;height:2" coordorigin="4010,29" coordsize="2217,2">
              <v:shape style="position:absolute;left:4010;top:29;width:2217;height:2" coordorigin="4010,29" coordsize="2217,0" path="m4010,29l6226,29e" filled="false" stroked="true" strokeweight=".48pt" strokecolor="#000000">
                <v:path arrowok="t"/>
              </v:shape>
            </v:group>
            <v:group style="position:absolute;left:6236;top:29;width:1272;height:2" coordorigin="6236,29" coordsize="1272,2">
              <v:shape style="position:absolute;left:6236;top:29;width:1272;height:2" coordorigin="6236,29" coordsize="1272,0" path="m6236,29l7508,29e" filled="false" stroked="true" strokeweight=".48pt" strokecolor="#000000">
                <v:path arrowok="t"/>
              </v:shape>
            </v:group>
            <v:group style="position:absolute;left:7518;top:29;width:1585;height:2" coordorigin="7518,29" coordsize="1585,2">
              <v:shape style="position:absolute;left:7518;top:29;width:1585;height:2" coordorigin="7518,29" coordsize="1585,0" path="m7518,29l9102,29e" filled="false" stroked="true" strokeweight=".48pt" strokecolor="#000000">
                <v:path arrowok="t"/>
              </v:shape>
            </v:group>
            <v:group style="position:absolute;left:9112;top:29;width:1586;height:2" coordorigin="9112,29" coordsize="1586,2">
              <v:shape style="position:absolute;left:9112;top:29;width:1586;height:2" coordorigin="9112,29" coordsize="1586,0" path="m9112,29l10697,29e" filled="false" stroked="true" strokeweight=".48pt" strokecolor="#000000">
                <v:path arrowok="t"/>
              </v:shape>
            </v:group>
            <v:group style="position:absolute;left:1134;top:24;width:2;height:11605" coordorigin="1134,24" coordsize="2,11605">
              <v:shape style="position:absolute;left:1134;top:24;width:2;height:11605" coordorigin="1134,24" coordsize="0,11605" path="m1134,24l1134,11629e" filled="false" stroked="true" strokeweight=".48pt" strokecolor="#000000">
                <v:path arrowok="t"/>
              </v:shape>
            </v:group>
            <v:group style="position:absolute;left:1139;top:11624;width:1293;height:2" coordorigin="1139,11624" coordsize="1293,2">
              <v:shape style="position:absolute;left:1139;top:11624;width:1293;height:2" coordorigin="1139,11624" coordsize="1293,0" path="m1139,11624l2432,11624e" filled="false" stroked="true" strokeweight=".48pt" strokecolor="#000000">
                <v:path arrowok="t"/>
              </v:shape>
            </v:group>
            <v:group style="position:absolute;left:2436;top:24;width:2;height:11605" coordorigin="2436,24" coordsize="2,11605">
              <v:shape style="position:absolute;left:2436;top:24;width:2;height:11605" coordorigin="2436,24" coordsize="0,11605" path="m2436,24l2436,11629e" filled="false" stroked="true" strokeweight=".48pt" strokecolor="#000000">
                <v:path arrowok="t"/>
              </v:shape>
            </v:group>
            <v:group style="position:absolute;left:2441;top:11624;width:1559;height:2" coordorigin="2441,11624" coordsize="1559,2">
              <v:shape style="position:absolute;left:2441;top:11624;width:1559;height:2" coordorigin="2441,11624" coordsize="1559,0" path="m2441,11624l4000,11624e" filled="false" stroked="true" strokeweight=".48pt" strokecolor="#000000">
                <v:path arrowok="t"/>
              </v:shape>
            </v:group>
            <v:group style="position:absolute;left:4005;top:24;width:2;height:11605" coordorigin="4005,24" coordsize="2,11605">
              <v:shape style="position:absolute;left:4005;top:24;width:2;height:11605" coordorigin="4005,24" coordsize="0,11605" path="m4005,24l4005,11629e" filled="false" stroked="true" strokeweight=".48pt" strokecolor="#000000">
                <v:path arrowok="t"/>
              </v:shape>
            </v:group>
            <v:group style="position:absolute;left:4010;top:11624;width:2217;height:2" coordorigin="4010,11624" coordsize="2217,2">
              <v:shape style="position:absolute;left:4010;top:11624;width:2217;height:2" coordorigin="4010,11624" coordsize="2217,0" path="m4010,11624l6226,11624e" filled="false" stroked="true" strokeweight=".48pt" strokecolor="#000000">
                <v:path arrowok="t"/>
              </v:shape>
            </v:group>
            <v:group style="position:absolute;left:6231;top:24;width:2;height:11605" coordorigin="6231,24" coordsize="2,11605">
              <v:shape style="position:absolute;left:6231;top:24;width:2;height:11605" coordorigin="6231,24" coordsize="0,11605" path="m6231,24l6231,11629e" filled="false" stroked="true" strokeweight=".48pt" strokecolor="#000000">
                <v:path arrowok="t"/>
              </v:shape>
            </v:group>
            <v:group style="position:absolute;left:6236;top:11624;width:1272;height:2" coordorigin="6236,11624" coordsize="1272,2">
              <v:shape style="position:absolute;left:6236;top:11624;width:1272;height:2" coordorigin="6236,11624" coordsize="1272,0" path="m6236,11624l7508,11624e" filled="false" stroked="true" strokeweight=".48pt" strokecolor="#000000">
                <v:path arrowok="t"/>
              </v:shape>
            </v:group>
            <v:group style="position:absolute;left:7513;top:24;width:2;height:11605" coordorigin="7513,24" coordsize="2,11605">
              <v:shape style="position:absolute;left:7513;top:24;width:2;height:11605" coordorigin="7513,24" coordsize="0,11605" path="m7513,24l7513,11629e" filled="false" stroked="true" strokeweight=".48pt" strokecolor="#000000">
                <v:path arrowok="t"/>
              </v:shape>
            </v:group>
            <v:group style="position:absolute;left:7518;top:11624;width:1585;height:2" coordorigin="7518,11624" coordsize="1585,2">
              <v:shape style="position:absolute;left:7518;top:11624;width:1585;height:2" coordorigin="7518,11624" coordsize="1585,0" path="m7518,11624l9102,11624e" filled="false" stroked="true" strokeweight=".48pt" strokecolor="#000000">
                <v:path arrowok="t"/>
              </v:shape>
            </v:group>
            <v:group style="position:absolute;left:9107;top:24;width:2;height:11605" coordorigin="9107,24" coordsize="2,11605">
              <v:shape style="position:absolute;left:9107;top:24;width:2;height:11605" coordorigin="9107,24" coordsize="0,11605" path="m9107,24l9107,11629e" filled="false" stroked="true" strokeweight=".48pt" strokecolor="#000000">
                <v:path arrowok="t"/>
              </v:shape>
            </v:group>
            <v:group style="position:absolute;left:9112;top:11624;width:1586;height:2" coordorigin="9112,11624" coordsize="1586,2">
              <v:shape style="position:absolute;left:9112;top:11624;width:1586;height:2" coordorigin="9112,11624" coordsize="1586,0" path="m9112,11624l10697,11624e" filled="false" stroked="true" strokeweight=".48pt" strokecolor="#000000">
                <v:path arrowok="t"/>
              </v:shape>
            </v:group>
            <v:group style="position:absolute;left:10702;top:24;width:2;height:11605" coordorigin="10702,24" coordsize="2,11605">
              <v:shape style="position:absolute;left:10702;top:24;width:2;height:11605" coordorigin="10702,24" coordsize="0,11605" path="m10702,24l10702,11629e" filled="false" stroked="true" strokeweight=".48pt" strokecolor="#000000">
                <v:path arrowok="t"/>
              </v:shape>
            </v:group>
            <w10:wrap type="none"/>
          </v:group>
        </w:pict>
      </w:r>
      <w:r>
        <w:rPr>
          <w:rFonts w:ascii="宋体" w:hAnsi="宋体" w:cs="宋体" w:eastAsia="宋体" w:hint="default"/>
          <w:sz w:val="18"/>
          <w:szCs w:val="18"/>
        </w:rPr>
        <w:t>财务决算报告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p>
    <w:p>
      <w:pPr>
        <w:spacing w:before="63"/>
        <w:ind w:left="3052" w:right="6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年年度报告全文及摘要</w:t>
      </w:r>
      <w:r>
        <w:rPr>
          <w:rFonts w:ascii="宋体" w:hAnsi="宋体" w:cs="宋体" w:eastAsia="宋体" w:hint="default"/>
          <w:spacing w:val="-90"/>
          <w:sz w:val="18"/>
          <w:szCs w:val="18"/>
        </w:rPr>
        <w:t>》</w:t>
      </w:r>
      <w:r>
        <w:rPr>
          <w:rFonts w:ascii="宋体" w:hAnsi="宋体" w:cs="宋体" w:eastAsia="宋体" w:hint="default"/>
          <w:spacing w:val="-80"/>
          <w:sz w:val="18"/>
          <w:szCs w:val="18"/>
        </w:rPr>
        <w:t>；</w:t>
      </w:r>
      <w:r>
        <w:rPr>
          <w:rFonts w:ascii="Times New Roman" w:hAnsi="Times New Roman" w:cs="Times New Roman" w:eastAsia="Times New Roman" w:hint="default"/>
          <w:sz w:val="18"/>
          <w:szCs w:val="18"/>
        </w:rPr>
        <w:t>5</w:t>
      </w:r>
    </w:p>
    <w:p>
      <w:pPr>
        <w:spacing w:line="307" w:lineRule="auto" w:before="63"/>
        <w:ind w:left="3052" w:right="6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 </w:t>
      </w:r>
      <w:r>
        <w:rPr>
          <w:rFonts w:ascii="宋体" w:hAnsi="宋体" w:cs="宋体" w:eastAsia="宋体" w:hint="default"/>
          <w:spacing w:val="-19"/>
          <w:sz w:val="18"/>
          <w:szCs w:val="18"/>
        </w:rPr>
        <w:t>案》；</w:t>
      </w:r>
      <w:r>
        <w:rPr>
          <w:rFonts w:ascii="Times New Roman" w:hAnsi="Times New Roman" w:cs="Times New Roman" w:eastAsia="Times New Roman" w:hint="default"/>
          <w:spacing w:val="-19"/>
          <w:sz w:val="18"/>
          <w:szCs w:val="18"/>
        </w:rPr>
        <w:t>6</w:t>
      </w:r>
      <w:r>
        <w:rPr>
          <w:rFonts w:ascii="宋体" w:hAnsi="宋体" w:cs="宋体" w:eastAsia="宋体" w:hint="default"/>
          <w:spacing w:val="-19"/>
          <w:sz w:val="18"/>
          <w:szCs w:val="18"/>
        </w:rPr>
        <w:t>、《关于续聘会计师事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6"/>
          <w:sz w:val="18"/>
          <w:szCs w:val="18"/>
        </w:rPr>
        <w:t>务所的议案》；</w:t>
      </w:r>
      <w:r>
        <w:rPr>
          <w:rFonts w:ascii="Times New Roman" w:hAnsi="Times New Roman" w:cs="Times New Roman" w:eastAsia="Times New Roman" w:hint="default"/>
          <w:spacing w:val="-26"/>
          <w:sz w:val="18"/>
          <w:szCs w:val="18"/>
        </w:rPr>
        <w:t>7</w:t>
      </w:r>
      <w:r>
        <w:rPr>
          <w:rFonts w:ascii="宋体" w:hAnsi="宋体" w:cs="宋体" w:eastAsia="宋体" w:hint="default"/>
          <w:spacing w:val="-26"/>
          <w:sz w:val="18"/>
          <w:szCs w:val="18"/>
        </w:rPr>
        <w:t>、《关于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年度向银行申请综合授信额 </w:t>
      </w:r>
      <w:r>
        <w:rPr>
          <w:rFonts w:ascii="宋体" w:hAnsi="宋体" w:cs="宋体" w:eastAsia="宋体" w:hint="default"/>
          <w:spacing w:val="-19"/>
          <w:sz w:val="18"/>
          <w:szCs w:val="18"/>
        </w:rPr>
        <w:t>度的议案》；</w:t>
      </w:r>
      <w:r>
        <w:rPr>
          <w:rFonts w:ascii="Times New Roman" w:hAnsi="Times New Roman" w:cs="Times New Roman" w:eastAsia="Times New Roman" w:hint="default"/>
          <w:spacing w:val="-19"/>
          <w:sz w:val="18"/>
          <w:szCs w:val="18"/>
        </w:rPr>
        <w:t>8</w:t>
      </w:r>
      <w:r>
        <w:rPr>
          <w:rFonts w:ascii="宋体" w:hAnsi="宋体" w:cs="宋体" w:eastAsia="宋体" w:hint="default"/>
          <w:spacing w:val="-19"/>
          <w:sz w:val="18"/>
          <w:szCs w:val="18"/>
        </w:rPr>
        <w:t>、《关于公司向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银行申请买方信贷额度并为 </w:t>
      </w:r>
      <w:r>
        <w:rPr>
          <w:rFonts w:ascii="宋体" w:hAnsi="宋体" w:cs="宋体" w:eastAsia="宋体" w:hint="default"/>
          <w:spacing w:val="-14"/>
          <w:sz w:val="18"/>
          <w:szCs w:val="18"/>
        </w:rPr>
        <w:t>该额度提供担保的议案》；</w:t>
      </w:r>
      <w:r>
        <w:rPr>
          <w:rFonts w:ascii="Times New Roman" w:hAnsi="Times New Roman" w:cs="Times New Roman" w:eastAsia="Times New Roman" w:hint="default"/>
          <w:spacing w:val="-14"/>
          <w:sz w:val="18"/>
          <w:szCs w:val="18"/>
        </w:rPr>
        <w:t>9</w:t>
      </w:r>
    </w:p>
    <w:p>
      <w:pPr>
        <w:spacing w:line="307" w:lineRule="auto" w:before="7"/>
        <w:ind w:left="3052" w:right="-12" w:firstLine="0"/>
        <w:jc w:val="left"/>
        <w:rPr>
          <w:rFonts w:ascii="宋体" w:hAnsi="宋体" w:cs="宋体" w:eastAsia="宋体" w:hint="default"/>
          <w:sz w:val="18"/>
          <w:szCs w:val="18"/>
        </w:rPr>
      </w:pP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董事、监事及 高级管理人员薪酬管理制 </w:t>
      </w:r>
      <w:r>
        <w:rPr>
          <w:rFonts w:ascii="宋体" w:hAnsi="宋体" w:cs="宋体" w:eastAsia="宋体" w:hint="default"/>
          <w:spacing w:val="-25"/>
          <w:sz w:val="18"/>
          <w:szCs w:val="18"/>
        </w:rPr>
        <w:t>度</w:t>
      </w:r>
      <w:r>
        <w:rPr>
          <w:rFonts w:ascii="Times New Roman" w:hAnsi="Times New Roman" w:cs="Times New Roman" w:eastAsia="Times New Roman" w:hint="default"/>
          <w:spacing w:val="-25"/>
          <w:sz w:val="18"/>
          <w:szCs w:val="18"/>
        </w:rPr>
        <w:t>&gt;</w:t>
      </w:r>
      <w:r>
        <w:rPr>
          <w:rFonts w:ascii="宋体" w:hAnsi="宋体" w:cs="宋体" w:eastAsia="宋体" w:hint="default"/>
          <w:spacing w:val="-25"/>
          <w:sz w:val="18"/>
          <w:szCs w:val="18"/>
        </w:rPr>
        <w:t>的议案》；</w:t>
      </w:r>
      <w:r>
        <w:rPr>
          <w:rFonts w:ascii="Times New Roman" w:hAnsi="Times New Roman" w:cs="Times New Roman" w:eastAsia="Times New Roman" w:hint="default"/>
          <w:spacing w:val="-25"/>
          <w:sz w:val="18"/>
          <w:szCs w:val="18"/>
        </w:rPr>
        <w:t>10</w:t>
      </w:r>
      <w:r>
        <w:rPr>
          <w:rFonts w:ascii="宋体" w:hAnsi="宋体" w:cs="宋体" w:eastAsia="宋体" w:hint="default"/>
          <w:spacing w:val="-25"/>
          <w:sz w:val="18"/>
          <w:szCs w:val="18"/>
        </w:rPr>
        <w:t>、《关于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年度董事及高级管理人员薪 </w:t>
      </w:r>
      <w:r>
        <w:rPr>
          <w:rFonts w:ascii="宋体" w:hAnsi="宋体" w:cs="宋体" w:eastAsia="宋体" w:hint="default"/>
          <w:spacing w:val="-18"/>
          <w:sz w:val="18"/>
          <w:szCs w:val="18"/>
        </w:rPr>
        <w:t>酬的议案》；</w:t>
      </w:r>
      <w:r>
        <w:rPr>
          <w:rFonts w:ascii="Times New Roman" w:hAnsi="Times New Roman" w:cs="Times New Roman" w:eastAsia="Times New Roman" w:hint="default"/>
          <w:spacing w:val="-18"/>
          <w:sz w:val="18"/>
          <w:szCs w:val="18"/>
        </w:rPr>
        <w:t>11</w:t>
      </w:r>
      <w:r>
        <w:rPr>
          <w:rFonts w:ascii="宋体" w:hAnsi="宋体" w:cs="宋体" w:eastAsia="宋体" w:hint="default"/>
          <w:spacing w:val="-18"/>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7"/>
          <w:sz w:val="18"/>
          <w:szCs w:val="18"/>
        </w:rPr>
        <w:t>年度监事薪酬的议案》；</w:t>
      </w:r>
      <w:r>
        <w:rPr>
          <w:rFonts w:ascii="Times New Roman" w:hAnsi="Times New Roman" w:cs="Times New Roman" w:eastAsia="Times New Roman" w:hint="default"/>
          <w:spacing w:val="-7"/>
          <w:sz w:val="18"/>
          <w:szCs w:val="18"/>
        </w:rPr>
        <w:t>12</w:t>
      </w:r>
      <w:r>
        <w:rPr>
          <w:rFonts w:ascii="宋体" w:hAnsi="宋体" w:cs="宋体" w:eastAsia="宋体" w:hint="default"/>
          <w:spacing w:val="-7"/>
          <w:sz w:val="18"/>
          <w:szCs w:val="18"/>
        </w:rPr>
        <w:t>、</w:t>
      </w:r>
    </w:p>
    <w:p>
      <w:pPr>
        <w:spacing w:line="309" w:lineRule="auto" w:before="7"/>
        <w:ind w:left="3052" w:right="70" w:firstLine="0"/>
        <w:jc w:val="left"/>
        <w:rPr>
          <w:rFonts w:ascii="宋体" w:hAnsi="宋体" w:cs="宋体" w:eastAsia="宋体" w:hint="default"/>
          <w:sz w:val="18"/>
          <w:szCs w:val="18"/>
        </w:rPr>
      </w:pP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13"/>
          <w:sz w:val="18"/>
          <w:szCs w:val="18"/>
        </w:rPr>
        <w:t>议案》；</w:t>
      </w:r>
      <w:r>
        <w:rPr>
          <w:rFonts w:ascii="Times New Roman" w:hAnsi="Times New Roman" w:cs="Times New Roman" w:eastAsia="Times New Roman" w:hint="default"/>
          <w:spacing w:val="-13"/>
          <w:sz w:val="18"/>
          <w:szCs w:val="18"/>
        </w:rPr>
        <w:t>13</w:t>
      </w:r>
      <w:r>
        <w:rPr>
          <w:rFonts w:ascii="宋体" w:hAnsi="宋体" w:cs="宋体" w:eastAsia="宋体" w:hint="default"/>
          <w:spacing w:val="-13"/>
          <w:sz w:val="18"/>
          <w:szCs w:val="18"/>
        </w:rPr>
        <w:t>、《关于公司符合</w:t>
      </w:r>
      <w:r>
        <w:rPr>
          <w:rFonts w:ascii="宋体" w:hAnsi="宋体" w:cs="宋体" w:eastAsia="宋体" w:hint="default"/>
          <w:sz w:val="18"/>
          <w:szCs w:val="18"/>
        </w:rPr>
        <w:t> 非公开发行股票条件的议 </w:t>
      </w:r>
      <w:r>
        <w:rPr>
          <w:rFonts w:ascii="宋体" w:hAnsi="宋体" w:cs="宋体" w:eastAsia="宋体" w:hint="default"/>
          <w:spacing w:val="-13"/>
          <w:sz w:val="18"/>
          <w:szCs w:val="18"/>
        </w:rPr>
        <w:t>案》；</w:t>
      </w:r>
      <w:r>
        <w:rPr>
          <w:rFonts w:ascii="Times New Roman" w:hAnsi="Times New Roman" w:cs="Times New Roman" w:eastAsia="Times New Roman" w:hint="default"/>
          <w:spacing w:val="-13"/>
          <w:sz w:val="18"/>
          <w:szCs w:val="18"/>
        </w:rPr>
        <w:t>14</w:t>
      </w:r>
      <w:r>
        <w:rPr>
          <w:rFonts w:ascii="宋体" w:hAnsi="宋体" w:cs="宋体" w:eastAsia="宋体" w:hint="default"/>
          <w:spacing w:val="-13"/>
          <w:sz w:val="18"/>
          <w:szCs w:val="18"/>
        </w:rPr>
        <w:t>、《关于向特定对象</w:t>
      </w:r>
      <w:r>
        <w:rPr>
          <w:rFonts w:ascii="宋体" w:hAnsi="宋体" w:cs="宋体" w:eastAsia="宋体" w:hint="default"/>
          <w:sz w:val="18"/>
          <w:szCs w:val="18"/>
        </w:rPr>
        <w:t> 非公开发行股票方案的议 </w:t>
      </w:r>
      <w:r>
        <w:rPr>
          <w:rFonts w:ascii="宋体" w:hAnsi="宋体" w:cs="宋体" w:eastAsia="宋体" w:hint="default"/>
          <w:spacing w:val="-13"/>
          <w:sz w:val="18"/>
          <w:szCs w:val="18"/>
        </w:rPr>
        <w:t>案》；</w:t>
      </w:r>
      <w:r>
        <w:rPr>
          <w:rFonts w:ascii="Times New Roman" w:hAnsi="Times New Roman" w:cs="Times New Roman" w:eastAsia="Times New Roman" w:hint="default"/>
          <w:spacing w:val="-13"/>
          <w:sz w:val="18"/>
          <w:szCs w:val="18"/>
        </w:rPr>
        <w:t>15</w:t>
      </w:r>
      <w:r>
        <w:rPr>
          <w:rFonts w:ascii="宋体" w:hAnsi="宋体" w:cs="宋体" w:eastAsia="宋体" w:hint="default"/>
          <w:spacing w:val="-13"/>
          <w:sz w:val="18"/>
          <w:szCs w:val="18"/>
        </w:rPr>
        <w:t>、《关于非公开发行</w:t>
      </w:r>
      <w:r>
        <w:rPr>
          <w:rFonts w:ascii="宋体" w:hAnsi="宋体" w:cs="宋体" w:eastAsia="宋体" w:hint="default"/>
          <w:sz w:val="18"/>
          <w:szCs w:val="18"/>
        </w:rPr>
        <w:t> </w:t>
      </w:r>
      <w:r>
        <w:rPr>
          <w:rFonts w:ascii="宋体" w:hAnsi="宋体" w:cs="宋体" w:eastAsia="宋体" w:hint="default"/>
          <w:spacing w:val="-13"/>
          <w:sz w:val="18"/>
          <w:szCs w:val="18"/>
        </w:rPr>
        <w:t>股票预案的议案》；</w:t>
      </w:r>
      <w:r>
        <w:rPr>
          <w:rFonts w:ascii="Times New Roman" w:hAnsi="Times New Roman" w:cs="Times New Roman" w:eastAsia="Times New Roman" w:hint="default"/>
          <w:spacing w:val="-13"/>
          <w:sz w:val="18"/>
          <w:szCs w:val="18"/>
        </w:rPr>
        <w:t>16</w:t>
      </w:r>
      <w:r>
        <w:rPr>
          <w:rFonts w:ascii="宋体" w:hAnsi="宋体" w:cs="宋体" w:eastAsia="宋体" w:hint="default"/>
          <w:spacing w:val="-13"/>
          <w:sz w:val="18"/>
          <w:szCs w:val="18"/>
        </w:rPr>
        <w:t>、《关</w:t>
      </w:r>
      <w:r>
        <w:rPr>
          <w:rFonts w:ascii="宋体" w:hAnsi="宋体" w:cs="宋体" w:eastAsia="宋体" w:hint="default"/>
          <w:sz w:val="18"/>
          <w:szCs w:val="18"/>
        </w:rPr>
        <w:t> 于本次非公开发行股票募集 资金使用可行性分析报告的 </w:t>
      </w:r>
      <w:r>
        <w:rPr>
          <w:rFonts w:ascii="宋体" w:hAnsi="宋体" w:cs="宋体" w:eastAsia="宋体" w:hint="default"/>
          <w:spacing w:val="-13"/>
          <w:sz w:val="18"/>
          <w:szCs w:val="18"/>
        </w:rPr>
        <w:t>议案》；</w:t>
      </w:r>
      <w:r>
        <w:rPr>
          <w:rFonts w:ascii="Times New Roman" w:hAnsi="Times New Roman" w:cs="Times New Roman" w:eastAsia="Times New Roman" w:hint="default"/>
          <w:spacing w:val="-13"/>
          <w:sz w:val="18"/>
          <w:szCs w:val="18"/>
        </w:rPr>
        <w:t>17</w:t>
      </w:r>
      <w:r>
        <w:rPr>
          <w:rFonts w:ascii="宋体" w:hAnsi="宋体" w:cs="宋体" w:eastAsia="宋体" w:hint="default"/>
          <w:spacing w:val="-13"/>
          <w:sz w:val="18"/>
          <w:szCs w:val="18"/>
        </w:rPr>
        <w:t>、《关于公司前次</w:t>
      </w:r>
      <w:r>
        <w:rPr>
          <w:rFonts w:ascii="宋体" w:hAnsi="宋体" w:cs="宋体" w:eastAsia="宋体" w:hint="default"/>
          <w:sz w:val="18"/>
          <w:szCs w:val="18"/>
        </w:rPr>
        <w:t> 募集资金使用情况报告的议 </w:t>
      </w:r>
      <w:r>
        <w:rPr>
          <w:rFonts w:ascii="宋体" w:hAnsi="宋体" w:cs="宋体" w:eastAsia="宋体" w:hint="default"/>
          <w:spacing w:val="-13"/>
          <w:sz w:val="18"/>
          <w:szCs w:val="18"/>
        </w:rPr>
        <w:t>案》；</w:t>
      </w:r>
      <w:r>
        <w:rPr>
          <w:rFonts w:ascii="Times New Roman" w:hAnsi="Times New Roman" w:cs="Times New Roman" w:eastAsia="Times New Roman" w:hint="default"/>
          <w:spacing w:val="-13"/>
          <w:sz w:val="18"/>
          <w:szCs w:val="18"/>
        </w:rPr>
        <w:t>18</w:t>
      </w:r>
      <w:r>
        <w:rPr>
          <w:rFonts w:ascii="宋体" w:hAnsi="宋体" w:cs="宋体" w:eastAsia="宋体" w:hint="default"/>
          <w:spacing w:val="-13"/>
          <w:sz w:val="18"/>
          <w:szCs w:val="18"/>
        </w:rPr>
        <w:t>、《关于公司非公开</w:t>
      </w:r>
      <w:r>
        <w:rPr>
          <w:rFonts w:ascii="宋体" w:hAnsi="宋体" w:cs="宋体" w:eastAsia="宋体" w:hint="default"/>
          <w:sz w:val="18"/>
          <w:szCs w:val="18"/>
        </w:rPr>
        <w:t> 发行股票涉及关联交易事项 </w:t>
      </w:r>
      <w:r>
        <w:rPr>
          <w:rFonts w:ascii="宋体" w:hAnsi="宋体" w:cs="宋体" w:eastAsia="宋体" w:hint="default"/>
          <w:spacing w:val="-13"/>
          <w:sz w:val="18"/>
          <w:szCs w:val="18"/>
        </w:rPr>
        <w:t>的议案》；</w:t>
      </w:r>
      <w:r>
        <w:rPr>
          <w:rFonts w:ascii="Times New Roman" w:hAnsi="Times New Roman" w:cs="Times New Roman" w:eastAsia="Times New Roman" w:hint="default"/>
          <w:spacing w:val="-13"/>
          <w:sz w:val="18"/>
          <w:szCs w:val="18"/>
        </w:rPr>
        <w:t>19</w:t>
      </w:r>
      <w:r>
        <w:rPr>
          <w:rFonts w:ascii="宋体" w:hAnsi="宋体" w:cs="宋体" w:eastAsia="宋体" w:hint="default"/>
          <w:spacing w:val="-13"/>
          <w:sz w:val="18"/>
          <w:szCs w:val="18"/>
        </w:rPr>
        <w:t>、《关于公司与</w:t>
      </w:r>
      <w:r>
        <w:rPr>
          <w:rFonts w:ascii="宋体" w:hAnsi="宋体" w:cs="宋体" w:eastAsia="宋体" w:hint="default"/>
          <w:sz w:val="18"/>
          <w:szCs w:val="18"/>
        </w:rPr>
        <w:t> 特定发行对象签订附条件生 </w:t>
      </w:r>
      <w:r>
        <w:rPr>
          <w:rFonts w:ascii="宋体" w:hAnsi="宋体" w:cs="宋体" w:eastAsia="宋体" w:hint="default"/>
          <w:spacing w:val="-8"/>
          <w:sz w:val="18"/>
          <w:szCs w:val="18"/>
        </w:rPr>
        <w:t>效股份认购合同的议案》；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3"/>
          <w:sz w:val="18"/>
          <w:szCs w:val="18"/>
        </w:rPr>
        <w:t>20</w:t>
      </w:r>
      <w:r>
        <w:rPr>
          <w:rFonts w:ascii="宋体" w:hAnsi="宋体" w:cs="宋体" w:eastAsia="宋体" w:hint="default"/>
          <w:spacing w:val="-13"/>
          <w:sz w:val="18"/>
          <w:szCs w:val="18"/>
        </w:rPr>
        <w:t>、《关于提请股东大会批准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刘磅先生免于以要约方式增 </w:t>
      </w:r>
      <w:r>
        <w:rPr>
          <w:rFonts w:ascii="宋体" w:hAnsi="宋体" w:cs="宋体" w:eastAsia="宋体" w:hint="default"/>
          <w:spacing w:val="-13"/>
          <w:sz w:val="18"/>
          <w:szCs w:val="18"/>
        </w:rPr>
        <w:t>持股份的预案》；</w:t>
      </w:r>
      <w:r>
        <w:rPr>
          <w:rFonts w:ascii="Times New Roman" w:hAnsi="Times New Roman" w:cs="Times New Roman" w:eastAsia="Times New Roman" w:hint="default"/>
          <w:spacing w:val="-13"/>
          <w:sz w:val="18"/>
          <w:szCs w:val="18"/>
        </w:rPr>
        <w:t>21</w:t>
      </w:r>
      <w:r>
        <w:rPr>
          <w:rFonts w:ascii="宋体" w:hAnsi="宋体" w:cs="宋体" w:eastAsia="宋体" w:hint="default"/>
          <w:spacing w:val="-13"/>
          <w:sz w:val="18"/>
          <w:szCs w:val="18"/>
        </w:rPr>
        <w:t>、《关于</w:t>
      </w:r>
      <w:r>
        <w:rPr>
          <w:rFonts w:ascii="宋体" w:hAnsi="宋体" w:cs="宋体" w:eastAsia="宋体" w:hint="default"/>
          <w:sz w:val="18"/>
          <w:szCs w:val="18"/>
        </w:rPr>
        <w:t> 提请股东大会授权董事会办 理本次非公开发行股票相关 </w:t>
      </w:r>
      <w:r>
        <w:rPr>
          <w:rFonts w:ascii="宋体" w:hAnsi="宋体" w:cs="宋体" w:eastAsia="宋体" w:hint="default"/>
          <w:spacing w:val="-13"/>
          <w:sz w:val="18"/>
          <w:szCs w:val="18"/>
        </w:rPr>
        <w:t>事宜的议案》。</w:t>
      </w:r>
    </w:p>
    <w:p>
      <w:pPr>
        <w:spacing w:before="44"/>
        <w:ind w:left="281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刊登于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28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日《证券时报</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19" w:lineRule="auto" w:before="63"/>
        <w:ind w:left="2812" w:right="1221" w:firstLine="0"/>
        <w:jc w:val="left"/>
        <w:rPr>
          <w:rFonts w:ascii="宋体" w:hAnsi="宋体" w:cs="宋体" w:eastAsia="宋体" w:hint="default"/>
          <w:sz w:val="18"/>
          <w:szCs w:val="18"/>
        </w:rPr>
      </w:pPr>
      <w:r>
        <w:rPr>
          <w:rFonts w:ascii="宋体" w:hAnsi="宋体" w:cs="宋体" w:eastAsia="宋体" w:hint="default"/>
          <w:spacing w:val="-10"/>
          <w:sz w:val="18"/>
          <w:szCs w:val="18"/>
        </w:rPr>
        <w:t>《中国证券报》及巨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p>
      <w:pPr>
        <w:spacing w:after="0" w:line="319" w:lineRule="auto"/>
        <w:jc w:val="left"/>
        <w:rPr>
          <w:rFonts w:ascii="宋体" w:hAnsi="宋体" w:cs="宋体" w:eastAsia="宋体" w:hint="default"/>
          <w:sz w:val="18"/>
          <w:szCs w:val="18"/>
        </w:rPr>
        <w:sectPr>
          <w:type w:val="continuous"/>
          <w:pgSz w:w="11910" w:h="16840"/>
          <w:pgMar w:top="1580" w:bottom="760" w:left="980" w:right="0"/>
          <w:cols w:num="2" w:equalWidth="0">
            <w:col w:w="5303" w:space="40"/>
            <w:col w:w="5587"/>
          </w:cols>
        </w:sectPr>
      </w:pPr>
    </w:p>
    <w:p>
      <w:pPr>
        <w:spacing w:line="240" w:lineRule="auto" w:before="13"/>
        <w:rPr>
          <w:rFonts w:ascii="宋体" w:hAnsi="宋体" w:cs="宋体" w:eastAsia="宋体" w:hint="default"/>
          <w:sz w:val="23"/>
          <w:szCs w:val="23"/>
        </w:rPr>
      </w:pPr>
    </w:p>
    <w:p>
      <w:pPr>
        <w:pStyle w:val="Heading3"/>
        <w:spacing w:line="240" w:lineRule="auto" w:before="35"/>
        <w:ind w:right="0"/>
        <w:jc w:val="left"/>
        <w:rPr>
          <w:b w:val="0"/>
          <w:bCs w:val="0"/>
        </w:rPr>
      </w:pPr>
      <w:bookmarkStart w:name="2、本报告期临时股东大会情况" w:id="119"/>
      <w:bookmarkEnd w:id="119"/>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02"/>
        <w:gridCol w:w="1568"/>
        <w:gridCol w:w="2234"/>
        <w:gridCol w:w="1276"/>
        <w:gridCol w:w="1593"/>
        <w:gridCol w:w="1595"/>
      </w:tblGrid>
      <w:tr>
        <w:trPr>
          <w:trHeight w:val="402" w:hRule="exact"/>
        </w:trPr>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《关于增加控股子公司注</w:t>
            </w:r>
            <w:r>
              <w:rPr>
                <w:rFonts w:ascii="宋体" w:hAnsi="宋体" w:cs="宋体" w:eastAsia="宋体" w:hint="default"/>
                <w:sz w:val="18"/>
                <w:szCs w:val="18"/>
              </w:rPr>
              <w:t> 册资本暨关联交易的议案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《关于控股子公司增加向</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11" w:right="161"/>
              <w:jc w:val="left"/>
              <w:rPr>
                <w:rFonts w:ascii="宋体" w:hAnsi="宋体" w:cs="宋体" w:eastAsia="宋体" w:hint="default"/>
                <w:sz w:val="18"/>
                <w:szCs w:val="18"/>
              </w:rPr>
            </w:pPr>
            <w:r>
              <w:rPr>
                <w:rFonts w:ascii="宋体" w:hAnsi="宋体" w:cs="宋体" w:eastAsia="宋体" w:hint="default"/>
                <w:sz w:val="18"/>
                <w:szCs w:val="18"/>
              </w:rPr>
              <w:t>全部议案均审 议通过</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p>
        </w:tc>
      </w:tr>
    </w:tbl>
    <w:p>
      <w:pPr>
        <w:spacing w:after="0" w:line="309" w:lineRule="auto"/>
        <w:jc w:val="both"/>
        <w:rPr>
          <w:rFonts w:ascii="宋体" w:hAnsi="宋体" w:cs="宋体" w:eastAsia="宋体" w:hint="default"/>
          <w:sz w:val="18"/>
          <w:szCs w:val="18"/>
        </w:rPr>
        <w:sectPr>
          <w:type w:val="continuous"/>
          <w:pgSz w:w="11910" w:h="16840"/>
          <w:pgMar w:top="1580" w:bottom="7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spacing w:before="44"/>
        <w:ind w:left="0" w:right="1148" w:firstLine="0"/>
        <w:jc w:val="right"/>
        <w:rPr>
          <w:rFonts w:ascii="宋体" w:hAnsi="宋体" w:cs="宋体" w:eastAsia="宋体" w:hint="default"/>
          <w:sz w:val="18"/>
          <w:szCs w:val="18"/>
        </w:rPr>
      </w:pPr>
      <w:r>
        <w:rPr/>
        <w:pict>
          <v:shape style="position:absolute;margin-left:56.459999pt;margin-top:-45.668304pt;width:479.1pt;height:308.4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2"/>
                    <w:gridCol w:w="1568"/>
                    <w:gridCol w:w="2234"/>
                    <w:gridCol w:w="1276"/>
                    <w:gridCol w:w="1593"/>
                    <w:gridCol w:w="1595"/>
                  </w:tblGrid>
                  <w:tr>
                    <w:trPr>
                      <w:trHeight w:val="1298" w:hRule="exact"/>
                    </w:trPr>
                    <w:tc>
                      <w:tcPr>
                        <w:tcW w:w="130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银行申请综合授信额度的议 案》</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2014-027</w:t>
                        </w:r>
                        <w:r>
                          <w:rPr>
                            <w:rFonts w:ascii="宋体" w:hAnsi="宋体" w:cs="宋体" w:eastAsia="宋体" w:hint="default"/>
                            <w:spacing w:val="-90"/>
                            <w:sz w:val="18"/>
                            <w:szCs w:val="18"/>
                          </w:rPr>
                          <w:t>）</w:t>
                        </w:r>
                        <w:r>
                          <w:rPr>
                            <w:rFonts w:ascii="宋体" w:hAnsi="宋体" w:cs="宋体" w:eastAsia="宋体" w:hint="default"/>
                            <w:sz w:val="18"/>
                            <w:szCs w:val="18"/>
                          </w:rPr>
                          <w:t>，刊登于</w:t>
                        </w:r>
                      </w:p>
                      <w:p>
                        <w:pPr>
                          <w:pStyle w:val="TableParagraph"/>
                          <w:spacing w:line="309"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30"/>
                            <w:sz w:val="18"/>
                            <w:szCs w:val="18"/>
                          </w:rPr>
                          <w:t>日《证</w:t>
                        </w:r>
                        <w:r>
                          <w:rPr>
                            <w:rFonts w:ascii="宋体" w:hAnsi="宋体" w:cs="宋体" w:eastAsia="宋体" w:hint="default"/>
                            <w:sz w:val="18"/>
                            <w:szCs w:val="18"/>
                          </w:rPr>
                          <w:t> </w:t>
                        </w:r>
                        <w:r>
                          <w:rPr>
                            <w:rFonts w:ascii="宋体" w:hAnsi="宋体" w:cs="宋体" w:eastAsia="宋体" w:hint="default"/>
                            <w:spacing w:val="-27"/>
                            <w:sz w:val="18"/>
                            <w:szCs w:val="18"/>
                          </w:rPr>
                          <w:t>券时报》、《中国证券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tc>
                  </w:tr>
                  <w:tr>
                    <w:trPr>
                      <w:trHeight w:val="2274"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9"/>
                          <w:jc w:val="both"/>
                          <w:rPr>
                            <w:rFonts w:ascii="宋体" w:hAnsi="宋体" w:cs="宋体" w:eastAsia="宋体" w:hint="default"/>
                            <w:sz w:val="18"/>
                            <w:szCs w:val="18"/>
                          </w:rPr>
                        </w:pPr>
                        <w:r>
                          <w:rPr>
                            <w:rFonts w:ascii="宋体" w:hAnsi="宋体" w:cs="宋体" w:eastAsia="宋体" w:hint="default"/>
                            <w:sz w:val="18"/>
                            <w:szCs w:val="18"/>
                          </w:rPr>
                          <w:t>《关于公司向银行申请买方 信贷额度并为该额度提供担 保的议案》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2014-043</w:t>
                        </w:r>
                        <w:r>
                          <w:rPr>
                            <w:rFonts w:ascii="宋体" w:hAnsi="宋体" w:cs="宋体" w:eastAsia="宋体" w:hint="default"/>
                            <w:spacing w:val="-7"/>
                            <w:sz w:val="18"/>
                            <w:szCs w:val="18"/>
                          </w:rPr>
                          <w:t>），刊登于</w:t>
                        </w:r>
                      </w:p>
                      <w:p>
                        <w:pPr>
                          <w:pStyle w:val="TableParagraph"/>
                          <w:spacing w:line="309" w:lineRule="auto" w:before="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pacing w:val="-30"/>
                            <w:sz w:val="18"/>
                            <w:szCs w:val="18"/>
                          </w:rPr>
                          <w:t>日《证</w:t>
                        </w:r>
                        <w:r>
                          <w:rPr>
                            <w:rFonts w:ascii="宋体" w:hAnsi="宋体" w:cs="宋体" w:eastAsia="宋体" w:hint="default"/>
                            <w:sz w:val="18"/>
                            <w:szCs w:val="18"/>
                          </w:rPr>
                          <w:t> </w:t>
                        </w:r>
                        <w:r>
                          <w:rPr>
                            <w:rFonts w:ascii="宋体" w:hAnsi="宋体" w:cs="宋体" w:eastAsia="宋体" w:hint="default"/>
                            <w:spacing w:val="-27"/>
                            <w:sz w:val="18"/>
                            <w:szCs w:val="18"/>
                          </w:rPr>
                          <w:t>券时报》、《中国证券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tc>
                  </w:tr>
                  <w:tr>
                    <w:trPr>
                      <w:trHeight w:val="2586"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0" w:lineRule="auto"/>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39"/>
                          <w:jc w:val="both"/>
                          <w:rPr>
                            <w:rFonts w:ascii="宋体" w:hAnsi="宋体" w:cs="宋体" w:eastAsia="宋体" w:hint="default"/>
                            <w:sz w:val="18"/>
                            <w:szCs w:val="18"/>
                          </w:rPr>
                        </w:pPr>
                        <w:r>
                          <w:rPr>
                            <w:rFonts w:ascii="宋体" w:hAnsi="宋体" w:cs="宋体" w:eastAsia="宋体" w:hint="default"/>
                            <w:sz w:val="18"/>
                            <w:szCs w:val="18"/>
                          </w:rPr>
                          <w:t>《关于使用闲置募集资金和 自有资金购买银行理财产品 的议案》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2014-067</w:t>
                        </w:r>
                        <w:r>
                          <w:rPr>
                            <w:rFonts w:ascii="宋体" w:hAnsi="宋体" w:cs="宋体" w:eastAsia="宋体" w:hint="default"/>
                            <w:spacing w:val="-7"/>
                            <w:sz w:val="18"/>
                            <w:szCs w:val="18"/>
                          </w:rPr>
                          <w:t>），刊登于</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9" w:lineRule="auto" w:before="63"/>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证券报》及巨潮资讯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2"/>
        <w:spacing w:line="240" w:lineRule="auto" w:before="26"/>
        <w:ind w:left="154" w:right="0"/>
        <w:jc w:val="left"/>
        <w:rPr>
          <w:b w:val="0"/>
          <w:bCs w:val="0"/>
        </w:rPr>
      </w:pPr>
      <w:bookmarkStart w:name="三、报告期内独立董事履行职责的情况" w:id="120"/>
      <w:bookmarkEnd w:id="120"/>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21"/>
      <w:bookmarkEnd w:id="12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包德元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22"/>
      <w:bookmarkEnd w:id="12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after="0" w:line="338"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独立董事履行职责的其他说明" w:id="123"/>
      <w:bookmarkEnd w:id="12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357" w:lineRule="auto" w:before="0"/>
        <w:ind w:right="1131" w:firstLine="384"/>
        <w:jc w:val="both"/>
      </w:pPr>
      <w:r>
        <w:rPr/>
        <w:t>报告期内，公司独立董事积极出席相关会议，认真审阅各项议案，客观地发表自己的看法和观点，了 </w:t>
      </w:r>
      <w:r>
        <w:rPr>
          <w:spacing w:val="-1"/>
        </w:rPr>
        <w:t>解公司经营状况、内部控制建设以及董事会决议和股东大会决议的执行情况，多次提醒公司加强应收账款</w:t>
      </w:r>
      <w:r>
        <w:rPr>
          <w:spacing w:val="-81"/>
        </w:rPr>
        <w:t> </w:t>
      </w:r>
      <w:r>
        <w:rPr>
          <w:spacing w:val="-81"/>
        </w:rPr>
      </w:r>
      <w:r>
        <w:rPr>
          <w:spacing w:val="-1"/>
        </w:rPr>
        <w:t>管理，改善现金流情况。在公司计划实施遵义市城市规划科技馆</w:t>
      </w:r>
      <w:r>
        <w:rPr>
          <w:rFonts w:ascii="宋体" w:hAnsi="宋体" w:cs="宋体" w:eastAsia="宋体" w:hint="default"/>
          <w:spacing w:val="-1"/>
        </w:rPr>
        <w:t>BT</w:t>
      </w:r>
      <w:r>
        <w:rPr>
          <w:spacing w:val="-1"/>
        </w:rPr>
        <w:t>项目中，提醒公司务必关注合作方的还</w:t>
      </w:r>
      <w:r>
        <w:rPr>
          <w:spacing w:val="-84"/>
        </w:rPr>
        <w:t> </w:t>
      </w:r>
      <w:r>
        <w:rPr>
          <w:spacing w:val="-84"/>
        </w:rPr>
      </w:r>
      <w:r>
        <w:rPr/>
        <w:t>款能力和还款保障措施，公司均认真进行了改进和落实。</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四、董事会下设专门委员会在报告期内履行职责情况" w:id="124"/>
      <w:bookmarkEnd w:id="124"/>
      <w:r>
        <w:rPr>
          <w:b w:val="0"/>
          <w:bCs w:val="0"/>
        </w:rPr>
      </w:r>
      <w:r>
        <w:rPr/>
        <w:t>四、董事会下设专门委员会在报告期内履行职责情况</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3" w:right="6343"/>
        <w:jc w:val="left"/>
      </w:pPr>
      <w:r>
        <w:rPr>
          <w:rFonts w:ascii="宋体" w:hAnsi="宋体" w:cs="宋体" w:eastAsia="宋体" w:hint="default"/>
        </w:rPr>
        <w:t>1</w:t>
      </w:r>
      <w:r>
        <w:rPr/>
        <w:t>、审计委员会履职情况 主任委员：王礼贵，委员：王晓东、程朋胜</w:t>
      </w:r>
    </w:p>
    <w:p>
      <w:pPr>
        <w:pStyle w:val="BodyText"/>
        <w:spacing w:line="357" w:lineRule="auto" w:before="33"/>
        <w:ind w:right="0" w:firstLine="420"/>
        <w:jc w:val="left"/>
      </w:pPr>
      <w:r>
        <w:rPr>
          <w:rFonts w:ascii="宋体" w:hAnsi="宋体" w:cs="宋体" w:eastAsia="宋体" w:hint="default"/>
        </w:rPr>
        <w:t>2014</w:t>
      </w:r>
      <w:r>
        <w:rPr/>
        <w:t>年度，审计委员会共召开</w:t>
      </w:r>
      <w:r>
        <w:rPr>
          <w:rFonts w:ascii="宋体" w:hAnsi="宋体" w:cs="宋体" w:eastAsia="宋体" w:hint="default"/>
        </w:rPr>
        <w:t>5</w:t>
      </w:r>
      <w:r>
        <w:rPr/>
        <w:t>次会议，分别就公司内部控制情况、募集资金使用情况、对外投资、 </w:t>
      </w:r>
      <w:r>
        <w:rPr>
          <w:spacing w:val="-1"/>
        </w:rPr>
        <w:t>关联交易的审批情况进行了审计。同时，在</w:t>
      </w:r>
      <w:r>
        <w:rPr>
          <w:rFonts w:ascii="宋体" w:hAnsi="宋体" w:cs="宋体" w:eastAsia="宋体" w:hint="default"/>
          <w:spacing w:val="-1"/>
        </w:rPr>
        <w:t>2013</w:t>
      </w:r>
      <w:r>
        <w:rPr>
          <w:spacing w:val="-1"/>
        </w:rPr>
        <w:t>年度报告编制过程中，积极与年审会计师进行沟通，确定</w:t>
      </w:r>
      <w:r>
        <w:rPr>
          <w:spacing w:val="-84"/>
        </w:rPr>
        <w:t> </w:t>
      </w:r>
      <w:r>
        <w:rPr>
          <w:spacing w:val="-84"/>
        </w:rPr>
      </w:r>
      <w:r>
        <w:rPr>
          <w:spacing w:val="-1"/>
        </w:rPr>
        <w:t>公司</w:t>
      </w:r>
      <w:r>
        <w:rPr>
          <w:rFonts w:ascii="宋体" w:hAnsi="宋体" w:cs="宋体" w:eastAsia="宋体" w:hint="default"/>
          <w:spacing w:val="-1"/>
        </w:rPr>
        <w:t>2013</w:t>
      </w:r>
      <w:r>
        <w:rPr>
          <w:spacing w:val="-1"/>
        </w:rPr>
        <w:t>年度财务报告审计工作的时间安排及审计重点，并就审计过程中发现的问题进行了充分的沟通和</w:t>
      </w:r>
      <w:r>
        <w:rPr>
          <w:spacing w:val="-80"/>
        </w:rPr>
        <w:t> </w:t>
      </w:r>
      <w:r>
        <w:rPr>
          <w:spacing w:val="-80"/>
        </w:rPr>
      </w:r>
      <w:r>
        <w:rPr/>
        <w:t>交流，确保年审工作的顺利开展。</w:t>
      </w:r>
    </w:p>
    <w:p>
      <w:pPr>
        <w:pStyle w:val="BodyText"/>
        <w:spacing w:line="357" w:lineRule="auto"/>
        <w:ind w:left="574" w:right="6762"/>
        <w:jc w:val="left"/>
      </w:pPr>
      <w:r>
        <w:rPr>
          <w:rFonts w:ascii="宋体" w:hAnsi="宋体" w:cs="宋体" w:eastAsia="宋体" w:hint="default"/>
        </w:rPr>
        <w:t>2</w:t>
      </w:r>
      <w:r>
        <w:rPr/>
        <w:t>、战略发展委员会履职情况 主任委员：刘磅，委员：包德元、刘昂</w:t>
      </w:r>
    </w:p>
    <w:p>
      <w:pPr>
        <w:pStyle w:val="BodyText"/>
        <w:spacing w:line="357" w:lineRule="auto"/>
        <w:ind w:right="1093" w:firstLine="420"/>
        <w:jc w:val="left"/>
      </w:pPr>
      <w:r>
        <w:rPr>
          <w:rFonts w:ascii="宋体" w:hAnsi="宋体" w:cs="宋体" w:eastAsia="宋体" w:hint="default"/>
        </w:rPr>
        <w:t>2014</w:t>
      </w:r>
      <w:r>
        <w:rPr/>
        <w:t>年度，战略发展委员会共召开</w:t>
      </w:r>
      <w:r>
        <w:rPr>
          <w:rFonts w:ascii="宋体" w:hAnsi="宋体" w:cs="宋体" w:eastAsia="宋体" w:hint="default"/>
        </w:rPr>
        <w:t>3</w:t>
      </w:r>
      <w:r>
        <w:rPr/>
        <w:t>次会议，审议通过了</w:t>
      </w:r>
      <w:r>
        <w:rPr>
          <w:rFonts w:ascii="宋体" w:hAnsi="宋体" w:cs="宋体" w:eastAsia="宋体" w:hint="default"/>
        </w:rPr>
        <w:t>2014</w:t>
      </w:r>
      <w:r>
        <w:rPr/>
        <w:t>年度非公开发行股票事宜，实施了公司 上市后的首次再融资；审议通过了对控股子公司达实融资的增资事宜，增加了其资本实力，降低了税负； 审议通过了在遵义、珠海设立全资子公司事项，扩展了公司智慧城市建设的服务区域和内容。</w:t>
      </w:r>
    </w:p>
    <w:p>
      <w:pPr>
        <w:pStyle w:val="BodyText"/>
        <w:spacing w:line="355" w:lineRule="auto" w:before="31"/>
        <w:ind w:left="573" w:right="6553"/>
        <w:jc w:val="left"/>
      </w:pPr>
      <w:r>
        <w:rPr>
          <w:rFonts w:ascii="宋体" w:hAnsi="宋体" w:cs="宋体" w:eastAsia="宋体" w:hint="default"/>
        </w:rPr>
        <w:t>3</w:t>
      </w:r>
      <w:r>
        <w:rPr/>
        <w:t>、薪酬与考核委员会履职情况 主任委员：王晓东，委员：王礼贵、刘昂</w:t>
      </w:r>
    </w:p>
    <w:p>
      <w:pPr>
        <w:pStyle w:val="BodyText"/>
        <w:spacing w:line="357" w:lineRule="auto" w:before="32"/>
        <w:ind w:right="0" w:firstLine="420"/>
        <w:jc w:val="left"/>
      </w:pPr>
      <w:r>
        <w:rPr>
          <w:rFonts w:ascii="宋体" w:hAnsi="宋体" w:cs="宋体" w:eastAsia="宋体" w:hint="default"/>
        </w:rPr>
        <w:t>2014</w:t>
      </w:r>
      <w:r>
        <w:rPr/>
        <w:t>年度，薪酬与考核委员会共召开</w:t>
      </w:r>
      <w:r>
        <w:rPr>
          <w:rFonts w:ascii="宋体" w:hAnsi="宋体" w:cs="宋体" w:eastAsia="宋体" w:hint="default"/>
        </w:rPr>
        <w:t>3</w:t>
      </w:r>
      <w:r>
        <w:rPr/>
        <w:t>次会议，听取了高级管理人员的</w:t>
      </w:r>
      <w:r>
        <w:rPr>
          <w:rFonts w:ascii="宋体" w:hAnsi="宋体" w:cs="宋体" w:eastAsia="宋体" w:hint="default"/>
        </w:rPr>
        <w:t>2012</w:t>
      </w:r>
      <w:r>
        <w:rPr/>
        <w:t>年度述职，对公司董事、 </w:t>
      </w:r>
      <w:r>
        <w:rPr>
          <w:spacing w:val="-1"/>
        </w:rPr>
        <w:t>高级管理人员</w:t>
      </w:r>
      <w:r>
        <w:rPr>
          <w:rFonts w:ascii="宋体" w:hAnsi="宋体" w:cs="宋体" w:eastAsia="宋体" w:hint="default"/>
          <w:spacing w:val="-1"/>
        </w:rPr>
        <w:t>2013</w:t>
      </w:r>
      <w:r>
        <w:rPr>
          <w:spacing w:val="-1"/>
        </w:rPr>
        <w:t>年度的薪酬发放情况及</w:t>
      </w:r>
      <w:r>
        <w:rPr>
          <w:rFonts w:ascii="宋体" w:hAnsi="宋体" w:cs="宋体" w:eastAsia="宋体" w:hint="default"/>
          <w:spacing w:val="-1"/>
        </w:rPr>
        <w:t>2014</w:t>
      </w:r>
      <w:r>
        <w:rPr>
          <w:spacing w:val="-1"/>
        </w:rPr>
        <w:t>年度薪酬的发放计划进行审议，并确认了首次限制性股票激</w:t>
      </w:r>
      <w:r>
        <w:rPr>
          <w:spacing w:val="-78"/>
        </w:rPr>
        <w:t> </w:t>
      </w:r>
      <w:r>
        <w:rPr>
          <w:spacing w:val="-78"/>
        </w:rPr>
      </w:r>
      <w:r>
        <w:rPr>
          <w:spacing w:val="-1"/>
        </w:rPr>
        <w:t>励计划第二期解锁条件满足事项，第二期解锁股份解锁流通。第一期限制性股股票激励计划实施未有激励</w:t>
      </w:r>
      <w:r>
        <w:rPr>
          <w:spacing w:val="-81"/>
        </w:rPr>
        <w:t> </w:t>
      </w:r>
      <w:r>
        <w:rPr>
          <w:spacing w:val="-81"/>
        </w:rPr>
      </w:r>
      <w:r>
        <w:rPr>
          <w:spacing w:val="-5"/>
        </w:rPr>
        <w:t>对象离职的激励效果凸显后，</w:t>
      </w:r>
      <w:r>
        <w:rPr>
          <w:rFonts w:ascii="宋体" w:hAnsi="宋体" w:cs="宋体" w:eastAsia="宋体" w:hint="default"/>
          <w:spacing w:val="-5"/>
        </w:rPr>
        <w:t>2014</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10</w:t>
      </w:r>
      <w:r>
        <w:rPr>
          <w:spacing w:val="-5"/>
        </w:rPr>
        <w:t>日，薪酬与考核委员会推出了第二期限制性股票激励计划，</w:t>
      </w:r>
      <w:r>
        <w:rPr>
          <w:rFonts w:ascii="宋体" w:hAnsi="宋体" w:cs="宋体" w:eastAsia="宋体" w:hint="default"/>
          <w:spacing w:val="-5"/>
        </w:rPr>
        <w:t>2014</w:t>
      </w:r>
      <w:r>
        <w:rPr>
          <w:rFonts w:ascii="宋体" w:hAnsi="宋体" w:cs="宋体" w:eastAsia="宋体" w:hint="default"/>
          <w:spacing w:val="-75"/>
        </w:rPr>
        <w:t> </w:t>
      </w:r>
      <w:r>
        <w:rPr/>
        <w:t>年</w:t>
      </w:r>
      <w:r>
        <w:rPr>
          <w:rFonts w:ascii="宋体" w:hAnsi="宋体" w:cs="宋体" w:eastAsia="宋体" w:hint="default"/>
        </w:rPr>
        <w:t>12</w:t>
      </w:r>
      <w:r>
        <w:rPr/>
        <w:t>月</w:t>
      </w:r>
      <w:r>
        <w:rPr>
          <w:rFonts w:ascii="宋体" w:hAnsi="宋体" w:cs="宋体" w:eastAsia="宋体" w:hint="default"/>
        </w:rPr>
        <w:t>15</w:t>
      </w:r>
      <w:r>
        <w:rPr/>
        <w:t>日获得中国证监会的无异议备案。</w:t>
      </w:r>
    </w:p>
    <w:p>
      <w:pPr>
        <w:pStyle w:val="BodyText"/>
        <w:spacing w:line="240" w:lineRule="auto" w:before="31"/>
        <w:ind w:left="574" w:right="0"/>
        <w:jc w:val="left"/>
      </w:pPr>
      <w:r>
        <w:rPr>
          <w:rFonts w:ascii="宋体" w:hAnsi="宋体" w:cs="宋体" w:eastAsia="宋体" w:hint="default"/>
        </w:rPr>
        <w:t>4</w:t>
      </w:r>
      <w:r>
        <w:rPr/>
        <w:t>、提名委员会履职情况</w:t>
      </w:r>
    </w:p>
    <w:p>
      <w:pPr>
        <w:pStyle w:val="BodyText"/>
        <w:spacing w:line="240" w:lineRule="auto" w:before="133"/>
        <w:ind w:left="574" w:right="0"/>
        <w:jc w:val="left"/>
      </w:pPr>
      <w:r>
        <w:rPr>
          <w:rFonts w:ascii="宋体" w:hAnsi="宋体" w:cs="宋体" w:eastAsia="宋体" w:hint="default"/>
        </w:rPr>
        <w:t>2014</w:t>
      </w:r>
      <w:r>
        <w:rPr/>
        <w:t>年度，公司未召开提名委员会议。</w:t>
      </w:r>
    </w:p>
    <w:p>
      <w:pPr>
        <w:spacing w:line="240" w:lineRule="auto" w:before="0"/>
        <w:rPr>
          <w:rFonts w:ascii="宋体" w:hAnsi="宋体" w:cs="宋体" w:eastAsia="宋体" w:hint="default"/>
          <w:sz w:val="20"/>
          <w:szCs w:val="20"/>
        </w:rPr>
      </w:pPr>
    </w:p>
    <w:p>
      <w:pPr>
        <w:pStyle w:val="Heading2"/>
        <w:spacing w:line="240" w:lineRule="auto" w:before="169"/>
        <w:ind w:left="154" w:right="0"/>
        <w:jc w:val="left"/>
        <w:rPr>
          <w:b w:val="0"/>
          <w:bCs w:val="0"/>
        </w:rPr>
      </w:pPr>
      <w:bookmarkStart w:name="五、监事会工作情况" w:id="125"/>
      <w:bookmarkEnd w:id="125"/>
      <w:r>
        <w:rPr>
          <w:b w:val="0"/>
          <w:bCs w:val="0"/>
        </w:rPr>
      </w:r>
      <w:r>
        <w:rPr/>
        <w:t>五、监事会工作情况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监事会对报告期内的监督事项无异议。</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p>
      <w:pPr>
        <w:pStyle w:val="BodyText"/>
        <w:spacing w:line="357" w:lineRule="auto" w:before="57"/>
        <w:ind w:right="1024" w:firstLine="420"/>
        <w:jc w:val="left"/>
      </w:pPr>
      <w:r>
        <w:rPr>
          <w:spacing w:val="-3"/>
        </w:rPr>
        <w:t>按照《公司法》、《公司章程》及《监事会议事规则》等有关规定，</w:t>
      </w:r>
      <w:r>
        <w:rPr>
          <w:rFonts w:ascii="宋体" w:hAnsi="宋体" w:cs="宋体" w:eastAsia="宋体" w:hint="default"/>
          <w:spacing w:val="-3"/>
        </w:rPr>
        <w:t>2014</w:t>
      </w:r>
      <w:r>
        <w:rPr>
          <w:spacing w:val="-3"/>
        </w:rPr>
        <w:t>年度，监事会本着恪尽职守、</w:t>
      </w:r>
      <w:r>
        <w:rPr/>
        <w:t> 勤勉尽责的工作态度，认真履行监督职责，依法独立行使职权，对公司股东大会、董事会的召开程序、决 策程序，董事会对股东大会决议的执行情况，公司高级管理人员的执行职务情况及公司管理制度执行情况 等进行了监督，督促公司董事会和管理层依法运作，科学决策，保障了公司财务规范运行，切实维护公司 利益和全体股东权益。现将公司监事会</w:t>
      </w:r>
      <w:r>
        <w:rPr>
          <w:rFonts w:ascii="宋体" w:hAnsi="宋体" w:cs="宋体" w:eastAsia="宋体" w:hint="default"/>
        </w:rPr>
        <w:t>2014</w:t>
      </w:r>
      <w:r>
        <w:rPr/>
        <w:t>年度的工作情况汇报如下：</w:t>
      </w:r>
    </w:p>
    <w:p>
      <w:pPr>
        <w:spacing w:line="355" w:lineRule="auto" w:before="31"/>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2014</w:t>
      </w:r>
      <w:r>
        <w:rPr>
          <w:rFonts w:ascii="宋体" w:hAnsi="宋体" w:cs="宋体" w:eastAsia="宋体" w:hint="default"/>
          <w:b/>
          <w:bCs/>
          <w:sz w:val="21"/>
          <w:szCs w:val="21"/>
        </w:rPr>
        <w:t>年度监事会日常运作情况</w:t>
      </w:r>
      <w:r>
        <w:rPr>
          <w:rFonts w:ascii="宋体" w:hAnsi="宋体" w:cs="宋体" w:eastAsia="宋体" w:hint="default"/>
          <w:b/>
          <w:bCs/>
          <w:w w:val="99"/>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pacing w:val="-3"/>
          <w:sz w:val="21"/>
          <w:szCs w:val="21"/>
        </w:rPr>
        <w:t>2014</w:t>
      </w:r>
      <w:r>
        <w:rPr>
          <w:rFonts w:ascii="宋体" w:hAnsi="宋体" w:cs="宋体" w:eastAsia="宋体" w:hint="default"/>
          <w:spacing w:val="-3"/>
          <w:sz w:val="21"/>
          <w:szCs w:val="21"/>
        </w:rPr>
        <w:t>年</w:t>
      </w:r>
      <w:r>
        <w:rPr>
          <w:rFonts w:ascii="宋体" w:hAnsi="宋体" w:cs="宋体" w:eastAsia="宋体" w:hint="default"/>
          <w:spacing w:val="-3"/>
          <w:sz w:val="21"/>
          <w:szCs w:val="21"/>
        </w:rPr>
        <w:t>3</w:t>
      </w:r>
      <w:r>
        <w:rPr>
          <w:rFonts w:ascii="宋体" w:hAnsi="宋体" w:cs="宋体" w:eastAsia="宋体" w:hint="default"/>
          <w:spacing w:val="-3"/>
          <w:sz w:val="21"/>
          <w:szCs w:val="21"/>
        </w:rPr>
        <w:t>月</w:t>
      </w:r>
      <w:r>
        <w:rPr>
          <w:rFonts w:ascii="宋体" w:hAnsi="宋体" w:cs="宋体" w:eastAsia="宋体" w:hint="default"/>
          <w:spacing w:val="-3"/>
          <w:sz w:val="21"/>
          <w:szCs w:val="21"/>
        </w:rPr>
        <w:t>11</w:t>
      </w:r>
      <w:r>
        <w:rPr>
          <w:rFonts w:ascii="宋体" w:hAnsi="宋体" w:cs="宋体" w:eastAsia="宋体" w:hint="default"/>
          <w:spacing w:val="-3"/>
          <w:sz w:val="21"/>
          <w:szCs w:val="21"/>
        </w:rPr>
        <w:t>日，公司召开了第五届监事会第三次会议，审议通过了《</w:t>
      </w:r>
      <w:r>
        <w:rPr>
          <w:rFonts w:ascii="宋体" w:hAnsi="宋体" w:cs="宋体" w:eastAsia="宋体" w:hint="default"/>
          <w:spacing w:val="-3"/>
          <w:sz w:val="21"/>
          <w:szCs w:val="21"/>
        </w:rPr>
        <w:t>2013</w:t>
      </w:r>
      <w:r>
        <w:rPr>
          <w:rFonts w:ascii="宋体" w:hAnsi="宋体" w:cs="宋体" w:eastAsia="宋体" w:hint="default"/>
          <w:spacing w:val="-3"/>
          <w:sz w:val="21"/>
          <w:szCs w:val="21"/>
        </w:rPr>
        <w:t>年度监事会工作报告》、</w:t>
      </w:r>
    </w:p>
    <w:p>
      <w:pPr>
        <w:pStyle w:val="BodyText"/>
        <w:spacing w:line="357" w:lineRule="auto" w:before="33"/>
        <w:ind w:right="1026"/>
        <w:jc w:val="both"/>
      </w:pPr>
      <w:r>
        <w:rPr/>
        <w:t>《</w:t>
      </w:r>
      <w:r>
        <w:rPr>
          <w:rFonts w:ascii="宋体" w:hAnsi="宋体" w:cs="宋体" w:eastAsia="宋体" w:hint="default"/>
        </w:rPr>
        <w:t>2013</w:t>
      </w:r>
      <w:r>
        <w:rPr/>
        <w:t>年年度财务决算报告》、《</w:t>
      </w:r>
      <w:r>
        <w:rPr>
          <w:rFonts w:ascii="宋体" w:hAnsi="宋体" w:cs="宋体" w:eastAsia="宋体" w:hint="default"/>
        </w:rPr>
        <w:t>2013</w:t>
      </w:r>
      <w:r>
        <w:rPr/>
        <w:t>年年度报告全文及摘要》、《</w:t>
      </w:r>
      <w:r>
        <w:rPr>
          <w:rFonts w:ascii="宋体" w:hAnsi="宋体" w:cs="宋体" w:eastAsia="宋体" w:hint="default"/>
        </w:rPr>
        <w:t>2013</w:t>
      </w:r>
      <w:r>
        <w:rPr/>
        <w:t>年度利润分配预案》、《</w:t>
      </w:r>
      <w:r>
        <w:rPr>
          <w:rFonts w:ascii="宋体" w:hAnsi="宋体" w:cs="宋体" w:eastAsia="宋体" w:hint="default"/>
        </w:rPr>
        <w:t>2013</w:t>
      </w:r>
      <w:r>
        <w:rPr/>
        <w:t>年 度募集资金存放与使用情况的专项报告》、《</w:t>
      </w:r>
      <w:r>
        <w:rPr>
          <w:rFonts w:ascii="宋体" w:hAnsi="宋体" w:cs="宋体" w:eastAsia="宋体" w:hint="default"/>
        </w:rPr>
        <w:t>2013</w:t>
      </w:r>
      <w:r>
        <w:rPr/>
        <w:t>年度内部控制评价报告》、《关于公司向银行申请买方 信贷额度并为该额度提供担保的议案》、《关于</w:t>
      </w:r>
      <w:r>
        <w:rPr>
          <w:rFonts w:ascii="宋体" w:hAnsi="宋体" w:cs="宋体" w:eastAsia="宋体" w:hint="default"/>
        </w:rPr>
        <w:t>2014</w:t>
      </w:r>
      <w:r>
        <w:rPr/>
        <w:t>年度监事薪酬的议案》、《关于公司符合非公开发行 </w:t>
      </w:r>
      <w:r>
        <w:rPr>
          <w:spacing w:val="-8"/>
        </w:rPr>
        <w:t>股票条件的议案》、《关于向特定对象非公开发行股票方案的议案》、《关于非公开发行股票预案的议案》、</w:t>
      </w:r>
    </w:p>
    <w:p>
      <w:pPr>
        <w:pStyle w:val="BodyText"/>
        <w:spacing w:line="357" w:lineRule="auto"/>
        <w:ind w:left="0" w:right="1110"/>
        <w:jc w:val="right"/>
      </w:pPr>
      <w:r>
        <w:rPr>
          <w:spacing w:val="-1"/>
        </w:rPr>
        <w:t>《关于本次非公开发行股票募集资金使用可行性分析报告的议案》、《关于公司前次募集资金使用情况报</w:t>
      </w:r>
      <w:r>
        <w:rPr/>
        <w:t> </w:t>
      </w:r>
      <w:r>
        <w:rPr>
          <w:spacing w:val="-1"/>
        </w:rPr>
        <w:t>告的议案》、《关于公司非公开发行股票涉及关联交易事项的议案》、《关于公司与特定发行对象签订附</w:t>
      </w:r>
      <w:r>
        <w:rPr/>
        <w:t> 条件生效股份认购合同的议案》、《关于提请股东大会批准刘磅先生免于以要约方式增持股份的预案》； </w:t>
      </w:r>
      <w:r>
        <w:rPr>
          <w:rFonts w:ascii="宋体" w:hAnsi="宋体" w:cs="宋体" w:eastAsia="宋体" w:hint="default"/>
          <w:spacing w:val="-1"/>
        </w:rPr>
        <w:t>2</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18</w:t>
      </w:r>
      <w:r>
        <w:rPr>
          <w:spacing w:val="-1"/>
        </w:rPr>
        <w:t>日，公司召开了第五届监事会第四次会议，审议通过了《</w:t>
      </w:r>
      <w:r>
        <w:rPr>
          <w:rFonts w:ascii="宋体" w:hAnsi="宋体" w:cs="宋体" w:eastAsia="宋体" w:hint="default"/>
          <w:spacing w:val="-1"/>
        </w:rPr>
        <w:t>2014</w:t>
      </w:r>
      <w:r>
        <w:rPr>
          <w:spacing w:val="-1"/>
        </w:rPr>
        <w:t>年第一季度报告》正文</w:t>
      </w:r>
    </w:p>
    <w:p>
      <w:pPr>
        <w:pStyle w:val="BodyText"/>
        <w:spacing w:line="357" w:lineRule="auto"/>
        <w:ind w:left="573" w:right="1023" w:hanging="420"/>
        <w:jc w:val="left"/>
      </w:pPr>
      <w:r>
        <w:rPr/>
        <w:t>及全文、《关于增加控股子公司注册资本暨关联交易的议案》； </w:t>
      </w:r>
      <w:r>
        <w:rPr>
          <w:rFonts w:ascii="宋体" w:hAnsi="宋体" w:cs="宋体" w:eastAsia="宋体" w:hint="default"/>
          <w:spacing w:val="-7"/>
        </w:rPr>
        <w:t>3</w:t>
      </w:r>
      <w:r>
        <w:rPr>
          <w:spacing w:val="-7"/>
        </w:rPr>
        <w:t>、</w:t>
      </w:r>
      <w:r>
        <w:rPr>
          <w:rFonts w:ascii="宋体" w:hAnsi="宋体" w:cs="宋体" w:eastAsia="宋体" w:hint="default"/>
          <w:spacing w:val="-7"/>
        </w:rPr>
        <w:t>2014</w:t>
      </w:r>
      <w:r>
        <w:rPr>
          <w:spacing w:val="-7"/>
        </w:rPr>
        <w:t>年</w:t>
      </w:r>
      <w:r>
        <w:rPr>
          <w:rFonts w:ascii="宋体" w:hAnsi="宋体" w:cs="宋体" w:eastAsia="宋体" w:hint="default"/>
          <w:spacing w:val="-7"/>
        </w:rPr>
        <w:t>6</w:t>
      </w:r>
      <w:r>
        <w:rPr>
          <w:spacing w:val="-7"/>
        </w:rPr>
        <w:t>月</w:t>
      </w:r>
      <w:r>
        <w:rPr>
          <w:rFonts w:ascii="宋体" w:hAnsi="宋体" w:cs="宋体" w:eastAsia="宋体" w:hint="default"/>
          <w:spacing w:val="-7"/>
        </w:rPr>
        <w:t>16</w:t>
      </w:r>
      <w:r>
        <w:rPr>
          <w:spacing w:val="-7"/>
        </w:rPr>
        <w:t>日，公司召开了第五届监事会第五次会议，审议通过了《关于选举监事会主席的议案》、</w:t>
      </w:r>
    </w:p>
    <w:p>
      <w:pPr>
        <w:pStyle w:val="BodyText"/>
        <w:spacing w:line="355" w:lineRule="auto"/>
        <w:ind w:right="0"/>
        <w:jc w:val="left"/>
      </w:pPr>
      <w:r>
        <w:rPr>
          <w:spacing w:val="-1"/>
        </w:rPr>
        <w:t>《关于核查公司限制性股票激励计划第二个解锁期可解锁激励对象名单的议案》、《关于公司向银行申请</w:t>
      </w:r>
      <w:r>
        <w:rPr>
          <w:spacing w:val="-82"/>
        </w:rPr>
        <w:t> </w:t>
      </w:r>
      <w:r>
        <w:rPr>
          <w:spacing w:val="-82"/>
        </w:rPr>
      </w:r>
      <w:r>
        <w:rPr/>
        <w:t>买方信贷额度并为该额度提供担保的议案》；</w:t>
      </w:r>
    </w:p>
    <w:p>
      <w:pPr>
        <w:pStyle w:val="BodyText"/>
        <w:spacing w:line="357" w:lineRule="auto" w:before="33"/>
        <w:ind w:right="1132" w:firstLine="420"/>
        <w:jc w:val="both"/>
      </w:pPr>
      <w:r>
        <w:rPr>
          <w:rFonts w:ascii="宋体" w:hAnsi="宋体" w:cs="宋体" w:eastAsia="宋体" w:hint="default"/>
          <w:spacing w:val="-1"/>
        </w:rPr>
        <w:t>4</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24</w:t>
      </w:r>
      <w:r>
        <w:rPr>
          <w:spacing w:val="-1"/>
        </w:rPr>
        <w:t>日，公司召开了第五届监事会第六次会议，审议通过了《</w:t>
      </w:r>
      <w:r>
        <w:rPr>
          <w:rFonts w:ascii="宋体" w:hAnsi="宋体" w:cs="宋体" w:eastAsia="宋体" w:hint="default"/>
          <w:spacing w:val="-1"/>
        </w:rPr>
        <w:t>2014</w:t>
      </w:r>
      <w:r>
        <w:rPr>
          <w:spacing w:val="-1"/>
        </w:rPr>
        <w:t>年半年度报告全文及摘</w:t>
      </w:r>
      <w:r>
        <w:rPr/>
        <w:t> </w:t>
      </w:r>
      <w:r>
        <w:rPr>
          <w:spacing w:val="-1"/>
        </w:rPr>
        <w:t>要》、《</w:t>
      </w:r>
      <w:r>
        <w:rPr>
          <w:rFonts w:ascii="宋体" w:hAnsi="宋体" w:cs="宋体" w:eastAsia="宋体" w:hint="default"/>
          <w:spacing w:val="-1"/>
        </w:rPr>
        <w:t>2014</w:t>
      </w:r>
      <w:r>
        <w:rPr>
          <w:spacing w:val="-1"/>
        </w:rPr>
        <w:t>年半年度募集资金存放与使用情况的专项报告》、《关于将募集资金利息收入永久补充流动</w:t>
      </w:r>
      <w:r>
        <w:rPr>
          <w:spacing w:val="-83"/>
        </w:rPr>
        <w:t> </w:t>
      </w:r>
      <w:r>
        <w:rPr>
          <w:spacing w:val="-83"/>
        </w:rPr>
      </w:r>
      <w:r>
        <w:rPr/>
        <w:t>资金的议案》；</w:t>
      </w:r>
    </w:p>
    <w:p>
      <w:pPr>
        <w:pStyle w:val="BodyText"/>
        <w:spacing w:line="240" w:lineRule="auto"/>
        <w:ind w:left="573" w:right="0"/>
        <w:jc w:val="left"/>
      </w:pPr>
      <w:r>
        <w:rPr>
          <w:rFonts w:ascii="宋体" w:hAnsi="宋体" w:cs="宋体" w:eastAsia="宋体" w:hint="default"/>
          <w:spacing w:val="-5"/>
        </w:rPr>
        <w:t>5</w:t>
      </w:r>
      <w:r>
        <w:rPr>
          <w:spacing w:val="-5"/>
        </w:rPr>
        <w:t>、</w:t>
      </w:r>
      <w:r>
        <w:rPr>
          <w:rFonts w:ascii="宋体" w:hAnsi="宋体" w:cs="宋体" w:eastAsia="宋体" w:hint="default"/>
          <w:spacing w:val="-5"/>
        </w:rPr>
        <w:t>2014</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22</w:t>
      </w:r>
      <w:r>
        <w:rPr>
          <w:spacing w:val="-5"/>
        </w:rPr>
        <w:t>日，公司召开了第五届监事会第七次会议，审议通过了《关于会计政策变更的议案》、</w:t>
      </w:r>
    </w:p>
    <w:p>
      <w:pPr>
        <w:pStyle w:val="BodyText"/>
        <w:spacing w:line="355" w:lineRule="auto" w:before="134"/>
        <w:ind w:right="1118"/>
        <w:jc w:val="left"/>
      </w:pPr>
      <w:r>
        <w:rPr>
          <w:spacing w:val="-1"/>
        </w:rPr>
        <w:t>《公司</w:t>
      </w:r>
      <w:r>
        <w:rPr>
          <w:rFonts w:ascii="宋体" w:hAnsi="宋体" w:cs="宋体" w:eastAsia="宋体" w:hint="default"/>
          <w:spacing w:val="-1"/>
        </w:rPr>
        <w:t>2014</w:t>
      </w:r>
      <w:r>
        <w:rPr>
          <w:spacing w:val="-1"/>
        </w:rPr>
        <w:t>年第三季度报告》正文及全文、《关于使用部分闲置募集资金和自有资金购买银行理财产品的</w:t>
      </w:r>
      <w:r>
        <w:rPr>
          <w:spacing w:val="-80"/>
        </w:rPr>
        <w:t> </w:t>
      </w:r>
      <w:r>
        <w:rPr>
          <w:spacing w:val="-80"/>
        </w:rPr>
      </w:r>
      <w:r>
        <w:rPr/>
        <w:t>议案》；</w:t>
      </w:r>
    </w:p>
    <w:p>
      <w:pPr>
        <w:pStyle w:val="BodyText"/>
        <w:spacing w:line="357" w:lineRule="auto" w:before="32"/>
        <w:ind w:right="0" w:firstLine="420"/>
        <w:jc w:val="left"/>
      </w:pPr>
      <w:r>
        <w:rPr>
          <w:rFonts w:ascii="宋体" w:hAnsi="宋体" w:cs="宋体" w:eastAsia="宋体" w:hint="default"/>
          <w:spacing w:val="-1"/>
        </w:rPr>
        <w:t>6</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10</w:t>
      </w:r>
      <w:r>
        <w:rPr>
          <w:spacing w:val="-1"/>
        </w:rPr>
        <w:t>日，公司召开了第五届监事会第八次会议，审议通过了《关于</w:t>
      </w:r>
      <w:r>
        <w:rPr>
          <w:rFonts w:ascii="宋体" w:hAnsi="宋体" w:cs="宋体" w:eastAsia="宋体" w:hint="default"/>
          <w:spacing w:val="-1"/>
        </w:rPr>
        <w:t>&lt;</w:t>
      </w:r>
      <w:r>
        <w:rPr>
          <w:spacing w:val="-1"/>
        </w:rPr>
        <w:t>深圳达实智能股份有</w:t>
      </w:r>
      <w:r>
        <w:rPr/>
        <w:t> </w:t>
      </w:r>
      <w:r>
        <w:rPr>
          <w:spacing w:val="-1"/>
        </w:rPr>
        <w:t>限公司第二期限制性股票激励计划（草案）</w:t>
      </w:r>
      <w:r>
        <w:rPr>
          <w:rFonts w:ascii="宋体" w:hAnsi="宋体" w:cs="宋体" w:eastAsia="宋体" w:hint="default"/>
          <w:spacing w:val="-1"/>
        </w:rPr>
        <w:t>&gt;</w:t>
      </w:r>
      <w:r>
        <w:rPr>
          <w:spacing w:val="-1"/>
        </w:rPr>
        <w:t>及其摘要的议案》、《关于</w:t>
      </w:r>
      <w:r>
        <w:rPr>
          <w:rFonts w:ascii="宋体" w:hAnsi="宋体" w:cs="宋体" w:eastAsia="宋体" w:hint="default"/>
          <w:spacing w:val="-1"/>
        </w:rPr>
        <w:t>&lt;</w:t>
      </w:r>
      <w:r>
        <w:rPr>
          <w:spacing w:val="-1"/>
        </w:rPr>
        <w:t>深圳达实智能股份有限公司第二</w:t>
      </w:r>
      <w:r>
        <w:rPr>
          <w:spacing w:val="-83"/>
        </w:rPr>
        <w:t> </w:t>
      </w:r>
      <w:r>
        <w:rPr>
          <w:spacing w:val="-83"/>
        </w:rPr>
      </w:r>
      <w:r>
        <w:rPr/>
        <w:t>期限制性股票激励计划考核管理办法</w:t>
      </w:r>
      <w:r>
        <w:rPr>
          <w:rFonts w:ascii="宋体" w:hAnsi="宋体" w:cs="宋体" w:eastAsia="宋体" w:hint="default"/>
        </w:rPr>
        <w:t>&gt;</w:t>
      </w:r>
      <w:r>
        <w:rPr/>
        <w:t>的议案》、《关于对第二期限制性股票激励计划确定的激励对象名 单进行核查的议案》。</w:t>
      </w:r>
    </w:p>
    <w:p>
      <w:pPr>
        <w:spacing w:line="357" w:lineRule="auto" w:before="30"/>
        <w:ind w:left="573" w:right="1198" w:firstLine="2"/>
        <w:jc w:val="left"/>
        <w:rPr>
          <w:rFonts w:ascii="宋体" w:hAnsi="宋体" w:cs="宋体" w:eastAsia="宋体" w:hint="default"/>
          <w:sz w:val="21"/>
          <w:szCs w:val="21"/>
        </w:rPr>
      </w:pPr>
      <w:r>
        <w:rPr>
          <w:rFonts w:ascii="宋体" w:hAnsi="宋体" w:cs="宋体" w:eastAsia="宋体" w:hint="default"/>
          <w:b/>
          <w:bCs/>
          <w:sz w:val="21"/>
          <w:szCs w:val="21"/>
        </w:rPr>
        <w:t>（二）监事会对</w:t>
      </w:r>
      <w:r>
        <w:rPr>
          <w:rFonts w:ascii="宋体" w:hAnsi="宋体" w:cs="宋体" w:eastAsia="宋体" w:hint="default"/>
          <w:b/>
          <w:bCs/>
          <w:sz w:val="21"/>
          <w:szCs w:val="21"/>
        </w:rPr>
        <w:t>2014</w:t>
      </w:r>
      <w:r>
        <w:rPr>
          <w:rFonts w:ascii="宋体" w:hAnsi="宋体" w:cs="宋体" w:eastAsia="宋体" w:hint="default"/>
          <w:b/>
          <w:bCs/>
          <w:sz w:val="21"/>
          <w:szCs w:val="21"/>
        </w:rPr>
        <w:t>年度公司运作事项发表的核查意见</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、公司依法运作情况。监事会依照有关法律、法规的规定，认真履行职责，出席了公司</w:t>
      </w:r>
      <w:r>
        <w:rPr>
          <w:rFonts w:ascii="宋体" w:hAnsi="宋体" w:cs="宋体" w:eastAsia="宋体" w:hint="default"/>
          <w:sz w:val="21"/>
          <w:szCs w:val="21"/>
        </w:rPr>
        <w:t>2013</w:t>
      </w:r>
      <w:r>
        <w:rPr>
          <w:rFonts w:ascii="宋体" w:hAnsi="宋体" w:cs="宋体" w:eastAsia="宋体" w:hint="default"/>
          <w:sz w:val="21"/>
          <w:szCs w:val="21"/>
        </w:rPr>
        <w:t>年度股</w:t>
      </w:r>
    </w:p>
    <w:p>
      <w:pPr>
        <w:pStyle w:val="BodyText"/>
        <w:spacing w:line="240" w:lineRule="auto"/>
        <w:ind w:left="154" w:right="0"/>
        <w:jc w:val="both"/>
      </w:pPr>
      <w:r>
        <w:rPr/>
        <w:t>东大会、</w:t>
      </w:r>
      <w:r>
        <w:rPr>
          <w:rFonts w:ascii="宋体" w:hAnsi="宋体" w:cs="宋体" w:eastAsia="宋体" w:hint="default"/>
        </w:rPr>
        <w:t>2014</w:t>
      </w:r>
      <w:r>
        <w:rPr/>
        <w:t>年第一次、第二次、第三次临时股东大会，列席了部分董事会，对会议的召集、召开、决策</w:t>
      </w:r>
    </w:p>
    <w:p>
      <w:pPr>
        <w:spacing w:after="0" w:line="240" w:lineRule="auto"/>
        <w:jc w:val="both"/>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right="1024"/>
        <w:jc w:val="left"/>
      </w:pPr>
      <w:r>
        <w:rPr/>
        <w:t>程序以及</w:t>
      </w:r>
      <w:r>
        <w:rPr>
          <w:rFonts w:ascii="宋体" w:hAnsi="宋体" w:cs="宋体" w:eastAsia="宋体" w:hint="default"/>
        </w:rPr>
        <w:t>2014</w:t>
      </w:r>
      <w:r>
        <w:rPr/>
        <w:t>年度董事会对股东大会决议的执行情况以及公司决策运作情况进行了监督。监事会认为，公 司董事会、股东大会的召开、决策程序合法有效，董事会能够认真执行股东大会的各项决议，公司董事、 </w:t>
      </w:r>
      <w:r>
        <w:rPr>
          <w:spacing w:val="-3"/>
        </w:rPr>
        <w:t>高级管理人员在履行公司职务时，均能够勤勉尽职，遵守国家法律法规和公司相关规定，不存在违反法律、</w:t>
      </w:r>
      <w:r>
        <w:rPr>
          <w:spacing w:val="-90"/>
        </w:rPr>
        <w:t> </w:t>
      </w:r>
      <w:r>
        <w:rPr>
          <w:spacing w:val="-90"/>
        </w:rPr>
      </w:r>
      <w:r>
        <w:rPr/>
        <w:t>法规、公司章程或损害公司利益的行为。</w:t>
      </w:r>
    </w:p>
    <w:p>
      <w:pPr>
        <w:pStyle w:val="BodyText"/>
        <w:spacing w:line="357" w:lineRule="auto" w:before="31"/>
        <w:ind w:right="1093" w:firstLine="420"/>
        <w:jc w:val="left"/>
      </w:pPr>
      <w:r>
        <w:rPr>
          <w:rFonts w:ascii="宋体" w:hAnsi="宋体" w:cs="宋体" w:eastAsia="宋体" w:hint="default"/>
        </w:rPr>
        <w:t>2</w:t>
      </w:r>
      <w:r>
        <w:rPr/>
        <w:t>、公司财务情况。</w:t>
      </w:r>
      <w:r>
        <w:rPr>
          <w:rFonts w:ascii="宋体" w:hAnsi="宋体" w:cs="宋体" w:eastAsia="宋体" w:hint="default"/>
        </w:rPr>
        <w:t>2014</w:t>
      </w:r>
      <w:r>
        <w:rPr/>
        <w:t>年度，监事会通过查阅公司财务报表、财务状况和内控制度等进行了监督检 查。监事会认为公司财务管理和内控制度健全，严格执行了企业会计准则，会计无重大遗漏和虚假记载， </w:t>
      </w:r>
      <w:r>
        <w:rPr>
          <w:spacing w:val="-1"/>
        </w:rPr>
        <w:t>中勤万信会计师事务所（特殊普通合伙）对公司</w:t>
      </w:r>
      <w:r>
        <w:rPr>
          <w:rFonts w:ascii="宋体" w:hAnsi="宋体" w:cs="宋体" w:eastAsia="宋体" w:hint="default"/>
          <w:spacing w:val="-1"/>
        </w:rPr>
        <w:t>2014</w:t>
      </w:r>
      <w:r>
        <w:rPr>
          <w:spacing w:val="-1"/>
        </w:rPr>
        <w:t>年度财务报告出具了标准无保留意见的审计报告，真</w:t>
      </w:r>
      <w:r>
        <w:rPr>
          <w:spacing w:val="-82"/>
        </w:rPr>
        <w:t> </w:t>
      </w:r>
      <w:r>
        <w:rPr>
          <w:spacing w:val="-82"/>
        </w:rPr>
      </w:r>
      <w:r>
        <w:rPr/>
        <w:t>实、公正地反映了公司的财务状况和经营成果。</w:t>
      </w:r>
    </w:p>
    <w:p>
      <w:pPr>
        <w:pStyle w:val="BodyText"/>
        <w:spacing w:line="357" w:lineRule="auto"/>
        <w:ind w:right="1024" w:firstLine="420"/>
        <w:jc w:val="left"/>
      </w:pPr>
      <w:r>
        <w:rPr>
          <w:rFonts w:ascii="宋体" w:hAnsi="宋体" w:cs="宋体" w:eastAsia="宋体" w:hint="default"/>
        </w:rPr>
        <w:t>3</w:t>
      </w:r>
      <w:r>
        <w:rPr/>
        <w:t>、检查募集资金的投入情况。</w:t>
      </w:r>
      <w:r>
        <w:rPr>
          <w:rFonts w:ascii="宋体" w:hAnsi="宋体" w:cs="宋体" w:eastAsia="宋体" w:hint="default"/>
        </w:rPr>
        <w:t>2014</w:t>
      </w:r>
      <w:r>
        <w:rPr/>
        <w:t>年度，监事会对募集资金的使用和管理情况进行了监督检查。经 公司第五届董事会第九次会议批准，公司将募集资金账户产生的利息收入</w:t>
      </w:r>
      <w:r>
        <w:rPr>
          <w:rFonts w:ascii="宋体" w:hAnsi="宋体" w:cs="宋体" w:eastAsia="宋体" w:hint="default"/>
        </w:rPr>
        <w:t>8,695,412.82</w:t>
      </w:r>
      <w:r>
        <w:rPr/>
        <w:t>（已扣除手续费） 永久补充流动资金。监事会认为上述事项履行了必要的决策程序，有利于支持主营业务发展，节约公司成 </w:t>
      </w:r>
      <w:r>
        <w:rPr>
          <w:spacing w:val="-3"/>
        </w:rPr>
        <w:t>本开支，有利于提高资金使用效率，符合公司发展和股东的利益，符合《深圳证券交易所股票上市规则》、</w:t>
      </w:r>
    </w:p>
    <w:p>
      <w:pPr>
        <w:pStyle w:val="BodyText"/>
        <w:spacing w:line="357" w:lineRule="auto"/>
        <w:ind w:left="573" w:right="1198" w:hanging="420"/>
        <w:jc w:val="left"/>
      </w:pPr>
      <w:r>
        <w:rPr/>
        <w:t>《深圳证券交易所中小企业板上市公司规范运作指引》等要求。 </w:t>
      </w:r>
      <w:r>
        <w:rPr>
          <w:rFonts w:ascii="宋体" w:hAnsi="宋体" w:cs="宋体" w:eastAsia="宋体" w:hint="default"/>
        </w:rPr>
        <w:t>4</w:t>
      </w:r>
      <w:r>
        <w:rPr/>
        <w:t>、公司关联交易情况。经公司</w:t>
      </w:r>
      <w:r>
        <w:rPr>
          <w:rFonts w:ascii="宋体" w:hAnsi="宋体" w:cs="宋体" w:eastAsia="宋体" w:hint="default"/>
        </w:rPr>
        <w:t>2013</w:t>
      </w:r>
      <w:r>
        <w:rPr/>
        <w:t>年度股东大会批准，公司实施了</w:t>
      </w:r>
      <w:r>
        <w:rPr>
          <w:rFonts w:ascii="宋体" w:hAnsi="宋体" w:cs="宋体" w:eastAsia="宋体" w:hint="default"/>
        </w:rPr>
        <w:t>2014</w:t>
      </w:r>
      <w:r>
        <w:rPr/>
        <w:t>年度非公开发行股票事宜，</w:t>
      </w:r>
    </w:p>
    <w:p>
      <w:pPr>
        <w:pStyle w:val="BodyText"/>
        <w:spacing w:line="357" w:lineRule="auto"/>
        <w:ind w:right="0"/>
        <w:jc w:val="left"/>
      </w:pPr>
      <w:r>
        <w:rPr/>
        <w:t>向董事长、总经理刘磅先生、董事贾虹女士非公开发行</w:t>
      </w:r>
      <w:r>
        <w:rPr>
          <w:rFonts w:ascii="宋体" w:hAnsi="宋体" w:cs="宋体" w:eastAsia="宋体" w:hint="default"/>
        </w:rPr>
        <w:t>4,700</w:t>
      </w:r>
      <w:r>
        <w:rPr/>
        <w:t>万普通股股票，该事项构成了关联交易。经 </w:t>
      </w:r>
      <w:r>
        <w:rPr>
          <w:spacing w:val="-1"/>
        </w:rPr>
        <w:t>公司</w:t>
      </w:r>
      <w:r>
        <w:rPr>
          <w:rFonts w:ascii="宋体" w:hAnsi="宋体" w:cs="宋体" w:eastAsia="宋体" w:hint="default"/>
          <w:spacing w:val="-1"/>
        </w:rPr>
        <w:t>2014</w:t>
      </w:r>
      <w:r>
        <w:rPr>
          <w:spacing w:val="-1"/>
        </w:rPr>
        <w:t>年第一次临时股东大会批准，公司与东兴企业澳门离岸商业服务有限公司对共同出资设立的深圳</w:t>
      </w:r>
      <w:r>
        <w:rPr>
          <w:spacing w:val="-80"/>
        </w:rPr>
        <w:t> </w:t>
      </w:r>
      <w:r>
        <w:rPr>
          <w:spacing w:val="-80"/>
        </w:rPr>
      </w:r>
      <w:r>
        <w:rPr>
          <w:spacing w:val="-1"/>
        </w:rPr>
        <w:t>达实融资租赁有限公司同比例增加投资。经核查，上述关联交易均履行了必要的审批程序，符合公司的经</w:t>
      </w:r>
      <w:r>
        <w:rPr>
          <w:spacing w:val="-83"/>
        </w:rPr>
        <w:t> </w:t>
      </w:r>
      <w:r>
        <w:rPr>
          <w:spacing w:val="-83"/>
        </w:rPr>
      </w:r>
      <w:r>
        <w:rPr/>
        <w:t>营发展需要</w:t>
      </w:r>
      <w:r>
        <w:rPr>
          <w:rFonts w:ascii="宋体" w:hAnsi="宋体" w:cs="宋体" w:eastAsia="宋体" w:hint="default"/>
        </w:rPr>
        <w:t>,</w:t>
      </w:r>
      <w:r>
        <w:rPr/>
        <w:t>交易遵循了公开、公平、公正的原则，交易价格公允，相关关联方回避了表决，未发现有侵 害中小股东利益的行为和情况，符合中国证监会和深圳证券交易所的有关规定。</w:t>
      </w:r>
    </w:p>
    <w:p>
      <w:pPr>
        <w:pStyle w:val="BodyText"/>
        <w:spacing w:line="357" w:lineRule="auto"/>
        <w:ind w:right="1093" w:firstLine="420"/>
        <w:jc w:val="left"/>
      </w:pPr>
      <w:r>
        <w:rPr>
          <w:rFonts w:ascii="宋体" w:hAnsi="宋体" w:cs="宋体" w:eastAsia="宋体" w:hint="default"/>
        </w:rPr>
        <w:t>5</w:t>
      </w:r>
      <w:r>
        <w:rPr/>
        <w:t>、公司内控制度情况。公司的内部控制活动涵盖了管理控制、生产过程控制、财务管理控制、人事 </w:t>
      </w:r>
      <w:r>
        <w:rPr>
          <w:spacing w:val="-1"/>
        </w:rPr>
        <w:t>和信息披露等公司所有营运环节，公司各职能部门以及相关岗位具有明确的目标、职责、权限，公司的架</w:t>
      </w:r>
      <w:r>
        <w:rPr>
          <w:spacing w:val="-86"/>
        </w:rPr>
        <w:t> </w:t>
      </w:r>
      <w:r>
        <w:rPr>
          <w:spacing w:val="-86"/>
        </w:rPr>
      </w:r>
      <w:r>
        <w:rPr/>
        <w:t>构设置保证了公司董事会及管理层下达的指令被有效执行、生产经营活动健康地运行及控制目标的实现。 监事会认为公司内控制度体系的设计与运行符合我国有关法规和监管部门的要求，符合公司自身经营特 点，在所有重大管理工作方面中制定了健全、合理的内部控制制度，并得到了有效遵循。</w:t>
      </w:r>
    </w:p>
    <w:p>
      <w:pPr>
        <w:pStyle w:val="BodyText"/>
        <w:spacing w:line="357" w:lineRule="auto"/>
        <w:ind w:right="1198" w:firstLine="420"/>
        <w:jc w:val="left"/>
      </w:pPr>
      <w:r>
        <w:rPr>
          <w:rFonts w:ascii="宋体" w:hAnsi="宋体" w:cs="宋体" w:eastAsia="宋体" w:hint="default"/>
        </w:rPr>
        <w:t>6</w:t>
      </w:r>
      <w:r>
        <w:rPr/>
        <w:t>、公司建立和实施内幕信息知情人管理制度情况。公司已建立《内幕信息知情人登记制度》，所有 重大事项均能按照制度要求履行登记、备案程序。</w:t>
      </w:r>
    </w:p>
    <w:p>
      <w:pPr>
        <w:pStyle w:val="BodyText"/>
        <w:spacing w:line="357" w:lineRule="auto"/>
        <w:ind w:right="1120" w:firstLine="420"/>
        <w:jc w:val="left"/>
      </w:pPr>
      <w:r>
        <w:rPr>
          <w:rFonts w:ascii="宋体" w:hAnsi="宋体" w:cs="宋体" w:eastAsia="宋体" w:hint="default"/>
        </w:rPr>
        <w:t>2015</w:t>
      </w:r>
      <w:r>
        <w:rPr>
          <w:rFonts w:ascii="宋体" w:hAnsi="宋体" w:cs="宋体" w:eastAsia="宋体" w:hint="default"/>
          <w:spacing w:val="-48"/>
        </w:rPr>
        <w:t> </w:t>
      </w:r>
      <w:r>
        <w:rPr>
          <w:spacing w:val="-2"/>
        </w:rPr>
        <w:t>年，监事会将按照上市公司治理要求，以提高监督水平为核心，持续推动公司各项法人治理结构</w:t>
      </w:r>
      <w:r>
        <w:rPr/>
        <w:t> 的完善。</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六、公司相对于控股股东在业务、人员、资产、机构、财务等方面的独立完整情况" w:id="126"/>
      <w:bookmarkEnd w:id="126"/>
      <w:r>
        <w:rPr>
          <w:b w:val="0"/>
          <w:bCs w:val="0"/>
        </w:rPr>
      </w:r>
      <w:r>
        <w:rPr/>
        <w:t>六、公司相对于控股股东在业务、人员、资产、机构、财务等方面的独立完整情况</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0" w:firstLine="420"/>
        <w:jc w:val="left"/>
      </w:pPr>
      <w:r>
        <w:rPr>
          <w:spacing w:val="-1"/>
        </w:rPr>
        <w:t>公司严格按照《公司法》、《证券法》等有关法律、法规和《公司章程》的要求规范运作，与控股股</w:t>
      </w:r>
      <w:r>
        <w:rPr/>
        <w:t> 东在业务、人员、资产、机构、财务等方面完全分开，具有独立完整的业务及自主经营能力。</w:t>
      </w:r>
    </w:p>
    <w:p>
      <w:pPr>
        <w:pStyle w:val="BodyText"/>
        <w:spacing w:line="355" w:lineRule="auto"/>
        <w:ind w:right="1198" w:firstLine="420"/>
        <w:jc w:val="left"/>
      </w:pPr>
      <w:r>
        <w:rPr>
          <w:rFonts w:ascii="宋体" w:hAnsi="宋体" w:cs="宋体" w:eastAsia="宋体" w:hint="default"/>
        </w:rPr>
        <w:t>1</w:t>
      </w:r>
      <w:r>
        <w:rPr/>
        <w:t>、业务方面：公司业务结构完整，自主独立经营，与控股股东之间无同业竞争，控股股东未曾利用 控股股东地位干涉公司决策和生产经营活动；</w:t>
      </w:r>
    </w:p>
    <w:p>
      <w:pPr>
        <w:spacing w:after="0" w:line="355"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right="1198" w:firstLine="420"/>
        <w:jc w:val="left"/>
      </w:pPr>
      <w:r>
        <w:rPr>
          <w:rFonts w:ascii="宋体" w:hAnsi="宋体" w:cs="宋体" w:eastAsia="宋体" w:hint="default"/>
        </w:rPr>
        <w:t>2</w:t>
      </w:r>
      <w:r>
        <w:rPr/>
        <w:t>、人员方面：公司在劳动、人事及工资管理等各方面均独立于控股股东。高级管理人员均在公司领 取报酬，未在控股股东或股东关联单位担任除董事以外的任何职务；</w:t>
      </w:r>
    </w:p>
    <w:p>
      <w:pPr>
        <w:pStyle w:val="BodyText"/>
        <w:spacing w:line="357" w:lineRule="auto" w:before="33"/>
        <w:ind w:right="1198" w:firstLine="420"/>
        <w:jc w:val="left"/>
      </w:pPr>
      <w:r>
        <w:rPr>
          <w:rFonts w:ascii="宋体" w:hAnsi="宋体" w:cs="宋体" w:eastAsia="宋体" w:hint="default"/>
        </w:rPr>
        <w:t>3</w:t>
      </w:r>
      <w:r>
        <w:rPr/>
        <w:t>、资产方面：公司生产经营场所及土地使用权情况、商标注册及使用情况独立，各发起人投入股份 公司的资产权属明确；</w:t>
      </w:r>
    </w:p>
    <w:p>
      <w:pPr>
        <w:pStyle w:val="BodyText"/>
        <w:spacing w:line="355" w:lineRule="auto" w:before="31"/>
        <w:ind w:right="1198" w:firstLine="420"/>
        <w:jc w:val="left"/>
      </w:pPr>
      <w:r>
        <w:rPr>
          <w:rFonts w:ascii="宋体" w:hAnsi="宋体" w:cs="宋体" w:eastAsia="宋体" w:hint="default"/>
        </w:rPr>
        <w:t>4</w:t>
      </w:r>
      <w:r>
        <w:rPr/>
        <w:t>、机构方面：公司组织体系健全，董事会、监事会、管理层及部门运作独立，不存在与控股股东之 间的从属关系；</w:t>
      </w:r>
    </w:p>
    <w:p>
      <w:pPr>
        <w:pStyle w:val="BodyText"/>
        <w:spacing w:line="355" w:lineRule="auto" w:before="33"/>
        <w:ind w:right="1198" w:firstLine="420"/>
        <w:jc w:val="left"/>
      </w:pPr>
      <w:r>
        <w:rPr>
          <w:rFonts w:ascii="宋体" w:hAnsi="宋体" w:cs="宋体" w:eastAsia="宋体" w:hint="default"/>
        </w:rPr>
        <w:t>5</w:t>
      </w:r>
      <w:r>
        <w:rPr/>
        <w:t>、财务方面：设有独立的财务部门，并建立了独立的会计核算体系和财务管理制度，独立在银行开 户、并依法独立纳税。</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七、同业竞争情况" w:id="127"/>
      <w:bookmarkEnd w:id="127"/>
      <w:r>
        <w:rPr>
          <w:b w:val="0"/>
          <w:bCs w:val="0"/>
        </w:rPr>
      </w:r>
      <w:r>
        <w:rPr/>
        <w:t>七、同业竞争情况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28"/>
      <w:bookmarkEnd w:id="128"/>
      <w:r>
        <w:rPr>
          <w:b w:val="0"/>
          <w:bCs w:val="0"/>
        </w:rPr>
      </w:r>
      <w:r>
        <w:rPr/>
        <w:t>八、高级管理人员的考评及激励情况</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024" w:firstLine="420"/>
        <w:jc w:val="left"/>
      </w:pPr>
      <w:r>
        <w:rPr/>
        <w:t>根据《上市公司治理准则》的要求，公司建立了《董事、监事及高级管理人员薪酬管理制度》及考核 激励体系，且高级管理人员全部由董事会聘任，直接对董事会负责，承担董事会下达的经营指标。董事会 </w:t>
      </w:r>
      <w:r>
        <w:rPr>
          <w:spacing w:val="-3"/>
        </w:rPr>
        <w:t>下设的薪酬与考核委员会负责对高级管理人员的工作能力、履职情况、责任目标完成情况等进行年终考评，</w:t>
      </w:r>
      <w:r>
        <w:rPr>
          <w:spacing w:val="-92"/>
        </w:rPr>
        <w:t> </w:t>
      </w:r>
      <w:r>
        <w:rPr>
          <w:spacing w:val="-92"/>
        </w:rPr>
      </w:r>
      <w:r>
        <w:rPr/>
        <w:t>制定薪酬方案并报董事会审批。</w:t>
      </w:r>
    </w:p>
    <w:p>
      <w:pPr>
        <w:spacing w:after="0" w:line="357"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729"/>
        <w:jc w:val="center"/>
        <w:rPr>
          <w:b w:val="0"/>
          <w:bCs w:val="0"/>
        </w:rPr>
      </w:pPr>
      <w:bookmarkStart w:name="第十节 内部控制" w:id="129"/>
      <w:bookmarkEnd w:id="129"/>
      <w:r>
        <w:rPr>
          <w:b w:val="0"/>
          <w:bCs w:val="0"/>
        </w:rPr>
      </w:r>
      <w:bookmarkStart w:name="_bookmark9" w:id="130"/>
      <w:bookmarkEnd w:id="130"/>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31"/>
      <w:bookmarkEnd w:id="131"/>
      <w:r>
        <w:rPr>
          <w:b w:val="0"/>
          <w:bCs w:val="0"/>
        </w:rPr>
      </w:r>
      <w:r>
        <w:rPr/>
        <w:t>一、内部控制建设情况</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right="1110" w:firstLine="420"/>
        <w:jc w:val="both"/>
      </w:pPr>
      <w:r>
        <w:rPr/>
        <w:t>公司根据《公司法》、《证券法》、《深圳证券交易所股票上市规则》、《企业内部控制基本规范》 </w:t>
      </w:r>
      <w:r>
        <w:rPr>
          <w:spacing w:val="-1"/>
        </w:rPr>
        <w:t>等有关法律、法规和规章制度，结合公司的实际情况、自身特点和管理需要，制定了一系列公司内部管理</w:t>
      </w:r>
      <w:r>
        <w:rPr>
          <w:spacing w:val="-86"/>
        </w:rPr>
        <w:t> </w:t>
      </w:r>
      <w:r>
        <w:rPr>
          <w:spacing w:val="-86"/>
        </w:rPr>
      </w:r>
      <w:r>
        <w:rPr/>
        <w:t>制度。各项制度建立后均得到有效执行，对公司的经营和管理起到了有效的监督、控制和指导作用。</w:t>
      </w:r>
    </w:p>
    <w:p>
      <w:pPr>
        <w:pStyle w:val="BodyText"/>
        <w:spacing w:line="357" w:lineRule="auto" w:before="33"/>
        <w:ind w:right="1024" w:firstLine="420"/>
        <w:jc w:val="left"/>
      </w:pPr>
      <w:r>
        <w:rPr>
          <w:rFonts w:ascii="宋体" w:hAnsi="宋体" w:cs="宋体" w:eastAsia="宋体" w:hint="default"/>
        </w:rPr>
        <w:t>1</w:t>
      </w:r>
      <w:r>
        <w:rPr/>
        <w:t>、在经营管理控制方面，公司明确了各部门的工作权限与职责，针对管理层、职能部门、事业部、 </w:t>
      </w:r>
      <w:r>
        <w:rPr>
          <w:spacing w:val="-3"/>
        </w:rPr>
        <w:t>子公司建立了一系列考核激励机制，规定了销售与收款、采购及付款、工程项目施工管理、生产过程管理、</w:t>
      </w:r>
      <w:r>
        <w:rPr>
          <w:spacing w:val="-95"/>
        </w:rPr>
        <w:t> </w:t>
      </w:r>
      <w:r>
        <w:rPr>
          <w:spacing w:val="-95"/>
        </w:rPr>
      </w:r>
      <w:r>
        <w:rPr/>
        <w:t>销售等程序与工作流程，建立了质量管理体系，通过了</w:t>
      </w:r>
      <w:r>
        <w:rPr>
          <w:rFonts w:ascii="宋体" w:hAnsi="宋体" w:cs="宋体" w:eastAsia="宋体" w:hint="default"/>
        </w:rPr>
        <w:t>ISO14001</w:t>
      </w:r>
      <w:r>
        <w:rPr/>
        <w:t>、</w:t>
      </w:r>
      <w:r>
        <w:rPr>
          <w:rFonts w:ascii="宋体" w:hAnsi="宋体" w:cs="宋体" w:eastAsia="宋体" w:hint="default"/>
        </w:rPr>
        <w:t>OHS18001</w:t>
      </w:r>
      <w:r>
        <w:rPr/>
        <w:t>体系认证，使公司的经营运作 得到有效控制。</w:t>
      </w:r>
    </w:p>
    <w:p>
      <w:pPr>
        <w:pStyle w:val="BodyText"/>
        <w:spacing w:line="357" w:lineRule="auto" w:before="31"/>
        <w:ind w:right="0" w:firstLine="420"/>
        <w:jc w:val="left"/>
      </w:pPr>
      <w:r>
        <w:rPr>
          <w:rFonts w:ascii="宋体" w:hAnsi="宋体" w:cs="宋体" w:eastAsia="宋体" w:hint="default"/>
        </w:rPr>
        <w:t>2</w:t>
      </w:r>
      <w:r>
        <w:rPr/>
        <w:t>、在财务管理控制方面，公司根据《企业会计准则》等相关法律、法规，结合公司的具体情况制定 </w:t>
      </w:r>
      <w:r>
        <w:rPr>
          <w:spacing w:val="-1"/>
        </w:rPr>
        <w:t>了《财务管理制度》、《财务报告内部控制制度》及《资产管理制度》，作为财务管理和会计核算工作的</w:t>
      </w:r>
      <w:r>
        <w:rPr>
          <w:spacing w:val="-88"/>
        </w:rPr>
        <w:t> </w:t>
      </w:r>
      <w:r>
        <w:rPr>
          <w:spacing w:val="-88"/>
        </w:rPr>
      </w:r>
      <w:r>
        <w:rPr>
          <w:spacing w:val="-1"/>
        </w:rPr>
        <w:t>依据，保证了财务信息的真实性、准确性和有效性及公司资产的安全与完整。报告期内，公司未发现财务</w:t>
      </w:r>
      <w:r>
        <w:rPr>
          <w:spacing w:val="-86"/>
        </w:rPr>
        <w:t> </w:t>
      </w:r>
      <w:r>
        <w:rPr>
          <w:spacing w:val="-86"/>
        </w:rPr>
      </w:r>
      <w:r>
        <w:rPr/>
        <w:t>管理控制存在重大缺陷的具体情况。</w:t>
      </w:r>
    </w:p>
    <w:p>
      <w:pPr>
        <w:pStyle w:val="BodyText"/>
        <w:spacing w:line="357" w:lineRule="auto"/>
        <w:ind w:right="0" w:firstLine="420"/>
        <w:jc w:val="left"/>
      </w:pPr>
      <w:r>
        <w:rPr>
          <w:rFonts w:ascii="宋体" w:hAnsi="宋体" w:cs="宋体" w:eastAsia="宋体" w:hint="default"/>
        </w:rPr>
        <w:t>3</w:t>
      </w:r>
      <w:r>
        <w:rPr/>
        <w:t>、在对外投资管理控制方面，公司制定了《对外投资管理制度》，明确了重大投资的审批权限和审 </w:t>
      </w:r>
      <w:r>
        <w:rPr>
          <w:spacing w:val="-1"/>
        </w:rPr>
        <w:t>批程序，建立了严格的投资审查和决策程序，对报告期内的投资行为进行了可行性论证及尽职调查后，提</w:t>
      </w:r>
      <w:r>
        <w:rPr>
          <w:spacing w:val="-83"/>
        </w:rPr>
        <w:t> </w:t>
      </w:r>
      <w:r>
        <w:rPr>
          <w:spacing w:val="-83"/>
        </w:rPr>
      </w:r>
      <w:r>
        <w:rPr>
          <w:spacing w:val="-1"/>
        </w:rPr>
        <w:t>交董事会、股东会审议通过。</w:t>
      </w:r>
      <w:r>
        <w:rPr>
          <w:rFonts w:ascii="宋体" w:hAnsi="宋体" w:cs="宋体" w:eastAsia="宋体" w:hint="default"/>
          <w:spacing w:val="-1"/>
        </w:rPr>
        <w:t>2014</w:t>
      </w:r>
      <w:r>
        <w:rPr>
          <w:spacing w:val="-1"/>
        </w:rPr>
        <w:t>年度，公司与东兴企业澳门离岸商业服务有限公司对共同投资设立的达</w:t>
      </w:r>
      <w:r>
        <w:rPr>
          <w:spacing w:val="-80"/>
        </w:rPr>
        <w:t> </w:t>
      </w:r>
      <w:r>
        <w:rPr>
          <w:spacing w:val="-80"/>
        </w:rPr>
      </w:r>
      <w:r>
        <w:rPr>
          <w:spacing w:val="-1"/>
        </w:rPr>
        <w:t>实租赁同比例增加了投资，并先后设立了遵义、珠海全资子公司，延伸公司服务区域和范围。上述事宜分</w:t>
      </w:r>
      <w:r>
        <w:rPr>
          <w:spacing w:val="-86"/>
        </w:rPr>
        <w:t> </w:t>
      </w:r>
      <w:r>
        <w:rPr>
          <w:spacing w:val="-86"/>
        </w:rPr>
      </w:r>
      <w:r>
        <w:rPr/>
        <w:t>别经</w:t>
      </w:r>
      <w:r>
        <w:rPr>
          <w:rFonts w:ascii="宋体" w:hAnsi="宋体" w:cs="宋体" w:eastAsia="宋体" w:hint="default"/>
        </w:rPr>
        <w:t>2014</w:t>
      </w:r>
      <w:r>
        <w:rPr/>
        <w:t>年第一次临时股东大会、第五届董事会第五次会议、第五届董事会第七次会议审议批准。</w:t>
      </w:r>
    </w:p>
    <w:p>
      <w:pPr>
        <w:pStyle w:val="BodyText"/>
        <w:spacing w:line="357" w:lineRule="auto"/>
        <w:ind w:right="0" w:firstLine="420"/>
        <w:jc w:val="left"/>
      </w:pPr>
      <w:r>
        <w:rPr>
          <w:rFonts w:ascii="宋体" w:hAnsi="宋体" w:cs="宋体" w:eastAsia="宋体" w:hint="default"/>
        </w:rPr>
        <w:t>4</w:t>
      </w:r>
      <w:r>
        <w:rPr/>
        <w:t>、在对外担保管理控制方面，公司按照监管部门的相关要求制定了《对外担保管理办法》，对担保 </w:t>
      </w:r>
      <w:r>
        <w:rPr>
          <w:spacing w:val="-1"/>
        </w:rPr>
        <w:t>的基本原则、担保的审批权限和审批程序、担保对象的限制条件都做了明确规定。经公司</w:t>
      </w:r>
      <w:r>
        <w:rPr>
          <w:rFonts w:ascii="宋体" w:hAnsi="宋体" w:cs="宋体" w:eastAsia="宋体" w:hint="default"/>
          <w:spacing w:val="-1"/>
        </w:rPr>
        <w:t>2013</w:t>
      </w:r>
      <w:r>
        <w:rPr>
          <w:spacing w:val="-1"/>
        </w:rPr>
        <w:t>年度股东大</w:t>
      </w:r>
      <w:r>
        <w:rPr>
          <w:spacing w:val="-81"/>
        </w:rPr>
        <w:t> </w:t>
      </w:r>
      <w:r>
        <w:rPr>
          <w:spacing w:val="-1"/>
        </w:rPr>
        <w:t>会及</w:t>
      </w:r>
      <w:r>
        <w:rPr>
          <w:rFonts w:ascii="宋体" w:hAnsi="宋体" w:cs="宋体" w:eastAsia="宋体" w:hint="default"/>
          <w:spacing w:val="-1"/>
        </w:rPr>
        <w:t>2014</w:t>
      </w:r>
      <w:r>
        <w:rPr>
          <w:spacing w:val="-1"/>
        </w:rPr>
        <w:t>年第二次临时股东大会批准，公司分别向平安银行、北京银行申请了</w:t>
      </w:r>
      <w:r>
        <w:rPr>
          <w:rFonts w:ascii="宋体" w:hAnsi="宋体" w:cs="宋体" w:eastAsia="宋体" w:hint="default"/>
          <w:spacing w:val="-1"/>
        </w:rPr>
        <w:t>2</w:t>
      </w:r>
      <w:r>
        <w:rPr>
          <w:spacing w:val="-1"/>
        </w:rPr>
        <w:t>亿元和</w:t>
      </w:r>
      <w:r>
        <w:rPr>
          <w:rFonts w:ascii="宋体" w:hAnsi="宋体" w:cs="宋体" w:eastAsia="宋体" w:hint="default"/>
          <w:spacing w:val="-1"/>
        </w:rPr>
        <w:t>5</w:t>
      </w:r>
      <w:r>
        <w:rPr>
          <w:spacing w:val="-1"/>
        </w:rPr>
        <w:t>亿元买方信贷额度</w:t>
      </w:r>
      <w:r>
        <w:rPr>
          <w:spacing w:val="-84"/>
        </w:rPr>
        <w:t> </w:t>
      </w:r>
      <w:r>
        <w:rPr>
          <w:spacing w:val="-84"/>
        </w:rPr>
      </w:r>
      <w:r>
        <w:rPr>
          <w:spacing w:val="-1"/>
        </w:rPr>
        <w:t>并为该额度提供担保，全部用于公司绿色医院的买方信贷业务。报告期内，公司对全资子公司达实信息的</w:t>
      </w:r>
      <w:r>
        <w:rPr>
          <w:spacing w:val="-83"/>
        </w:rPr>
        <w:t> </w:t>
      </w:r>
      <w:r>
        <w:rPr>
          <w:spacing w:val="-83"/>
        </w:rPr>
      </w:r>
      <w:r>
        <w:rPr/>
        <w:t>担保发生额为</w:t>
      </w:r>
      <w:r>
        <w:rPr>
          <w:rFonts w:ascii="宋体" w:hAnsi="宋体" w:cs="宋体" w:eastAsia="宋体" w:hint="default"/>
        </w:rPr>
        <w:t>1500</w:t>
      </w:r>
      <w:r>
        <w:rPr/>
        <w:t>万元，期末余额为</w:t>
      </w:r>
      <w:r>
        <w:rPr>
          <w:rFonts w:ascii="宋体" w:hAnsi="宋体" w:cs="宋体" w:eastAsia="宋体" w:hint="default"/>
        </w:rPr>
        <w:t>0</w:t>
      </w:r>
      <w:r>
        <w:rPr/>
        <w:t>，未实际发生其他对外担保事项。</w:t>
      </w:r>
    </w:p>
    <w:p>
      <w:pPr>
        <w:pStyle w:val="BodyText"/>
        <w:spacing w:line="357" w:lineRule="auto" w:before="31"/>
        <w:ind w:right="0" w:firstLine="420"/>
        <w:jc w:val="left"/>
      </w:pPr>
      <w:r>
        <w:rPr>
          <w:rFonts w:ascii="宋体" w:hAnsi="宋体" w:cs="宋体" w:eastAsia="宋体" w:hint="default"/>
        </w:rPr>
        <w:t>5</w:t>
      </w:r>
      <w:r>
        <w:rPr/>
        <w:t>、在关联交易管理控制方面，公司制定了《关联交易管理办法》，对关联人的认定、交易范围、决 </w:t>
      </w:r>
      <w:r>
        <w:rPr>
          <w:spacing w:val="-1"/>
        </w:rPr>
        <w:t>策程序及信息披露原则均作了明确规定，并建立独立董事的审查机制。报告期内，公司向董事长刘磅、董</w:t>
      </w:r>
      <w:r>
        <w:rPr>
          <w:spacing w:val="-84"/>
        </w:rPr>
        <w:t> </w:t>
      </w:r>
      <w:r>
        <w:rPr>
          <w:spacing w:val="-84"/>
        </w:rPr>
      </w:r>
      <w:r>
        <w:rPr>
          <w:spacing w:val="-1"/>
        </w:rPr>
        <w:t>事贾虹非公开发行股份事项、与东兴企业澳门离岸商业服务有限公司组建达实租赁增资事项均经过了严格</w:t>
      </w:r>
      <w:r>
        <w:rPr>
          <w:spacing w:val="-81"/>
        </w:rPr>
        <w:t> </w:t>
      </w:r>
      <w:r>
        <w:rPr>
          <w:spacing w:val="-81"/>
        </w:rPr>
      </w:r>
      <w:r>
        <w:rPr/>
        <w:t>的审批程序。独立董事、监事会分别对关联交易事项进行了监督核查。</w:t>
      </w:r>
    </w:p>
    <w:p>
      <w:pPr>
        <w:pStyle w:val="BodyText"/>
        <w:spacing w:line="357" w:lineRule="auto"/>
        <w:ind w:right="0" w:firstLine="420"/>
        <w:jc w:val="left"/>
      </w:pPr>
      <w:r>
        <w:rPr>
          <w:rFonts w:ascii="宋体" w:hAnsi="宋体" w:cs="宋体" w:eastAsia="宋体" w:hint="default"/>
        </w:rPr>
        <w:t>6</w:t>
      </w:r>
      <w:r>
        <w:rPr/>
        <w:t>、在募集资金管理控制方面，公司根据中国证监会关于加强募集资金管理的有关规定，制定了《募 </w:t>
      </w:r>
      <w:r>
        <w:rPr>
          <w:spacing w:val="-1"/>
        </w:rPr>
        <w:t>集资金管理制度》，公司对募集资金采取专户存储、专款专用的原则，明确了募集资金的管理、使用、审</w:t>
      </w:r>
      <w:r>
        <w:rPr>
          <w:spacing w:val="-82"/>
        </w:rPr>
        <w:t> </w:t>
      </w:r>
      <w:r>
        <w:rPr>
          <w:spacing w:val="-82"/>
        </w:rPr>
      </w:r>
      <w:r>
        <w:rPr/>
        <w:t>批程序、监督和责任追究等内容。报告期内，公司不存在违规使用募集资金的现象。</w:t>
      </w:r>
    </w:p>
    <w:p>
      <w:pPr>
        <w:pStyle w:val="BodyText"/>
        <w:spacing w:line="240" w:lineRule="auto" w:before="31"/>
        <w:ind w:left="573" w:right="0"/>
        <w:jc w:val="left"/>
      </w:pPr>
      <w:r>
        <w:rPr>
          <w:rFonts w:ascii="宋体" w:hAnsi="宋体" w:cs="宋体" w:eastAsia="宋体" w:hint="default"/>
          <w:spacing w:val="-6"/>
        </w:rPr>
        <w:t>7</w:t>
      </w:r>
      <w:r>
        <w:rPr>
          <w:spacing w:val="-6"/>
        </w:rPr>
        <w:t>、在信息披露管理控制方面，公司制定了《信息披露管理办法》、《内幕信息知情人登记管理制度》、</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right="1131"/>
        <w:jc w:val="both"/>
      </w:pPr>
      <w:r>
        <w:rPr>
          <w:spacing w:val="-1"/>
        </w:rPr>
        <w:t>《年报信息披露重大差错责任追究制度》及《重大信息内部报告制度》，分别对信息披露的基本原则，信</w:t>
      </w:r>
      <w:r>
        <w:rPr>
          <w:spacing w:val="-82"/>
        </w:rPr>
        <w:t> </w:t>
      </w:r>
      <w:r>
        <w:rPr>
          <w:spacing w:val="-82"/>
        </w:rPr>
      </w:r>
      <w:r>
        <w:rPr>
          <w:spacing w:val="-1"/>
        </w:rPr>
        <w:t>息披露的内容、信息披露程序与传递、信息披露的责任划分、信息披露的方式、档案管理、内幕信息知情</w:t>
      </w:r>
      <w:r>
        <w:rPr>
          <w:spacing w:val="-83"/>
        </w:rPr>
        <w:t> </w:t>
      </w:r>
      <w:r>
        <w:rPr>
          <w:spacing w:val="-83"/>
        </w:rPr>
      </w:r>
      <w:r>
        <w:rPr>
          <w:spacing w:val="-1"/>
        </w:rPr>
        <w:t>人范围和保密措施以及责任追究做了明确规定。报告期内，公司按要求履行了信息披露义务，未发生违规</w:t>
      </w:r>
      <w:r>
        <w:rPr>
          <w:spacing w:val="-83"/>
        </w:rPr>
        <w:t> </w:t>
      </w:r>
      <w:r>
        <w:rPr>
          <w:spacing w:val="-83"/>
        </w:rPr>
      </w:r>
      <w:r>
        <w:rPr/>
        <w:t>行为。</w:t>
      </w:r>
    </w:p>
    <w:p>
      <w:pPr>
        <w:pStyle w:val="BodyText"/>
        <w:spacing w:line="357" w:lineRule="auto" w:before="31"/>
        <w:ind w:right="1024" w:firstLine="420"/>
        <w:jc w:val="left"/>
      </w:pPr>
      <w:r>
        <w:rPr>
          <w:rFonts w:ascii="宋体" w:hAnsi="宋体" w:cs="宋体" w:eastAsia="宋体" w:hint="default"/>
        </w:rPr>
        <w:t>8</w:t>
      </w:r>
      <w:r>
        <w:rPr/>
        <w:t>、在子公司管理控制方面，公司制定了《子公司管理制度》，规定子公司的经营及发展必须服从于 公司的发展战略和总体规划，其重要人事变动、重大经济活动等均需报公司相关职能部门审核和备案。公 </w:t>
      </w:r>
      <w:r>
        <w:rPr>
          <w:spacing w:val="-3"/>
        </w:rPr>
        <w:t>司通过财务报表、经营会议等方式及时掌握子公司的生产经营情况，重点关注和控制财务风险和经营风险。</w:t>
      </w:r>
    </w:p>
    <w:p>
      <w:pPr>
        <w:pStyle w:val="BodyText"/>
        <w:spacing w:line="357" w:lineRule="auto"/>
        <w:ind w:left="154" w:right="1118" w:firstLine="420"/>
        <w:jc w:val="left"/>
      </w:pPr>
      <w:r>
        <w:rPr>
          <w:rFonts w:ascii="宋体" w:hAnsi="宋体" w:cs="宋体" w:eastAsia="宋体" w:hint="default"/>
        </w:rPr>
        <w:t>9</w:t>
      </w:r>
      <w:r>
        <w:rPr/>
        <w:t>、在内部监督控制活动方面，公司指定审计部履行内部控制监督职责。审计部定期开展针对内控管 </w:t>
      </w:r>
      <w:r>
        <w:rPr>
          <w:spacing w:val="-1"/>
        </w:rPr>
        <w:t>理、募集资金的存放和使用、对外投资与担保、关联交易等事项的审计，向董事会审计委员会报告相关审</w:t>
      </w:r>
      <w:r>
        <w:rPr>
          <w:spacing w:val="-86"/>
        </w:rPr>
        <w:t> </w:t>
      </w:r>
      <w:r>
        <w:rPr>
          <w:spacing w:val="-86"/>
        </w:rPr>
      </w:r>
      <w:r>
        <w:rPr>
          <w:spacing w:val="-1"/>
        </w:rPr>
        <w:t>计工作情况，由其监督审计计划的实施和审计工作的完成情况，促进内部监督控制工作更趋于规范化、制</w:t>
      </w:r>
      <w:r>
        <w:rPr>
          <w:spacing w:val="-83"/>
        </w:rPr>
        <w:t> </w:t>
      </w:r>
      <w:r>
        <w:rPr>
          <w:spacing w:val="-83"/>
        </w:rPr>
      </w:r>
      <w:r>
        <w:rPr/>
        <w:t>度化。</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二、董事会关于内部控制责任的声明" w:id="132"/>
      <w:bookmarkEnd w:id="132"/>
      <w:r>
        <w:rPr>
          <w:b w:val="0"/>
          <w:bCs w:val="0"/>
        </w:rPr>
      </w:r>
      <w:r>
        <w:rPr/>
        <w:t>二、董事会关于内部控制责任的声明</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154" w:right="1023" w:firstLine="420"/>
        <w:jc w:val="left"/>
      </w:pPr>
      <w:r>
        <w:rPr/>
        <w:t>按照企业内部控制规范体系的规定，建立健全和有效实施内部控制，评价其有效性，并如实披露内部 控制评价报告是公司董事会的责任。监事会对董事会建立和实施内部控制进行监督。经理层负责组织领导 企业内部控制的日常运行。公司董事会、监事会及董事、监事、高级管理人员保证本报告内容不存在任何 虚假记载、误导性陈述或重大遗漏，并对报告内容的真实性、准确性和完整性承担个别及连带法律责任。 公司内部控制的目标是合理保证经营管理合法合规、资产安全、财务报告及相关信息真实完整，提高经营 </w:t>
      </w:r>
      <w:r>
        <w:rPr>
          <w:spacing w:val="-3"/>
        </w:rPr>
        <w:t>效率和效果，促进实现发展战略。由于内部控制存在的固有局限性，故仅能为实现上述目标提供合理保证。</w:t>
      </w:r>
      <w:r>
        <w:rPr>
          <w:spacing w:val="-90"/>
        </w:rPr>
        <w:t> </w:t>
      </w:r>
      <w:r>
        <w:rPr>
          <w:spacing w:val="-90"/>
        </w:rPr>
      </w:r>
      <w:r>
        <w:rPr/>
        <w:t>此外，由于情况的变化可能导致内部控制变得不恰当，或对控制政策和程序遵循的程度降低，根据内部控</w:t>
      </w:r>
      <w:r>
        <w:rPr/>
        <w:t> 制评价结果推测未来内部控制的有效性具有一定的风险。</w:t>
      </w:r>
    </w:p>
    <w:p>
      <w:pPr>
        <w:pStyle w:val="BodyText"/>
        <w:spacing w:line="357" w:lineRule="auto"/>
        <w:ind w:left="154" w:right="1197" w:firstLine="420"/>
        <w:jc w:val="left"/>
      </w:pPr>
      <w:r>
        <w:rPr/>
        <w:t>董事会出具了《</w:t>
      </w:r>
      <w:r>
        <w:rPr>
          <w:rFonts w:ascii="宋体" w:hAnsi="宋体" w:cs="宋体" w:eastAsia="宋体" w:hint="default"/>
        </w:rPr>
        <w:t>2014</w:t>
      </w:r>
      <w:r>
        <w:rPr/>
        <w:t>年度内部控制的自我评价报告》，刊登在</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7</w:t>
      </w:r>
      <w:r>
        <w:rPr/>
        <w:t>日巨潮资讯网 </w:t>
      </w:r>
      <w:r>
        <w:rPr>
          <w:rFonts w:ascii="宋体" w:hAnsi="宋体" w:cs="宋体" w:eastAsia="宋体" w:hint="default"/>
        </w:rPr>
        <w:t>(www.cninfo.com.cn)</w:t>
      </w:r>
      <w:r>
        <w:rPr/>
        <w:t>上，公司董事会及全体董事保证报告内容不存在任何虚假记载、误导性陈述或重大 遗漏，并对报告内容的真实性、准确性和完整性承担个别及连带责任。</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三、建立财务报告内部控制的依据" w:id="133"/>
      <w:bookmarkEnd w:id="133"/>
      <w:r>
        <w:rPr>
          <w:b w:val="0"/>
          <w:bCs w:val="0"/>
        </w:rPr>
      </w:r>
      <w:r>
        <w:rPr/>
        <w:t>三、建立财务报告内部控制的依据</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154" w:right="1092" w:firstLine="420"/>
        <w:jc w:val="left"/>
      </w:pPr>
      <w:r>
        <w:rPr>
          <w:spacing w:val="-1"/>
        </w:rPr>
        <w:t>公司依据《公司法》、《会计法》、《企业会计准则》和《企业内部控制基本规范》以及监管部门的</w:t>
      </w:r>
      <w:r>
        <w:rPr/>
        <w:t> 相关规范性文件为依据，建立了财务报告内部控制。报告期内，公司财务报告内部控制不存在重大缺陷。</w:t>
      </w:r>
    </w:p>
    <w:p>
      <w:pPr>
        <w:spacing w:line="240" w:lineRule="auto" w:before="3"/>
        <w:rPr>
          <w:rFonts w:ascii="宋体" w:hAnsi="宋体" w:cs="宋体" w:eastAsia="宋体" w:hint="default"/>
          <w:sz w:val="25"/>
          <w:szCs w:val="25"/>
        </w:rPr>
      </w:pPr>
    </w:p>
    <w:p>
      <w:pPr>
        <w:pStyle w:val="Heading2"/>
        <w:spacing w:line="240" w:lineRule="auto"/>
        <w:ind w:left="154" w:right="0"/>
        <w:jc w:val="both"/>
        <w:rPr>
          <w:b w:val="0"/>
          <w:bCs w:val="0"/>
        </w:rPr>
      </w:pPr>
      <w:bookmarkStart w:name="四、内部控制评价报告" w:id="134"/>
      <w:bookmarkEnd w:id="134"/>
      <w:r>
        <w:rPr>
          <w:b w:val="0"/>
          <w:bCs w:val="0"/>
        </w:rPr>
      </w: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32" w:hRule="exact"/>
        </w:trPr>
        <w:tc>
          <w:tcPr>
            <w:tcW w:w="2662" w:type="dxa"/>
            <w:tcBorders>
              <w:top w:val="nil" w:sz="6" w:space="0" w:color="auto"/>
              <w:left w:val="nil" w:sz="6" w:space="0" w:color="auto"/>
              <w:bottom w:val="single" w:sz="4" w:space="0" w:color="000000"/>
              <w:right w:val="nil" w:sz="6" w:space="0" w:color="auto"/>
            </w:tcBorders>
          </w:tcPr>
          <w:p>
            <w:pPr/>
          </w:p>
        </w:tc>
        <w:tc>
          <w:tcPr>
            <w:tcW w:w="6907" w:type="dxa"/>
            <w:tcBorders>
              <w:top w:val="nil" w:sz="6" w:space="0" w:color="auto"/>
              <w:left w:val="nil" w:sz="6" w:space="0" w:color="auto"/>
              <w:bottom w:val="single" w:sz="4" w:space="0" w:color="000000"/>
              <w:right w:val="nil" w:sz="6" w:space="0" w:color="auto"/>
            </w:tcBorders>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年度内部控制评价报告》刊登于巨潮资讯网</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r>
        <w:rPr/>
        <w:pict>
          <v:group style="position:absolute;margin-left:55.200001pt;margin-top:-48.824402pt;width:485pt;height:.1pt;mso-position-horizontal-relative:page;mso-position-vertical-relative:paragraph;z-index:-807736" coordorigin="1104,-976" coordsize="9700,2">
            <v:shape style="position:absolute;left:1104;top:-976;width:9700;height:2" coordorigin="1104,-976" coordsize="9700,0" path="m1104,-976l10804,-976e" filled="false" stroked="true" strokeweight=".72pt" strokecolor="#000000">
              <v:path arrowok="t"/>
            </v:shape>
            <w10:wrap type="none"/>
          </v:group>
        </w:pict>
      </w:r>
      <w:bookmarkStart w:name="五、内部控制审计报告或鉴证报告" w:id="135"/>
      <w:bookmarkEnd w:id="135"/>
      <w:r>
        <w:rPr>
          <w:b w:val="0"/>
          <w:bCs w:val="0"/>
        </w:rPr>
      </w:r>
      <w:r>
        <w:rPr/>
        <w:t>五、内部控制审计报告或鉴证报告</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六、年度报告重大差错责任追究制度的建立与执行情况" w:id="136"/>
      <w:bookmarkEnd w:id="136"/>
      <w:r>
        <w:rPr>
          <w:b w:val="0"/>
          <w:bCs w:val="0"/>
        </w:rPr>
      </w:r>
      <w:r>
        <w:rPr/>
        <w:t>六、年度报告重大差错责任追究制度的建立与执行情况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3" w:right="0"/>
        <w:jc w:val="left"/>
      </w:pPr>
      <w:r>
        <w:rPr/>
        <w:t>经公司第三届董事会第十三次会议审议批准，公司建立了《年报信息披露重大差错责任追究制度》和</w:t>
      </w:r>
    </w:p>
    <w:p>
      <w:pPr>
        <w:pStyle w:val="BodyText"/>
        <w:spacing w:line="357" w:lineRule="auto" w:before="134"/>
        <w:ind w:right="1130"/>
        <w:jc w:val="both"/>
      </w:pPr>
      <w:r>
        <w:rPr>
          <w:spacing w:val="-1"/>
        </w:rPr>
        <w:t>《董事会审计委员会年度财务报告工作制度》，经第四届董事会第五次会议审议批准，公司建立了《独立</w:t>
      </w:r>
      <w:r>
        <w:rPr>
          <w:spacing w:val="-86"/>
        </w:rPr>
        <w:t> </w:t>
      </w:r>
      <w:r>
        <w:rPr>
          <w:spacing w:val="-86"/>
        </w:rPr>
      </w:r>
      <w:r>
        <w:rPr>
          <w:spacing w:val="-1"/>
        </w:rPr>
        <w:t>董事年报工作制度》。在</w:t>
      </w:r>
      <w:r>
        <w:rPr>
          <w:rFonts w:ascii="宋体" w:hAnsi="宋体" w:cs="宋体" w:eastAsia="宋体" w:hint="default"/>
          <w:spacing w:val="-1"/>
        </w:rPr>
        <w:t>2014</w:t>
      </w:r>
      <w:r>
        <w:rPr>
          <w:spacing w:val="-1"/>
        </w:rPr>
        <w:t>年度报告的编制期间，独立董事、董事会审计委员会均能按照相关制度的要</w:t>
      </w:r>
      <w:r>
        <w:rPr>
          <w:spacing w:val="-84"/>
        </w:rPr>
        <w:t> </w:t>
      </w:r>
      <w:r>
        <w:rPr>
          <w:spacing w:val="-84"/>
        </w:rPr>
      </w:r>
      <w:r>
        <w:rPr>
          <w:spacing w:val="-1"/>
        </w:rPr>
        <w:t>求，召集公司管理层、独立董事与年审会计师的年报协调会，通过听取公司管理层对上一年度的经营情况</w:t>
      </w:r>
      <w:r>
        <w:rPr>
          <w:spacing w:val="-83"/>
        </w:rPr>
        <w:t> </w:t>
      </w:r>
      <w:r>
        <w:rPr>
          <w:spacing w:val="-83"/>
        </w:rPr>
      </w:r>
      <w:r>
        <w:rPr>
          <w:spacing w:val="-1"/>
        </w:rPr>
        <w:t>汇报，与审计会计师就年度审计的工作安排进行充分沟通等方式，认真履行职责，确保年审工作的顺利开</w:t>
      </w:r>
      <w:r>
        <w:rPr>
          <w:spacing w:val="-82"/>
        </w:rPr>
        <w:t> </w:t>
      </w:r>
      <w:r>
        <w:rPr>
          <w:spacing w:val="-82"/>
        </w:rPr>
      </w:r>
      <w:r>
        <w:rPr/>
        <w:t>展。报告期内，公司未发生重大会计差错更正、重大遗漏信息补充的情况。</w:t>
      </w:r>
    </w:p>
    <w:p>
      <w:pPr>
        <w:spacing w:after="0" w:line="357" w:lineRule="auto"/>
        <w:jc w:val="both"/>
        <w:sectPr>
          <w:pgSz w:w="11910" w:h="16840"/>
          <w:pgMar w:header="87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607" w:right="0"/>
        <w:jc w:val="left"/>
        <w:rPr>
          <w:b w:val="0"/>
          <w:bCs w:val="0"/>
        </w:rPr>
      </w:pPr>
      <w:bookmarkStart w:name="第十一节 财务报告" w:id="137"/>
      <w:bookmarkEnd w:id="137"/>
      <w:r>
        <w:rPr>
          <w:b w:val="0"/>
          <w:bCs w:val="0"/>
        </w:rPr>
      </w:r>
      <w:bookmarkStart w:name="_bookmark10" w:id="138"/>
      <w:bookmarkEnd w:id="138"/>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39"/>
      <w:bookmarkEnd w:id="139"/>
      <w:r>
        <w:rPr>
          <w:b w:val="0"/>
          <w:bCs w:val="0"/>
        </w:rPr>
      </w: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spacing w:before="44"/>
        <w:ind w:left="0" w:right="1140" w:firstLine="0"/>
        <w:jc w:val="right"/>
        <w:rPr>
          <w:rFonts w:ascii="宋体" w:hAnsi="宋体" w:cs="宋体" w:eastAsia="宋体" w:hint="default"/>
          <w:sz w:val="18"/>
          <w:szCs w:val="18"/>
        </w:rPr>
      </w:pPr>
      <w:r>
        <w:rPr/>
        <w:pict>
          <v:shape style="position:absolute;margin-left:56.459999pt;margin-top:-342.088287pt;width:479.2pt;height:593.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潘忠民、龙哲</w:t>
                        </w:r>
                      </w:p>
                    </w:tc>
                  </w:tr>
                  <w:tr>
                    <w:trPr>
                      <w:trHeight w:val="1025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TableParagraph"/>
                          <w:spacing w:line="240" w:lineRule="auto" w:before="117"/>
                          <w:ind w:left="7286"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1162</w:t>
                        </w:r>
                        <w:r>
                          <w:rPr>
                            <w:rFonts w:ascii="宋体" w:hAnsi="宋体" w:cs="宋体" w:eastAsia="宋体" w:hint="default"/>
                            <w:spacing w:val="-46"/>
                            <w:sz w:val="18"/>
                            <w:szCs w:val="18"/>
                          </w:rPr>
                          <w:t> </w:t>
                        </w:r>
                        <w:r>
                          <w:rPr>
                            <w:rFonts w:ascii="宋体" w:hAnsi="宋体" w:cs="宋体" w:eastAsia="宋体" w:hint="default"/>
                            <w:sz w:val="18"/>
                            <w:szCs w:val="18"/>
                          </w:rPr>
                          <w:t>号</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57"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深圳达实智能股份有限公司全体股东</w:t>
                        </w:r>
                        <w:r>
                          <w:rPr>
                            <w:rFonts w:ascii="宋体" w:hAnsi="宋体" w:cs="宋体" w:eastAsia="宋体" w:hint="default"/>
                            <w:sz w:val="18"/>
                            <w:szCs w:val="18"/>
                          </w:rPr>
                          <w:t>: </w:t>
                        </w:r>
                        <w:r>
                          <w:rPr>
                            <w:rFonts w:ascii="宋体" w:hAnsi="宋体" w:cs="宋体" w:eastAsia="宋体" w:hint="default"/>
                            <w:spacing w:val="-1"/>
                            <w:sz w:val="18"/>
                            <w:szCs w:val="18"/>
                          </w:rPr>
                          <w:t>我们审计了后附的深圳达实智能股份有限公司（以下简称“贵公司”）财务报表，包括</w:t>
                        </w:r>
                        <w:r>
                          <w:rPr>
                            <w:rFonts w:ascii="宋体" w:hAnsi="宋体" w:cs="宋体" w:eastAsia="宋体" w:hint="default"/>
                            <w:spacing w:val="-1"/>
                            <w:sz w:val="18"/>
                            <w:szCs w:val="18"/>
                          </w:rPr>
                          <w:t>2014</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31</w:t>
                        </w:r>
                        <w:r>
                          <w:rPr>
                            <w:rFonts w:ascii="宋体" w:hAnsi="宋体" w:cs="宋体" w:eastAsia="宋体" w:hint="default"/>
                            <w:spacing w:val="-1"/>
                            <w:sz w:val="18"/>
                            <w:szCs w:val="18"/>
                          </w:rPr>
                          <w:t>日的合并及母公</w:t>
                        </w:r>
                      </w:p>
                      <w:p>
                        <w:pPr>
                          <w:pStyle w:val="TableParagraph"/>
                          <w:spacing w:line="357" w:lineRule="auto" w:before="26"/>
                          <w:ind w:left="22" w:right="22"/>
                          <w:jc w:val="left"/>
                          <w:rPr>
                            <w:rFonts w:ascii="宋体" w:hAnsi="宋体" w:cs="宋体" w:eastAsia="宋体" w:hint="default"/>
                            <w:sz w:val="18"/>
                            <w:szCs w:val="18"/>
                          </w:rPr>
                        </w:pPr>
                        <w:r>
                          <w:rPr>
                            <w:rFonts w:ascii="宋体" w:hAnsi="宋体" w:cs="宋体" w:eastAsia="宋体" w:hint="default"/>
                            <w:spacing w:val="-1"/>
                            <w:sz w:val="18"/>
                            <w:szCs w:val="18"/>
                          </w:rPr>
                          <w:t>司资产负债表，</w:t>
                        </w:r>
                        <w:r>
                          <w:rPr>
                            <w:rFonts w:ascii="宋体" w:hAnsi="宋体" w:cs="宋体" w:eastAsia="宋体" w:hint="default"/>
                            <w:spacing w:val="-1"/>
                            <w:sz w:val="18"/>
                            <w:szCs w:val="18"/>
                          </w:rPr>
                          <w:t>2014</w:t>
                        </w:r>
                        <w:r>
                          <w:rPr>
                            <w:rFonts w:ascii="宋体" w:hAnsi="宋体" w:cs="宋体" w:eastAsia="宋体" w:hint="default"/>
                            <w:spacing w:val="-1"/>
                            <w:sz w:val="18"/>
                            <w:szCs w:val="18"/>
                          </w:rPr>
                          <w:t>年度的合并及母公司利润表、合并及母公司现金流量表、合并及母公司所有者权益变动表以及财务报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表附注。</w:t>
                        </w:r>
                      </w:p>
                      <w:p>
                        <w:pPr>
                          <w:pStyle w:val="TableParagraph"/>
                          <w:spacing w:line="357" w:lineRule="auto" w:before="25"/>
                          <w:ind w:left="382" w:right="3954"/>
                          <w:jc w:val="left"/>
                          <w:rPr>
                            <w:rFonts w:ascii="宋体" w:hAnsi="宋体" w:cs="宋体" w:eastAsia="宋体" w:hint="default"/>
                            <w:sz w:val="18"/>
                            <w:szCs w:val="18"/>
                          </w:rPr>
                        </w:pPr>
                        <w:r>
                          <w:rPr>
                            <w:rFonts w:ascii="宋体" w:hAnsi="宋体" w:cs="宋体" w:eastAsia="宋体" w:hint="default"/>
                            <w:sz w:val="18"/>
                            <w:szCs w:val="18"/>
                          </w:rPr>
                          <w:t>一、管理层对财务报表的责任 编制和公允列报财务报表是贵公司管理层的责任，这种责任包括：</w:t>
                        </w:r>
                      </w:p>
                      <w:p>
                        <w:pPr>
                          <w:pStyle w:val="TableParagraph"/>
                          <w:spacing w:line="240" w:lineRule="auto" w:before="27"/>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）按照企业会计准则的规定编制财务报表，并使其实现公允反映；</w:t>
                        </w:r>
                      </w:p>
                      <w:p>
                        <w:pPr>
                          <w:pStyle w:val="TableParagraph"/>
                          <w:spacing w:line="357" w:lineRule="auto" w:before="115"/>
                          <w:ind w:left="382" w:right="2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）设计、执行和维护必要的内部控制，以使财务报表不存在由于舞弊或错误导致的重大错报。 二、注册会计师的责任 </w:t>
                        </w:r>
                        <w:r>
                          <w:rPr>
                            <w:rFonts w:ascii="宋体" w:hAnsi="宋体" w:cs="宋体" w:eastAsia="宋体" w:hint="default"/>
                            <w:spacing w:val="-1"/>
                            <w:sz w:val="18"/>
                            <w:szCs w:val="18"/>
                          </w:rPr>
                          <w:t>我们的责任是在执行审计工作的基础上对财务报表发表审计意见。我们按照中国注册会计师审计准则的规定执行了审</w:t>
                        </w:r>
                      </w:p>
                      <w:p>
                        <w:pPr>
                          <w:pStyle w:val="TableParagraph"/>
                          <w:spacing w:line="357" w:lineRule="auto" w:before="26"/>
                          <w:ind w:left="22" w:right="22"/>
                          <w:jc w:val="left"/>
                          <w:rPr>
                            <w:rFonts w:ascii="宋体" w:hAnsi="宋体" w:cs="宋体" w:eastAsia="宋体" w:hint="default"/>
                            <w:sz w:val="18"/>
                            <w:szCs w:val="18"/>
                          </w:rPr>
                        </w:pPr>
                        <w:r>
                          <w:rPr>
                            <w:rFonts w:ascii="宋体" w:hAnsi="宋体" w:cs="宋体" w:eastAsia="宋体" w:hint="default"/>
                            <w:spacing w:val="-1"/>
                            <w:sz w:val="18"/>
                            <w:szCs w:val="18"/>
                          </w:rPr>
                          <w:t>计工作。中国注册会计师审计准则要求我们遵守职业道德守则，计划和执行审计工作以对财务报表是否不存在重大错报获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取合理保证。</w:t>
                        </w:r>
                      </w:p>
                      <w:p>
                        <w:pPr>
                          <w:pStyle w:val="TableParagraph"/>
                          <w:spacing w:line="357" w:lineRule="auto" w:before="26"/>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审计工作涉及实施审计程序，以获取有关财务报表金额和披露的审计证据。选择的审计程序取决于注册会计师的判断</w:t>
                        </w:r>
                        <w:r>
                          <w:rPr>
                            <w:rFonts w:ascii="宋体" w:hAnsi="宋体" w:cs="宋体" w:eastAsia="宋体" w:hint="default"/>
                            <w:sz w:val="18"/>
                            <w:szCs w:val="18"/>
                          </w:rPr>
                          <w:t> </w:t>
                        </w:r>
                        <w:r>
                          <w:rPr>
                            <w:rFonts w:ascii="宋体" w:hAnsi="宋体" w:cs="宋体" w:eastAsia="宋体" w:hint="default"/>
                            <w:spacing w:val="-1"/>
                            <w:sz w:val="18"/>
                            <w:szCs w:val="18"/>
                          </w:rPr>
                          <w:t>包括对由于舞弊或错误导致的财务报表重大错报风险的评估。在进行风险评估时，注册会计师考虑与财务报表编制和公允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列报相关的内部控制，以设计恰当的审计程序，但目的并非对内部控制的有效性发表意见。审计工作还包括评价管理层选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用会计政策的恰当性和作出会计估计的合理性，以及评价财务报表的总体列报。</w:t>
                        </w:r>
                      </w:p>
                      <w:p>
                        <w:pPr>
                          <w:pStyle w:val="TableParagraph"/>
                          <w:spacing w:line="357" w:lineRule="auto" w:before="26"/>
                          <w:ind w:left="382" w:right="2873"/>
                          <w:jc w:val="left"/>
                          <w:rPr>
                            <w:rFonts w:ascii="宋体" w:hAnsi="宋体" w:cs="宋体" w:eastAsia="宋体" w:hint="default"/>
                            <w:sz w:val="18"/>
                            <w:szCs w:val="18"/>
                          </w:rPr>
                        </w:pPr>
                        <w:r>
                          <w:rPr>
                            <w:rFonts w:ascii="宋体" w:hAnsi="宋体" w:cs="宋体" w:eastAsia="宋体" w:hint="default"/>
                            <w:sz w:val="18"/>
                            <w:szCs w:val="18"/>
                          </w:rPr>
                          <w:t>我们相信，我们获取的审计证据是充分、适当的，为发表审计意见提供了基础。 三、审计意见</w:t>
                        </w:r>
                      </w:p>
                      <w:p>
                        <w:pPr>
                          <w:pStyle w:val="TableParagraph"/>
                          <w:spacing w:line="355" w:lineRule="auto" w:before="26"/>
                          <w:ind w:left="22" w:right="23" w:firstLine="360"/>
                          <w:jc w:val="left"/>
                          <w:rPr>
                            <w:rFonts w:ascii="宋体" w:hAnsi="宋体" w:cs="宋体" w:eastAsia="宋体" w:hint="default"/>
                            <w:sz w:val="18"/>
                            <w:szCs w:val="18"/>
                          </w:rPr>
                        </w:pPr>
                        <w:r>
                          <w:rPr>
                            <w:rFonts w:ascii="宋体" w:hAnsi="宋体" w:cs="宋体" w:eastAsia="宋体" w:hint="default"/>
                            <w:spacing w:val="-1"/>
                            <w:sz w:val="18"/>
                            <w:szCs w:val="18"/>
                          </w:rPr>
                          <w:t>我们认为，贵公司的财务报表在所有重大方面按照企业会计准则的规定编制，公允反映了贵公司</w:t>
                        </w:r>
                        <w:r>
                          <w:rPr>
                            <w:rFonts w:ascii="宋体" w:hAnsi="宋体" w:cs="宋体" w:eastAsia="宋体" w:hint="default"/>
                            <w:spacing w:val="-1"/>
                            <w:sz w:val="18"/>
                            <w:szCs w:val="18"/>
                          </w:rPr>
                          <w:t>2014</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31</w:t>
                        </w:r>
                        <w:r>
                          <w:rPr>
                            <w:rFonts w:ascii="宋体" w:hAnsi="宋体" w:cs="宋体" w:eastAsia="宋体" w:hint="default"/>
                            <w:spacing w:val="-1"/>
                            <w:sz w:val="18"/>
                            <w:szCs w:val="18"/>
                          </w:rPr>
                          <w:t>日的合</w:t>
                        </w:r>
                        <w:r>
                          <w:rPr>
                            <w:rFonts w:ascii="宋体" w:hAnsi="宋体" w:cs="宋体" w:eastAsia="宋体" w:hint="default"/>
                            <w:sz w:val="18"/>
                            <w:szCs w:val="18"/>
                          </w:rPr>
                          <w:t> 并及母公司财务状况以及</w:t>
                        </w:r>
                        <w:r>
                          <w:rPr>
                            <w:rFonts w:ascii="宋体" w:hAnsi="宋体" w:cs="宋体" w:eastAsia="宋体" w:hint="default"/>
                            <w:sz w:val="18"/>
                            <w:szCs w:val="18"/>
                          </w:rPr>
                          <w:t>2014</w:t>
                        </w:r>
                        <w:r>
                          <w:rPr>
                            <w:rFonts w:ascii="宋体" w:hAnsi="宋体" w:cs="宋体" w:eastAsia="宋体" w:hint="default"/>
                            <w:sz w:val="18"/>
                            <w:szCs w:val="18"/>
                          </w:rPr>
                          <w:t>年度的合并及母公司经营成果和现金流量。</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7556" w:val="left" w:leader="none"/>
                            <w:tab w:pos="7736" w:val="left" w:leader="none"/>
                          </w:tabs>
                          <w:spacing w:line="355" w:lineRule="auto" w:before="138"/>
                          <w:ind w:left="4496" w:right="20" w:hanging="45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tab/>
                          <w:t>中国注册会计师：潘忠民 二○一五年三月五日</w:t>
                          <w:tab/>
                          <w:tab/>
                          <w:t>中国注册会计师：龙哲</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40"/>
      <w:bookmarkEnd w:id="14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41"/>
      <w:bookmarkEnd w:id="14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60" w:left="980" w:right="0"/>
          <w:cols w:num="3" w:equalWidth="0">
            <w:col w:w="3215" w:space="862"/>
            <w:col w:w="1639" w:space="3203"/>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470,419,138.75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224,722,216.54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45,738,461.01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17,915,599.00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632,771,644.49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524,318,643.58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42,168,779.08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50,027,864.33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52,829,732.96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31,113,811.99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253,564,231.34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187,907,336.27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504,353,924.97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170,304.58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2,050,845,912.60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1,036,175,776.29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126,519,994.10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129,985,581.31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141,224,624.90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93,165,816.14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90,547,984.44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9,466,668.89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13,393,610.01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2,356,937.01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2,118,654.42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168,565,083.46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166,026,118.73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12,051,186.62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15,539,301.83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7,428,178.59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5,583,336.82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549,539,446.12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434,433,631.15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2,600,385,358.72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1,470,609,407.44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42,449,018.49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18,891,301.12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443,690,703.14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344,640,635.99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126,836,443.42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79,908,902.14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17,890,339.14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13,550,955.08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33,090,340.58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23,197,793.69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1,462,833.35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199,500.00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28,103,302.19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21,609,620.59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22,724,894.00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4,653,464.05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752,939,874.31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556,652,172.66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45,449,788.00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45,449,788.00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852,939,874.31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602,101,960.66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994,533,987.65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288,998,524.67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33,849,518.69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27,163,933.74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333,486,030.83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248,883,757.67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1,617,669,537.17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773,846,216.08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129,775,947.24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94,661,230.70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1,747,445,484.41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868,507,446.78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2,600,385,358.72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1,470,609,407.44</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法定代表人：刘磅</w:t>
        <w:tab/>
        <w:t>主管会计工作负责人：黄天朗</w:t>
        <w:tab/>
        <w:t>会计机构负责人：张长伟</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42"/>
      <w:bookmarkEnd w:id="14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144,537,426.96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106,341,101.70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42,863,317.76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13,640,914.60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443,317,920.95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408,837,534.57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35,695,303.47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41,306,295.64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170,330,097.54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54,319,358.58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203,444,250.99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149,542,385.42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503,320,670.44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1,543,508,988.11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773,987,590.51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16,295,748.00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370,604,109.17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307,972,144.91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152,087.36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236,456.84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59,006,003.82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54,035,536.14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2,847,968.00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13,393,610.01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2,329,466.46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2,083,753.11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7,496,500.99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8,340,245.92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5,729,492.19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4,492,791.88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464,461,375.99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390,554,538.81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2,007,970,364.10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1,164,542,129.32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35,895,334.49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18,891,301.12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303,585,446.75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274,033,157.28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100,756,691.72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54,889,448.80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10,789,749.07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9,618,206.12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12,089,111.85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7,070,805.57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23,402,524.03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19,203,360.40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22,724,894.00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4,653,464.05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518,935,751.91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428,559,243.34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45,449,788.00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45,449,788.00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518,935,751.91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474,009,031.34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994,420,690.38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288,895,025.66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33,689,151.10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27,003,566.15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205,124,770.71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165,834,506.17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1,489,034,612.19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690,533,097.98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2,007,970,364.10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1,164,542,129.32</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法定代表人：刘磅</w:t>
        <w:tab/>
        <w:t>主管会计工作负责人：黄天朗</w:t>
        <w:tab/>
        <w:t>会计机构负责人：张长伟</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合并利润表" w:id="143"/>
      <w:bookmarkEnd w:id="14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1,263,062,267.04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1,011,892,653.89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1,263,062,267.04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1,011,892,653.89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1,098,128,739.72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893,497,047.68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863,544,244.30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713,210,855.38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41.419983pt;width:157.7pt;height:19.650pt;mso-position-horizontal-relative:page;mso-position-vertical-relative:page;z-index:-807664" coordorigin="4245,10828" coordsize="3154,393">
            <v:shape style="position:absolute;left:4245;top:10828;width:3154;height:393" coordorigin="4245,10828" coordsize="3154,393" path="m4245,11221l7399,11221,7399,10828,4245,10828,4245,1122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35,874,743.95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26,774,027.94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92,787,515.45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74,887,869.12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91,129,317.19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75,644,448.00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4,511,042.52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-1,557,430.59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10,281,876.31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4,537,277.83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-339,591.58</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340,082.27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164,933,527.32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118,396,096.90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10,611,988.24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8,531,945.65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13,510.00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446,628.11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109,241.81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107,676.18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3,069.09</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175,098,887.45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126,818,800.74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27,359,113.90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19,625,612.45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147,739,773.55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107,193,188.29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6" w:right="0"/>
              <w:jc w:val="left"/>
              <w:rPr>
                <w:rFonts w:ascii="Times New Roman" w:hAnsi="Times New Roman" w:cs="Times New Roman" w:eastAsia="Times New Roman" w:hint="default"/>
                <w:sz w:val="18"/>
                <w:szCs w:val="18"/>
              </w:rPr>
            </w:pPr>
            <w:r>
              <w:rPr>
                <w:rFonts w:ascii="Times New Roman"/>
                <w:sz w:val="18"/>
              </w:rPr>
              <w:t>112,167,858.11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82,294,209.87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35,571,915.44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24,898,978.42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147,739,773.55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107,193,188.29</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112,167,858.11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82,294,209.87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35,571,915.44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24,898,978.42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0.3941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0.3941</w:t>
            </w:r>
          </w:p>
        </w:tc>
      </w:tr>
    </w:tbl>
    <w:p>
      <w:pPr>
        <w:tabs>
          <w:tab w:pos="3484" w:val="left" w:leader="none"/>
          <w:tab w:pos="771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法定代表人：刘磅</w:t>
        <w:tab/>
        <w:t>主管会计工作负责人：黄天朗</w:t>
        <w:tab/>
        <w:t>会计机构负责人：张长伟 </w:t>
      </w:r>
      <w:bookmarkStart w:name="4、母公司利润表" w:id="144"/>
      <w:bookmarkEnd w:id="144"/>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779,287,916.92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690,909,072.50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582,846,728.49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535,953,910.87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21,458,438.48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18,458,451.21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70,860,506.25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59,578,054.15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41,195,305.03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37,607,152.48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3,303,601.78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-3,374,364.38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6,605,026.50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3,748,564.52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18,815,032.13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12,280,359.00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71,833,342.52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51,217,662.65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3,425,117.59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2,617,999.01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409,384.91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97,442.44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82,213.68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2,590.15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74,849,075.20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53,738,219.22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7,993,225.71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5,951,894.97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66,855,849.49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47,786,324.25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66,855,849.49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47,786,324.25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法定代表人：刘磅</w:t>
        <w:tab/>
        <w:t>主管会计工作负责人：黄天朗</w:t>
        <w:tab/>
        <w:t>会计机构负责人：张长伟</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合并现金流量表" w:id="145"/>
      <w:bookmarkEnd w:id="14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2"/>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6"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1,142,161,598.34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908,480,326.18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3,898,403.95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1,966,611.37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19,024,948.39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21,275,752.14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1,165,084,950.68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931,722,689.69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766,300,659.01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705,767,074.23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2"/>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136,047,446.42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93,489,608.77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66,406,618.16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62,157,304.44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82,222,455.51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65,787,879.09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1,050,977,179.10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927,201,866.53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114,107,771.58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4,520,823.16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615,524.54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400,882.27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150,615,759.54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426,382.27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169,930,698.33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27,775,336.43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140,843,238.67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15,149,929.00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10,141,367.47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820,915,304.47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43,025,265.43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-670,299,544.93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-42,598,883.16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770,454,813.76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7,637,998.68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17,644,813.76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7,637,998.68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1,017,454,813.76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57,637,998.68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45,491,777.79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22,330,294.34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2"/>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18,092,214.40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11,885,327.67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52,070,082.17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217,561,859.96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22,410,294.34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799,892,953.80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35,227,704.34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243,701,180.45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-2,850,355.66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218,831,010.64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221,681,366.30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462,532,191.09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218,831,010.64</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法定代表人：刘磅</w:t>
        <w:tab/>
        <w:t>主管会计工作负责人：黄天朗</w:t>
        <w:tab/>
        <w:t>会计机构负责人：张长伟</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母公司现金流量表" w:id="146"/>
      <w:bookmarkEnd w:id="14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2"/>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760,560,929.19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581,987,576.86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198,273.60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546,969.00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11,491,670.94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9,779,452.28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772,250,873.73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592,313,998.14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588,712,630.82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542,836,533.40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74,001,982.67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58,219,376.79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29,053,285.38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29,165,874.32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44,905,742.08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36,894,071.07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736,673,640.95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667,115,855.58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35,577,232.78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-74,801,857.44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19,238,046.03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14,949,595.15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2"/>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49,238,046.03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24,973,195.15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12,202,568.52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23,701,025.73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84,256,858.26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37,649,929.00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632,900,000.00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729,359,426.78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61,450,954.73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-680,121,380.75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-36,477,759.58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752,810,000.00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852,810,000.00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25,951,463.39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10,428,166.67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36,627,721.06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167,579,184.45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10,508,166.67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685,230,815.55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29,491,833.33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40,686,667.58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-81,787,783.69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101,104,653.78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182,892,437.47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141,791,321.36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101,104,653.78</w:t>
            </w:r>
          </w:p>
        </w:tc>
      </w:tr>
    </w:tbl>
    <w:p>
      <w:pPr>
        <w:spacing w:line="240" w:lineRule="auto" w:before="6"/>
        <w:rPr>
          <w:rFonts w:ascii="宋体" w:hAnsi="宋体" w:cs="宋体" w:eastAsia="宋体" w:hint="default"/>
          <w:sz w:val="20"/>
          <w:szCs w:val="20"/>
        </w:rPr>
      </w:pPr>
    </w:p>
    <w:p>
      <w:pPr>
        <w:tabs>
          <w:tab w:pos="3484" w:val="left" w:leader="none"/>
          <w:tab w:pos="771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t>主管会计工作负责人：黄天朗</w:t>
        <w:tab/>
        <w:t>会计机构负责人：张长伟</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合并所有者权益变动表" w:id="147"/>
      <w:bookmarkEnd w:id="14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36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208,80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288,998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,524.67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27,163,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933.74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248,883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,757.67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94,661,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230.70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868,507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,446.78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208,80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288,998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,524.67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27,163,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933.74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248,883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,757.67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94,661,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230.70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868,507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,446.78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705,535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,462.98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84.95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84,602,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273.16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35,114,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716.54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878,938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,037.63</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112,167</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,858.11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35,571,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915.44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147,739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,773.55</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705,535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,462.98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17,635,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015.50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770,170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,478.48</w:t>
            </w:r>
          </w:p>
        </w:tc>
      </w:tr>
      <w:tr>
        <w:trPr>
          <w:trHeight w:val="705"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704,314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,530.03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17,635,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015.50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768,949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,545.53</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1,220,9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32.95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1,220,9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32.95</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84.95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-27,565,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584.95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-18,092,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214.40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-38,972,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214.40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84.95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84.95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-20,880,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-18,092,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214.40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-38,972,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214.40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255,80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994,533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,987.65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518.69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333,486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,030.83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129,775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,947.24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45,484.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208,80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283,179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,409.03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301.31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181,808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,180.23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74,113,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080.28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770,285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,970.85</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208,80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283,179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,409.03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301.31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181,808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,180.23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74,113,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080.28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770,285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,970.85</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8"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5,819,1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15.64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4,778,6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32.43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67,075,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577.44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20,548,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150.42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98,221,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475.93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82,294,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209.87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24,898,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978.42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107,193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,188.29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5,819,1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15.64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7,534,4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99.67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13,353,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615.31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103,499</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7,534,4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99.67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7,637,9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98.68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5,715,6</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16.63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5,715,6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16.63</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4,778,6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32.43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-15,218,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632.43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-11,885,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327.67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-22,325,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327.67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4,778,6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32.43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-4,778,6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32.43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-10,440,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-11,885,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327.67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-22,325,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327.67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208,80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288,998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27,163,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248,883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94,661,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868,507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,524.67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933.74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,757.67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230.70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,446.78</w:t>
            </w:r>
          </w:p>
        </w:tc>
      </w:tr>
    </w:tbl>
    <w:p>
      <w:pPr>
        <w:spacing w:line="240" w:lineRule="auto" w:before="3"/>
        <w:rPr>
          <w:rFonts w:ascii="Times New Roman" w:hAnsi="Times New Roman" w:cs="Times New Roman" w:eastAsia="Times New Roman" w:hint="default"/>
          <w:sz w:val="23"/>
          <w:szCs w:val="23"/>
        </w:rPr>
      </w:pPr>
    </w:p>
    <w:p>
      <w:pPr>
        <w:tabs>
          <w:tab w:pos="3484" w:val="left" w:leader="none"/>
          <w:tab w:pos="771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t>主管会计工作负责人：黄天朗</w:t>
        <w:tab/>
        <w:t>会计机构负责人：张长伟</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8、母公司所有者权益变动表" w:id="148"/>
      <w:bookmarkEnd w:id="14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288,895,0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25.66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27,003,56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165,834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,506.17</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690,533,0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97.98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288,895,0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25.66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27,003,56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165,834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,506.17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690,533,0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97.98</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47,000,0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705,525,6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64.72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6,685,584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39,290,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264.54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798,501,5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14.21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66,855,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849.49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66,855,84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9.49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47,000,0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705,525,6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64.72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752,525,6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64.72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47,000,0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704,304,7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751,304,7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31.77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1,220,932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1,220,932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6,685,584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-27,565,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584.95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6,685,584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-6,685,5</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8" w:right="0"/>
              <w:jc w:val="left"/>
              <w:rPr>
                <w:rFonts w:ascii="Times New Roman" w:hAnsi="Times New Roman" w:cs="Times New Roman" w:eastAsia="Times New Roman" w:hint="default"/>
                <w:sz w:val="18"/>
                <w:szCs w:val="18"/>
              </w:rPr>
            </w:pPr>
            <w:r>
              <w:rPr>
                <w:rFonts w:ascii="Times New Roman"/>
                <w:sz w:val="18"/>
              </w:rPr>
              <w:t>84.95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-20,880,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255,800,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994,420,6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33,689,15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205,124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,770.71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1,489,034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,612.19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283,179,4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09.03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22,224,93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133,266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,814.35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647,471,1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57.10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283,179,4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09.03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22,224,93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133,266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,814.35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647,471,1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57.10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5,715,616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4,778,632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32,567,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691.82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43,061,94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47,786,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47,786,32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324.25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4.25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5,715,616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5,715,616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5,715,616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5,715,616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4,778,632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-15,218,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632.43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4,778,632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-4,778,6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32.43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208,800,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288,895,0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27,003,56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165,834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,506.17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690,533,0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97.98</w:t>
            </w:r>
          </w:p>
        </w:tc>
      </w:tr>
    </w:tbl>
    <w:p>
      <w:pPr>
        <w:spacing w:line="240" w:lineRule="auto" w:before="6"/>
        <w:rPr>
          <w:rFonts w:ascii="宋体" w:hAnsi="宋体" w:cs="宋体" w:eastAsia="宋体" w:hint="default"/>
          <w:sz w:val="20"/>
          <w:szCs w:val="20"/>
        </w:rPr>
      </w:pPr>
    </w:p>
    <w:p>
      <w:pPr>
        <w:tabs>
          <w:tab w:pos="3484" w:val="left" w:leader="none"/>
          <w:tab w:pos="771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t>主管会计工作负责人：黄天朗</w:t>
        <w:tab/>
        <w:t>会计机构负责人：张长伟</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公司基本情况" w:id="149"/>
      <w:bookmarkEnd w:id="149"/>
      <w:r>
        <w:rPr>
          <w:b w:val="0"/>
          <w:bCs w:val="0"/>
        </w:rPr>
      </w:r>
      <w:r>
        <w:rPr/>
        <w:t>三、公司基本情况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577" w:right="0"/>
        <w:jc w:val="left"/>
      </w:pPr>
      <w:r>
        <w:rPr/>
        <w:t>（一）公司概况</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left="576" w:right="0" w:hanging="3"/>
        <w:jc w:val="left"/>
      </w:pPr>
      <w:r>
        <w:rPr>
          <w:rFonts w:ascii="宋体" w:hAnsi="宋体" w:cs="宋体" w:eastAsia="宋体" w:hint="default"/>
        </w:rPr>
        <w:t>1</w:t>
      </w:r>
      <w:r>
        <w:rPr/>
        <w:t>、企业注册地和总部地址 </w:t>
      </w:r>
      <w:r>
        <w:rPr>
          <w:spacing w:val="-1"/>
        </w:rPr>
        <w:t>深圳达实智能股份有限公司（以下简称“公司”或“达实智能”），持深圳市工商行政管理局核发的</w:t>
      </w:r>
    </w:p>
    <w:p>
      <w:pPr>
        <w:pStyle w:val="BodyText"/>
        <w:spacing w:line="357" w:lineRule="auto" w:before="33"/>
        <w:ind w:left="576" w:right="4870" w:hanging="423"/>
        <w:jc w:val="left"/>
      </w:pPr>
      <w:r>
        <w:rPr/>
        <w:t>注册号为</w:t>
      </w:r>
      <w:r>
        <w:rPr>
          <w:rFonts w:ascii="宋体" w:hAnsi="宋体" w:cs="宋体" w:eastAsia="宋体" w:hint="default"/>
        </w:rPr>
        <w:t>440301102717424</w:t>
      </w:r>
      <w:r>
        <w:rPr/>
        <w:t>号企业法人营业执照。 组织机构代码：</w:t>
      </w:r>
      <w:r>
        <w:rPr>
          <w:rFonts w:ascii="宋体" w:hAnsi="宋体" w:cs="宋体" w:eastAsia="宋体" w:hint="default"/>
        </w:rPr>
        <w:t>618886181 </w:t>
      </w:r>
      <w:r>
        <w:rPr/>
        <w:t>公司注册地址：深圳市南山区高新技术工业村</w:t>
      </w:r>
      <w:r>
        <w:rPr>
          <w:rFonts w:ascii="宋体" w:hAnsi="宋体" w:cs="宋体" w:eastAsia="宋体" w:hint="default"/>
        </w:rPr>
        <w:t>W1</w:t>
      </w:r>
      <w:r>
        <w:rPr/>
        <w:t>栋</w:t>
      </w:r>
      <w:r>
        <w:rPr>
          <w:rFonts w:ascii="宋体" w:hAnsi="宋体" w:cs="宋体" w:eastAsia="宋体" w:hint="default"/>
        </w:rPr>
        <w:t>A</w:t>
      </w:r>
      <w:r>
        <w:rPr/>
        <w:t>座五楼 公司总部地址：深圳市南山区高新技术产业园达实智能大厦 法定代表人：刘磅</w:t>
      </w:r>
    </w:p>
    <w:p>
      <w:pPr>
        <w:pStyle w:val="BodyText"/>
        <w:spacing w:line="357" w:lineRule="auto"/>
        <w:ind w:left="576" w:right="7390"/>
        <w:jc w:val="left"/>
      </w:pPr>
      <w:r>
        <w:rPr/>
        <w:t>注册资本：</w:t>
      </w:r>
      <w:r>
        <w:rPr>
          <w:rFonts w:ascii="宋体" w:hAnsi="宋体" w:cs="宋体" w:eastAsia="宋体" w:hint="default"/>
        </w:rPr>
        <w:t>25,580</w:t>
      </w:r>
      <w:r>
        <w:rPr/>
        <w:t>万元 </w:t>
      </w:r>
      <w:r>
        <w:rPr>
          <w:rFonts w:ascii="宋体" w:hAnsi="宋体" w:cs="宋体" w:eastAsia="宋体" w:hint="default"/>
        </w:rPr>
        <w:t>2</w:t>
      </w:r>
      <w:r>
        <w:rPr/>
        <w:t>、企业的业务性质 建筑智能化及建筑节能服务业。 </w:t>
      </w:r>
      <w:r>
        <w:rPr>
          <w:rFonts w:ascii="宋体" w:hAnsi="宋体" w:cs="宋体" w:eastAsia="宋体" w:hint="default"/>
        </w:rPr>
        <w:t>3</w:t>
      </w:r>
      <w:r>
        <w:rPr/>
        <w:t>、主要经营活动</w:t>
      </w:r>
    </w:p>
    <w:p>
      <w:pPr>
        <w:pStyle w:val="BodyText"/>
        <w:spacing w:line="357" w:lineRule="auto" w:before="31"/>
        <w:ind w:left="154" w:right="1110" w:firstLine="422"/>
        <w:jc w:val="both"/>
      </w:pPr>
      <w:r>
        <w:rPr>
          <w:spacing w:val="-1"/>
        </w:rPr>
        <w:t>公司处于建筑智能化行业。所提供的主要产品或服务包括：组装生产、研发能源管理产品；</w:t>
      </w:r>
      <w:r>
        <w:rPr>
          <w:rFonts w:ascii="宋体" w:hAnsi="宋体" w:cs="宋体" w:eastAsia="宋体" w:hint="default"/>
          <w:spacing w:val="-1"/>
        </w:rPr>
        <w:t>IC</w:t>
      </w:r>
      <w:r>
        <w:rPr>
          <w:spacing w:val="-1"/>
        </w:rPr>
        <w:t>卡读写</w:t>
      </w:r>
      <w:r>
        <w:rPr/>
        <w:t> </w:t>
      </w:r>
      <w:r>
        <w:rPr>
          <w:spacing w:val="-1"/>
        </w:rPr>
        <w:t>机具产品、安防监控设备和信息终端、智能大厦监控系统、现场网络控制设备、机电设备和仪器仪表的技</w:t>
      </w:r>
      <w:r>
        <w:rPr>
          <w:spacing w:val="-86"/>
        </w:rPr>
        <w:t> </w:t>
      </w:r>
      <w:r>
        <w:rPr>
          <w:spacing w:val="-86"/>
        </w:rPr>
      </w:r>
      <w:r>
        <w:rPr/>
        <w:t>术开发及相关系统软件的销售；承接建筑智能化系统和工业自动化系统的设计、集成、安装、技术咨询； 提供能源监测、节能咨询服务；电气系统网络开发、电气产品及设备开发、销售、安装。</w:t>
      </w:r>
    </w:p>
    <w:p>
      <w:pPr>
        <w:pStyle w:val="BodyText"/>
        <w:spacing w:line="357" w:lineRule="auto"/>
        <w:ind w:left="576" w:right="3610" w:firstLine="1"/>
        <w:jc w:val="left"/>
      </w:pPr>
      <w:r>
        <w:rPr>
          <w:rFonts w:ascii="宋体" w:hAnsi="宋体" w:cs="宋体" w:eastAsia="宋体" w:hint="default"/>
        </w:rPr>
        <w:t>4</w:t>
      </w:r>
      <w:r>
        <w:rPr/>
        <w:t>、财务报告的批准报出日 本财务报表于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5</w:t>
      </w:r>
      <w:r>
        <w:rPr/>
        <w:t>日经公司第五届董事会第十八次会议批准报出。</w:t>
      </w:r>
    </w:p>
    <w:p>
      <w:pPr>
        <w:pStyle w:val="BodyText"/>
        <w:spacing w:line="357" w:lineRule="auto"/>
        <w:ind w:right="1116" w:firstLine="420"/>
        <w:jc w:val="left"/>
      </w:pPr>
      <w:r>
        <w:rPr/>
        <w:t>截至报告期末，纳入合并财务报表范围的子公司共计</w:t>
      </w:r>
      <w:r>
        <w:rPr>
          <w:rFonts w:ascii="宋体" w:hAnsi="宋体" w:cs="宋体" w:eastAsia="宋体" w:hint="default"/>
        </w:rPr>
        <w:t>7</w:t>
      </w:r>
      <w:r>
        <w:rPr>
          <w:rFonts w:ascii="宋体" w:hAnsi="宋体" w:cs="宋体" w:eastAsia="宋体" w:hint="default"/>
          <w:spacing w:val="-23"/>
        </w:rPr>
        <w:t> </w:t>
      </w:r>
      <w:r>
        <w:rPr/>
        <w:t>家，详见本附注八、合并范围的变更及本附注 九、在其他主体中的权益。</w:t>
      </w:r>
    </w:p>
    <w:p>
      <w:pPr>
        <w:pStyle w:val="BodyText"/>
        <w:spacing w:line="240" w:lineRule="auto"/>
        <w:ind w:left="575" w:right="0"/>
        <w:jc w:val="left"/>
      </w:pPr>
      <w:r>
        <w:rPr/>
        <w:t>本报告期合并财务报表范围变化情况详见本附注八。</w:t>
      </w:r>
    </w:p>
    <w:p>
      <w:pPr>
        <w:spacing w:line="240" w:lineRule="auto" w:before="0"/>
        <w:rPr>
          <w:rFonts w:ascii="宋体" w:hAnsi="宋体" w:cs="宋体" w:eastAsia="宋体" w:hint="default"/>
          <w:sz w:val="20"/>
          <w:szCs w:val="20"/>
        </w:rPr>
      </w:pPr>
    </w:p>
    <w:p>
      <w:pPr>
        <w:pStyle w:val="Heading2"/>
        <w:spacing w:line="240" w:lineRule="auto" w:before="170"/>
        <w:ind w:right="0"/>
        <w:jc w:val="left"/>
        <w:rPr>
          <w:b w:val="0"/>
          <w:bCs w:val="0"/>
        </w:rPr>
      </w:pPr>
      <w:bookmarkStart w:name="四、财务报表的编制基础" w:id="150"/>
      <w:bookmarkEnd w:id="15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51"/>
      <w:bookmarkEnd w:id="15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154" w:right="0" w:firstLine="423"/>
        <w:jc w:val="left"/>
      </w:pPr>
      <w:r>
        <w:rPr>
          <w:spacing w:val="-1"/>
        </w:rPr>
        <w:t>本公司以持续经营为基础，根据实际发生的交易和事项，按照《企业会计准则――基本准则》和其他</w:t>
      </w:r>
      <w:r>
        <w:rPr/>
        <w:t> 各项会计准则的规定进行确认和计量，在此基础上编制财务报表。</w:t>
      </w:r>
    </w:p>
    <w:p>
      <w:pPr>
        <w:spacing w:line="240" w:lineRule="auto" w:before="1"/>
        <w:rPr>
          <w:rFonts w:ascii="宋体" w:hAnsi="宋体" w:cs="宋体" w:eastAsia="宋体" w:hint="default"/>
          <w:sz w:val="27"/>
          <w:szCs w:val="27"/>
        </w:rPr>
      </w:pPr>
    </w:p>
    <w:p>
      <w:pPr>
        <w:pStyle w:val="Heading3"/>
        <w:spacing w:line="240" w:lineRule="auto"/>
        <w:ind w:right="0"/>
        <w:jc w:val="left"/>
        <w:rPr>
          <w:b w:val="0"/>
          <w:bCs w:val="0"/>
        </w:rPr>
      </w:pPr>
      <w:bookmarkStart w:name="2、持续经营" w:id="152"/>
      <w:bookmarkEnd w:id="15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7" w:right="0"/>
        <w:jc w:val="left"/>
      </w:pPr>
      <w:r>
        <w:rPr/>
        <w:t>本公司自本报告期末起</w:t>
      </w:r>
      <w:r>
        <w:rPr>
          <w:rFonts w:ascii="宋体" w:hAnsi="宋体" w:cs="宋体" w:eastAsia="宋体" w:hint="default"/>
        </w:rPr>
        <w:t>12</w:t>
      </w:r>
      <w:r>
        <w:rPr/>
        <w:t>个月内不存在对本公司持续经营能力产生重大疑虑的事项或情况。</w:t>
      </w:r>
    </w:p>
    <w:p>
      <w:pPr>
        <w:spacing w:line="240" w:lineRule="auto" w:before="0"/>
        <w:rPr>
          <w:rFonts w:ascii="宋体" w:hAnsi="宋体" w:cs="宋体" w:eastAsia="宋体" w:hint="default"/>
          <w:sz w:val="20"/>
          <w:szCs w:val="20"/>
        </w:rPr>
      </w:pPr>
    </w:p>
    <w:p>
      <w:pPr>
        <w:pStyle w:val="Heading2"/>
        <w:spacing w:line="240" w:lineRule="auto" w:before="169"/>
        <w:ind w:left="154" w:right="0"/>
        <w:jc w:val="left"/>
        <w:rPr>
          <w:b w:val="0"/>
          <w:bCs w:val="0"/>
        </w:rPr>
      </w:pPr>
      <w:bookmarkStart w:name="五、重要会计政策及会计估计" w:id="153"/>
      <w:bookmarkEnd w:id="153"/>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232"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无</w:t>
      </w:r>
    </w:p>
    <w:p>
      <w:pPr>
        <w:spacing w:after="0" w:line="357"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遵循企业会计准则的声明" w:id="154"/>
      <w:bookmarkEnd w:id="15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32" w:firstLine="423"/>
        <w:jc w:val="both"/>
      </w:pPr>
      <w:r>
        <w:rPr>
          <w:spacing w:val="-1"/>
        </w:rPr>
        <w:t>本公司基于上述编制基础编制的财务报表符合企业会计准则的要求，真实、完整地反映了本公司</w:t>
      </w:r>
      <w:r>
        <w:rPr>
          <w:rFonts w:ascii="宋体" w:hAnsi="宋体" w:cs="宋体" w:eastAsia="宋体" w:hint="default"/>
          <w:spacing w:val="-1"/>
        </w:rPr>
        <w:t>2014</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2014</w:t>
      </w:r>
      <w:r>
        <w:rPr/>
        <w:t>年度的经营成果和现金流量等有关信息。</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会计期间" w:id="155"/>
      <w:bookmarkEnd w:id="15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7" w:right="0"/>
        <w:jc w:val="left"/>
      </w:pPr>
      <w:r>
        <w:rPr/>
        <w:t>本公司会计年度自公历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3、营业周期" w:id="156"/>
      <w:bookmarkEnd w:id="15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right="1130" w:firstLine="423"/>
        <w:jc w:val="both"/>
      </w:pPr>
      <w:r>
        <w:rPr>
          <w:spacing w:val="-1"/>
        </w:rPr>
        <w:t>正常营业周期是指本公司从购买用于加工的资产起至收回现金或现金等价物的期间。本公司以</w:t>
      </w:r>
      <w:r>
        <w:rPr>
          <w:rFonts w:ascii="宋体" w:hAnsi="宋体" w:cs="宋体" w:eastAsia="宋体" w:hint="default"/>
          <w:spacing w:val="-1"/>
        </w:rPr>
        <w:t>12</w:t>
      </w:r>
      <w:r>
        <w:rPr>
          <w:spacing w:val="-1"/>
        </w:rPr>
        <w:t>个月</w:t>
      </w:r>
      <w:r>
        <w:rPr/>
        <w:t> 作为一个营业周期，并以其作为资产和负债的流动性划分标准。</w:t>
      </w:r>
    </w:p>
    <w:p>
      <w:pPr>
        <w:spacing w:line="240" w:lineRule="auto" w:before="13"/>
        <w:rPr>
          <w:rFonts w:ascii="宋体" w:hAnsi="宋体" w:cs="宋体" w:eastAsia="宋体" w:hint="default"/>
          <w:sz w:val="26"/>
          <w:szCs w:val="26"/>
        </w:rPr>
      </w:pPr>
    </w:p>
    <w:p>
      <w:pPr>
        <w:pStyle w:val="Heading3"/>
        <w:spacing w:line="240" w:lineRule="auto"/>
        <w:ind w:left="153" w:right="0"/>
        <w:jc w:val="left"/>
        <w:rPr>
          <w:b w:val="0"/>
          <w:bCs w:val="0"/>
        </w:rPr>
      </w:pPr>
      <w:bookmarkStart w:name="4、记账本位币" w:id="157"/>
      <w:bookmarkEnd w:id="15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7" w:right="0"/>
        <w:jc w:val="left"/>
      </w:pPr>
      <w:r>
        <w:rPr/>
        <w:t>本公司以为人民币记账本位币。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left="153" w:right="0"/>
        <w:jc w:val="left"/>
        <w:rPr>
          <w:b w:val="0"/>
          <w:bCs w:val="0"/>
        </w:rPr>
      </w:pPr>
      <w:bookmarkStart w:name="5、同一控制下和非同一控制下企业合并的会计处理方法" w:id="158"/>
      <w:bookmarkEnd w:id="15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7" w:right="0" w:firstLine="106"/>
        <w:jc w:val="left"/>
      </w:pPr>
      <w:r>
        <w:rPr/>
        <w:t>（</w:t>
      </w:r>
      <w:r>
        <w:rPr>
          <w:rFonts w:ascii="宋体" w:hAnsi="宋体" w:cs="宋体" w:eastAsia="宋体" w:hint="default"/>
        </w:rPr>
        <w:t>1</w:t>
      </w:r>
      <w:r>
        <w:rPr/>
        <w:t>）同一控制下企业合并的会计处理方法 </w:t>
      </w:r>
      <w:r>
        <w:rPr>
          <w:spacing w:val="-1"/>
        </w:rPr>
        <w:t>参与合并的企业在合并前后均受同一方或相同的多方最终控制，且该控制并非暂时性的，为同一控制</w:t>
      </w:r>
    </w:p>
    <w:p>
      <w:pPr>
        <w:pStyle w:val="BodyText"/>
        <w:spacing w:line="355" w:lineRule="auto" w:before="31"/>
        <w:ind w:left="154" w:right="0"/>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357" w:lineRule="auto" w:before="33"/>
        <w:ind w:left="154" w:right="1131" w:firstLine="423"/>
        <w:jc w:val="both"/>
      </w:pPr>
      <w:r>
        <w:rPr>
          <w:spacing w:val="3"/>
        </w:rPr>
        <w:t>本公司在一次交易取得或通过多次交易分步实现同一控制下企业合并，企业合并中取得的资产和负</w:t>
      </w:r>
      <w:r>
        <w:rPr/>
        <w:t> </w:t>
      </w:r>
      <w:r>
        <w:rPr>
          <w:spacing w:val="-1"/>
        </w:rPr>
        <w:t>债，按照合并日被合并方所有者权益在最终控制方合并财务报表的账面价值的份额计量。本公司取得的净</w:t>
      </w:r>
      <w:r>
        <w:rPr>
          <w:spacing w:val="-81"/>
        </w:rPr>
        <w:t> </w:t>
      </w:r>
      <w:r>
        <w:rPr>
          <w:spacing w:val="-81"/>
        </w:rPr>
      </w:r>
      <w:r>
        <w:rPr>
          <w:spacing w:val="-1"/>
        </w:rPr>
        <w:t>资产账面价值与支付的合并对价账面价值（或发行股份面值总额）的差额，调整资本公积；资本公积不足</w:t>
      </w:r>
      <w:r>
        <w:rPr>
          <w:spacing w:val="-84"/>
        </w:rPr>
        <w:t> </w:t>
      </w:r>
      <w:r>
        <w:rPr>
          <w:spacing w:val="-84"/>
        </w:rPr>
      </w:r>
      <w:r>
        <w:rPr/>
        <w:t>冲减的，调整留存收益。</w:t>
      </w:r>
    </w:p>
    <w:p>
      <w:pPr>
        <w:pStyle w:val="BodyText"/>
        <w:spacing w:line="357" w:lineRule="auto"/>
        <w:ind w:left="577" w:right="3819"/>
        <w:jc w:val="left"/>
      </w:pPr>
      <w:r>
        <w:rPr/>
        <w:t>合并方为进行企业合并发生的各项直接费用，于发生时计入当期损益。 合并财务报表的会计处理</w:t>
      </w:r>
    </w:p>
    <w:p>
      <w:pPr>
        <w:pStyle w:val="BodyText"/>
        <w:spacing w:line="357" w:lineRule="auto"/>
        <w:ind w:left="154" w:right="1131" w:firstLine="423"/>
        <w:jc w:val="both"/>
      </w:pPr>
      <w:r>
        <w:rPr>
          <w:spacing w:val="-1"/>
        </w:rPr>
        <w:t>合并方在达到合并之前持有的长期股权投资，在取得日与合并方与被合并方同处于同一方最终控制之</w:t>
      </w:r>
      <w:r>
        <w:rPr/>
        <w:t> </w:t>
      </w:r>
      <w:r>
        <w:rPr>
          <w:spacing w:val="-1"/>
        </w:rPr>
        <w:t>日孰晚日与合并日之间已确认有关损益、其他综合收益和其他所有者权益变动，应分别冲减比较报表期间</w:t>
      </w:r>
      <w:r>
        <w:rPr>
          <w:spacing w:val="-81"/>
        </w:rPr>
        <w:t> </w:t>
      </w:r>
      <w:r>
        <w:rPr>
          <w:spacing w:val="-81"/>
        </w:rPr>
      </w:r>
      <w:r>
        <w:rPr/>
        <w:t>的期初留存收益或当期损益。</w:t>
      </w:r>
    </w:p>
    <w:p>
      <w:pPr>
        <w:pStyle w:val="BodyText"/>
        <w:spacing w:line="357" w:lineRule="auto" w:before="31"/>
        <w:ind w:left="577" w:right="0"/>
        <w:jc w:val="left"/>
      </w:pPr>
      <w:r>
        <w:rPr/>
        <w:t>（</w:t>
      </w:r>
      <w:r>
        <w:rPr>
          <w:rFonts w:ascii="宋体" w:hAnsi="宋体" w:cs="宋体" w:eastAsia="宋体" w:hint="default"/>
        </w:rPr>
        <w:t>2</w:t>
      </w:r>
      <w:r>
        <w:rPr/>
        <w:t>）非同一控制下企业合并的会计处理方法 </w:t>
      </w:r>
      <w:r>
        <w:rPr>
          <w:spacing w:val="-1"/>
        </w:rPr>
        <w:t>参与合并的企业在合并前后不受同一方或相同的多方最终控制的，为非同一控制下的企业合并。非同</w:t>
      </w:r>
    </w:p>
    <w:p>
      <w:pPr>
        <w:pStyle w:val="BodyText"/>
        <w:spacing w:line="357" w:lineRule="auto"/>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240" w:lineRule="auto"/>
        <w:ind w:left="577" w:right="0"/>
        <w:jc w:val="left"/>
      </w:pPr>
      <w:r>
        <w:rPr/>
        <w:t>本公司在购买日对合并成本大于合并中取得的被购买方可辨认净资产公允价值份额的差额，确认为商</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right="113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pStyle w:val="BodyText"/>
        <w:spacing w:line="357" w:lineRule="auto"/>
        <w:ind w:right="1110" w:firstLine="423"/>
        <w:jc w:val="both"/>
      </w:pPr>
      <w:r>
        <w:rPr>
          <w:spacing w:val="3"/>
        </w:rPr>
        <w:t>购买方取得被购买方的可抵扣暂时性差异，在购买日因不符合递延所得税资产确认条件而未予确认</w:t>
      </w:r>
      <w:r>
        <w:rPr/>
        <w:t> </w:t>
      </w:r>
      <w:r>
        <w:rPr>
          <w:spacing w:val="-1"/>
        </w:rPr>
        <w:t>的，在购买日后</w:t>
      </w:r>
      <w:r>
        <w:rPr>
          <w:rFonts w:ascii="宋体" w:hAnsi="宋体" w:cs="宋体" w:eastAsia="宋体"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pStyle w:val="BodyText"/>
        <w:spacing w:line="357" w:lineRule="auto"/>
        <w:ind w:right="1127" w:firstLine="423"/>
        <w:jc w:val="both"/>
      </w:pPr>
      <w:r>
        <w:rPr/>
        <w:t>通过多次交易分步实现的非同一控制下企业合并，根据《财政部关于印发企业会计准则解释第</w:t>
      </w:r>
      <w:r>
        <w:rPr>
          <w:rFonts w:ascii="宋体" w:hAnsi="宋体" w:cs="宋体" w:eastAsia="宋体" w:hint="default"/>
        </w:rPr>
        <w:t>5</w:t>
      </w:r>
      <w:r>
        <w:rPr/>
        <w:t>号的</w:t>
      </w:r>
      <w:r>
        <w:rPr>
          <w:spacing w:val="1"/>
        </w:rPr>
        <w:t> </w:t>
      </w:r>
      <w:r>
        <w:rPr>
          <w:spacing w:val="-5"/>
        </w:rPr>
        <w:t>通知》（财会〔</w:t>
      </w:r>
      <w:r>
        <w:rPr>
          <w:rFonts w:ascii="宋体" w:hAnsi="宋体" w:cs="宋体" w:eastAsia="宋体" w:hint="default"/>
          <w:spacing w:val="-5"/>
        </w:rPr>
        <w:t>2012</w:t>
      </w:r>
      <w:r>
        <w:rPr>
          <w:spacing w:val="-5"/>
        </w:rPr>
        <w:t>〕</w:t>
      </w:r>
      <w:r>
        <w:rPr>
          <w:rFonts w:ascii="宋体" w:hAnsi="宋体" w:cs="宋体" w:eastAsia="宋体" w:hint="default"/>
          <w:spacing w:val="-5"/>
        </w:rPr>
        <w:t>19</w:t>
      </w:r>
      <w:r>
        <w:rPr>
          <w:spacing w:val="-5"/>
        </w:rPr>
        <w:t>号）和《企业会计准则第</w:t>
      </w:r>
      <w:r>
        <w:rPr>
          <w:rFonts w:ascii="宋体" w:hAnsi="宋体" w:cs="宋体" w:eastAsia="宋体" w:hint="default"/>
          <w:spacing w:val="-5"/>
        </w:rPr>
        <w:t>33</w:t>
      </w:r>
      <w:r>
        <w:rPr>
          <w:spacing w:val="-5"/>
        </w:rPr>
        <w:t>号——合并财务报表》第五十一条关于“一揽子交易”</w:t>
      </w:r>
      <w:r>
        <w:rPr>
          <w:spacing w:val="-89"/>
        </w:rPr>
        <w:t> </w:t>
      </w:r>
      <w:r>
        <w:rPr>
          <w:spacing w:val="-89"/>
        </w:rPr>
      </w:r>
      <w:r>
        <w:rPr>
          <w:spacing w:val="-1"/>
        </w:rPr>
        <w:t>的判断标准，判断该多次交易是否属于“一揽子交易”。属于“一揽子交易”的，参考本部分前面各段描</w:t>
      </w:r>
      <w:r>
        <w:rPr>
          <w:spacing w:val="-86"/>
        </w:rPr>
        <w:t> </w:t>
      </w:r>
      <w:r>
        <w:rPr>
          <w:spacing w:val="-86"/>
        </w:rPr>
      </w:r>
      <w:r>
        <w:rPr>
          <w:spacing w:val="-1"/>
        </w:rPr>
        <w:t>述及《长期股权投资》准则进行会计处理；不属于“一揽子交易”的，区分个别财务报表和合并财务报表</w:t>
      </w:r>
      <w:r>
        <w:rPr>
          <w:spacing w:val="-85"/>
        </w:rPr>
        <w:t> </w:t>
      </w:r>
      <w:r>
        <w:rPr>
          <w:spacing w:val="-85"/>
        </w:rPr>
      </w:r>
      <w:r>
        <w:rPr/>
        <w:t>进行相关会计处理：</w:t>
      </w:r>
    </w:p>
    <w:p>
      <w:pPr>
        <w:pStyle w:val="BodyText"/>
        <w:spacing w:line="357" w:lineRule="auto" w:before="31"/>
        <w:ind w:right="1106" w:firstLine="423"/>
        <w:jc w:val="both"/>
      </w:pPr>
      <w:r>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BodyText"/>
        <w:spacing w:line="357" w:lineRule="auto" w:before="31"/>
        <w:ind w:right="1131" w:firstLine="423"/>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6、合并财务报表的编制方法" w:id="159"/>
      <w:bookmarkEnd w:id="15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7" w:right="0"/>
        <w:jc w:val="left"/>
      </w:pPr>
      <w:r>
        <w:rPr/>
        <w:t>（</w:t>
      </w:r>
      <w:r>
        <w:rPr>
          <w:rFonts w:ascii="宋体" w:hAnsi="宋体" w:cs="宋体" w:eastAsia="宋体"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357" w:lineRule="auto" w:before="33"/>
        <w:ind w:left="154" w:right="1131"/>
        <w:jc w:val="both"/>
      </w:pPr>
      <w:r>
        <w:rPr>
          <w:spacing w:val="-1"/>
        </w:rPr>
        <w:t>被投资方的相关活动而享有可变回报，并且有能力运用对被投资方的权力影响其回报金额。相关活动是指</w:t>
      </w:r>
      <w:r>
        <w:rPr>
          <w:spacing w:val="-81"/>
        </w:rPr>
        <w:t> </w:t>
      </w:r>
      <w:r>
        <w:rPr>
          <w:spacing w:val="-81"/>
        </w:rPr>
      </w:r>
      <w:r>
        <w:rPr>
          <w:spacing w:val="-1"/>
        </w:rPr>
        <w:t>对被投资方的回报产生重大影响的活动。被投资方的相关活动根据具体情况进行判断，通常包括商品或劳</w:t>
      </w:r>
      <w:r>
        <w:rPr>
          <w:spacing w:val="-81"/>
        </w:rPr>
        <w:t> </w:t>
      </w:r>
      <w:r>
        <w:rPr>
          <w:spacing w:val="-81"/>
        </w:rPr>
      </w:r>
      <w:r>
        <w:rPr/>
        <w:t>务的销售和购买、金融资产的管理、资产的购买和处置、研究与开发活动以及融资活动等。</w:t>
      </w:r>
    </w:p>
    <w:p>
      <w:pPr>
        <w:pStyle w:val="BodyText"/>
        <w:spacing w:line="357" w:lineRule="auto"/>
        <w:ind w:right="1133" w:firstLine="423"/>
        <w:jc w:val="both"/>
      </w:pPr>
      <w:r>
        <w:rPr>
          <w:spacing w:val="-1"/>
        </w:rPr>
        <w:t>合并范围包括本公司及全部子公司。子公司，是指被本公司控制的企业或主体。一旦相关事实和情况</w:t>
      </w:r>
      <w:r>
        <w:rPr/>
        <w:t> 的变化导致上述控制定义涉及的相关要素发生了变化，本公司将进行重新评估。</w:t>
      </w:r>
    </w:p>
    <w:p>
      <w:pPr>
        <w:pStyle w:val="BodyText"/>
        <w:spacing w:line="355" w:lineRule="auto"/>
        <w:ind w:left="577" w:right="2559"/>
        <w:jc w:val="left"/>
      </w:pPr>
      <w:r>
        <w:rPr/>
        <w:t>（</w:t>
      </w:r>
      <w:r>
        <w:rPr>
          <w:rFonts w:ascii="宋体" w:hAnsi="宋体" w:cs="宋体" w:eastAsia="宋体" w:hint="default"/>
        </w:rPr>
        <w:t>2</w:t>
      </w:r>
      <w:r>
        <w:rPr/>
        <w:t>）合并财务报表编制的方法 本公司以自身和子公司的财务报表为基础，根据其他有关资料，编制合并财务报表。</w:t>
      </w:r>
    </w:p>
    <w:p>
      <w:pPr>
        <w:spacing w:after="0" w:line="355"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right="1131" w:firstLine="423"/>
        <w:jc w:val="both"/>
      </w:pPr>
      <w:r>
        <w:rPr>
          <w:spacing w:val="-1"/>
        </w:rPr>
        <w:t>从取得子公司的净资产和生产经营决策的实际控制权之日起，本公司开始将其纳入合并范围；从丧失</w:t>
      </w:r>
      <w:r>
        <w:rPr/>
        <w:t> </w:t>
      </w: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2"/>
        </w:rPr>
        <w:t> </w:t>
      </w:r>
      <w:r>
        <w:rPr>
          <w:spacing w:val="-82"/>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BodyText"/>
        <w:spacing w:line="357" w:lineRule="auto"/>
        <w:ind w:right="1131" w:firstLine="423"/>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357" w:lineRule="auto"/>
        <w:ind w:left="577" w:right="0"/>
        <w:jc w:val="left"/>
      </w:pPr>
      <w:r>
        <w:rPr/>
        <w:t>公司内所有重大往来余额、交易及未实现利润在合并财务报表编制时予以抵销。 </w:t>
      </w:r>
      <w:r>
        <w:rPr>
          <w:spacing w:val="3"/>
        </w:rPr>
        <w:t>子公司的股东权益及当期净损益中不属于本公司所拥有的部分分别作为少数股东权益及少数股东损</w:t>
      </w:r>
    </w:p>
    <w:p>
      <w:pPr>
        <w:pStyle w:val="BodyText"/>
        <w:spacing w:line="357"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spacing w:val="-1"/>
        </w:rPr>
        <w:t>合并利润表中净利润项目下以“少数股东损益”项目列示。少数股东分担的子公司的亏损超过了少数股东</w:t>
      </w:r>
      <w:r>
        <w:rPr>
          <w:spacing w:val="-83"/>
        </w:rPr>
        <w:t> </w:t>
      </w:r>
      <w:r>
        <w:rPr>
          <w:spacing w:val="-83"/>
        </w:rPr>
      </w:r>
      <w:r>
        <w:rPr/>
        <w:t>在该子公司期初股东权益中所享有的份额，冲减少数股东权益。</w:t>
      </w:r>
    </w:p>
    <w:p>
      <w:pPr>
        <w:pStyle w:val="BodyText"/>
        <w:spacing w:line="357" w:lineRule="auto"/>
        <w:ind w:right="1024" w:firstLine="423"/>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宋体" w:hAnsi="宋体" w:cs="宋体" w:eastAsia="宋体" w:hint="default"/>
        </w:rPr>
        <w:t>2</w:t>
      </w:r>
      <w:r>
        <w:rPr/>
        <w:t>号——长期股权投资》</w:t>
      </w:r>
      <w:r>
        <w:rPr>
          <w:spacing w:val="-27"/>
        </w:rPr>
        <w:t> </w:t>
      </w:r>
      <w:r>
        <w:rPr>
          <w:spacing w:val="-27"/>
        </w:rPr>
      </w:r>
      <w:r>
        <w:rPr/>
        <w:t>或《企业会计准则第</w:t>
      </w:r>
      <w:r>
        <w:rPr>
          <w:rFonts w:ascii="宋体" w:hAnsi="宋体" w:cs="宋体" w:eastAsia="宋体" w:hint="default"/>
        </w:rPr>
        <w:t>22</w:t>
      </w:r>
      <w:r>
        <w:rPr/>
        <w:t>号——金融工具确认和计量》等相关规定进行后续计量。</w:t>
      </w:r>
    </w:p>
    <w:p>
      <w:pPr>
        <w:pStyle w:val="BodyText"/>
        <w:spacing w:line="357" w:lineRule="auto"/>
        <w:ind w:right="1131" w:firstLine="423"/>
        <w:jc w:val="both"/>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t>影响符合以下一种或多种情况，通常表明应将多次交易事项作为一揽子交易进行会计处理：</w:t>
      </w:r>
    </w:p>
    <w:p>
      <w:pPr>
        <w:pStyle w:val="BodyText"/>
        <w:spacing w:line="240" w:lineRule="auto" w:before="31"/>
        <w:ind w:left="577" w:right="0"/>
        <w:jc w:val="left"/>
      </w:pPr>
      <w:r>
        <w:rPr/>
        <w:t>①这些交易是同时或者在考虑了彼此影响的情况下订立的；</w:t>
      </w:r>
    </w:p>
    <w:p>
      <w:pPr>
        <w:pStyle w:val="BodyText"/>
        <w:spacing w:line="240" w:lineRule="auto" w:before="133"/>
        <w:ind w:left="577" w:right="0"/>
        <w:jc w:val="left"/>
      </w:pPr>
      <w:r>
        <w:rPr/>
        <w:t>②这些交易整体才能达成一项完整的商业结果；</w:t>
      </w:r>
    </w:p>
    <w:p>
      <w:pPr>
        <w:pStyle w:val="BodyText"/>
        <w:spacing w:line="240" w:lineRule="auto" w:before="134"/>
        <w:ind w:left="577" w:right="0"/>
        <w:jc w:val="left"/>
      </w:pPr>
      <w:r>
        <w:rPr/>
        <w:t>③一项交易的发生取决于其他至少一项交易的发生；</w:t>
      </w:r>
    </w:p>
    <w:p>
      <w:pPr>
        <w:pStyle w:val="BodyText"/>
        <w:spacing w:line="355" w:lineRule="auto" w:before="133"/>
        <w:ind w:left="577" w:right="0"/>
        <w:jc w:val="left"/>
      </w:pPr>
      <w:r>
        <w:rPr/>
        <w:t>④一项交易单独看是不经济的，但是和其他交易一并考虑时是经济的。 </w:t>
      </w:r>
      <w:r>
        <w:rPr>
          <w:spacing w:val="-1"/>
        </w:rPr>
        <w:t>不属于一揽子交易的，对其中的每一项交易视情况分别按照“不丧失控制权的情况下部分处置对子公</w:t>
      </w:r>
    </w:p>
    <w:p>
      <w:pPr>
        <w:pStyle w:val="BodyText"/>
        <w:spacing w:line="357" w:lineRule="auto" w:before="33"/>
        <w:ind w:left="154" w:right="1131"/>
        <w:jc w:val="both"/>
      </w:pPr>
      <w:r>
        <w:rPr>
          <w:spacing w:val="-1"/>
        </w:rPr>
        <w:t>司的长期股权投资”适用的原则进行会计处理。处置对子公司股权投资直至丧失控制权的各项交易属于一</w:t>
      </w:r>
      <w:r>
        <w:rPr>
          <w:spacing w:val="-82"/>
        </w:rPr>
        <w:t> </w:t>
      </w:r>
      <w:r>
        <w:rPr>
          <w:spacing w:val="-82"/>
        </w:rPr>
      </w:r>
      <w:r>
        <w:rPr>
          <w:spacing w:val="-1"/>
        </w:rPr>
        <w:t>揽子交易的，将各项交易作为一项处置子公司并丧失控制权的交易进行会计处理；但是，在丧失控制权之</w:t>
      </w:r>
      <w:r>
        <w:rPr>
          <w:spacing w:val="-83"/>
        </w:rPr>
        <w:t> </w:t>
      </w:r>
      <w:r>
        <w:rPr>
          <w:spacing w:val="-83"/>
        </w:rPr>
      </w:r>
      <w:r>
        <w:rPr>
          <w:spacing w:val="-1"/>
        </w:rPr>
        <w:t>前每一次处置价款与处置投资对应的享有该子公司净资产份额的差额，在合并财务报表中确认为其他综合</w:t>
      </w:r>
      <w:r>
        <w:rPr>
          <w:spacing w:val="-81"/>
        </w:rPr>
        <w:t> </w:t>
      </w:r>
      <w:r>
        <w:rPr>
          <w:spacing w:val="-81"/>
        </w:rPr>
      </w:r>
      <w:r>
        <w:rPr/>
        <w:t>收益，在丧失控制权时一并转入丧失控制权当期的损益。</w:t>
      </w:r>
    </w:p>
    <w:p>
      <w:pPr>
        <w:spacing w:after="0" w:line="357"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7、合营安排分类及共同经营会计处理方法" w:id="160"/>
      <w:bookmarkEnd w:id="16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7" w:right="1014"/>
        <w:jc w:val="left"/>
      </w:pPr>
      <w:r>
        <w:rPr/>
        <w:t>（</w:t>
      </w:r>
      <w:r>
        <w:rPr>
          <w:rFonts w:ascii="宋体" w:hAnsi="宋体" w:cs="宋体" w:eastAsia="宋体" w:hint="default"/>
        </w:rPr>
        <w:t>1</w:t>
      </w:r>
      <w:r>
        <w:rPr/>
        <w:t>）合营安排分类 </w:t>
      </w:r>
      <w:r>
        <w:rPr>
          <w:spacing w:val="-3"/>
        </w:rPr>
        <w:t>合营安排是指一项由两个或两个以上的参与方共同控制的安排，分为共同经营和合营企业。共同经营，</w:t>
      </w:r>
    </w:p>
    <w:p>
      <w:pPr>
        <w:pStyle w:val="BodyText"/>
        <w:spacing w:line="355" w:lineRule="auto"/>
        <w:ind w:left="154" w:right="1130"/>
        <w:jc w:val="both"/>
      </w:pPr>
      <w:r>
        <w:rPr>
          <w:spacing w:val="-1"/>
        </w:rPr>
        <w:t>是指合营方享有该安排相关资产且承担该安排相关负债的合营安排。合营企业，是指合营方仅对该安排的</w:t>
      </w:r>
      <w:r>
        <w:rPr>
          <w:spacing w:val="-80"/>
        </w:rPr>
        <w:t> </w:t>
      </w:r>
      <w:r>
        <w:rPr>
          <w:spacing w:val="-80"/>
        </w:rPr>
      </w:r>
      <w:r>
        <w:rPr/>
        <w:t>净资产享有权利的合营安排。</w:t>
      </w:r>
    </w:p>
    <w:p>
      <w:pPr>
        <w:pStyle w:val="BodyText"/>
        <w:spacing w:line="355" w:lineRule="auto" w:before="33"/>
        <w:ind w:left="577" w:right="3399"/>
        <w:jc w:val="left"/>
      </w:pPr>
      <w:r>
        <w:rPr/>
        <w:t>（</w:t>
      </w:r>
      <w:r>
        <w:rPr>
          <w:rFonts w:ascii="宋体" w:hAnsi="宋体" w:cs="宋体" w:eastAsia="宋体" w:hint="default"/>
        </w:rPr>
        <w:t>2</w:t>
      </w:r>
      <w:r>
        <w:rPr/>
        <w:t>）共同经营会计处理方法 当公司为共同经营的合营方时，确认与共同经营利益份额相关的下列项目：</w:t>
      </w:r>
    </w:p>
    <w:p>
      <w:pPr>
        <w:pStyle w:val="BodyText"/>
        <w:spacing w:line="240" w:lineRule="auto" w:before="33"/>
        <w:ind w:left="577" w:right="0"/>
        <w:jc w:val="left"/>
      </w:pPr>
      <w:r>
        <w:rPr/>
        <w:t>①确认单独所持有的资产，以及按持有份额确认共同持有的资产；</w:t>
      </w:r>
    </w:p>
    <w:p>
      <w:pPr>
        <w:pStyle w:val="BodyText"/>
        <w:spacing w:line="240" w:lineRule="auto" w:before="133"/>
        <w:ind w:left="577" w:right="0"/>
        <w:jc w:val="left"/>
      </w:pPr>
      <w:r>
        <w:rPr/>
        <w:t>②确认单独所承担的负债，以及按持有份额确认共同承担的负债；</w:t>
      </w:r>
    </w:p>
    <w:p>
      <w:pPr>
        <w:pStyle w:val="BodyText"/>
        <w:spacing w:line="240" w:lineRule="auto" w:before="134"/>
        <w:ind w:left="577" w:right="0"/>
        <w:jc w:val="left"/>
      </w:pPr>
      <w:r>
        <w:rPr/>
        <w:t>③确认出售公司享有的共同经营产出份额所产生的收入；</w:t>
      </w:r>
    </w:p>
    <w:p>
      <w:pPr>
        <w:pStyle w:val="BodyText"/>
        <w:spacing w:line="240" w:lineRule="auto" w:before="133"/>
        <w:ind w:left="577" w:right="0"/>
        <w:jc w:val="left"/>
      </w:pPr>
      <w:r>
        <w:rPr/>
        <w:t>④按公司持有份额确认共同经营因出售资产所产生的收入；</w:t>
      </w:r>
    </w:p>
    <w:p>
      <w:pPr>
        <w:pStyle w:val="BodyText"/>
        <w:spacing w:line="240" w:lineRule="auto" w:before="133"/>
        <w:ind w:left="577" w:right="0"/>
        <w:jc w:val="left"/>
      </w:pPr>
      <w:r>
        <w:rPr/>
        <w:t>⑤确认单独所发生的费用，以及按公司持有份额确认共同经营发生的费用。</w:t>
      </w:r>
    </w:p>
    <w:p>
      <w:pPr>
        <w:pStyle w:val="BodyText"/>
        <w:spacing w:line="240" w:lineRule="auto" w:before="134"/>
        <w:ind w:left="577" w:right="0"/>
        <w:jc w:val="left"/>
      </w:pPr>
      <w:r>
        <w:rPr/>
        <w:t>（</w:t>
      </w:r>
      <w:r>
        <w:rPr>
          <w:rFonts w:ascii="宋体" w:hAnsi="宋体" w:cs="宋体" w:eastAsia="宋体" w:hint="default"/>
        </w:rPr>
        <w:t>3</w:t>
      </w:r>
      <w:r>
        <w:rPr/>
        <w:t>）当公司为合营企业的合营方时，将对合营企业的投资确认为长期股权投资。</w:t>
      </w:r>
    </w:p>
    <w:p>
      <w:pPr>
        <w:spacing w:line="570" w:lineRule="atLeast" w:before="174"/>
        <w:ind w:left="577" w:right="0" w:hanging="424"/>
        <w:jc w:val="left"/>
        <w:rPr>
          <w:rFonts w:ascii="宋体" w:hAnsi="宋体" w:cs="宋体" w:eastAsia="宋体" w:hint="default"/>
          <w:sz w:val="21"/>
          <w:szCs w:val="21"/>
        </w:rPr>
      </w:pPr>
      <w:bookmarkStart w:name="8、现金及现金等价物的确定标准" w:id="161"/>
      <w:bookmarkEnd w:id="16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现金流量表的现金指企业库存现金及可以随时用于支付的存款。现金等价物指持有的期限短（一般是</w:t>
      </w:r>
    </w:p>
    <w:p>
      <w:pPr>
        <w:pStyle w:val="BodyText"/>
        <w:spacing w:line="240" w:lineRule="auto" w:before="134"/>
        <w:ind w:left="154" w:right="0"/>
        <w:jc w:val="both"/>
      </w:pPr>
      <w:r>
        <w:rPr/>
        <w:t>指从购买日起三个月内到期）、流动性强、易于转换为已知金额现金、价值变动风险很小的投资。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0"/>
        <w:jc w:val="both"/>
        <w:rPr>
          <w:b w:val="0"/>
          <w:bCs w:val="0"/>
        </w:rPr>
      </w:pPr>
      <w:bookmarkStart w:name="9、外币业务和外币报表折算" w:id="162"/>
      <w:bookmarkEnd w:id="16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7" w:right="0"/>
        <w:jc w:val="left"/>
      </w:pPr>
      <w:r>
        <w:rPr/>
        <w:t>（</w:t>
      </w:r>
      <w:r>
        <w:rPr>
          <w:rFonts w:ascii="宋体" w:hAnsi="宋体" w:cs="宋体" w:eastAsia="宋体" w:hint="default"/>
        </w:rPr>
        <w:t>1</w:t>
      </w:r>
      <w:r>
        <w:rPr/>
        <w:t>）外币业务折算 外币交易在初始确认时，采用交易发生日的即期汇率</w:t>
      </w:r>
      <w:r>
        <w:rPr>
          <w:rFonts w:ascii="宋体" w:hAnsi="宋体" w:cs="宋体" w:eastAsia="宋体" w:hint="default"/>
        </w:rPr>
        <w:t>/</w:t>
      </w:r>
      <w:r>
        <w:rPr/>
        <w:t>交易发生日即期汇率的近似汇率折算为人民币</w:t>
      </w:r>
    </w:p>
    <w:p>
      <w:pPr>
        <w:pStyle w:val="BodyText"/>
        <w:spacing w:line="357" w:lineRule="auto"/>
        <w:ind w:right="1110"/>
        <w:jc w:val="both"/>
      </w:pPr>
      <w:r>
        <w:rPr/>
        <w:t>金额。资产负债表日，外币货币性项目采用资产负债表日即期汇率折算，因汇率不同而产生的汇兑差额， </w:t>
      </w:r>
      <w:r>
        <w:rPr>
          <w:spacing w:val="-1"/>
        </w:rPr>
        <w:t>除与购建符合资本化条件资产有关的外币专门借款本金及利息的汇兑差额外，计入当期损益；以历史成本</w:t>
      </w:r>
      <w:r>
        <w:rPr>
          <w:spacing w:val="-80"/>
        </w:rPr>
        <w:t> </w:t>
      </w:r>
      <w:r>
        <w:rPr>
          <w:spacing w:val="-80"/>
        </w:rPr>
      </w:r>
      <w:r>
        <w:rPr>
          <w:spacing w:val="-1"/>
        </w:rPr>
        <w:t>计量的外币非货币性项目仍采用交易发生日的即期汇率折算，不改变其人民币金额；以公允价值计量的外</w:t>
      </w:r>
      <w:r>
        <w:rPr>
          <w:spacing w:val="-81"/>
        </w:rPr>
        <w:t> </w:t>
      </w:r>
      <w:r>
        <w:rPr>
          <w:spacing w:val="-81"/>
        </w:rPr>
      </w:r>
      <w:r>
        <w:rPr/>
        <w:t>币非货币性项目，采用公允价值确定日的即期汇率折算，差额计入当期损益或其他综合收益。</w:t>
      </w:r>
    </w:p>
    <w:p>
      <w:pPr>
        <w:pStyle w:val="BodyText"/>
        <w:spacing w:line="355" w:lineRule="auto" w:before="31"/>
        <w:ind w:left="577" w:right="0"/>
        <w:jc w:val="left"/>
      </w:pPr>
      <w:r>
        <w:rPr/>
        <w:t>（</w:t>
      </w:r>
      <w:r>
        <w:rPr>
          <w:rFonts w:ascii="宋体" w:hAnsi="宋体" w:cs="宋体" w:eastAsia="宋体" w:hint="default"/>
        </w:rPr>
        <w:t>2</w:t>
      </w:r>
      <w:r>
        <w:rPr/>
        <w:t>）外币财务报表折算 </w:t>
      </w:r>
      <w:r>
        <w:rPr>
          <w:spacing w:val="-1"/>
        </w:rPr>
        <w:t>资产负债表中的资产和负债项目，采用资产负债表日的即期汇率折算；所有者权益项目除“未分配利</w:t>
      </w:r>
    </w:p>
    <w:p>
      <w:pPr>
        <w:pStyle w:val="BodyText"/>
        <w:spacing w:line="357" w:lineRule="auto" w:before="33"/>
        <w:ind w:left="154" w:right="1131"/>
        <w:jc w:val="both"/>
      </w:pPr>
      <w:r>
        <w:rPr>
          <w:spacing w:val="-1"/>
        </w:rPr>
        <w:t>润”项目外，其他项目采用交易发生日的即期汇率折算；利润表中的收入和费用项目，采用交易发生日的</w:t>
      </w:r>
      <w:r>
        <w:rPr>
          <w:spacing w:val="-83"/>
        </w:rPr>
        <w:t> </w:t>
      </w:r>
      <w:r>
        <w:rPr>
          <w:spacing w:val="-83"/>
        </w:rPr>
      </w:r>
      <w:r>
        <w:rPr/>
        <w:t>即期汇率</w:t>
      </w:r>
      <w:r>
        <w:rPr>
          <w:rFonts w:ascii="宋体" w:hAnsi="宋体" w:cs="宋体" w:eastAsia="宋体" w:hint="default"/>
        </w:rPr>
        <w:t>/</w:t>
      </w:r>
      <w:r>
        <w:rPr/>
        <w:t>交易发生日即期汇率的近似汇率折算。按照上述折算产生的外币财务报表折算差额，在资产负</w:t>
      </w:r>
      <w:r>
        <w:rPr>
          <w:spacing w:val="-33"/>
        </w:rPr>
        <w:t> </w:t>
      </w:r>
      <w:r>
        <w:rPr>
          <w:spacing w:val="-33"/>
        </w:rPr>
      </w:r>
      <w:r>
        <w:rPr/>
        <w:t>债表中所有者权益项目下其他综合收益中列示。</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10、金融工具" w:id="163"/>
      <w:bookmarkEnd w:id="16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7" w:right="0"/>
        <w:jc w:val="left"/>
      </w:pPr>
      <w:r>
        <w:rPr/>
        <w:t>在本公司成为金融工具合同的一方时确认一项金融资产或金融负债。金融资产和金融负债在初始确认</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right="1131"/>
        <w:jc w:val="both"/>
      </w:pP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357" w:lineRule="auto" w:before="33"/>
        <w:ind w:left="577" w:right="0"/>
        <w:jc w:val="left"/>
      </w:pPr>
      <w:r>
        <w:rPr/>
        <w:t>（</w:t>
      </w:r>
      <w:r>
        <w:rPr>
          <w:rFonts w:ascii="宋体" w:hAnsi="宋体" w:cs="宋体" w:eastAsia="宋体"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BodyText"/>
        <w:spacing w:line="357" w:lineRule="auto" w:before="31"/>
        <w:ind w:right="1130"/>
        <w:jc w:val="both"/>
      </w:pPr>
      <w:r>
        <w:rPr>
          <w:spacing w:val="-1"/>
        </w:rPr>
        <w:t>需支付的价格。金融工具存在活跃市场的，本公司采用活跃市场中的报价确定其公允价值。活跃市场中的</w:t>
      </w:r>
      <w:r>
        <w:rPr>
          <w:spacing w:val="-82"/>
        </w:rPr>
        <w:t> </w:t>
      </w:r>
      <w:r>
        <w:rPr>
          <w:spacing w:val="-82"/>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355" w:lineRule="auto" w:before="31"/>
        <w:ind w:left="574" w:right="0"/>
        <w:jc w:val="left"/>
      </w:pPr>
      <w:r>
        <w:rPr/>
        <w:t>（</w:t>
      </w:r>
      <w:r>
        <w:rPr>
          <w:rFonts w:ascii="宋体" w:hAnsi="宋体" w:cs="宋体" w:eastAsia="宋体" w:hint="default"/>
        </w:rPr>
        <w:t>2</w:t>
      </w:r>
      <w:r>
        <w:rPr/>
        <w:t>）金融资产的分类、确认和计量 </w:t>
      </w:r>
      <w:r>
        <w:rPr>
          <w:spacing w:val="-1"/>
        </w:rPr>
        <w:t>以常规方式买卖金融资产，按交易日进行会计确认和终止确认。金融资产在初始确认时划分为以公允</w:t>
      </w:r>
    </w:p>
    <w:p>
      <w:pPr>
        <w:pStyle w:val="BodyText"/>
        <w:spacing w:line="240" w:lineRule="auto" w:before="33"/>
        <w:ind w:left="154" w:right="0"/>
        <w:jc w:val="both"/>
      </w:pPr>
      <w:r>
        <w:rPr/>
        <w:t>价值计量且其变动计入当期损益的金融资产、持有至到期投资、贷款和应收款项以及可供出售金融资产。</w:t>
      </w:r>
    </w:p>
    <w:p>
      <w:pPr>
        <w:pStyle w:val="BodyText"/>
        <w:spacing w:line="357" w:lineRule="auto" w:before="133"/>
        <w:ind w:left="577"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取得该金融资产的目的，主要是为了近期内出</w:t>
      </w:r>
    </w:p>
    <w:p>
      <w:pPr>
        <w:pStyle w:val="BodyText"/>
        <w:spacing w:line="357" w:lineRule="auto"/>
        <w:ind w:right="1130"/>
        <w:jc w:val="both"/>
      </w:pPr>
      <w:r>
        <w:rPr>
          <w:spacing w:val="-1"/>
        </w:rPr>
        <w:t>售；</w:t>
      </w:r>
      <w:r>
        <w:rPr>
          <w:rFonts w:ascii="宋体" w:hAnsi="宋体" w:cs="宋体" w:eastAsia="宋体" w:hint="default"/>
          <w:spacing w:val="-1"/>
        </w:rPr>
        <w:t>B.</w:t>
      </w:r>
      <w:r>
        <w:rPr>
          <w:spacing w:val="-1"/>
        </w:rPr>
        <w:t>属于进行集中管理的可辨认金融工具组合的一部分，且有客观证据表明本公司近期采用短期获利方</w:t>
      </w:r>
      <w:r>
        <w:rPr>
          <w:spacing w:val="-81"/>
        </w:rPr>
        <w:t> </w:t>
      </w:r>
      <w:r>
        <w:rPr>
          <w:spacing w:val="-81"/>
        </w:rPr>
      </w:r>
      <w:r>
        <w:rPr>
          <w:spacing w:val="-1"/>
        </w:rPr>
        <w:t>式对该组合进行管理；</w:t>
      </w:r>
      <w:r>
        <w:rPr>
          <w:rFonts w:ascii="宋体" w:hAnsi="宋体" w:cs="宋体" w:eastAsia="宋体" w:hint="default"/>
          <w:spacing w:val="-1"/>
        </w:rPr>
        <w:t>C.</w:t>
      </w:r>
      <w:r>
        <w:rPr>
          <w:spacing w:val="-1"/>
        </w:rPr>
        <w:t>属于衍生工具，但是，被指定且为有效套期工具的衍生工具、属于财务担保合同</w:t>
      </w:r>
      <w:r>
        <w:rPr>
          <w:spacing w:val="-85"/>
        </w:rPr>
        <w:t> </w:t>
      </w:r>
      <w:r>
        <w:rPr>
          <w:spacing w:val="-85"/>
        </w:rPr>
      </w:r>
      <w:r>
        <w:rPr>
          <w:spacing w:val="-1"/>
        </w:rPr>
        <w:t>的衍生工具、与在活跃市场中没有报价且其公允价值不能可靠计量的权益工具投资挂钩并须通过交付该权</w:t>
      </w:r>
      <w:r>
        <w:rPr>
          <w:spacing w:val="-80"/>
        </w:rPr>
        <w:t> </w:t>
      </w:r>
      <w:r>
        <w:rPr>
          <w:spacing w:val="-80"/>
        </w:rPr>
      </w:r>
      <w:r>
        <w:rPr/>
        <w:t>益工具结算的衍生工具除外。</w:t>
      </w:r>
    </w:p>
    <w:p>
      <w:pPr>
        <w:pStyle w:val="BodyText"/>
        <w:spacing w:line="357" w:lineRule="auto"/>
        <w:ind w:right="1131" w:firstLine="423"/>
        <w:jc w:val="both"/>
      </w:pPr>
      <w:r>
        <w:rPr>
          <w:spacing w:val="-1"/>
        </w:rPr>
        <w:t>符合下述条件之一的金融资产，在初始确认时可指定为以公允价值计量且其变动计入当期损益的金融</w:t>
      </w:r>
      <w:r>
        <w:rPr/>
        <w:t> </w:t>
      </w:r>
      <w:r>
        <w:rPr>
          <w:spacing w:val="-1"/>
        </w:rPr>
        <w:t>资产：</w:t>
      </w:r>
      <w:r>
        <w:rPr>
          <w:rFonts w:ascii="宋体" w:hAnsi="宋体" w:cs="宋体" w:eastAsia="宋体" w:hint="default"/>
          <w:spacing w:val="-1"/>
        </w:rPr>
        <w:t>A.</w:t>
      </w:r>
      <w:r>
        <w:rPr>
          <w:spacing w:val="-1"/>
        </w:rPr>
        <w:t>该指定可以消除或明显减少由于该金融资产的计量基础不同所导致的相关利得或损失在确认或计</w:t>
      </w:r>
      <w:r>
        <w:rPr>
          <w:spacing w:val="-82"/>
        </w:rPr>
        <w:t> </w:t>
      </w:r>
      <w:r>
        <w:rPr>
          <w:spacing w:val="-82"/>
        </w:rPr>
      </w:r>
      <w:r>
        <w:rPr>
          <w:spacing w:val="-1"/>
        </w:rPr>
        <w:t>量方面不一致的情况；</w:t>
      </w:r>
      <w:r>
        <w:rPr>
          <w:rFonts w:ascii="宋体" w:hAnsi="宋体" w:cs="宋体" w:eastAsia="宋体" w:hint="default"/>
          <w:spacing w:val="-1"/>
        </w:rPr>
        <w:t>B.</w:t>
      </w:r>
      <w:r>
        <w:rPr>
          <w:spacing w:val="-1"/>
        </w:rPr>
        <w:t>本公司风险管理或投资策略的正式书面文件已载明，对该金融资产所在的金融资</w:t>
      </w:r>
      <w:r>
        <w:rPr>
          <w:spacing w:val="-83"/>
        </w:rPr>
        <w:t> </w:t>
      </w:r>
      <w:r>
        <w:rPr>
          <w:spacing w:val="-83"/>
        </w:rPr>
      </w:r>
      <w:r>
        <w:rPr/>
        <w:t>产组合或金融资产和金融负债组合以公允价值为基础进行管理、评价并向关键管理人员报告。</w:t>
      </w:r>
    </w:p>
    <w:p>
      <w:pPr>
        <w:pStyle w:val="BodyText"/>
        <w:spacing w:line="355" w:lineRule="auto" w:before="31"/>
        <w:ind w:right="1133" w:firstLine="423"/>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355" w:lineRule="auto" w:before="33"/>
        <w:ind w:left="574" w:right="1017" w:firstLine="3"/>
        <w:jc w:val="left"/>
      </w:pPr>
      <w:r>
        <w:rPr/>
        <w:t>②持有至到期投资 </w:t>
      </w:r>
      <w:r>
        <w:rPr>
          <w:spacing w:val="-3"/>
        </w:rPr>
        <w:t>是指到期日固定、回收金额固定或可确定，且本公司有明确意图和能力持有至到期的非衍生金融资产。</w:t>
      </w:r>
    </w:p>
    <w:p>
      <w:pPr>
        <w:pStyle w:val="BodyText"/>
        <w:spacing w:line="355" w:lineRule="auto" w:before="33"/>
        <w:ind w:left="154" w:right="1131"/>
        <w:jc w:val="both"/>
      </w:pPr>
      <w:r>
        <w:rPr>
          <w:spacing w:val="-1"/>
        </w:rPr>
        <w:t>持有至到期投资采用实际利率法，按摊余成本进行后续计量，在终止确认、发生减值或摊销时产生的利得</w:t>
      </w:r>
      <w:r>
        <w:rPr>
          <w:spacing w:val="-83"/>
        </w:rPr>
        <w:t> </w:t>
      </w:r>
      <w:r>
        <w:rPr>
          <w:spacing w:val="-83"/>
        </w:rPr>
      </w:r>
      <w:r>
        <w:rPr/>
        <w:t>或损失，计入当期损益。</w:t>
      </w:r>
    </w:p>
    <w:p>
      <w:pPr>
        <w:pStyle w:val="BodyText"/>
        <w:spacing w:line="357" w:lineRule="auto" w:before="32"/>
        <w:ind w:right="1130" w:firstLine="423"/>
        <w:jc w:val="both"/>
      </w:pPr>
      <w:r>
        <w:rPr>
          <w:spacing w:val="-1"/>
        </w:rPr>
        <w:t>实际利率法是指按照金融资产或金融负债（含一组金融资产或金融负债）的实际利率计算其摊余成本</w:t>
      </w:r>
      <w:r>
        <w:rPr/>
        <w:t> </w:t>
      </w:r>
      <w:r>
        <w:rPr>
          <w:spacing w:val="-1"/>
        </w:rPr>
        <w:t>及各期利息收入或支出的方法。实际利率是指将金融资产或金融负债在预期存续期间或适用的更短期间内</w:t>
      </w:r>
      <w:r>
        <w:rPr>
          <w:spacing w:val="-81"/>
        </w:rPr>
        <w:t> </w:t>
      </w:r>
      <w:r>
        <w:rPr>
          <w:spacing w:val="-81"/>
        </w:rPr>
      </w:r>
      <w:r>
        <w:rPr>
          <w:spacing w:val="-1"/>
        </w:rPr>
        <w:t>的未来现金流量，折现为该金融资产或金融负债当前账面价值所使用的利率。在计算实际利率时，本公司</w:t>
      </w:r>
      <w:r>
        <w:rPr>
          <w:spacing w:val="-83"/>
        </w:rPr>
        <w:t> </w:t>
      </w:r>
      <w:r>
        <w:rPr>
          <w:spacing w:val="-83"/>
        </w:rPr>
      </w:r>
      <w:r>
        <w:rPr>
          <w:spacing w:val="-1"/>
        </w:rPr>
        <w:t>将在考虑金融资产或金融负债所有合同条款的基础上预计未来现金流量（不考虑未来的信用损失），同时</w:t>
      </w:r>
      <w:r>
        <w:rPr>
          <w:spacing w:val="-83"/>
        </w:rPr>
        <w:t> </w:t>
      </w:r>
      <w:r>
        <w:rPr>
          <w:spacing w:val="-83"/>
        </w:rPr>
      </w:r>
      <w:r>
        <w:rPr>
          <w:spacing w:val="-1"/>
        </w:rPr>
        <w:t>还将考虑金融资产或金融负债合同各方之间支付或收取的、属于实际利率组成部分的各项收费、交易费用</w:t>
      </w:r>
    </w:p>
    <w:p>
      <w:pPr>
        <w:spacing w:after="0" w:line="357" w:lineRule="auto"/>
        <w:jc w:val="both"/>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240" w:lineRule="auto" w:before="35"/>
        <w:ind w:right="0"/>
        <w:jc w:val="both"/>
      </w:pPr>
      <w:r>
        <w:rPr/>
        <w:t>及折价或溢价等。</w:t>
      </w:r>
    </w:p>
    <w:p>
      <w:pPr>
        <w:pStyle w:val="BodyText"/>
        <w:spacing w:line="357" w:lineRule="auto" w:before="133"/>
        <w:ind w:left="577" w:right="0"/>
        <w:jc w:val="left"/>
      </w:pPr>
      <w:r>
        <w:rPr/>
        <w:t>③贷款和应收款项 </w:t>
      </w:r>
      <w:r>
        <w:rPr>
          <w:spacing w:val="-1"/>
        </w:rPr>
        <w:t>是指在活跃市场中没有报价、回收金额固定或可确定的非衍生金融资产。本公司划分为贷款和应收款</w:t>
      </w:r>
    </w:p>
    <w:p>
      <w:pPr>
        <w:pStyle w:val="BodyText"/>
        <w:spacing w:line="357" w:lineRule="auto"/>
        <w:ind w:left="577" w:right="0" w:hanging="424"/>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pStyle w:val="BodyText"/>
        <w:spacing w:line="240" w:lineRule="auto"/>
        <w:ind w:right="0"/>
        <w:jc w:val="both"/>
      </w:pPr>
      <w:r>
        <w:rPr/>
        <w:t>利得或损失，计入当期损益。</w:t>
      </w:r>
    </w:p>
    <w:p>
      <w:pPr>
        <w:pStyle w:val="BodyText"/>
        <w:spacing w:line="355" w:lineRule="auto" w:before="134"/>
        <w:ind w:left="577" w:right="0"/>
        <w:jc w:val="left"/>
      </w:pPr>
      <w:r>
        <w:rPr/>
        <w:t>④可供出售金融资产 </w:t>
      </w:r>
      <w:r>
        <w:rPr>
          <w:spacing w:val="-1"/>
        </w:rPr>
        <w:t>包括初始确认时即被指定为可供出售的非衍生金融资产，以及除了以公允价值计量且其变动计入当期</w:t>
      </w:r>
    </w:p>
    <w:p>
      <w:pPr>
        <w:pStyle w:val="BodyText"/>
        <w:spacing w:line="357" w:lineRule="auto" w:before="32"/>
        <w:ind w:left="577" w:right="0" w:hanging="424"/>
        <w:jc w:val="left"/>
      </w:pPr>
      <w:r>
        <w:rPr/>
        <w:t>损益的金融资产、贷款和应收款项、持有至到期投资以外的金融资产。 </w:t>
      </w:r>
      <w:r>
        <w:rPr>
          <w:spacing w:val="-1"/>
        </w:rPr>
        <w:t>可供出售债务工具投资的期末成本按照其摊余成本法确定，即初始确认金额扣除已偿还的本金，加上</w:t>
      </w:r>
    </w:p>
    <w:p>
      <w:pPr>
        <w:pStyle w:val="BodyText"/>
        <w:spacing w:line="357" w:lineRule="auto"/>
        <w:ind w:right="1110"/>
        <w:jc w:val="both"/>
      </w:pPr>
      <w:r>
        <w:rPr>
          <w:spacing w:val="-1"/>
        </w:rPr>
        <w:t>或减去采用实际利率法将该初始确认金额与到期日金额之间的差额进行摊销形成的累计摊销额，并扣除已</w:t>
      </w:r>
      <w:r>
        <w:rPr>
          <w:spacing w:val="-81"/>
        </w:rPr>
        <w:t> </w:t>
      </w:r>
      <w:r>
        <w:rPr>
          <w:spacing w:val="-81"/>
        </w:rPr>
      </w:r>
      <w:r>
        <w:rPr>
          <w:spacing w:val="-1"/>
        </w:rPr>
        <w:t>发生的减值损失后的金额。可供出售权益工具投资的期末成本为其初始取得成本。可供出售金融资产采用</w:t>
      </w:r>
      <w:r>
        <w:rPr>
          <w:spacing w:val="-81"/>
        </w:rPr>
        <w:t> </w:t>
      </w:r>
      <w:r>
        <w:rPr>
          <w:spacing w:val="-81"/>
        </w:rPr>
      </w:r>
      <w:r>
        <w:rPr>
          <w:spacing w:val="-1"/>
        </w:rPr>
        <w:t>公允价值进行后续计量，公允价值变动形成的利得或损失，除减值损失和外币货币性金融资产与摊余成本</w:t>
      </w:r>
      <w:r>
        <w:rPr>
          <w:spacing w:val="-81"/>
        </w:rPr>
        <w:t> </w:t>
      </w:r>
      <w:r>
        <w:rPr>
          <w:spacing w:val="-81"/>
        </w:rPr>
      </w:r>
      <w:r>
        <w:rPr/>
        <w:t>相关的汇兑差额计入当期损益外，确认为其他综合收益，在该金融资产终止确认时转出，计入当期损益。 </w:t>
      </w:r>
      <w:r>
        <w:rPr>
          <w:spacing w:val="-1"/>
        </w:rPr>
        <w:t>但是，在活跃市场中没有报价且其公允价值不能可靠计量的权益工具投资，以及与该权益工具挂钩并须通</w:t>
      </w:r>
      <w:r>
        <w:rPr>
          <w:spacing w:val="-81"/>
        </w:rPr>
        <w:t> </w:t>
      </w:r>
      <w:r>
        <w:rPr>
          <w:spacing w:val="-81"/>
        </w:rPr>
      </w:r>
      <w:r>
        <w:rPr>
          <w:spacing w:val="-1"/>
        </w:rPr>
        <w:t>过交付该权益工具结算的衍生金融资产，按照成本进行后续计量。可供出售金融资产持有期间取得的利息</w:t>
      </w:r>
      <w:r>
        <w:rPr>
          <w:spacing w:val="-81"/>
        </w:rPr>
        <w:t> </w:t>
      </w:r>
      <w:r>
        <w:rPr>
          <w:spacing w:val="-81"/>
        </w:rPr>
      </w:r>
      <w:r>
        <w:rPr/>
        <w:t>及被投资单位宣告发放的现金股利，计入投资收益。</w:t>
      </w:r>
    </w:p>
    <w:p>
      <w:pPr>
        <w:pStyle w:val="BodyText"/>
        <w:spacing w:line="357" w:lineRule="auto"/>
        <w:ind w:left="577" w:right="0"/>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w:t>
      </w:r>
    </w:p>
    <w:p>
      <w:pPr>
        <w:pStyle w:val="BodyText"/>
        <w:spacing w:line="357" w:lineRule="auto"/>
        <w:ind w:left="577" w:right="0" w:hanging="424"/>
        <w:jc w:val="left"/>
      </w:pPr>
      <w:r>
        <w:rPr/>
        <w:t>产的账面价值进行检查，有客观证据表明金融资产发生减值的，计提减值准备。 </w:t>
      </w:r>
      <w:r>
        <w:rPr>
          <w:spacing w:val="-1"/>
        </w:rPr>
        <w:t>本公司对单项金额重大的金融资产单独进行减值测试；对单项金额不重大的金融资产，单独进行减值</w:t>
      </w:r>
    </w:p>
    <w:p>
      <w:pPr>
        <w:pStyle w:val="BodyText"/>
        <w:spacing w:line="240" w:lineRule="auto"/>
        <w:ind w:right="0"/>
        <w:jc w:val="both"/>
      </w:pPr>
      <w:r>
        <w:rPr>
          <w:spacing w:val="3"/>
        </w:rPr>
        <w:t>测试或包括在具有类似信用风险特征的金融资产组合中进行减值测试。单独测试未发生减值的金融资产</w:t>
      </w:r>
    </w:p>
    <w:p>
      <w:pPr>
        <w:pStyle w:val="BodyText"/>
        <w:spacing w:line="357" w:lineRule="auto" w:before="133"/>
        <w:ind w:right="1027"/>
        <w:jc w:val="both"/>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357" w:lineRule="auto"/>
        <w:ind w:left="577" w:right="0"/>
        <w:jc w:val="left"/>
      </w:pPr>
      <w:r>
        <w:rPr/>
        <w:t>①持有至到期投资、贷款和应收款项减值 </w:t>
      </w:r>
      <w:r>
        <w:rPr>
          <w:spacing w:val="-1"/>
        </w:rPr>
        <w:t>以成本或摊余成本计量的金融资产将其账面价值减记至预计未来现金流量现值，减记金额确认为减值</w:t>
      </w:r>
    </w:p>
    <w:p>
      <w:pPr>
        <w:pStyle w:val="BodyText"/>
        <w:spacing w:line="357" w:lineRule="auto"/>
        <w:ind w:left="154" w:right="1131"/>
        <w:jc w:val="both"/>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357" w:lineRule="auto"/>
        <w:ind w:left="577" w:right="0"/>
        <w:jc w:val="left"/>
      </w:pPr>
      <w:r>
        <w:rPr/>
        <w:t>②可供出售金融资产减值 </w:t>
      </w:r>
      <w:r>
        <w:rPr>
          <w:spacing w:val="-1"/>
        </w:rPr>
        <w:t>当综合相关因素判断可供出售权益工具投资公允价值下跌是严重或非暂时性下跌时，表明该可供出售</w:t>
      </w:r>
    </w:p>
    <w:p>
      <w:pPr>
        <w:pStyle w:val="BodyText"/>
        <w:spacing w:line="357" w:lineRule="auto"/>
        <w:ind w:right="1127"/>
        <w:jc w:val="both"/>
      </w:pPr>
      <w:r>
        <w:rPr/>
        <w:t>权益工具投资发生减值。其中“严重下跌”是指公允价值下跌幅度累计超过</w:t>
      </w:r>
      <w:r>
        <w:rPr>
          <w:rFonts w:ascii="宋体" w:hAnsi="宋体" w:cs="宋体" w:eastAsia="宋体" w:hint="default"/>
        </w:rPr>
        <w:t>20%</w:t>
      </w:r>
      <w:r>
        <w:rPr/>
        <w:t>；“非暂时性下跌”是指</w:t>
      </w:r>
      <w:r>
        <w:rPr>
          <w:spacing w:val="-26"/>
        </w:rPr>
        <w:t> </w:t>
      </w:r>
      <w:r>
        <w:rPr>
          <w:spacing w:val="-26"/>
        </w:rPr>
      </w:r>
      <w:r>
        <w:rPr/>
        <w:t>公允价值连续下跌时间超过</w:t>
      </w:r>
      <w:r>
        <w:rPr>
          <w:rFonts w:ascii="宋体" w:hAnsi="宋体" w:cs="宋体" w:eastAsia="宋体" w:hint="default"/>
        </w:rPr>
        <w:t>12</w:t>
      </w:r>
      <w:r>
        <w:rPr/>
        <w:t>个月。</w:t>
      </w:r>
    </w:p>
    <w:p>
      <w:pPr>
        <w:pStyle w:val="BodyText"/>
        <w:spacing w:line="240" w:lineRule="auto"/>
        <w:ind w:left="577" w:right="0"/>
        <w:jc w:val="left"/>
      </w:pPr>
      <w:r>
        <w:rPr/>
        <w:t>可供出售金融资产发生减值时，将原计入其他综合收益的因公允价值下降形成的累计损失予以转出并</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right="1131"/>
        <w:jc w:val="both"/>
      </w:pP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357" w:lineRule="auto" w:before="33"/>
        <w:ind w:right="1131" w:firstLine="423"/>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357" w:lineRule="auto"/>
        <w:ind w:right="1133" w:firstLine="423"/>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40" w:lineRule="auto"/>
        <w:ind w:left="577" w:right="0"/>
        <w:jc w:val="left"/>
      </w:pPr>
      <w:r>
        <w:rPr/>
        <w:t>（</w:t>
      </w:r>
      <w:r>
        <w:rPr>
          <w:rFonts w:ascii="宋体" w:hAnsi="宋体" w:cs="宋体" w:eastAsia="宋体" w:hint="default"/>
        </w:rPr>
        <w:t>4</w:t>
      </w:r>
      <w:r>
        <w:rPr/>
        <w:t>）金融资产转移的确认依据和计量方法</w:t>
      </w:r>
    </w:p>
    <w:p>
      <w:pPr>
        <w:pStyle w:val="BodyText"/>
        <w:spacing w:line="357" w:lineRule="auto" w:before="133"/>
        <w:ind w:right="1110" w:firstLine="423"/>
        <w:jc w:val="right"/>
      </w:pPr>
      <w:r>
        <w:rPr/>
        <w:t>满足下列条件之一的金融资产，予以终止确认：① 收取该金融资产现金流量的合同权利终止；②</w:t>
      </w:r>
      <w:r>
        <w:rPr>
          <w:spacing w:val="-27"/>
        </w:rPr>
        <w:t> </w:t>
      </w:r>
      <w:r>
        <w:rPr/>
        <w:t>该</w:t>
      </w:r>
      <w:r>
        <w:rPr/>
        <w:t> </w:t>
      </w:r>
      <w:r>
        <w:rPr>
          <w:spacing w:val="-1"/>
        </w:rPr>
        <w:t>金融资产已转移，且将金融资产所有权上几乎所有的风险和报酬转移给转入方；③该金融资产已转移，虽</w:t>
      </w:r>
      <w:r>
        <w:rPr/>
        <w:t> 然企业既没有转移也没有保留金融资产所有权上几乎所有的风险和报酬，但是放弃了对该金融资产控制。 </w:t>
      </w: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p>
    <w:p>
      <w:pPr>
        <w:pStyle w:val="BodyText"/>
        <w:spacing w:line="355" w:lineRule="auto" w:before="31"/>
        <w:ind w:left="577" w:right="0" w:hanging="424"/>
        <w:jc w:val="left"/>
      </w:pPr>
      <w:r>
        <w:rPr/>
        <w:t>金融资产的程度，是指该金融资产价值变动使企业面临的风险水平。 </w:t>
      </w:r>
      <w:r>
        <w:rPr>
          <w:spacing w:val="-1"/>
        </w:rPr>
        <w:t>金融资产整体转移满足终止确认条件的，将所转移金融资产的账面价值及因转移而收到的对价与原计</w:t>
      </w:r>
    </w:p>
    <w:p>
      <w:pPr>
        <w:pStyle w:val="BodyText"/>
        <w:spacing w:line="357" w:lineRule="auto" w:before="32"/>
        <w:ind w:left="577" w:right="0" w:hanging="424"/>
        <w:jc w:val="left"/>
      </w:pPr>
      <w:r>
        <w:rPr/>
        <w:t>入其他综合收益的公允价值变动累计额之和的差额计入当期损益。 </w:t>
      </w:r>
      <w:r>
        <w:rPr>
          <w:spacing w:val="-1"/>
        </w:rPr>
        <w:t>金融资产部分转移满足终止确认条件的，将所转移金融资产的账面价值在终止确认及未终止确认部分</w:t>
      </w:r>
    </w:p>
    <w:p>
      <w:pPr>
        <w:pStyle w:val="BodyText"/>
        <w:spacing w:line="357" w:lineRule="auto"/>
        <w:ind w:right="1132"/>
        <w:jc w:val="both"/>
      </w:pP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357" w:lineRule="auto"/>
        <w:ind w:right="1110" w:firstLine="423"/>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BodyText"/>
        <w:spacing w:line="357" w:lineRule="auto"/>
        <w:ind w:left="577" w:right="0"/>
        <w:jc w:val="left"/>
      </w:pPr>
      <w:r>
        <w:rPr/>
        <w:t>（</w:t>
      </w:r>
      <w:r>
        <w:rPr>
          <w:rFonts w:ascii="宋体" w:hAnsi="宋体" w:cs="宋体" w:eastAsia="宋体"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357" w:lineRule="auto"/>
        <w:ind w:left="154" w:right="1131"/>
        <w:jc w:val="both"/>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355" w:lineRule="auto"/>
        <w:ind w:left="577" w:right="0"/>
        <w:jc w:val="left"/>
      </w:pPr>
      <w:r>
        <w:rPr/>
        <w:t>①以公允价值计量且其变动计入当期损益的金融负债 </w:t>
      </w:r>
      <w:r>
        <w:rPr>
          <w:spacing w:val="3"/>
        </w:rPr>
        <w:t>分类为交易性金融负债和在初始确认时指定为以公允价值计量且其变动计入当期损益的金融负债的</w:t>
      </w:r>
    </w:p>
    <w:p>
      <w:pPr>
        <w:pStyle w:val="BodyText"/>
        <w:spacing w:line="357" w:lineRule="auto" w:before="33"/>
        <w:ind w:right="1131"/>
        <w:jc w:val="both"/>
      </w:pPr>
      <w:r>
        <w:rPr>
          <w:spacing w:val="3"/>
        </w:rPr>
        <w:t>条件与分类为交易性金融资产和在初始确认时指定为以公允价值计量且其变动计入当期损益的金融资产</w:t>
      </w:r>
      <w:r>
        <w:rPr>
          <w:spacing w:val="-82"/>
        </w:rPr>
        <w:t> </w:t>
      </w:r>
      <w:r>
        <w:rPr>
          <w:spacing w:val="-82"/>
        </w:rPr>
      </w:r>
      <w:r>
        <w:rPr>
          <w:spacing w:val="-1"/>
        </w:rPr>
        <w:t>的条件一致。以公允价值计量且其变动计入当期损益的金融负债采用公允价值进行后续计量，公允价值的</w:t>
      </w:r>
      <w:r>
        <w:rPr>
          <w:spacing w:val="-81"/>
        </w:rPr>
        <w:t> </w:t>
      </w:r>
      <w:r>
        <w:rPr>
          <w:spacing w:val="-81"/>
        </w:rPr>
      </w:r>
      <w:r>
        <w:rPr/>
        <w:t>变动形成的利得或损失以及与该等金融负债相关的股利和利息支出计入当期损益。</w:t>
      </w:r>
    </w:p>
    <w:p>
      <w:pPr>
        <w:pStyle w:val="BodyText"/>
        <w:spacing w:line="240" w:lineRule="auto"/>
        <w:ind w:left="577" w:right="0"/>
        <w:jc w:val="left"/>
      </w:pPr>
      <w:r>
        <w:rPr/>
        <w:t>②其他金融负债</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right="1133" w:firstLine="423"/>
        <w:jc w:val="both"/>
      </w:pPr>
      <w:r>
        <w:rPr>
          <w:spacing w:val="-1"/>
        </w:rPr>
        <w:t>与在活跃市场中没有报价、公允价值不能可靠计量的权益工具挂钩并须通过交付该权益工具结算的衍</w:t>
      </w:r>
      <w:r>
        <w:rPr/>
        <w:t> </w:t>
      </w: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357" w:lineRule="auto"/>
        <w:ind w:left="577" w:right="1014"/>
        <w:jc w:val="left"/>
      </w:pPr>
      <w:r>
        <w:rPr/>
        <w:t>（</w:t>
      </w:r>
      <w:r>
        <w:rPr>
          <w:rFonts w:ascii="宋体" w:hAnsi="宋体" w:cs="宋体" w:eastAsia="宋体" w:hint="default"/>
        </w:rPr>
        <w:t>6</w:t>
      </w:r>
      <w:r>
        <w:rPr/>
        <w:t>）金融负债的终止确认 </w:t>
      </w:r>
      <w:r>
        <w:rPr>
          <w:spacing w:val="-3"/>
        </w:rPr>
        <w:t>金融负债的现时义务全部或部分已经解除的，才能终止确认该金融负债或其一部分。本公司（债务人）</w:t>
      </w:r>
    </w:p>
    <w:p>
      <w:pPr>
        <w:pStyle w:val="BodyText"/>
        <w:spacing w:line="357" w:lineRule="auto"/>
        <w:ind w:left="154"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355" w:lineRule="auto"/>
        <w:ind w:right="0" w:firstLine="529"/>
        <w:jc w:val="left"/>
      </w:pPr>
      <w:r>
        <w:rPr/>
        <w:t>金融负债全部或部分终止确认的，将终止确认部分的账面价值与支付的对价（包括转出的非现金资 产或承担的新金融负债）之间的差额，计入当期损益。</w:t>
      </w:r>
    </w:p>
    <w:p>
      <w:pPr>
        <w:pStyle w:val="BodyText"/>
        <w:spacing w:line="355" w:lineRule="auto" w:before="33"/>
        <w:ind w:left="574" w:right="0" w:firstLine="3"/>
        <w:jc w:val="left"/>
      </w:pPr>
      <w:r>
        <w:rPr/>
        <w:t>（</w:t>
      </w:r>
      <w:r>
        <w:rPr>
          <w:rFonts w:ascii="宋体" w:hAnsi="宋体" w:cs="宋体" w:eastAsia="宋体" w:hint="default"/>
        </w:rPr>
        <w:t>7</w:t>
      </w:r>
      <w:r>
        <w:rPr/>
        <w:t>）金融资产和金融负债的抵销 </w:t>
      </w:r>
      <w:r>
        <w:rPr>
          <w:spacing w:val="-1"/>
        </w:rPr>
        <w:t>当本公司具有抵销已确认金融资产和金融负债的法定权利，且目前可执行该种法定权利，同时本公司</w:t>
      </w:r>
    </w:p>
    <w:p>
      <w:pPr>
        <w:pStyle w:val="BodyText"/>
        <w:spacing w:line="355" w:lineRule="auto" w:before="33"/>
        <w:ind w:left="154" w:right="0"/>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355" w:lineRule="auto" w:before="33"/>
        <w:ind w:left="577" w:right="0"/>
        <w:jc w:val="left"/>
      </w:pPr>
      <w:r>
        <w:rPr/>
        <w:t>（</w:t>
      </w:r>
      <w:r>
        <w:rPr>
          <w:rFonts w:ascii="宋体" w:hAnsi="宋体" w:cs="宋体" w:eastAsia="宋体" w:hint="default"/>
        </w:rPr>
        <w:t>8</w:t>
      </w:r>
      <w:r>
        <w:rPr/>
        <w:t>）权益工具 </w:t>
      </w:r>
      <w:r>
        <w:rPr>
          <w:spacing w:val="-1"/>
        </w:rPr>
        <w:t>权益工具是指能证明拥有本公司在扣除所有负债后的资产中的剩余权益的合同。企业合并中合并方发</w:t>
      </w:r>
    </w:p>
    <w:p>
      <w:pPr>
        <w:pStyle w:val="BodyText"/>
        <w:spacing w:line="357" w:lineRule="auto" w:before="32"/>
        <w:ind w:left="154" w:right="1023"/>
        <w:jc w:val="left"/>
      </w:pPr>
      <w:r>
        <w:rPr/>
        <w:t>行权益工具发生的交易费用抵减权益工具的溢价收入，不足抵减的，冲减留存收益。其余权益工具，在发 </w:t>
      </w:r>
      <w:r>
        <w:rPr>
          <w:spacing w:val="-3"/>
        </w:rPr>
        <w:t>行时收到的对价扣除交易费用后增加股东权益。本公司对权益工具持有方的各种分配（不包括股票股利），</w:t>
      </w:r>
      <w:r>
        <w:rPr>
          <w:spacing w:val="-90"/>
        </w:rPr>
        <w:t> </w:t>
      </w:r>
      <w:r>
        <w:rPr>
          <w:spacing w:val="-90"/>
        </w:rPr>
      </w:r>
      <w:r>
        <w:rPr/>
        <w:t>减少股东权益。本公司不确认权益工具的公允价值变动额。</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1、应收款项" w:id="164"/>
      <w:bookmarkEnd w:id="16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65"/>
      <w:bookmarkEnd w:id="16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75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单项金额重大的应收账款标准为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单项金额重大的其他应收款标准为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3"/>
                <w:sz w:val="18"/>
                <w:szCs w:val="18"/>
              </w:rPr>
              <w:t>单独进行减值测试，如有客观证据表明其发生了减值的，根据其未来现金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流量现值低于其账面价值的差额，确认减值损失，计提坏账准备。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66"/>
      <w:bookmarkEnd w:id="16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67"/>
      <w:bookmarkEnd w:id="16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44"/>
        <w:ind w:left="0" w:right="1138" w:firstLine="0"/>
        <w:jc w:val="right"/>
        <w:rPr>
          <w:rFonts w:ascii="宋体" w:hAnsi="宋体" w:cs="宋体" w:eastAsia="宋体" w:hint="default"/>
          <w:sz w:val="18"/>
          <w:szCs w:val="18"/>
        </w:rPr>
      </w:pPr>
      <w:r>
        <w:rPr/>
        <w:pict>
          <v:shape style="position:absolute;margin-left:56.459999pt;margin-top:-20.948284pt;width:479.2pt;height:56.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5"/>
                    <w:gridCol w:w="6733"/>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有客观原因表明未来现金流量现值有可能低于其账面价值。</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0"/>
                          <w:jc w:val="left"/>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单独进行减值测试，根据其未来现金流量现值低于其账面价值的差额，确认减值损失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3"/>
        <w:spacing w:line="259" w:lineRule="auto"/>
        <w:ind w:right="0"/>
        <w:jc w:val="left"/>
        <w:rPr>
          <w:b w:val="0"/>
          <w:bCs w:val="0"/>
        </w:rPr>
      </w:pPr>
      <w:bookmarkStart w:name="（4）对应收票据、预付款项、应收利息、长期应收款等其他应收款项，存在减值迹象的，" w:id="168"/>
      <w:bookmarkEnd w:id="168"/>
      <w:r>
        <w:rPr>
          <w:b w:val="0"/>
          <w:bCs w:val="0"/>
        </w:rPr>
      </w:r>
      <w:r>
        <w:rPr/>
        <w:t>（</w:t>
      </w:r>
      <w:r>
        <w:rPr>
          <w:rFonts w:ascii="Times New Roman" w:hAnsi="Times New Roman" w:cs="Times New Roman" w:eastAsia="Times New Roman" w:hint="default"/>
        </w:rPr>
        <w:t>4</w:t>
      </w:r>
      <w:r>
        <w:rPr/>
        <w:t>）对应收票据、预付款项、应收利息、长期应收款等其他应收款项，存在减值迹象的，根据其未来现</w:t>
      </w:r>
      <w:r>
        <w:rPr>
          <w:spacing w:val="-74"/>
        </w:rPr>
        <w:t> </w:t>
      </w:r>
      <w:r>
        <w:rPr>
          <w:spacing w:val="-74"/>
        </w:rPr>
      </w:r>
      <w:r>
        <w:rPr/>
        <w:t>金流量现值低于其账面价值的差额计提坏账准备。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应收融资租赁款" w:id="169"/>
      <w:bookmarkEnd w:id="169"/>
      <w:r>
        <w:rPr>
          <w:b w:val="0"/>
          <w:bCs w:val="0"/>
        </w:rPr>
      </w:r>
      <w:r>
        <w:rPr/>
        <w:t>（</w:t>
      </w:r>
      <w:r>
        <w:rPr>
          <w:rFonts w:ascii="Times New Roman" w:hAnsi="Times New Roman" w:cs="Times New Roman" w:eastAsia="Times New Roman" w:hint="default"/>
        </w:rPr>
        <w:t>5</w:t>
      </w:r>
      <w:r>
        <w:rPr/>
        <w:t>）应收融资租赁款</w:t>
      </w:r>
      <w:r>
        <w:rPr>
          <w:b w:val="0"/>
          <w:bCs w:val="0"/>
        </w:rPr>
      </w:r>
    </w:p>
    <w:p>
      <w:pPr>
        <w:spacing w:line="240" w:lineRule="auto" w:before="8"/>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本公司按照到期而未收到租金的计提坏帐准备，计提标准：</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5529"/>
      </w:tblGrid>
      <w:tr>
        <w:trPr>
          <w:trHeight w:val="454" w:hRule="exact"/>
        </w:trPr>
        <w:tc>
          <w:tcPr>
            <w:tcW w:w="4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4" w:hRule="exact"/>
        </w:trPr>
        <w:tc>
          <w:tcPr>
            <w:tcW w:w="4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3.00</w:t>
            </w:r>
          </w:p>
        </w:tc>
      </w:tr>
      <w:tr>
        <w:trPr>
          <w:trHeight w:val="454" w:hRule="exact"/>
        </w:trPr>
        <w:tc>
          <w:tcPr>
            <w:tcW w:w="4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5.00</w:t>
            </w:r>
          </w:p>
        </w:tc>
      </w:tr>
      <w:tr>
        <w:trPr>
          <w:trHeight w:val="454" w:hRule="exact"/>
        </w:trPr>
        <w:tc>
          <w:tcPr>
            <w:tcW w:w="4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55" w:hRule="exact"/>
        </w:trPr>
        <w:tc>
          <w:tcPr>
            <w:tcW w:w="4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50.00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存货" w:id="170"/>
      <w:bookmarkEnd w:id="170"/>
      <w:r>
        <w:rPr>
          <w:b w:val="0"/>
          <w:bCs w:val="0"/>
        </w:rPr>
      </w:r>
      <w:r>
        <w:rPr>
          <w:rFonts w:ascii="Times New Roman" w:hAnsi="Times New Roman" w:cs="Times New Roman" w:eastAsia="Times New Roman" w:hint="default"/>
        </w:rPr>
        <w:t>12</w:t>
      </w:r>
      <w:r>
        <w:rPr/>
        <w:t>、存货</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4" w:right="1017"/>
        <w:jc w:val="left"/>
      </w:pPr>
      <w:r>
        <w:rPr/>
        <w:t>（</w:t>
      </w:r>
      <w:r>
        <w:rPr>
          <w:rFonts w:ascii="宋体" w:hAnsi="宋体" w:cs="宋体" w:eastAsia="宋体" w:hint="default"/>
        </w:rPr>
        <w:t>1</w:t>
      </w:r>
      <w:r>
        <w:rPr/>
        <w:t>）存货的分类 </w:t>
      </w:r>
      <w:r>
        <w:rPr>
          <w:spacing w:val="-3"/>
        </w:rPr>
        <w:t>存货分为原材料、生产成本、工程施工、库存商品、发出商品、低值易耗品、委托加工材料等七大类。</w:t>
      </w:r>
    </w:p>
    <w:p>
      <w:pPr>
        <w:pStyle w:val="BodyText"/>
        <w:spacing w:line="357" w:lineRule="auto" w:before="33"/>
        <w:ind w:left="154" w:right="1118"/>
        <w:jc w:val="left"/>
      </w:pPr>
      <w:r>
        <w:rPr>
          <w:spacing w:val="-1"/>
        </w:rPr>
        <w:t>其中生产成本用于核算公司产品生产加工等业务的在产品，工程施工用于归集建造工程施工项目的成本费</w:t>
      </w:r>
      <w:r>
        <w:rPr>
          <w:spacing w:val="-80"/>
        </w:rPr>
        <w:t> </w:t>
      </w:r>
      <w:r>
        <w:rPr>
          <w:spacing w:val="-80"/>
        </w:rPr>
      </w:r>
      <w:r>
        <w:rPr/>
        <w:t>用支出。</w:t>
      </w:r>
    </w:p>
    <w:p>
      <w:pPr>
        <w:pStyle w:val="BodyText"/>
        <w:spacing w:line="357" w:lineRule="auto"/>
        <w:ind w:left="577" w:right="3609" w:hanging="4"/>
        <w:jc w:val="left"/>
      </w:pPr>
      <w:r>
        <w:rPr/>
        <w:t>（</w:t>
      </w:r>
      <w:r>
        <w:rPr>
          <w:rFonts w:ascii="宋体" w:hAnsi="宋体" w:cs="宋体" w:eastAsia="宋体" w:hint="default"/>
        </w:rPr>
        <w:t>2</w:t>
      </w:r>
      <w:r>
        <w:rPr/>
        <w:t>）发出存货的计价方法 各类存货的购入与入库按实际成本计价，发出采用移动加权平均法计价。</w:t>
      </w:r>
    </w:p>
    <w:p>
      <w:pPr>
        <w:spacing w:after="0" w:line="357"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right="1015" w:firstLine="423"/>
        <w:jc w:val="left"/>
      </w:pPr>
      <w:r>
        <w:rPr>
          <w:spacing w:val="-3"/>
        </w:rPr>
        <w:t>工程施工成本的具体核算方法为：按照单个项目为核算对象，分别核算工程施工成本；项目未完工前，</w:t>
      </w:r>
      <w:r>
        <w:rPr/>
        <w:t> 按单个项目归集所发生的实际成本。期末按完工百分比法确认合同收入，按配比原则结转营业成本。项目 </w:t>
      </w:r>
      <w:r>
        <w:rPr>
          <w:spacing w:val="-3"/>
        </w:rPr>
        <w:t>完工时，按照累计实际发生的合同成本扣除以前会计期间累计已确认成本后的金额，确认为当期合同成本，</w:t>
      </w:r>
      <w:r>
        <w:rPr>
          <w:spacing w:val="-92"/>
        </w:rPr>
        <w:t> </w:t>
      </w:r>
      <w:r>
        <w:rPr>
          <w:spacing w:val="-92"/>
        </w:rPr>
      </w:r>
      <w:r>
        <w:rPr/>
        <w:t>并结转工程施工成本。</w:t>
      </w:r>
    </w:p>
    <w:p>
      <w:pPr>
        <w:pStyle w:val="BodyText"/>
        <w:spacing w:line="357" w:lineRule="auto" w:before="31"/>
        <w:ind w:right="1131" w:firstLine="423"/>
        <w:jc w:val="both"/>
      </w:pPr>
      <w:r>
        <w:rPr>
          <w:spacing w:val="3"/>
        </w:rPr>
        <w:t>本公司累计已发生的工程施工成本和累计已确认的工程施工毛利之和大于累计已办理结算的合同价</w:t>
      </w:r>
      <w:r>
        <w:rPr/>
        <w:t> </w:t>
      </w:r>
      <w:r>
        <w:rPr>
          <w:spacing w:val="-1"/>
        </w:rPr>
        <w:t>款的差额为已完工未结算款，在存货中列示；累计已发生的施工成本和累计已确认的毛利之和小于累计已</w:t>
      </w:r>
      <w:r>
        <w:rPr>
          <w:spacing w:val="-81"/>
        </w:rPr>
        <w:t> </w:t>
      </w:r>
      <w:r>
        <w:rPr>
          <w:spacing w:val="-81"/>
        </w:rPr>
      </w:r>
      <w:r>
        <w:rPr/>
        <w:t>办理结算的合同价款的差额为已结算未完工款，在预收款项中反映。</w:t>
      </w:r>
    </w:p>
    <w:p>
      <w:pPr>
        <w:pStyle w:val="BodyText"/>
        <w:spacing w:line="355" w:lineRule="auto"/>
        <w:ind w:left="577" w:right="0"/>
        <w:jc w:val="left"/>
      </w:pPr>
      <w:r>
        <w:rPr/>
        <w:t>（</w:t>
      </w:r>
      <w:r>
        <w:rPr>
          <w:rFonts w:ascii="宋体" w:hAnsi="宋体" w:cs="宋体" w:eastAsia="宋体" w:hint="default"/>
        </w:rPr>
        <w:t>3</w:t>
      </w:r>
      <w:r>
        <w:rPr/>
        <w:t>）存货可变现净值的确定依据及存货跌价准备的计提方法 </w:t>
      </w:r>
      <w:r>
        <w:rPr>
          <w:spacing w:val="-1"/>
        </w:rPr>
        <w:t>存货可变现净值系根据本公司在正常经营过程中，以估计售价减去至完工时估计将要发生的成本及销</w:t>
      </w:r>
    </w:p>
    <w:p>
      <w:pPr>
        <w:pStyle w:val="BodyText"/>
        <w:spacing w:line="355" w:lineRule="auto" w:before="33"/>
        <w:ind w:left="577" w:right="0" w:hanging="424"/>
        <w:jc w:val="left"/>
      </w:pPr>
      <w:r>
        <w:rPr/>
        <w:t>售所必须的估计费用后的价值。 </w:t>
      </w:r>
      <w:r>
        <w:rPr>
          <w:spacing w:val="-1"/>
        </w:rPr>
        <w:t>存货跌价准备的计提方法：本公司于每年中期期末及年度终了在对存货进行全面盘点的基础上，对遭</w:t>
      </w:r>
    </w:p>
    <w:p>
      <w:pPr>
        <w:pStyle w:val="BodyText"/>
        <w:spacing w:line="357" w:lineRule="auto" w:before="33"/>
        <w:ind w:right="1024"/>
        <w:jc w:val="left"/>
      </w:pPr>
      <w:r>
        <w:rPr/>
        <w:t>受损失，全部或部分陈旧过时或销售价格低于成本的存货，根据存货成本与可变现净值孰低计量，按单个 存货项目对同类存货项目的可变现净值低于存货成本的差额计提存货跌价准备，并计入当期损益。对于工 </w:t>
      </w:r>
      <w:r>
        <w:rPr>
          <w:spacing w:val="-3"/>
        </w:rPr>
        <w:t>程施工成本，对预计工程总成本超过预计总收入的工程项目，按照预计工程总成本超过预计总收入的部分，</w:t>
      </w:r>
      <w:r>
        <w:rPr>
          <w:spacing w:val="-92"/>
        </w:rPr>
        <w:t> </w:t>
      </w:r>
      <w:r>
        <w:rPr>
          <w:spacing w:val="-92"/>
        </w:rPr>
      </w:r>
      <w:r>
        <w:rPr/>
        <w:t>计提存货跌价准备。确定可变现净值时，除考虑持有目的和资产负债表日该存货的价格与成本波动外，还</w:t>
      </w:r>
      <w:r>
        <w:rPr/>
        <w:t> 需要考虑未来事项的影响。</w:t>
      </w:r>
    </w:p>
    <w:p>
      <w:pPr>
        <w:pStyle w:val="BodyText"/>
        <w:spacing w:line="357" w:lineRule="auto" w:before="31"/>
        <w:ind w:left="577" w:right="7179"/>
        <w:jc w:val="left"/>
      </w:pPr>
      <w:r>
        <w:rPr/>
        <w:t>（</w:t>
      </w:r>
      <w:r>
        <w:rPr>
          <w:rFonts w:ascii="宋体" w:hAnsi="宋体" w:cs="宋体" w:eastAsia="宋体" w:hint="default"/>
        </w:rPr>
        <w:t>4</w:t>
      </w:r>
      <w:r>
        <w:rPr/>
        <w:t>）存货的盘存制度 存货的盘存制度采用永续盘存制。</w:t>
      </w:r>
    </w:p>
    <w:p>
      <w:pPr>
        <w:pStyle w:val="BodyText"/>
        <w:spacing w:line="357" w:lineRule="auto" w:before="31"/>
        <w:ind w:left="577" w:right="4659"/>
        <w:jc w:val="left"/>
      </w:pPr>
      <w:r>
        <w:rPr/>
        <w:t>（</w:t>
      </w:r>
      <w:r>
        <w:rPr>
          <w:rFonts w:ascii="宋体" w:hAnsi="宋体" w:cs="宋体" w:eastAsia="宋体" w:hint="default"/>
        </w:rPr>
        <w:t>5</w:t>
      </w:r>
      <w:r>
        <w:rPr/>
        <w:t>）低值易耗品和包装物的摊销方法 低值易耗品：低值易耗品于其领用时采用一次性摊销法摊销。 包装物：包装物于其领用时采用一次性摊销法摊销。</w:t>
      </w:r>
    </w:p>
    <w:p>
      <w:pPr>
        <w:pStyle w:val="BodyText"/>
        <w:spacing w:line="570" w:lineRule="atLeast" w:before="71"/>
        <w:ind w:left="577" w:right="0" w:hanging="424"/>
        <w:jc w:val="left"/>
      </w:pPr>
      <w:bookmarkStart w:name="13、长期股权投资" w:id="171"/>
      <w:bookmarkEnd w:id="171"/>
      <w:r>
        <w:rPr/>
      </w:r>
      <w:r>
        <w:rPr>
          <w:rFonts w:ascii="Times New Roman" w:hAnsi="Times New Roman" w:cs="Times New Roman" w:eastAsia="Times New Roman" w:hint="default"/>
          <w:b/>
          <w:bCs/>
        </w:rPr>
        <w:t>13</w:t>
      </w:r>
      <w:r>
        <w:rPr>
          <w:rFonts w:ascii="宋体" w:hAnsi="宋体" w:cs="宋体" w:eastAsia="宋体" w:hint="default"/>
          <w:b/>
          <w:bCs/>
        </w:rPr>
        <w:t>、长期股权投资</w:t>
      </w:r>
      <w:r>
        <w:rPr>
          <w:rFonts w:ascii="宋体" w:hAnsi="宋体" w:cs="宋体" w:eastAsia="宋体" w:hint="default"/>
          <w:b/>
          <w:bCs/>
          <w:w w:val="99"/>
        </w:rPr>
        <w:t> </w:t>
      </w:r>
      <w:r>
        <w:rPr>
          <w:spacing w:val="-1"/>
        </w:rPr>
        <w:t>长期股权投资是指本公司对被投资单位具有控制、重大影响的权益性投资，以及对其合营企业的权益</w:t>
      </w:r>
    </w:p>
    <w:p>
      <w:pPr>
        <w:pStyle w:val="BodyText"/>
        <w:spacing w:line="355" w:lineRule="auto" w:before="134"/>
        <w:ind w:left="154" w:right="0"/>
        <w:jc w:val="left"/>
      </w:pPr>
      <w:r>
        <w:rPr>
          <w:spacing w:val="-1"/>
        </w:rPr>
        <w:t>性投资。本公司对被投资单位不具有控制、共同控制或重大影响的权益性投资，作为可供出售金融资产或</w:t>
      </w:r>
      <w:r>
        <w:rPr>
          <w:spacing w:val="-83"/>
        </w:rPr>
        <w:t> </w:t>
      </w:r>
      <w:r>
        <w:rPr>
          <w:spacing w:val="-83"/>
        </w:rPr>
      </w:r>
      <w:r>
        <w:rPr/>
        <w:t>以公允价值计量且其变动计入当期损益的金融资产核算。</w:t>
      </w:r>
    </w:p>
    <w:p>
      <w:pPr>
        <w:pStyle w:val="BodyText"/>
        <w:spacing w:line="357" w:lineRule="auto" w:before="32"/>
        <w:ind w:right="1131" w:firstLine="423"/>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355" w:lineRule="auto" w:before="31"/>
        <w:ind w:left="577" w:right="0"/>
        <w:jc w:val="left"/>
      </w:pPr>
      <w:r>
        <w:rPr/>
        <w:t>（</w:t>
      </w:r>
      <w:r>
        <w:rPr>
          <w:rFonts w:ascii="宋体" w:hAnsi="宋体" w:cs="宋体" w:eastAsia="宋体" w:hint="default"/>
        </w:rPr>
        <w:t>1</w:t>
      </w:r>
      <w:r>
        <w:rPr/>
        <w:t>）投资成本的确定 </w:t>
      </w:r>
      <w:r>
        <w:rPr>
          <w:spacing w:val="-1"/>
        </w:rPr>
        <w:t>对于同一控制下的企业合并取得的长期股权投资，在合并日按照被合并方所有者权益在最终控制方合</w:t>
      </w:r>
    </w:p>
    <w:p>
      <w:pPr>
        <w:pStyle w:val="BodyText"/>
        <w:spacing w:line="355" w:lineRule="auto" w:before="34"/>
        <w:ind w:left="154" w:right="1130"/>
        <w:jc w:val="both"/>
      </w:pPr>
      <w:r>
        <w:rPr>
          <w:spacing w:val="-1"/>
        </w:rPr>
        <w:t>并财务报表中的账面价值的份额作为长期股权投资的初始投资成本。长期股权投资初始投资成本与支付的</w:t>
      </w:r>
      <w:r>
        <w:rPr>
          <w:spacing w:val="-81"/>
        </w:rPr>
        <w:t> </w:t>
      </w:r>
      <w:r>
        <w:rPr>
          <w:spacing w:val="-81"/>
        </w:rPr>
      </w:r>
      <w:r>
        <w:rPr>
          <w:spacing w:val="-1"/>
        </w:rPr>
        <w:t>现金、转让的非现金资产以及所承担债务账面价值之间的差额，调整资本公积；资本公积不足冲减的，调</w:t>
      </w:r>
      <w:r>
        <w:rPr>
          <w:spacing w:val="-85"/>
        </w:rPr>
        <w:t> </w:t>
      </w:r>
      <w:r>
        <w:rPr>
          <w:spacing w:val="-85"/>
        </w:rPr>
      </w:r>
      <w:r>
        <w:rPr/>
        <w:t>整留存收益。以发行权益性证券作为合并对价的，在合并日按照被合并方股东权益</w:t>
      </w:r>
      <w:r>
        <w:rPr>
          <w:rFonts w:ascii="宋体" w:hAnsi="宋体" w:cs="宋体" w:eastAsia="宋体" w:hint="default"/>
        </w:rPr>
        <w:t>/</w:t>
      </w:r>
      <w:r>
        <w:rPr/>
        <w:t>所有者权益在最终控</w:t>
      </w:r>
    </w:p>
    <w:p>
      <w:pPr>
        <w:spacing w:after="0" w:line="355" w:lineRule="auto"/>
        <w:jc w:val="both"/>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right="1024"/>
        <w:jc w:val="left"/>
      </w:pPr>
      <w:r>
        <w:rPr/>
        <w:t>制方合并财务报表中的账面价值的份额作为长期股权投资的初始投资成本，按照发行股份的面值总额作为 股本，长期股权投资初始投资成本与所发行股份面值总额之间的差额，调整资本公积；资本公积不足冲减 </w:t>
      </w:r>
      <w:r>
        <w:rPr>
          <w:spacing w:val="-3"/>
        </w:rPr>
        <w:t>的，调整留存收益（通过多次交易分步取得同一控制下被合并方的股权，最终形成同一控制下企业合并的，</w:t>
      </w:r>
      <w:r>
        <w:rPr>
          <w:spacing w:val="-90"/>
        </w:rPr>
        <w:t> </w:t>
      </w:r>
      <w:r>
        <w:rPr>
          <w:spacing w:val="-90"/>
        </w:rPr>
      </w:r>
      <w:r>
        <w:rPr/>
        <w:t>应分别是否属于“一揽子交易”进行处理：属于“一揽子交易”的，将各项交易作为一项取得控制权的交</w:t>
      </w:r>
      <w:r>
        <w:rPr/>
        <w:t> 易进行会计处理。不属于“一揽子交易”的，在合并日按照应享有被合并方股东权益</w:t>
      </w:r>
      <w:r>
        <w:rPr>
          <w:rFonts w:ascii="宋体" w:hAnsi="宋体" w:cs="宋体" w:eastAsia="宋体" w:hint="default"/>
        </w:rPr>
        <w:t>/</w:t>
      </w:r>
      <w:r>
        <w:rPr/>
        <w:t>所有者权益在最终</w:t>
      </w:r>
      <w:r>
        <w:rPr>
          <w:spacing w:val="-26"/>
        </w:rPr>
        <w:t> </w:t>
      </w:r>
      <w:r>
        <w:rPr>
          <w:spacing w:val="-26"/>
        </w:rPr>
      </w:r>
      <w:r>
        <w:rPr/>
        <w:t>控制方合并财务报表中的账面价值的份额作为长期股权投资的初始投资成本，长期股权投资初始投资成本</w:t>
      </w:r>
      <w:r>
        <w:rPr/>
        <w:t> 与达到合并前的长期股权投资账面价值加上合并日进一步取得股份新支付对价的账面价值之和的差额，调 整资本公积；资本公积不足冲减的，调整留存收益。合并日之前持有的股权投资因采用权益法核算或为可 供出售金融资产而确认的其他综合收益，暂不进行会计处理）。</w:t>
      </w:r>
    </w:p>
    <w:p>
      <w:pPr>
        <w:pStyle w:val="BodyText"/>
        <w:spacing w:line="357" w:lineRule="auto" w:before="31"/>
        <w:ind w:right="1110" w:firstLine="423"/>
        <w:jc w:val="both"/>
      </w:pPr>
      <w:r>
        <w:rPr>
          <w:spacing w:val="-1"/>
        </w:rPr>
        <w:t>对于非同一控制下的企业合并取得的长期股权投资，在购买日按照合并成本作为长期股权投资的初始</w:t>
      </w:r>
      <w:r>
        <w:rPr/>
        <w:t> </w:t>
      </w:r>
      <w:r>
        <w:rPr>
          <w:spacing w:val="-1"/>
        </w:rPr>
        <w:t>投资成本，合并成本包括购买方付出的资产、发生或承担的负债、发行的权益性证券的公允价值之和（通</w:t>
      </w:r>
      <w:r>
        <w:rPr>
          <w:spacing w:val="-86"/>
        </w:rPr>
        <w:t> </w:t>
      </w:r>
      <w:r>
        <w:rPr>
          <w:spacing w:val="-86"/>
        </w:rPr>
      </w:r>
      <w:r>
        <w:rPr>
          <w:spacing w:val="-1"/>
        </w:rPr>
        <w:t>过多次交易分步取得被购买方的股权，最终形成非同一控制下的企业合并的，应分别是否属于“一揽子交</w:t>
      </w:r>
      <w:r>
        <w:rPr>
          <w:spacing w:val="-81"/>
        </w:rPr>
        <w:t> </w:t>
      </w:r>
      <w:r>
        <w:rPr>
          <w:spacing w:val="-81"/>
        </w:rPr>
      </w:r>
      <w:r>
        <w:rPr>
          <w:spacing w:val="-5"/>
        </w:rPr>
        <w:t>易”进行处理：属于“一揽子交易”的，将各项交易作为一项取得控制权的交易进行会计处理。不属于“一</w:t>
      </w:r>
      <w:r>
        <w:rPr>
          <w:spacing w:val="-101"/>
        </w:rPr>
        <w:t> </w:t>
      </w:r>
      <w:r>
        <w:rPr>
          <w:spacing w:val="-101"/>
        </w:rPr>
      </w:r>
      <w:r>
        <w:rPr>
          <w:spacing w:val="-1"/>
        </w:rPr>
        <w:t>揽子交易”的，按照原持有被购买方的股权投资账面价值加上新增投资成本之和，作为改按成本法核算的</w:t>
      </w:r>
      <w:r>
        <w:rPr>
          <w:spacing w:val="-82"/>
        </w:rPr>
        <w:t> </w:t>
      </w:r>
      <w:r>
        <w:rPr>
          <w:spacing w:val="-82"/>
        </w:rPr>
      </w:r>
      <w:r>
        <w:rPr/>
        <w:t>长期股权投资的初始投资成本。原持有的股权采用权益法核算的，相关其他综合收益暂不进行会计处理。 </w:t>
      </w:r>
      <w:r>
        <w:rPr>
          <w:spacing w:val="-1"/>
        </w:rPr>
        <w:t>原持有股权投资为可供出售金融资产的，其公允价值与账面价值之间的差额，以及原计入其他综合收益的</w:t>
      </w:r>
      <w:r>
        <w:rPr>
          <w:spacing w:val="-81"/>
        </w:rPr>
        <w:t> </w:t>
      </w:r>
      <w:r>
        <w:rPr>
          <w:spacing w:val="-81"/>
        </w:rPr>
      </w:r>
      <w:r>
        <w:rPr/>
        <w:t>累计公允价值变动转入当期损益）。</w:t>
      </w:r>
    </w:p>
    <w:p>
      <w:pPr>
        <w:pStyle w:val="BodyText"/>
        <w:spacing w:line="357" w:lineRule="auto"/>
        <w:ind w:right="1133" w:firstLine="423"/>
        <w:jc w:val="both"/>
      </w:pPr>
      <w:r>
        <w:rPr>
          <w:spacing w:val="-1"/>
        </w:rPr>
        <w:t>合并方或购买方为企业合并发生的审计、法律服务、评估咨询等中介费用以及其他相关管理费用，于</w:t>
      </w:r>
      <w:r>
        <w:rPr/>
        <w:t> 发生时计入当期损益。</w:t>
      </w:r>
    </w:p>
    <w:p>
      <w:pPr>
        <w:pStyle w:val="BodyText"/>
        <w:spacing w:line="357" w:lineRule="auto"/>
        <w:ind w:right="1110" w:firstLine="423"/>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号——金融工具确认和计量》确定的原持有股权投资的公允价值加上新增投资成本</w:t>
      </w:r>
      <w:r>
        <w:rPr>
          <w:spacing w:val="-81"/>
        </w:rPr>
        <w:t> </w:t>
      </w:r>
      <w:r>
        <w:rPr>
          <w:spacing w:val="-81"/>
        </w:rPr>
      </w:r>
      <w:r>
        <w:rPr/>
        <w:t>之和。</w:t>
      </w:r>
    </w:p>
    <w:p>
      <w:pPr>
        <w:pStyle w:val="BodyText"/>
        <w:spacing w:line="357" w:lineRule="auto"/>
        <w:ind w:left="577" w:right="1089"/>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w:t>
      </w:r>
    </w:p>
    <w:p>
      <w:pPr>
        <w:pStyle w:val="BodyText"/>
        <w:spacing w:line="240" w:lineRule="auto"/>
        <w:ind w:left="154" w:right="0"/>
        <w:jc w:val="left"/>
      </w:pPr>
      <w:r>
        <w:rPr/>
        <w:t>此外，公司财务报表采用成本法核算能够对被投资单位实施控制的长期股权投资。</w:t>
      </w:r>
    </w:p>
    <w:p>
      <w:pPr>
        <w:pStyle w:val="BodyText"/>
        <w:spacing w:line="357" w:lineRule="auto" w:before="133"/>
        <w:ind w:left="577" w:right="1089"/>
        <w:jc w:val="left"/>
      </w:pPr>
      <w:r>
        <w:rPr/>
        <w:t>①成本法核算的长期股权投资 采用成本法核算时，长期股权投资按初始投资成本计价，追加或收回投资调整长期股权投资的成本。</w:t>
      </w:r>
    </w:p>
    <w:p>
      <w:pPr>
        <w:pStyle w:val="BodyText"/>
        <w:spacing w:line="357" w:lineRule="auto"/>
        <w:ind w:right="0"/>
        <w:jc w:val="left"/>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240" w:lineRule="auto"/>
        <w:ind w:left="577" w:right="0"/>
        <w:jc w:val="left"/>
      </w:pPr>
      <w:r>
        <w:rPr/>
        <w:t>②权益法核算的长期股权投资</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right="1131" w:firstLine="423"/>
        <w:jc w:val="both"/>
      </w:pPr>
      <w:r>
        <w:rPr>
          <w:spacing w:val="-1"/>
        </w:rPr>
        <w:t>采用权益法核算时，长期股权投资的初始投资成本大于投资时应享有被投资单位可辨认净资产公允价</w:t>
      </w:r>
      <w:r>
        <w:rPr/>
        <w:t> </w:t>
      </w: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357" w:lineRule="auto"/>
        <w:ind w:right="1130" w:firstLine="423"/>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0"/>
        </w:rPr>
        <w:t> </w:t>
      </w:r>
      <w:r>
        <w:rPr>
          <w:spacing w:val="-80"/>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宋体" w:hAnsi="宋体" w:cs="宋体" w:eastAsia="宋体" w:hint="default"/>
          <w:spacing w:val="-1"/>
        </w:rPr>
        <w:t>20</w:t>
      </w:r>
      <w:r>
        <w:rPr>
          <w:spacing w:val="-1"/>
        </w:rPr>
        <w:t>号——企业合并》的规定进行会计处理，全额</w:t>
      </w:r>
      <w:r>
        <w:rPr>
          <w:spacing w:val="-86"/>
        </w:rPr>
        <w:t> </w:t>
      </w:r>
      <w:r>
        <w:rPr>
          <w:spacing w:val="-86"/>
        </w:rPr>
      </w:r>
      <w:r>
        <w:rPr/>
        <w:t>确认与交易相关的利得或损失。</w:t>
      </w:r>
    </w:p>
    <w:p>
      <w:pPr>
        <w:pStyle w:val="BodyText"/>
        <w:spacing w:line="357" w:lineRule="auto" w:before="31"/>
        <w:ind w:right="1131" w:firstLine="423"/>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357" w:lineRule="auto"/>
        <w:ind w:left="577" w:right="0"/>
        <w:jc w:val="left"/>
      </w:pPr>
      <w:r>
        <w:rPr/>
        <w:t>③收购少数股权 </w:t>
      </w:r>
      <w:r>
        <w:rPr>
          <w:spacing w:val="-1"/>
        </w:rPr>
        <w:t>在编制合并财务报表时，因购买少数股权新增的长期股权投资与按照新增持股比例计算应享有子公司</w:t>
      </w:r>
    </w:p>
    <w:p>
      <w:pPr>
        <w:pStyle w:val="BodyText"/>
        <w:spacing w:line="357" w:lineRule="auto"/>
        <w:ind w:left="154" w:right="0"/>
        <w:jc w:val="left"/>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357" w:lineRule="auto"/>
        <w:ind w:left="577" w:right="0"/>
        <w:jc w:val="left"/>
      </w:pPr>
      <w:r>
        <w:rPr/>
        <w:t>④处置长期股权投资 </w:t>
      </w:r>
      <w:r>
        <w:rPr>
          <w:spacing w:val="-1"/>
        </w:rPr>
        <w:t>在合并财务报表中，母公司在不丧失控制权的情况下部分处置对子公司的长期股权投资，处置价款与</w:t>
      </w:r>
    </w:p>
    <w:p>
      <w:pPr>
        <w:pStyle w:val="BodyText"/>
        <w:spacing w:line="355" w:lineRule="auto"/>
        <w:ind w:left="154" w:right="0"/>
        <w:jc w:val="left"/>
      </w:pPr>
      <w:r>
        <w:rPr>
          <w:spacing w:val="-1"/>
        </w:rPr>
        <w:t>处置长期股权投资相对应享有子公司净资产的差额计入股东权益；母公司部分处置对子公司的长期股权投</w:t>
      </w:r>
      <w:r>
        <w:rPr>
          <w:spacing w:val="-81"/>
        </w:rPr>
        <w:t> </w:t>
      </w:r>
      <w:r>
        <w:rPr>
          <w:spacing w:val="-81"/>
        </w:rPr>
      </w:r>
      <w:r>
        <w:rPr/>
        <w:t>资导致丧失对子公司控制权的，按本附注</w:t>
      </w:r>
      <w:r>
        <w:rPr>
          <w:spacing w:val="-1"/>
        </w:rPr>
        <w:t> </w:t>
      </w:r>
      <w:r>
        <w:rPr/>
        <w:t>“合并财务报表的编制方法”中所述的相关会计政策处理。</w:t>
      </w:r>
    </w:p>
    <w:p>
      <w:pPr>
        <w:pStyle w:val="BodyText"/>
        <w:spacing w:line="240" w:lineRule="auto" w:before="33"/>
        <w:ind w:left="577" w:right="0"/>
        <w:jc w:val="left"/>
      </w:pPr>
      <w:r>
        <w:rPr/>
        <w:t>其他情形下的长期股权投资处置，对于处置的股权，其账面价值与实际取得价款的差额，计入当期损</w:t>
      </w:r>
    </w:p>
    <w:p>
      <w:pPr>
        <w:pStyle w:val="BodyText"/>
        <w:spacing w:line="240" w:lineRule="auto" w:before="133"/>
        <w:ind w:right="0"/>
        <w:jc w:val="left"/>
      </w:pPr>
      <w:r>
        <w:rPr/>
        <w:t>益。</w:t>
      </w:r>
    </w:p>
    <w:p>
      <w:pPr>
        <w:pStyle w:val="BodyText"/>
        <w:spacing w:line="240" w:lineRule="auto" w:before="134"/>
        <w:ind w:left="577" w:right="0"/>
        <w:jc w:val="left"/>
      </w:pPr>
      <w:r>
        <w:rPr/>
        <w:t>采用权益法核算的长期股权投资，处置后的剩余股权仍采用权益法核算的，在处置时将原计入股东权</w:t>
      </w:r>
    </w:p>
    <w:p>
      <w:pPr>
        <w:pStyle w:val="BodyText"/>
        <w:spacing w:line="240" w:lineRule="auto" w:before="133"/>
        <w:ind w:left="154" w:right="0"/>
        <w:jc w:val="left"/>
      </w:pPr>
      <w:r>
        <w:rPr>
          <w:spacing w:val="3"/>
        </w:rPr>
        <w:t>益的其他综合收益部分按相应的比例采用与被投资单位直接处置相关资产或负债相同的基础进行会计处</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right="0"/>
        <w:jc w:val="left"/>
      </w:pP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357" w:lineRule="auto" w:before="33"/>
        <w:ind w:right="1131" w:firstLine="423"/>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357" w:lineRule="auto" w:before="31"/>
        <w:ind w:right="1130" w:firstLine="423"/>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0"/>
        </w:rPr>
        <w:t> </w:t>
      </w:r>
      <w:r>
        <w:rPr>
          <w:spacing w:val="-80"/>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357" w:lineRule="auto" w:before="31"/>
        <w:ind w:right="1130" w:firstLine="423"/>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0"/>
        </w:rPr>
        <w:t> </w:t>
      </w:r>
      <w:r>
        <w:rPr>
          <w:spacing w:val="-80"/>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357" w:lineRule="auto"/>
        <w:ind w:right="1106" w:firstLine="423"/>
        <w:jc w:val="both"/>
      </w:pPr>
      <w:r>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4、投资性房地产" w:id="172"/>
      <w:bookmarkEnd w:id="172"/>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5"/>
        <w:rPr>
          <w:rFonts w:ascii="宋体" w:hAnsi="宋体" w:cs="宋体" w:eastAsia="宋体" w:hint="default"/>
          <w:b/>
          <w:bCs/>
          <w:sz w:val="23"/>
          <w:szCs w:val="23"/>
        </w:rPr>
      </w:pPr>
    </w:p>
    <w:p>
      <w:pPr>
        <w:spacing w:line="357" w:lineRule="auto" w:before="0"/>
        <w:ind w:left="153" w:right="895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spacing w:line="357" w:lineRule="auto" w:before="26"/>
        <w:ind w:left="153" w:right="1135" w:firstLine="423"/>
        <w:jc w:val="both"/>
        <w:rPr>
          <w:rFonts w:ascii="宋体" w:hAnsi="宋体" w:cs="宋体" w:eastAsia="宋体" w:hint="default"/>
          <w:sz w:val="18"/>
          <w:szCs w:val="18"/>
        </w:rPr>
      </w:pPr>
      <w:r>
        <w:rPr>
          <w:rFonts w:ascii="宋体" w:hAnsi="宋体" w:cs="宋体" w:eastAsia="宋体" w:hint="default"/>
          <w:sz w:val="18"/>
          <w:szCs w:val="18"/>
        </w:rPr>
        <w:t>本公司投资性房地产中出租的建筑物采用年限平均法计提折旧，其折旧政策与固定资产部分相同。投资性房地产中出 租的土地使用权、持有并准备增值后转让的土地使用权采用直线法摊销，具体核算政策与无形资产部分相同。</w:t>
      </w:r>
    </w:p>
    <w:p>
      <w:pPr>
        <w:spacing w:after="0" w:line="357" w:lineRule="auto"/>
        <w:jc w:val="both"/>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5、固定资产" w:id="173"/>
      <w:bookmarkEnd w:id="173"/>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66" w:right="0"/>
        <w:jc w:val="left"/>
        <w:rPr>
          <w:b w:val="0"/>
          <w:bCs w:val="0"/>
        </w:rPr>
      </w:pPr>
      <w:bookmarkStart w:name="（1）确认条件" w:id="174"/>
      <w:bookmarkEnd w:id="17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left="577" w:right="1719"/>
        <w:jc w:val="left"/>
      </w:pPr>
      <w:r>
        <w:rPr/>
        <w:t>为生产商品、提供劳务、出租或经营管理而持有的、使用寿命超过一个会计年度的有形资产。 固定资产同时满足下列条件的，才能予以确认：</w:t>
      </w:r>
    </w:p>
    <w:p>
      <w:pPr>
        <w:pStyle w:val="BodyText"/>
        <w:spacing w:line="240" w:lineRule="auto"/>
        <w:ind w:left="577" w:right="0"/>
        <w:jc w:val="left"/>
      </w:pPr>
      <w:r>
        <w:rPr/>
        <w:t>（</w:t>
      </w:r>
      <w:r>
        <w:rPr>
          <w:rFonts w:ascii="宋体" w:hAnsi="宋体" w:cs="宋体" w:eastAsia="宋体" w:hint="default"/>
        </w:rPr>
        <w:t>1</w:t>
      </w:r>
      <w:r>
        <w:rPr/>
        <w:t>）与该固定资产有关的经济利益很可能流入企业；</w:t>
      </w:r>
    </w:p>
    <w:p>
      <w:pPr>
        <w:pStyle w:val="BodyText"/>
        <w:spacing w:line="240" w:lineRule="auto" w:before="133"/>
        <w:ind w:left="577" w:right="0"/>
        <w:jc w:val="left"/>
      </w:pPr>
      <w:r>
        <w:rPr/>
        <w:t>（</w:t>
      </w:r>
      <w:r>
        <w:rPr>
          <w:rFonts w:ascii="宋体" w:hAnsi="宋体" w:cs="宋体" w:eastAsia="宋体" w:hint="default"/>
        </w:rPr>
        <w:t>2</w:t>
      </w:r>
      <w:r>
        <w:rPr/>
        <w:t>）该固定资产的成本能够可靠地计量。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left="566" w:right="0"/>
        <w:jc w:val="left"/>
        <w:rPr>
          <w:b w:val="0"/>
          <w:bCs w:val="0"/>
        </w:rPr>
      </w:pPr>
      <w:bookmarkStart w:name="（2）折旧方法" w:id="175"/>
      <w:bookmarkEnd w:id="17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主要受益期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1" w:lineRule="exact" w:before="0"/>
        <w:ind w:left="577" w:right="0"/>
        <w:jc w:val="left"/>
      </w:pPr>
      <w:r>
        <w:rPr/>
        <w:t>固定资产的减值测试方法、减值准备计提方法</w:t>
      </w:r>
    </w:p>
    <w:p>
      <w:pPr>
        <w:pStyle w:val="BodyText"/>
        <w:spacing w:line="357" w:lineRule="auto" w:before="134"/>
        <w:ind w:right="1015" w:firstLine="423"/>
        <w:jc w:val="left"/>
      </w:pPr>
      <w:r>
        <w:rPr>
          <w:spacing w:val="-3"/>
        </w:rPr>
        <w:t>资产负债表日判断固定资产是否存在可能发生减值的迹象。如果存在资产市价持续下跌，或技术陈旧、</w:t>
      </w:r>
      <w:r>
        <w:rPr/>
        <w:t> 损坏、长期闲置等减值迹象的，则估计其可收回金额。可收回金额的计量结果表明，固定资产的可收回金 额低于其账面价值的，将固定资产的账面价值减记至可收回金额，减记的金额确认为资产减值损失，计入 当期损益，同时计提相应的固定资产减值准备。固定资产减值损失一经确认，在以后会计期间不再转回。</w:t>
      </w:r>
    </w:p>
    <w:p>
      <w:pPr>
        <w:spacing w:line="580" w:lineRule="atLeast" w:before="61"/>
        <w:ind w:left="577" w:right="0" w:hanging="424"/>
        <w:jc w:val="left"/>
        <w:rPr>
          <w:rFonts w:ascii="宋体" w:hAnsi="宋体" w:cs="宋体" w:eastAsia="宋体" w:hint="default"/>
          <w:sz w:val="21"/>
          <w:szCs w:val="21"/>
        </w:rPr>
      </w:pPr>
      <w:bookmarkStart w:name="（3）融资租入固定资产的认定依据、计价和折旧方法" w:id="176"/>
      <w:bookmarkEnd w:id="1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pacing w:val="-1"/>
          <w:sz w:val="21"/>
          <w:szCs w:val="21"/>
        </w:rPr>
        <w:t>如果与某项租入固定资产有关的全部风险和报酬实质上已经转移，本公司认定为融资租赁。融资租入</w:t>
      </w:r>
    </w:p>
    <w:p>
      <w:pPr>
        <w:pStyle w:val="BodyText"/>
        <w:spacing w:line="357" w:lineRule="auto" w:before="133"/>
        <w:ind w:right="1131"/>
        <w:jc w:val="both"/>
      </w:pPr>
      <w:r>
        <w:rPr>
          <w:spacing w:val="-1"/>
        </w:rPr>
        <w:t>固定资产需按租赁开始日租赁资产的公允价值与最低租赁付款额现值两者中的较低者，加上可直接归属于</w:t>
      </w:r>
      <w:r>
        <w:rPr>
          <w:spacing w:val="-81"/>
        </w:rPr>
        <w:t> </w:t>
      </w:r>
      <w:r>
        <w:rPr>
          <w:spacing w:val="-81"/>
        </w:rPr>
      </w:r>
      <w:r>
        <w:rPr>
          <w:spacing w:val="-1"/>
        </w:rPr>
        <w:t>租赁项目的初始直接费用，作为租入资产的入账价值，将最低租赁付款额作为长期应付款的入账价值，其</w:t>
      </w:r>
      <w:r>
        <w:rPr>
          <w:spacing w:val="-82"/>
        </w:rPr>
        <w:t> </w:t>
      </w:r>
      <w:r>
        <w:rPr>
          <w:spacing w:val="-82"/>
        </w:rPr>
      </w:r>
      <w:r>
        <w:rPr>
          <w:spacing w:val="-1"/>
        </w:rPr>
        <w:t>差额作为未确认融资费用。未确认融资费用采用实际利率法在租赁期内分摊。租入固定资产按租赁期和估</w:t>
      </w:r>
      <w:r>
        <w:rPr>
          <w:spacing w:val="-81"/>
        </w:rPr>
        <w:t> </w:t>
      </w:r>
      <w:r>
        <w:rPr>
          <w:spacing w:val="-81"/>
        </w:rPr>
      </w:r>
      <w:r>
        <w:rPr/>
        <w:t>计净残值确定折旧率，计提折旧。</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16、在建工程" w:id="177"/>
      <w:bookmarkEnd w:id="177"/>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7" w:right="0"/>
        <w:jc w:val="left"/>
      </w:pPr>
      <w:r>
        <w:rPr/>
        <w:t>（</w:t>
      </w:r>
      <w:r>
        <w:rPr>
          <w:rFonts w:ascii="宋体" w:hAnsi="宋体" w:cs="宋体" w:eastAsia="宋体" w:hint="default"/>
        </w:rPr>
        <w:t>1</w:t>
      </w:r>
      <w:r>
        <w:rPr/>
        <w:t>）在建工程的核算方法 </w:t>
      </w:r>
      <w:r>
        <w:rPr>
          <w:spacing w:val="-1"/>
        </w:rPr>
        <w:t>在建工程包括施工前期准备、正在施工中的建筑工程、安装工程、技术改造工程和大修理工程等。在</w:t>
      </w:r>
    </w:p>
    <w:p>
      <w:pPr>
        <w:pStyle w:val="BodyText"/>
        <w:spacing w:line="355" w:lineRule="auto" w:before="34"/>
        <w:ind w:left="154" w:right="1131"/>
        <w:jc w:val="both"/>
      </w:pPr>
      <w:r>
        <w:rPr>
          <w:spacing w:val="-1"/>
        </w:rPr>
        <w:t>建工程按照实际发生的支出分项目核算，并在工程达到预定可使用状态时结转为固定资产。与在建工程有</w:t>
      </w:r>
      <w:r>
        <w:rPr>
          <w:spacing w:val="-81"/>
        </w:rPr>
        <w:t> </w:t>
      </w:r>
      <w:r>
        <w:rPr>
          <w:spacing w:val="-81"/>
        </w:rPr>
      </w:r>
      <w:r>
        <w:rPr>
          <w:spacing w:val="-1"/>
        </w:rPr>
        <w:t>关的借款费用（包括借款利息、溢折价摊销、汇兑损益等），在相关工程达到预定可使用状态前的计入工</w:t>
      </w:r>
      <w:r>
        <w:rPr>
          <w:spacing w:val="-83"/>
        </w:rPr>
        <w:t> </w:t>
      </w:r>
      <w:r>
        <w:rPr>
          <w:spacing w:val="-83"/>
        </w:rPr>
      </w:r>
      <w:r>
        <w:rPr/>
        <w:t>程成本，在相关工程达到预定可使用状态后的计入当期财务费用。</w:t>
      </w:r>
    </w:p>
    <w:p>
      <w:pPr>
        <w:spacing w:after="0" w:line="355" w:lineRule="auto"/>
        <w:jc w:val="both"/>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left="577" w:right="0"/>
        <w:jc w:val="left"/>
      </w:pPr>
      <w:r>
        <w:rPr/>
        <w:t>（</w:t>
      </w:r>
      <w:r>
        <w:rPr>
          <w:rFonts w:ascii="宋体" w:hAnsi="宋体" w:cs="宋体" w:eastAsia="宋体" w:hint="default"/>
        </w:rPr>
        <w:t>2</w:t>
      </w:r>
      <w:r>
        <w:rPr/>
        <w:t>）在建工程减值准备 </w:t>
      </w:r>
      <w:r>
        <w:rPr>
          <w:spacing w:val="-1"/>
        </w:rPr>
        <w:t>资产负债表日对在建工程进行全面检查，判断在建工程是否存在可能发生减值的迹象。如果存在：</w:t>
      </w:r>
      <w:r>
        <w:rPr>
          <w:rFonts w:ascii="宋体" w:hAnsi="宋体" w:cs="宋体" w:eastAsia="宋体" w:hint="default"/>
          <w:spacing w:val="-1"/>
        </w:rPr>
        <w:t>a</w:t>
      </w:r>
      <w:r>
        <w:rPr>
          <w:spacing w:val="-1"/>
        </w:rPr>
        <w:t>、</w:t>
      </w:r>
    </w:p>
    <w:p>
      <w:pPr>
        <w:pStyle w:val="BodyText"/>
        <w:spacing w:line="357" w:lineRule="auto" w:before="33"/>
        <w:ind w:right="1131"/>
        <w:jc w:val="both"/>
      </w:pPr>
      <w:r>
        <w:rPr>
          <w:spacing w:val="-1"/>
        </w:rPr>
        <w:t>在建工程长期停建并且预计在未来</w:t>
      </w:r>
      <w:r>
        <w:rPr>
          <w:rFonts w:ascii="宋体" w:hAnsi="宋体" w:cs="宋体" w:eastAsia="宋体" w:hint="default"/>
          <w:spacing w:val="-1"/>
        </w:rPr>
        <w:t>3</w:t>
      </w:r>
      <w:r>
        <w:rPr>
          <w:spacing w:val="-1"/>
        </w:rPr>
        <w:t>年内不会重新开工，</w:t>
      </w:r>
      <w:r>
        <w:rPr>
          <w:rFonts w:ascii="宋体" w:hAnsi="宋体" w:cs="宋体" w:eastAsia="宋体" w:hint="default"/>
          <w:spacing w:val="-1"/>
        </w:rPr>
        <w:t>b</w:t>
      </w:r>
      <w:r>
        <w:rPr>
          <w:spacing w:val="-1"/>
        </w:rPr>
        <w:t>、所建项目在性能上、技术上已经落后并且所带</w:t>
      </w:r>
      <w:r>
        <w:rPr>
          <w:spacing w:val="-83"/>
        </w:rPr>
        <w:t> </w:t>
      </w:r>
      <w:r>
        <w:rPr>
          <w:spacing w:val="-83"/>
        </w:rPr>
      </w:r>
      <w:r>
        <w:rPr>
          <w:spacing w:val="-1"/>
        </w:rPr>
        <w:t>来的经济效益具有很大的不确定性等减值迹象的，则估计其可收回金额。可收回金额的计量结果表明，在</w:t>
      </w:r>
      <w:r>
        <w:rPr>
          <w:spacing w:val="-83"/>
        </w:rPr>
        <w:t> </w:t>
      </w:r>
      <w:r>
        <w:rPr>
          <w:spacing w:val="-83"/>
        </w:rPr>
      </w:r>
      <w:r>
        <w:rPr>
          <w:spacing w:val="-1"/>
        </w:rPr>
        <w:t>建工程的可收回金额低于其账面价值的，将在建工程的账面价值减记至可收回金额，减记的金额确认为资</w:t>
      </w:r>
      <w:r>
        <w:rPr>
          <w:spacing w:val="-81"/>
        </w:rPr>
        <w:t> </w:t>
      </w:r>
      <w:r>
        <w:rPr>
          <w:spacing w:val="-81"/>
        </w:rPr>
      </w:r>
      <w:r>
        <w:rPr>
          <w:spacing w:val="-1"/>
        </w:rPr>
        <w:t>产减值损失，计入当期损益，同时计提相应的在建工程减值准备。在建工程减值损失一经确认，在以后会</w:t>
      </w:r>
      <w:r>
        <w:rPr>
          <w:spacing w:val="-85"/>
        </w:rPr>
        <w:t> </w:t>
      </w:r>
      <w:r>
        <w:rPr>
          <w:spacing w:val="-85"/>
        </w:rPr>
      </w:r>
      <w:r>
        <w:rPr/>
        <w:t>计期间不再转回。</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17、借款费用" w:id="178"/>
      <w:bookmarkEnd w:id="178"/>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7" w:right="0"/>
        <w:jc w:val="left"/>
      </w:pPr>
      <w:r>
        <w:rPr/>
        <w:t>（</w:t>
      </w:r>
      <w:r>
        <w:rPr>
          <w:rFonts w:ascii="宋体" w:hAnsi="宋体" w:cs="宋体" w:eastAsia="宋体" w:hint="default"/>
        </w:rPr>
        <w:t>1</w:t>
      </w:r>
      <w:r>
        <w:rPr/>
        <w:t>）借款费用资本化的确认原则 </w:t>
      </w:r>
      <w:r>
        <w:rPr>
          <w:spacing w:val="-1"/>
        </w:rPr>
        <w:t>企业发生的借款费用，可直接归属于符合资本化条件的资产的购建或者生产的，予以资本化，计入相</w:t>
      </w:r>
    </w:p>
    <w:p>
      <w:pPr>
        <w:pStyle w:val="BodyText"/>
        <w:spacing w:line="357" w:lineRule="auto"/>
        <w:ind w:right="1130"/>
        <w:jc w:val="both"/>
      </w:pPr>
      <w:r>
        <w:rPr>
          <w:spacing w:val="-1"/>
        </w:rPr>
        <w:t>关资产成本；购置租赁资产而发生的借款利息应计入企业的营业成本；其他借款费用，在发生时根据其发</w:t>
      </w:r>
      <w:r>
        <w:rPr>
          <w:spacing w:val="-81"/>
        </w:rPr>
        <w:t> </w:t>
      </w:r>
      <w:r>
        <w:rPr>
          <w:spacing w:val="-81"/>
        </w:rPr>
      </w:r>
      <w:r>
        <w:rPr/>
        <w:t>生额确认为费用，计入当期损益。借款费用同时满足下列条件的，开始资本化：</w:t>
      </w:r>
      <w:r>
        <w:rPr>
          <w:rFonts w:ascii="宋体" w:hAnsi="宋体" w:cs="宋体" w:eastAsia="宋体" w:hint="default"/>
        </w:rPr>
        <w:t>a</w:t>
      </w:r>
      <w:r>
        <w:rPr/>
        <w:t>、资产支出已经发生，</w:t>
      </w:r>
      <w:r>
        <w:rPr>
          <w:spacing w:val="-26"/>
        </w:rPr>
        <w:t> </w:t>
      </w:r>
      <w:r>
        <w:rPr>
          <w:spacing w:val="-26"/>
        </w:rPr>
      </w:r>
      <w:r>
        <w:rPr>
          <w:spacing w:val="-1"/>
        </w:rPr>
        <w:t>资产支出包括为购建或者生产符合资本化条件的资产而以支付现金、转移非现金资产或者承担带息债务形</w:t>
      </w:r>
      <w:r>
        <w:rPr>
          <w:spacing w:val="-81"/>
        </w:rPr>
        <w:t> </w:t>
      </w:r>
      <w:r>
        <w:rPr>
          <w:spacing w:val="-81"/>
        </w:rPr>
      </w:r>
      <w:r>
        <w:rPr>
          <w:spacing w:val="-1"/>
        </w:rPr>
        <w:t>式发生的支出；</w:t>
      </w:r>
      <w:r>
        <w:rPr>
          <w:rFonts w:ascii="宋体" w:hAnsi="宋体" w:cs="宋体" w:eastAsia="宋体" w:hint="default"/>
          <w:spacing w:val="-1"/>
        </w:rPr>
        <w:t>b</w:t>
      </w:r>
      <w:r>
        <w:rPr>
          <w:spacing w:val="-1"/>
        </w:rPr>
        <w:t>、借款费用已经发生；</w:t>
      </w:r>
      <w:r>
        <w:rPr>
          <w:rFonts w:ascii="宋体" w:hAnsi="宋体" w:cs="宋体" w:eastAsia="宋体" w:hint="default"/>
          <w:spacing w:val="-1"/>
        </w:rPr>
        <w:t>c</w:t>
      </w:r>
      <w:r>
        <w:rPr>
          <w:spacing w:val="-1"/>
        </w:rPr>
        <w:t>、为使资产达到预定可使用或者可销售状态所必要的购建或者生</w:t>
      </w:r>
      <w:r>
        <w:rPr>
          <w:spacing w:val="-83"/>
        </w:rPr>
        <w:t> </w:t>
      </w:r>
      <w:r>
        <w:rPr>
          <w:spacing w:val="-83"/>
        </w:rPr>
      </w:r>
      <w:r>
        <w:rPr/>
        <w:t>产活动已经开始。</w:t>
      </w:r>
    </w:p>
    <w:p>
      <w:pPr>
        <w:pStyle w:val="BodyText"/>
        <w:spacing w:line="357" w:lineRule="auto"/>
        <w:ind w:left="577" w:right="0"/>
        <w:jc w:val="left"/>
      </w:pPr>
      <w:r>
        <w:rPr/>
        <w:t>（</w:t>
      </w:r>
      <w:r>
        <w:rPr>
          <w:rFonts w:ascii="宋体" w:hAnsi="宋体" w:cs="宋体" w:eastAsia="宋体" w:hint="default"/>
        </w:rPr>
        <w:t>2</w:t>
      </w:r>
      <w:r>
        <w:rPr/>
        <w:t>）借款费用资本化期间 </w:t>
      </w:r>
      <w:r>
        <w:rPr>
          <w:spacing w:val="-1"/>
        </w:rPr>
        <w:t>资本化期间，指从借款费用开始资本化时点到停止资本化时点的期间，借款费用暂停资本化的期间不</w:t>
      </w:r>
    </w:p>
    <w:p>
      <w:pPr>
        <w:pStyle w:val="BodyText"/>
        <w:spacing w:line="357" w:lineRule="auto"/>
        <w:ind w:left="154" w:right="1131"/>
        <w:jc w:val="both"/>
      </w:pPr>
      <w:r>
        <w:rPr>
          <w:spacing w:val="-1"/>
        </w:rPr>
        <w:t>包括在内。当购建或者生产符合资本化条件的资产达到预定可使用或者可销售状态时，借款费用停止资本</w:t>
      </w:r>
      <w:r>
        <w:rPr>
          <w:spacing w:val="-81"/>
        </w:rPr>
        <w:t> </w:t>
      </w:r>
      <w:r>
        <w:rPr>
          <w:spacing w:val="-81"/>
        </w:rPr>
      </w:r>
      <w:r>
        <w:rPr>
          <w:spacing w:val="-1"/>
        </w:rPr>
        <w:t>化。当购建或者生产符合资本化条件的资产中部分项目分别完工且可单独使用时，该部分资产借款费用停</w:t>
      </w:r>
      <w:r>
        <w:rPr>
          <w:spacing w:val="-81"/>
        </w:rPr>
        <w:t> </w:t>
      </w:r>
      <w:r>
        <w:rPr>
          <w:spacing w:val="-81"/>
        </w:rPr>
      </w:r>
      <w:r>
        <w:rPr>
          <w:spacing w:val="-1"/>
        </w:rPr>
        <w:t>止资本化。购建或者生产的资产的各部分分别完工，但必须等到整体完工后才可使用或可对外销售的，在</w:t>
      </w:r>
      <w:r>
        <w:rPr>
          <w:spacing w:val="-83"/>
        </w:rPr>
        <w:t> </w:t>
      </w:r>
      <w:r>
        <w:rPr>
          <w:spacing w:val="-83"/>
        </w:rPr>
      </w:r>
      <w:r>
        <w:rPr/>
        <w:t>该资产整体完工时停止借款费用资本化。</w:t>
      </w:r>
    </w:p>
    <w:p>
      <w:pPr>
        <w:pStyle w:val="BodyText"/>
        <w:spacing w:line="355" w:lineRule="auto" w:before="31"/>
        <w:ind w:left="577" w:right="0"/>
        <w:jc w:val="left"/>
      </w:pPr>
      <w:r>
        <w:rPr/>
        <w:t>（</w:t>
      </w:r>
      <w:r>
        <w:rPr>
          <w:rFonts w:ascii="宋体" w:hAnsi="宋体" w:cs="宋体" w:eastAsia="宋体" w:hint="default"/>
        </w:rPr>
        <w:t>3</w:t>
      </w:r>
      <w:r>
        <w:rPr/>
        <w:t>）暂停资本化期间 符合资本化条件的资产在购建或生产过程中发生的非正常中断、且中断时间连续超过</w:t>
      </w:r>
      <w:r>
        <w:rPr>
          <w:rFonts w:ascii="宋体" w:hAnsi="宋体" w:cs="宋体" w:eastAsia="宋体" w:hint="default"/>
        </w:rPr>
        <w:t>3</w:t>
      </w:r>
      <w:r>
        <w:rPr/>
        <w:t>个月的，则借</w:t>
      </w:r>
    </w:p>
    <w:p>
      <w:pPr>
        <w:pStyle w:val="BodyText"/>
        <w:spacing w:line="355" w:lineRule="auto" w:before="33"/>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pStyle w:val="BodyText"/>
        <w:spacing w:line="355" w:lineRule="auto" w:before="33"/>
        <w:ind w:left="577" w:right="0"/>
        <w:jc w:val="left"/>
      </w:pPr>
      <w:r>
        <w:rPr/>
        <w:t>（</w:t>
      </w:r>
      <w:r>
        <w:rPr>
          <w:rFonts w:ascii="宋体" w:hAnsi="宋体" w:cs="宋体" w:eastAsia="宋体" w:hint="default"/>
        </w:rPr>
        <w:t>4</w:t>
      </w:r>
      <w:r>
        <w:rPr/>
        <w:t>）借款费用资本化金额的计算方法 </w:t>
      </w:r>
      <w:r>
        <w:rPr>
          <w:spacing w:val="-1"/>
        </w:rPr>
        <w:t>专门借款的利息费用（扣除尚未动用的借款资金存入银行取得的利息收入或者进行暂时性投资取得的</w:t>
      </w:r>
    </w:p>
    <w:p>
      <w:pPr>
        <w:pStyle w:val="BodyText"/>
        <w:spacing w:line="355" w:lineRule="auto" w:before="33"/>
        <w:ind w:right="1109"/>
        <w:jc w:val="both"/>
      </w:pPr>
      <w:r>
        <w:rPr/>
        <w:t>投资收益）及其辅助费用在所购建或者生产的符合资本化条件的资产达到预定可使用或者可销售状态前， 予以资本化。</w:t>
      </w:r>
    </w:p>
    <w:p>
      <w:pPr>
        <w:pStyle w:val="BodyText"/>
        <w:spacing w:line="355" w:lineRule="auto" w:before="34"/>
        <w:ind w:right="1129" w:firstLine="423"/>
        <w:jc w:val="both"/>
      </w:pPr>
      <w:r>
        <w:rPr>
          <w:spacing w:val="-1"/>
        </w:rPr>
        <w:t>根据累计资产支出超过专门借款部分的资产支出加权平均数乘以所占用一般借款的资本化率，计算确</w:t>
      </w:r>
      <w:r>
        <w:rPr/>
        <w:t> 定一般借款应予资本化的利息金额。资本化率根据一般借款加权平均利率计算确定。</w:t>
      </w:r>
      <w:r>
        <w:rPr>
          <w:spacing w:val="75"/>
        </w:rPr>
        <w:t> </w:t>
      </w:r>
      <w:r>
        <w:rPr/>
        <w:t>借款存在折价或者</w:t>
      </w:r>
      <w:r>
        <w:rPr>
          <w:spacing w:val="-100"/>
        </w:rPr>
        <w:t> </w:t>
      </w:r>
      <w:r>
        <w:rPr>
          <w:spacing w:val="-100"/>
        </w:rPr>
      </w:r>
      <w:r>
        <w:rPr/>
        <w:t>溢价的，按照实际利率法确定每一会计期间应摊销的折价或者溢价金额，调整每期利息金额。</w:t>
      </w:r>
    </w:p>
    <w:p>
      <w:pPr>
        <w:spacing w:after="0" w:line="355"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8、无形资产" w:id="179"/>
      <w:bookmarkEnd w:id="179"/>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计价方法、使用寿命、减值测试" w:id="180"/>
      <w:bookmarkEnd w:id="18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577" w:right="0"/>
        <w:jc w:val="left"/>
      </w:pPr>
      <w:r>
        <w:rPr/>
        <w:t>①无形资产包括土地使用权、专利权及非专利技术等，按成本进行初始计量。</w:t>
      </w:r>
    </w:p>
    <w:p>
      <w:pPr>
        <w:pStyle w:val="BodyText"/>
        <w:spacing w:line="355" w:lineRule="auto" w:before="134"/>
        <w:ind w:right="1131" w:firstLine="423"/>
        <w:jc w:val="both"/>
      </w:pPr>
      <w:r>
        <w:rPr>
          <w:spacing w:val="-1"/>
        </w:rPr>
        <w:t>②本公司于取得无形资产时分析判断其使用寿命。无形资产的使用寿命为有限的，估计该使用寿命的</w:t>
      </w:r>
      <w:r>
        <w:rPr/>
        <w:t> </w:t>
      </w:r>
      <w:r>
        <w:rPr>
          <w:spacing w:val="-1"/>
        </w:rPr>
        <w:t>年限或者构成使用寿命的产量等类似计量单位数量；无法预见无形资产为本公司带来经济利益期限的，视</w:t>
      </w:r>
      <w:r>
        <w:rPr>
          <w:spacing w:val="-81"/>
        </w:rPr>
        <w:t> </w:t>
      </w:r>
      <w:r>
        <w:rPr>
          <w:spacing w:val="-81"/>
        </w:rPr>
      </w:r>
      <w:r>
        <w:rPr/>
        <w:t>为使用寿命不确定的无形资产。</w:t>
      </w:r>
    </w:p>
    <w:p>
      <w:pPr>
        <w:pStyle w:val="BodyText"/>
        <w:spacing w:line="355" w:lineRule="auto" w:before="33"/>
        <w:ind w:left="577" w:right="0"/>
        <w:jc w:val="left"/>
      </w:pPr>
      <w:r>
        <w:rPr/>
        <w:t>③无形资产使用寿命的估计方法 </w:t>
      </w:r>
      <w:r>
        <w:rPr>
          <w:rFonts w:ascii="宋体" w:hAnsi="宋体" w:cs="宋体" w:eastAsia="宋体" w:hint="default"/>
          <w:spacing w:val="-1"/>
        </w:rPr>
        <w:t>1</w:t>
      </w:r>
      <w:r>
        <w:rPr>
          <w:spacing w:val="-1"/>
        </w:rPr>
        <w:t>）本公司对使用寿命有限的无形资产，估计其使用寿命时通常考虑以下因素：</w:t>
      </w:r>
      <w:r>
        <w:rPr>
          <w:rFonts w:ascii="宋体" w:hAnsi="宋体" w:cs="宋体" w:eastAsia="宋体" w:hint="default"/>
          <w:spacing w:val="-1"/>
        </w:rPr>
        <w:t>A</w:t>
      </w:r>
      <w:r>
        <w:rPr>
          <w:spacing w:val="-1"/>
        </w:rPr>
        <w:t>、运用该资产生产的</w:t>
      </w:r>
    </w:p>
    <w:p>
      <w:pPr>
        <w:pStyle w:val="BodyText"/>
        <w:spacing w:line="357" w:lineRule="auto" w:before="33"/>
        <w:ind w:right="1130"/>
        <w:jc w:val="both"/>
      </w:pPr>
      <w:r>
        <w:rPr/>
        <w:t>产品通常的寿命周期、可获得的类似资产使用寿命的信息；</w:t>
      </w:r>
      <w:r>
        <w:rPr>
          <w:rFonts w:ascii="宋体" w:hAnsi="宋体" w:cs="宋体" w:eastAsia="宋体" w:hint="default"/>
        </w:rPr>
        <w:t>B</w:t>
      </w:r>
      <w:r>
        <w:rPr/>
        <w:t>、技术、工艺等方面的现阶段情况及对未来</w:t>
      </w:r>
      <w:r>
        <w:rPr>
          <w:spacing w:val="-28"/>
        </w:rPr>
        <w:t> </w:t>
      </w:r>
      <w:r>
        <w:rPr>
          <w:spacing w:val="-28"/>
        </w:rPr>
      </w:r>
      <w:r>
        <w:rPr>
          <w:spacing w:val="-1"/>
        </w:rPr>
        <w:t>发展趋势的估计；</w:t>
      </w:r>
      <w:r>
        <w:rPr>
          <w:rFonts w:ascii="宋体" w:hAnsi="宋体" w:cs="宋体" w:eastAsia="宋体" w:hint="default"/>
          <w:spacing w:val="-1"/>
        </w:rPr>
        <w:t>C</w:t>
      </w:r>
      <w:r>
        <w:rPr>
          <w:spacing w:val="-1"/>
        </w:rPr>
        <w:t>、以该资产生产的产品或提供劳务的市场需求情况；</w:t>
      </w:r>
      <w:r>
        <w:rPr>
          <w:rFonts w:ascii="宋体" w:hAnsi="宋体" w:cs="宋体" w:eastAsia="宋体" w:hint="default"/>
          <w:spacing w:val="-1"/>
        </w:rPr>
        <w:t>D</w:t>
      </w:r>
      <w:r>
        <w:rPr>
          <w:spacing w:val="-1"/>
        </w:rPr>
        <w:t>、现在或潜在的竞争者预期采取</w:t>
      </w:r>
      <w:r>
        <w:rPr>
          <w:spacing w:val="-82"/>
        </w:rPr>
        <w:t> </w:t>
      </w:r>
      <w:r>
        <w:rPr>
          <w:spacing w:val="-82"/>
        </w:rPr>
      </w:r>
      <w:r>
        <w:rPr>
          <w:spacing w:val="-1"/>
        </w:rPr>
        <w:t>的行动；</w:t>
      </w:r>
      <w:r>
        <w:rPr>
          <w:rFonts w:ascii="宋体" w:hAnsi="宋体" w:cs="宋体" w:eastAsia="宋体" w:hint="default"/>
          <w:spacing w:val="-1"/>
        </w:rPr>
        <w:t>E</w:t>
      </w:r>
      <w:r>
        <w:rPr>
          <w:spacing w:val="-1"/>
        </w:rPr>
        <w:t>、为维持该资产带来经济利益能力的预期维护支出，以及公司预计支付有关支出的能力；</w:t>
      </w:r>
      <w:r>
        <w:rPr>
          <w:rFonts w:ascii="宋体" w:hAnsi="宋体" w:cs="宋体" w:eastAsia="宋体" w:hint="default"/>
          <w:spacing w:val="-1"/>
        </w:rPr>
        <w:t>F</w:t>
      </w:r>
      <w:r>
        <w:rPr>
          <w:spacing w:val="-1"/>
        </w:rPr>
        <w:t>、对</w:t>
      </w:r>
      <w:r>
        <w:rPr>
          <w:spacing w:val="-82"/>
        </w:rPr>
        <w:t> </w:t>
      </w:r>
      <w:r>
        <w:rPr>
          <w:spacing w:val="-82"/>
        </w:rPr>
      </w:r>
      <w:r>
        <w:rPr/>
        <w:t>该资产控制期限的相关法律规定或类似限制，如特许使用期、租赁期等；</w:t>
      </w:r>
      <w:r>
        <w:rPr>
          <w:rFonts w:ascii="宋体" w:hAnsi="宋体" w:cs="宋体" w:eastAsia="宋体" w:hint="default"/>
        </w:rPr>
        <w:t>G</w:t>
      </w:r>
      <w:r>
        <w:rPr/>
        <w:t>、与公司持有其他资产使用寿</w:t>
      </w:r>
      <w:r>
        <w:rPr>
          <w:spacing w:val="-26"/>
        </w:rPr>
        <w:t> </w:t>
      </w:r>
      <w:r>
        <w:rPr>
          <w:spacing w:val="-26"/>
        </w:rPr>
      </w:r>
      <w:r>
        <w:rPr/>
        <w:t>命的关联性等。</w:t>
      </w:r>
    </w:p>
    <w:p>
      <w:pPr>
        <w:pStyle w:val="BodyText"/>
        <w:spacing w:line="355" w:lineRule="auto" w:before="31"/>
        <w:ind w:left="577" w:right="0"/>
        <w:jc w:val="left"/>
      </w:pPr>
      <w:r>
        <w:rPr>
          <w:rFonts w:ascii="宋体" w:hAnsi="宋体" w:cs="宋体" w:eastAsia="宋体" w:hint="default"/>
        </w:rPr>
        <w:t>2</w:t>
      </w:r>
      <w:r>
        <w:rPr/>
        <w:t>）使用寿命不确定的无形资产，使用寿命不确定的判断依据以及对其寿命的复核程序 </w:t>
      </w:r>
      <w:r>
        <w:rPr>
          <w:spacing w:val="-1"/>
        </w:rPr>
        <w:t>本公司将无法预见该资产为公司带来经济利益的期限，或使用期限不确定等无形资产确定为使用寿命</w:t>
      </w:r>
    </w:p>
    <w:p>
      <w:pPr>
        <w:pStyle w:val="BodyText"/>
        <w:spacing w:line="357" w:lineRule="auto" w:before="33"/>
        <w:ind w:left="577" w:right="0" w:hanging="424"/>
        <w:jc w:val="left"/>
      </w:pPr>
      <w:r>
        <w:rPr/>
        <w:t>不确定的无形资产。 使用寿命不确定的判断依据：</w:t>
      </w:r>
      <w:r>
        <w:rPr>
          <w:rFonts w:ascii="宋体" w:hAnsi="宋体" w:cs="宋体" w:eastAsia="宋体" w:hint="default"/>
        </w:rPr>
        <w:t>A</w:t>
      </w:r>
      <w:r>
        <w:rPr/>
        <w:t>、来源于合同性权利或其他法定权利，但合同规定或法律规定无明确</w:t>
      </w:r>
    </w:p>
    <w:p>
      <w:pPr>
        <w:pStyle w:val="BodyText"/>
        <w:spacing w:line="355" w:lineRule="auto" w:before="31"/>
        <w:ind w:left="577" w:right="0" w:hanging="424"/>
        <w:jc w:val="left"/>
      </w:pPr>
      <w:r>
        <w:rPr/>
        <w:t>使用年限；</w:t>
      </w:r>
      <w:r>
        <w:rPr>
          <w:rFonts w:ascii="宋体" w:hAnsi="宋体" w:cs="宋体" w:eastAsia="宋体" w:hint="default"/>
        </w:rPr>
        <w:t>B</w:t>
      </w:r>
      <w:r>
        <w:rPr/>
        <w:t>、综合同行业情况或相关专家论证等，仍无法判断无形资产为公司带来经济利益的期限。 </w:t>
      </w:r>
      <w:r>
        <w:rPr>
          <w:spacing w:val="-1"/>
        </w:rPr>
        <w:t>每年年末，对使用寿命不确定无形资产使用寿命进行复核，主要采取自下而上的方式，由无形资产使</w:t>
      </w:r>
    </w:p>
    <w:p>
      <w:pPr>
        <w:pStyle w:val="BodyText"/>
        <w:spacing w:line="240" w:lineRule="auto" w:before="32"/>
        <w:ind w:left="154" w:right="0"/>
        <w:jc w:val="left"/>
      </w:pPr>
      <w:r>
        <w:rPr/>
        <w:t>用相关部门进行基础复核，评价使用寿命不确定判断依据是否存在变化等。</w:t>
      </w:r>
    </w:p>
    <w:p>
      <w:pPr>
        <w:pStyle w:val="BodyText"/>
        <w:spacing w:line="355" w:lineRule="auto" w:before="134"/>
        <w:ind w:left="577" w:right="0"/>
        <w:jc w:val="left"/>
      </w:pPr>
      <w:r>
        <w:rPr/>
        <w:t>④无形资产价值摊销方法 </w:t>
      </w:r>
      <w:r>
        <w:rPr>
          <w:spacing w:val="-1"/>
        </w:rPr>
        <w:t>使用寿命有限的无形资产，在使用寿命内按照与该项无形资产有关的经济利益的预期实现方式系统合</w:t>
      </w:r>
    </w:p>
    <w:p>
      <w:pPr>
        <w:pStyle w:val="BodyText"/>
        <w:spacing w:line="355" w:lineRule="auto" w:before="33"/>
        <w:ind w:left="577" w:right="1509" w:hanging="424"/>
        <w:jc w:val="left"/>
      </w:pPr>
      <w:r>
        <w:rPr/>
        <w:t>理地摊销，无法可靠确定预期实现方式的，采用直线法摊销。 使用寿命不确定的无形资产不摊销，公司在每个会计期间均对该无形资产的使用寿命进行复核。</w:t>
      </w:r>
    </w:p>
    <w:p>
      <w:pPr>
        <w:pStyle w:val="BodyText"/>
        <w:spacing w:line="355" w:lineRule="auto" w:before="33"/>
        <w:ind w:left="154" w:right="1131" w:firstLine="423"/>
        <w:jc w:val="both"/>
      </w:pPr>
      <w:r>
        <w:rPr>
          <w:spacing w:val="-1"/>
        </w:rPr>
        <w:t>⑤使用寿命确定的无形资产，在资产负债表日有迹象表明发生减值的，按照账面价值与可收回金额的</w:t>
      </w:r>
      <w:r>
        <w:rPr/>
        <w:t> </w:t>
      </w:r>
      <w:r>
        <w:rPr>
          <w:spacing w:val="-1"/>
        </w:rPr>
        <w:t>差额计提相应的减值准备；使用寿命不确定的无形资产和尚未达到可使用状态的无形资产，无论是否存在</w:t>
      </w:r>
      <w:r>
        <w:rPr>
          <w:spacing w:val="-81"/>
        </w:rPr>
        <w:t> </w:t>
      </w:r>
      <w:r>
        <w:rPr>
          <w:spacing w:val="-81"/>
        </w:rPr>
      </w:r>
      <w:r>
        <w:rPr/>
        <w:t>减值迹象，每年均进行减值测试。</w:t>
      </w:r>
    </w:p>
    <w:p>
      <w:pPr>
        <w:spacing w:line="570" w:lineRule="atLeast" w:before="74"/>
        <w:ind w:left="577" w:right="4659" w:hanging="424"/>
        <w:jc w:val="left"/>
        <w:rPr>
          <w:rFonts w:ascii="宋体" w:hAnsi="宋体" w:cs="宋体" w:eastAsia="宋体" w:hint="default"/>
          <w:sz w:val="21"/>
          <w:szCs w:val="21"/>
        </w:rPr>
      </w:pPr>
      <w:bookmarkStart w:name="（2）内部研究开发支出会计政策" w:id="181"/>
      <w:bookmarkEnd w:id="1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内部研究开发项目研究阶段的支出，于发生时计入当期损益。</w:t>
      </w:r>
    </w:p>
    <w:p>
      <w:pPr>
        <w:pStyle w:val="BodyText"/>
        <w:spacing w:line="357" w:lineRule="auto" w:before="133"/>
        <w:ind w:right="1130" w:firstLine="423"/>
        <w:jc w:val="both"/>
      </w:pPr>
      <w:r>
        <w:rPr>
          <w:spacing w:val="-1"/>
        </w:rPr>
        <w:t>内部研究开发项目开发阶段的支出，同时满足下列条件的，确认为无形资产：①完成该无形资产以使</w:t>
      </w:r>
      <w:r>
        <w:rPr/>
        <w:t> </w:t>
      </w:r>
      <w:r>
        <w:rPr>
          <w:spacing w:val="-1"/>
        </w:rPr>
        <w:t>其能够使用或出售在技术上具有可行性；②具有完成该无形资产并使用或出售的意图；③无形资产产生经</w:t>
      </w:r>
      <w:r>
        <w:rPr>
          <w:spacing w:val="-81"/>
        </w:rPr>
        <w:t> </w:t>
      </w:r>
      <w:r>
        <w:rPr>
          <w:spacing w:val="-81"/>
        </w:rPr>
      </w:r>
      <w:r>
        <w:rPr>
          <w:spacing w:val="-1"/>
        </w:rPr>
        <w:t>济利益的方式，包括能够证明运用该无形资产生产的产品存在市场或无形资产自身存在市场，无形资产将</w:t>
      </w:r>
    </w:p>
    <w:p>
      <w:pPr>
        <w:spacing w:after="0" w:line="357" w:lineRule="auto"/>
        <w:jc w:val="both"/>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right="1024"/>
        <w:jc w:val="left"/>
      </w:pPr>
      <w:r>
        <w:rPr>
          <w:spacing w:val="-3"/>
        </w:rPr>
        <w:t>在内部使用的，能证明其有用性；④有足够的技术、财务资源和其他资源支持，以完成该无形资产的开发，</w:t>
      </w:r>
      <w:r>
        <w:rPr>
          <w:spacing w:val="-95"/>
        </w:rPr>
        <w:t> </w:t>
      </w:r>
      <w:r>
        <w:rPr>
          <w:spacing w:val="-95"/>
        </w:rPr>
      </w:r>
      <w:r>
        <w:rPr/>
        <w:t>并有能力使用或出售该无形资产；⑤归属于该无形资产开发阶段的支出能够可靠地计量。</w:t>
      </w:r>
    </w:p>
    <w:p>
      <w:pPr>
        <w:pStyle w:val="BodyText"/>
        <w:spacing w:line="357" w:lineRule="auto" w:before="33"/>
        <w:ind w:left="154" w:right="1023" w:firstLine="423"/>
        <w:jc w:val="left"/>
      </w:pPr>
      <w:r>
        <w:rPr/>
        <w:t>公司划分内部研究开发项目的研究阶段和开发阶段的具体标准：①为获取新的技术和知识等进行的有 </w:t>
      </w:r>
      <w:r>
        <w:rPr>
          <w:spacing w:val="-3"/>
        </w:rPr>
        <w:t>计划的调查阶段，应确定为研究阶段，该阶段具有计划性和探索性等特点；②在进行商业性生产或使用前，</w:t>
      </w:r>
      <w:r>
        <w:rPr>
          <w:spacing w:val="-90"/>
        </w:rPr>
        <w:t> </w:t>
      </w:r>
      <w:r>
        <w:rPr>
          <w:spacing w:val="-90"/>
        </w:rPr>
      </w:r>
      <w:r>
        <w:rPr/>
        <w:t>将研究成果或其他知识应用于某项计划或设计，以生产出新的或具有实质性改进的材料、装置、产品等阶</w:t>
      </w:r>
      <w:r>
        <w:rPr/>
        <w:t> 段，应确定为开发阶段，该阶段具有针对性和形成成果的可能性较大等特点。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9、长期待摊费用" w:id="182"/>
      <w:bookmarkEnd w:id="182"/>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7" w:right="0"/>
        <w:jc w:val="left"/>
      </w:pPr>
      <w:r>
        <w:rPr/>
        <w:t>（</w:t>
      </w:r>
      <w:r>
        <w:rPr>
          <w:rFonts w:ascii="宋体" w:hAnsi="宋体" w:cs="宋体" w:eastAsia="宋体" w:hint="default"/>
        </w:rPr>
        <w:t>1</w:t>
      </w:r>
      <w:r>
        <w:rPr/>
        <w:t>）长期待摊费用指应由本期和以后各期负担的分摊期限在一年以上的各项费用。</w:t>
      </w:r>
    </w:p>
    <w:p>
      <w:pPr>
        <w:pStyle w:val="BodyText"/>
        <w:spacing w:line="357" w:lineRule="auto" w:before="133"/>
        <w:ind w:right="1131" w:firstLine="423"/>
        <w:jc w:val="both"/>
      </w:pPr>
      <w:r>
        <w:rPr/>
        <w:t>（</w:t>
      </w:r>
      <w:r>
        <w:rPr>
          <w:rFonts w:ascii="宋体" w:hAnsi="宋体" w:cs="宋体" w:eastAsia="宋体" w:hint="default"/>
        </w:rPr>
        <w:t>2</w:t>
      </w:r>
      <w:r>
        <w:rPr/>
        <w:t>）长期待摊费用在取得时按照实际成本计价，开办费在发生时计入当期损益；经营性租赁固定资 </w:t>
      </w:r>
      <w:r>
        <w:rPr>
          <w:spacing w:val="-1"/>
        </w:rPr>
        <w:t>产的装修费用在租赁期内平均摊销，其他长期待摊费用按项目的受益期平均摊销。对于在以后会计期间已</w:t>
      </w:r>
      <w:r>
        <w:rPr>
          <w:spacing w:val="-81"/>
        </w:rPr>
        <w:t> </w:t>
      </w:r>
      <w:r>
        <w:rPr>
          <w:spacing w:val="-81"/>
        </w:rPr>
      </w:r>
      <w:r>
        <w:rPr/>
        <w:t>无法带来预期经济利益的长期待摊费用，本公司对其尚未摊销的摊余价值全部转入当期损益。</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0、职工薪酬" w:id="183"/>
      <w:bookmarkEnd w:id="183"/>
      <w:r>
        <w:rPr>
          <w:b w:val="0"/>
          <w:bCs w:val="0"/>
        </w:rPr>
      </w:r>
      <w:r>
        <w:rPr>
          <w:rFonts w:ascii="Times New Roman" w:hAnsi="Times New Roman" w:cs="Times New Roman" w:eastAsia="Times New Roman" w:hint="default"/>
        </w:rPr>
        <w:t>20</w:t>
      </w:r>
      <w:r>
        <w:rPr/>
        <w:t>、职工薪酬</w:t>
      </w:r>
      <w:r>
        <w:rPr>
          <w:b w:val="0"/>
          <w:bCs w:val="0"/>
        </w:rPr>
      </w:r>
    </w:p>
    <w:p>
      <w:pPr>
        <w:spacing w:line="580" w:lineRule="atLeast" w:before="33"/>
        <w:ind w:left="577" w:right="0" w:hanging="424"/>
        <w:jc w:val="left"/>
        <w:rPr>
          <w:rFonts w:ascii="宋体" w:hAnsi="宋体" w:cs="宋体" w:eastAsia="宋体" w:hint="default"/>
          <w:sz w:val="21"/>
          <w:szCs w:val="21"/>
        </w:rPr>
      </w:pPr>
      <w:bookmarkStart w:name="（1）短期薪酬的会计处理方法"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本公司在职工提供服务的会计期间，将实际发生的短期薪酬确认为负债，并按照受益对象计入当期损</w:t>
      </w:r>
    </w:p>
    <w:p>
      <w:pPr>
        <w:pStyle w:val="BodyText"/>
        <w:spacing w:line="240" w:lineRule="auto" w:before="133"/>
        <w:ind w:right="0"/>
        <w:jc w:val="left"/>
      </w:pPr>
      <w:r>
        <w:rPr/>
        <w:t>益或相关资产成本；其中，非货币性福利按照公允价值计量。</w:t>
      </w:r>
    </w:p>
    <w:p>
      <w:pPr>
        <w:spacing w:line="570" w:lineRule="atLeast" w:before="174"/>
        <w:ind w:left="577" w:right="2349" w:hanging="424"/>
        <w:jc w:val="left"/>
        <w:rPr>
          <w:rFonts w:ascii="宋体" w:hAnsi="宋体" w:cs="宋体" w:eastAsia="宋体" w:hint="default"/>
          <w:sz w:val="21"/>
          <w:szCs w:val="21"/>
        </w:rPr>
      </w:pPr>
      <w:bookmarkStart w:name="（2）离职后福利的会计处理方法"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离职后福利计划按照承担的风险和义务情况，可以分为设定提存计划和设定受益计划。</w:t>
      </w:r>
    </w:p>
    <w:p>
      <w:pPr>
        <w:pStyle w:val="BodyText"/>
        <w:spacing w:line="355" w:lineRule="auto" w:before="134"/>
        <w:ind w:left="577" w:right="0"/>
        <w:jc w:val="left"/>
      </w:pPr>
      <w:r>
        <w:rPr/>
        <w:t>①设定提存计划 </w:t>
      </w:r>
      <w:r>
        <w:rPr>
          <w:spacing w:val="3"/>
        </w:rPr>
        <w:t>公司根据在资产负债表日为换取职工在会计期间提供的服务而向单独主体缴存的提存金，确认为负</w:t>
      </w:r>
    </w:p>
    <w:p>
      <w:pPr>
        <w:pStyle w:val="BodyText"/>
        <w:spacing w:line="240" w:lineRule="auto" w:before="33"/>
        <w:ind w:left="154" w:right="0"/>
        <w:jc w:val="left"/>
      </w:pPr>
      <w:r>
        <w:rPr/>
        <w:t>债，并按照受益对象计人当期损益或相关资产成本。</w:t>
      </w:r>
    </w:p>
    <w:p>
      <w:pPr>
        <w:pStyle w:val="BodyText"/>
        <w:spacing w:line="357" w:lineRule="auto" w:before="133"/>
        <w:ind w:left="577" w:right="1118"/>
        <w:jc w:val="left"/>
      </w:pPr>
      <w:r>
        <w:rPr/>
        <w:t>②设定受益计划 设定受益计划，是指除设定提存计划以外的离职后福利计划。会计处理包括下列步骤： </w:t>
      </w:r>
      <w:r>
        <w:rPr>
          <w:rFonts w:ascii="宋体" w:hAnsi="宋体" w:cs="宋体" w:eastAsia="宋体" w:hint="default"/>
        </w:rPr>
        <w:t>1</w:t>
      </w:r>
      <w:r>
        <w:rPr/>
        <w:t>）根据预期累计福利单位法，采用无偏且相互一致的精算假设对有关人口统计变量和财务变量等作</w:t>
      </w:r>
    </w:p>
    <w:p>
      <w:pPr>
        <w:pStyle w:val="BodyText"/>
        <w:spacing w:line="357" w:lineRule="auto"/>
        <w:ind w:left="154" w:right="1130"/>
        <w:jc w:val="both"/>
      </w:pPr>
      <w:r>
        <w:rPr>
          <w:spacing w:val="-1"/>
        </w:rPr>
        <w:t>出估计，计量设定受益计划所产生的义务，并确定相关义务的所属期间；公司对所有设定受益计划义务予</w:t>
      </w:r>
      <w:r>
        <w:rPr>
          <w:spacing w:val="-82"/>
        </w:rPr>
        <w:t> </w:t>
      </w:r>
      <w:r>
        <w:rPr>
          <w:spacing w:val="-82"/>
        </w:rPr>
      </w:r>
      <w:r>
        <w:rPr>
          <w:spacing w:val="-1"/>
        </w:rPr>
        <w:t>以折现，包括预期在职工提供服务的年度报告期间结束后的十二个月内支付的义务。折现时所采用的折现</w:t>
      </w:r>
      <w:r>
        <w:rPr>
          <w:spacing w:val="-81"/>
        </w:rPr>
        <w:t> </w:t>
      </w:r>
      <w:r>
        <w:rPr>
          <w:spacing w:val="-81"/>
        </w:rPr>
      </w:r>
      <w:r>
        <w:rPr>
          <w:spacing w:val="3"/>
        </w:rPr>
        <w:t>率根据资产负债表日与设定受益计划义务期限和币种相匹配的国债或活跃市场上的高质量公司债券的市</w:t>
      </w:r>
      <w:r>
        <w:rPr>
          <w:spacing w:val="-82"/>
        </w:rPr>
        <w:t> </w:t>
      </w:r>
      <w:r>
        <w:rPr>
          <w:spacing w:val="-82"/>
        </w:rPr>
      </w:r>
      <w:r>
        <w:rPr/>
        <w:t>场收益率确定；</w:t>
      </w:r>
    </w:p>
    <w:p>
      <w:pPr>
        <w:pStyle w:val="BodyText"/>
        <w:spacing w:line="357" w:lineRule="auto"/>
        <w:ind w:left="154" w:right="1131" w:firstLine="423"/>
        <w:jc w:val="both"/>
      </w:pPr>
      <w:r>
        <w:rPr>
          <w:rFonts w:ascii="宋体" w:hAnsi="宋体" w:cs="宋体" w:eastAsia="宋体" w:hint="default"/>
        </w:rPr>
        <w:t>2</w:t>
      </w:r>
      <w:r>
        <w:rPr/>
        <w:t>）设定受益计划存在资产的，将设定受益计划义务现值减去设定受益计划资产公允价值所形成的赤 </w:t>
      </w:r>
      <w:r>
        <w:rPr>
          <w:spacing w:val="-1"/>
        </w:rPr>
        <w:t>字或盈余确认为一项设定受益计划净负债或净资产。设定受益计划存在盈余的，以设定受益计划的盈余和</w:t>
      </w:r>
      <w:r>
        <w:rPr>
          <w:spacing w:val="-81"/>
        </w:rPr>
        <w:t> </w:t>
      </w:r>
      <w:r>
        <w:rPr>
          <w:spacing w:val="-81"/>
        </w:rPr>
      </w:r>
      <w:r>
        <w:rPr>
          <w:spacing w:val="-1"/>
        </w:rPr>
        <w:t>资产上限两项的孰低者计量设定受益计划净资产。资产上限是指公司可从设定受益计划退款或减少未来对</w:t>
      </w:r>
    </w:p>
    <w:p>
      <w:pPr>
        <w:spacing w:after="0" w:line="357" w:lineRule="auto"/>
        <w:jc w:val="both"/>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left="577" w:right="0" w:hanging="424"/>
        <w:jc w:val="left"/>
      </w:pPr>
      <w:r>
        <w:rPr/>
        <w:t>设定受益计划缴存资金而获得的经济利益的现值； </w:t>
      </w:r>
      <w:r>
        <w:rPr>
          <w:rFonts w:ascii="宋体" w:hAnsi="宋体" w:cs="宋体" w:eastAsia="宋体" w:hint="default"/>
        </w:rPr>
        <w:t>3</w:t>
      </w:r>
      <w:r>
        <w:rPr/>
        <w:t>）期末，将设定受益计划产生的职工薪酬成本确认为服务成本、设定受益计划净负债或净资产的利</w:t>
      </w:r>
    </w:p>
    <w:p>
      <w:pPr>
        <w:pStyle w:val="BodyText"/>
        <w:spacing w:line="357" w:lineRule="auto" w:before="33"/>
        <w:ind w:right="1131"/>
        <w:jc w:val="both"/>
      </w:pPr>
      <w:r>
        <w:rPr>
          <w:spacing w:val="-1"/>
        </w:rPr>
        <w:t>息净额以及重新计量设定受益计划净负债或净资产所产生的变动，其中服务成本和设定受益计划净负债或</w:t>
      </w:r>
      <w:r>
        <w:rPr>
          <w:spacing w:val="-81"/>
        </w:rPr>
        <w:t> </w:t>
      </w:r>
      <w:r>
        <w:rPr>
          <w:spacing w:val="-81"/>
        </w:rPr>
      </w:r>
      <w:r>
        <w:rPr>
          <w:spacing w:val="-1"/>
        </w:rPr>
        <w:t>净资产的利息净额计入当期损益或相关资产成本，重新计量设定受益计划净负债或净资产所产生的变动计</w:t>
      </w:r>
      <w:r>
        <w:rPr>
          <w:spacing w:val="-81"/>
        </w:rPr>
        <w:t> </w:t>
      </w:r>
      <w:r>
        <w:rPr>
          <w:spacing w:val="-81"/>
        </w:rPr>
      </w:r>
      <w:r>
        <w:rPr>
          <w:spacing w:val="-1"/>
        </w:rPr>
        <w:t>入其他综合收益，并且在后续会计期间不允许转回至损益，但可以在权益范围内转移这些在其他综合收益</w:t>
      </w:r>
      <w:r>
        <w:rPr>
          <w:spacing w:val="-81"/>
        </w:rPr>
        <w:t> </w:t>
      </w:r>
      <w:r>
        <w:rPr>
          <w:spacing w:val="-81"/>
        </w:rPr>
      </w:r>
      <w:r>
        <w:rPr/>
        <w:t>确认的金额；</w:t>
      </w:r>
    </w:p>
    <w:p>
      <w:pPr>
        <w:pStyle w:val="BodyText"/>
        <w:spacing w:line="240" w:lineRule="auto" w:before="31"/>
        <w:ind w:left="577" w:right="0"/>
        <w:jc w:val="left"/>
      </w:pPr>
      <w:r>
        <w:rPr>
          <w:rFonts w:ascii="宋体" w:hAnsi="宋体" w:cs="宋体" w:eastAsia="宋体" w:hint="default"/>
        </w:rPr>
        <w:t>4</w:t>
      </w:r>
      <w:r>
        <w:rPr/>
        <w:t>）在设定受益计划结算时，确认一项结算利得或损失。</w:t>
      </w:r>
    </w:p>
    <w:p>
      <w:pPr>
        <w:spacing w:line="570" w:lineRule="atLeast" w:before="174"/>
        <w:ind w:left="577" w:right="1014" w:hanging="424"/>
        <w:jc w:val="left"/>
        <w:rPr>
          <w:rFonts w:ascii="宋体" w:hAnsi="宋体" w:cs="宋体" w:eastAsia="宋体" w:hint="default"/>
          <w:sz w:val="21"/>
          <w:szCs w:val="21"/>
        </w:rPr>
      </w:pPr>
      <w:bookmarkStart w:name="（3）辞退福利的会计处理方法"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公司向职工提供的辞退福利，在下列两者孰早日确认辞退福利产生的职工薪酬负债，并计入当期损益：</w:t>
      </w:r>
    </w:p>
    <w:p>
      <w:pPr>
        <w:pStyle w:val="BodyText"/>
        <w:spacing w:line="355" w:lineRule="auto" w:before="134"/>
        <w:ind w:left="154" w:right="1130" w:firstLine="423"/>
        <w:jc w:val="both"/>
      </w:pPr>
      <w:r>
        <w:rPr/>
        <w:t>①公司不能单方面撤回因解除劳动关系计划或裁减建议所提供的辞退福利时；②</w:t>
      </w:r>
      <w:r>
        <w:rPr>
          <w:spacing w:val="69"/>
        </w:rPr>
        <w:t> </w:t>
      </w:r>
      <w:r>
        <w:rPr/>
        <w:t>公司确认与涉及支</w:t>
      </w:r>
      <w:r>
        <w:rPr/>
        <w:t> 付辞退福利的重组相关的成本或费用时。</w:t>
      </w:r>
    </w:p>
    <w:p>
      <w:pPr>
        <w:pStyle w:val="BodyText"/>
        <w:spacing w:line="357" w:lineRule="auto" w:before="32"/>
        <w:ind w:left="154" w:right="1130" w:firstLine="423"/>
        <w:jc w:val="both"/>
      </w:pPr>
      <w:r>
        <w:rPr>
          <w:spacing w:val="3"/>
        </w:rPr>
        <w:t>在公司不能单方面撤回解除劳动关系计划或裁减建议时和确认与涉及支付辞退福利的重组相关的成</w:t>
      </w:r>
      <w:r>
        <w:rPr/>
        <w:t> </w:t>
      </w:r>
      <w:r>
        <w:rPr>
          <w:spacing w:val="-1"/>
        </w:rPr>
        <w:t>本费用时两者孰早日，确认因解除与职工的劳动关系给予补偿而产生的负债，同时计入当期损益。公司按</w:t>
      </w:r>
      <w:r>
        <w:rPr>
          <w:spacing w:val="-83"/>
        </w:rPr>
        <w:t> </w:t>
      </w:r>
      <w:r>
        <w:rPr>
          <w:spacing w:val="-83"/>
        </w:rPr>
      </w:r>
      <w:r>
        <w:rPr>
          <w:spacing w:val="-1"/>
        </w:rPr>
        <w:t>照辞退计划条款的规定，合理预计并确认辞退福利产生的应付职工薪酬。辞退福利预期在其确认的年度报</w:t>
      </w:r>
      <w:r>
        <w:rPr>
          <w:spacing w:val="-81"/>
        </w:rPr>
        <w:t> </w:t>
      </w:r>
      <w:r>
        <w:rPr>
          <w:spacing w:val="-81"/>
        </w:rPr>
      </w:r>
      <w:r>
        <w:rPr>
          <w:spacing w:val="-1"/>
        </w:rPr>
        <w:t>告期结束后十二个月内完全支付的，适用短期薪酬的相关规定；辞退福利预期在年度报告期结束后十二个</w:t>
      </w:r>
      <w:r>
        <w:rPr>
          <w:spacing w:val="-80"/>
        </w:rPr>
        <w:t> </w:t>
      </w:r>
      <w:r>
        <w:rPr>
          <w:spacing w:val="-80"/>
        </w:rPr>
      </w:r>
      <w:r>
        <w:rPr/>
        <w:t>月内不能完全支付的，适用其他长期职工福利的有关规定。</w:t>
      </w:r>
    </w:p>
    <w:p>
      <w:pPr>
        <w:spacing w:line="570" w:lineRule="atLeast" w:before="73"/>
        <w:ind w:left="577" w:right="1089" w:hanging="424"/>
        <w:jc w:val="left"/>
        <w:rPr>
          <w:rFonts w:ascii="宋体" w:hAnsi="宋体" w:cs="宋体" w:eastAsia="宋体" w:hint="default"/>
          <w:sz w:val="21"/>
          <w:szCs w:val="21"/>
        </w:rPr>
      </w:pPr>
      <w:bookmarkStart w:name="（4）其他长期职工福利的会计处理方法"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公司向职工提供的其他长期职工福利，符合设定提存计划条件的，按照设定提存计划进行会计处理；</w:t>
      </w:r>
    </w:p>
    <w:p>
      <w:pPr>
        <w:pStyle w:val="BodyText"/>
        <w:spacing w:line="355" w:lineRule="auto" w:before="133"/>
        <w:ind w:left="154" w:right="1131"/>
        <w:jc w:val="both"/>
      </w:pPr>
      <w:r>
        <w:rPr>
          <w:spacing w:val="-1"/>
        </w:rPr>
        <w:t>除此之外的其他长期福利，按照设定受益计划进行会计处理，但是重新计量其他长期职工福利净负债或净</w:t>
      </w:r>
      <w:r>
        <w:rPr>
          <w:spacing w:val="-81"/>
        </w:rPr>
        <w:t> </w:t>
      </w:r>
      <w:r>
        <w:rPr>
          <w:spacing w:val="-81"/>
        </w:rPr>
      </w:r>
      <w:r>
        <w:rPr/>
        <w:t>资产所产生的变动计入当期损益或相关资产成本。</w:t>
      </w:r>
    </w:p>
    <w:p>
      <w:pPr>
        <w:spacing w:line="240" w:lineRule="auto" w:before="1"/>
        <w:rPr>
          <w:rFonts w:ascii="宋体" w:hAnsi="宋体" w:cs="宋体" w:eastAsia="宋体" w:hint="default"/>
          <w:sz w:val="27"/>
          <w:szCs w:val="27"/>
        </w:rPr>
      </w:pPr>
    </w:p>
    <w:p>
      <w:pPr>
        <w:pStyle w:val="Heading3"/>
        <w:spacing w:line="240" w:lineRule="auto"/>
        <w:ind w:right="0"/>
        <w:jc w:val="left"/>
        <w:rPr>
          <w:b w:val="0"/>
          <w:bCs w:val="0"/>
        </w:rPr>
      </w:pPr>
      <w:bookmarkStart w:name="21、预计负债" w:id="188"/>
      <w:bookmarkEnd w:id="188"/>
      <w:r>
        <w:rPr>
          <w:b w:val="0"/>
          <w:bCs w:val="0"/>
        </w:rPr>
      </w:r>
      <w:r>
        <w:rPr>
          <w:rFonts w:ascii="Times New Roman" w:hAnsi="Times New Roman" w:cs="Times New Roman" w:eastAsia="Times New Roman" w:hint="default"/>
        </w:rPr>
        <w:t>21</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154" w:right="1132" w:firstLine="423"/>
        <w:jc w:val="both"/>
      </w:pPr>
      <w:r>
        <w:rPr>
          <w:spacing w:val="-1"/>
        </w:rPr>
        <w:t>预计负债是与或有事项相关的义务。或有事项指过去的交易或事项形成的一种状况，其结果须通过未</w:t>
      </w:r>
      <w:r>
        <w:rPr/>
        <w:t> </w:t>
      </w:r>
      <w:r>
        <w:rPr>
          <w:spacing w:val="-1"/>
        </w:rPr>
        <w:t>来不确定事项的发生或不发生予以证实。预计负债包括对外提供担保、商业承兑汇票贴现、未决诉讼、产</w:t>
      </w:r>
      <w:r>
        <w:rPr>
          <w:spacing w:val="-84"/>
        </w:rPr>
        <w:t> </w:t>
      </w:r>
      <w:r>
        <w:rPr>
          <w:spacing w:val="-84"/>
        </w:rPr>
      </w:r>
      <w:r>
        <w:rPr/>
        <w:t>品质量保证、亏损合同及重组义务等很可能发生的负债。</w:t>
      </w:r>
    </w:p>
    <w:p>
      <w:pPr>
        <w:pStyle w:val="BodyText"/>
        <w:spacing w:line="357" w:lineRule="auto"/>
        <w:ind w:left="577" w:right="6129"/>
        <w:jc w:val="left"/>
      </w:pPr>
      <w:r>
        <w:rPr/>
        <w:t>（</w:t>
      </w:r>
      <w:r>
        <w:rPr>
          <w:rFonts w:ascii="宋体" w:hAnsi="宋体" w:cs="宋体" w:eastAsia="宋体" w:hint="default"/>
        </w:rPr>
        <w:t>1</w:t>
      </w:r>
      <w:r>
        <w:rPr/>
        <w:t>）预计负债的确认标准 预计负债的确认必须同时符合以下三个条件：</w:t>
      </w:r>
    </w:p>
    <w:p>
      <w:pPr>
        <w:pStyle w:val="BodyText"/>
        <w:spacing w:line="240" w:lineRule="auto"/>
        <w:ind w:left="577" w:right="0"/>
        <w:jc w:val="left"/>
      </w:pPr>
      <w:r>
        <w:rPr/>
        <w:t>①该义务是企业承担的现时义务，指与或有事项有关的义务，为企业承担的现时义务而非潜在义务；</w:t>
      </w:r>
    </w:p>
    <w:p>
      <w:pPr>
        <w:pStyle w:val="BodyText"/>
        <w:spacing w:line="355" w:lineRule="auto" w:before="134"/>
        <w:ind w:right="1126" w:firstLine="423"/>
        <w:jc w:val="both"/>
      </w:pPr>
      <w:r>
        <w:rPr>
          <w:spacing w:val="-1"/>
        </w:rPr>
        <w:t>②履行该义务很可能导致经济利益流出企业。履行与或有事项相关的现时义务导致经济利益流出企业</w:t>
      </w:r>
      <w:r>
        <w:rPr/>
        <w:t> </w:t>
      </w:r>
      <w:r>
        <w:rPr>
          <w:spacing w:val="3"/>
        </w:rPr>
        <w:t>的可能性超过</w:t>
      </w:r>
      <w:r>
        <w:rPr>
          <w:rFonts w:ascii="宋体" w:hAnsi="宋体" w:cs="宋体" w:eastAsia="宋体" w:hint="default"/>
          <w:spacing w:val="3"/>
        </w:rPr>
        <w:t>50%</w:t>
      </w:r>
      <w:r>
        <w:rPr>
          <w:spacing w:val="3"/>
        </w:rPr>
        <w:t>但小于或等于</w:t>
      </w:r>
      <w:r>
        <w:rPr>
          <w:rFonts w:ascii="宋体" w:hAnsi="宋体" w:cs="宋体" w:eastAsia="宋体" w:hint="default"/>
          <w:spacing w:val="3"/>
        </w:rPr>
        <w:t>95%</w:t>
      </w:r>
      <w:r>
        <w:rPr>
          <w:spacing w:val="3"/>
        </w:rPr>
        <w:t>时，可以确认</w:t>
      </w:r>
      <w:r>
        <w:rPr>
          <w:spacing w:val="21"/>
        </w:rPr>
        <w:t> </w:t>
      </w:r>
      <w:r>
        <w:rPr>
          <w:spacing w:val="3"/>
        </w:rPr>
        <w:t>该预计负债。当事项发生的概率区间为大于</w:t>
      </w:r>
      <w:r>
        <w:rPr>
          <w:rFonts w:ascii="宋体" w:hAnsi="宋体" w:cs="宋体" w:eastAsia="宋体" w:hint="default"/>
          <w:spacing w:val="3"/>
        </w:rPr>
        <w:t>95%</w:t>
      </w:r>
      <w:r>
        <w:rPr>
          <w:spacing w:val="3"/>
        </w:rPr>
        <w:t>但小于</w:t>
      </w:r>
      <w:r>
        <w:rPr>
          <w:spacing w:val="-102"/>
        </w:rPr>
        <w:t> </w:t>
      </w:r>
      <w:r>
        <w:rPr>
          <w:rFonts w:ascii="宋体" w:hAnsi="宋体" w:cs="宋体" w:eastAsia="宋体" w:hint="default"/>
          <w:spacing w:val="-1"/>
        </w:rPr>
        <w:t>100%</w:t>
      </w:r>
      <w:r>
        <w:rPr>
          <w:spacing w:val="-1"/>
        </w:rPr>
        <w:t>时，将结果的可能性定义为“基本确定”；当事项发生的概率区间为大于</w:t>
      </w:r>
      <w:r>
        <w:rPr>
          <w:rFonts w:ascii="宋体" w:hAnsi="宋体" w:cs="宋体" w:eastAsia="宋体" w:hint="default"/>
          <w:spacing w:val="-1"/>
        </w:rPr>
        <w:t>50%</w:t>
      </w:r>
      <w:r>
        <w:rPr>
          <w:spacing w:val="-1"/>
        </w:rPr>
        <w:t>但小于或等于</w:t>
      </w:r>
      <w:r>
        <w:rPr>
          <w:rFonts w:ascii="宋体" w:hAnsi="宋体" w:cs="宋体" w:eastAsia="宋体" w:hint="default"/>
          <w:spacing w:val="-1"/>
        </w:rPr>
        <w:t>95%</w:t>
      </w:r>
      <w:r>
        <w:rPr>
          <w:spacing w:val="-1"/>
        </w:rPr>
        <w:t>时，将</w:t>
      </w:r>
    </w:p>
    <w:p>
      <w:pPr>
        <w:spacing w:after="0" w:line="355" w:lineRule="auto"/>
        <w:jc w:val="both"/>
        <w:sectPr>
          <w:footerReference w:type="default" r:id="rId12"/>
          <w:pgSz w:w="11910" w:h="16840"/>
          <w:pgMar w:footer="979" w:header="877"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left="154" w:right="1128"/>
        <w:jc w:val="both"/>
      </w:pPr>
      <w:r>
        <w:rPr/>
        <w:t>结果的可能性定义为“很可能”；当事项发生的概率区间为大于</w:t>
      </w:r>
      <w:r>
        <w:rPr>
          <w:rFonts w:ascii="宋体" w:hAnsi="宋体" w:cs="宋体" w:eastAsia="宋体" w:hint="default"/>
        </w:rPr>
        <w:t>5%</w:t>
      </w:r>
      <w:r>
        <w:rPr/>
        <w:t>但小于或等于</w:t>
      </w:r>
      <w:r>
        <w:rPr>
          <w:rFonts w:ascii="宋体" w:hAnsi="宋体" w:cs="宋体" w:eastAsia="宋体" w:hint="default"/>
        </w:rPr>
        <w:t>50%</w:t>
      </w:r>
      <w:r>
        <w:rPr/>
        <w:t>时，将结果的可能性</w:t>
      </w:r>
      <w:r>
        <w:rPr>
          <w:spacing w:val="-30"/>
        </w:rPr>
        <w:t> </w:t>
      </w:r>
      <w:r>
        <w:rPr>
          <w:spacing w:val="-30"/>
        </w:rPr>
      </w:r>
      <w:r>
        <w:rPr>
          <w:spacing w:val="5"/>
        </w:rPr>
        <w:t>定义为“可能”；当事项发生的概率区间为大于</w:t>
      </w:r>
      <w:r>
        <w:rPr>
          <w:rFonts w:ascii="宋体" w:hAnsi="宋体" w:cs="宋体" w:eastAsia="宋体" w:hint="default"/>
          <w:spacing w:val="5"/>
        </w:rPr>
        <w:t>0</w:t>
      </w:r>
      <w:r>
        <w:rPr>
          <w:spacing w:val="5"/>
        </w:rPr>
        <w:t>但小于或等于</w:t>
      </w:r>
      <w:r>
        <w:rPr>
          <w:rFonts w:ascii="宋体" w:hAnsi="宋体" w:cs="宋体" w:eastAsia="宋体" w:hint="default"/>
          <w:spacing w:val="5"/>
        </w:rPr>
        <w:t>5%</w:t>
      </w:r>
      <w:r>
        <w:rPr>
          <w:spacing w:val="5"/>
        </w:rPr>
        <w:t>时，将结果的可能性定义为“极小可</w:t>
      </w:r>
      <w:r>
        <w:rPr>
          <w:spacing w:val="-72"/>
        </w:rPr>
        <w:t> </w:t>
      </w:r>
      <w:r>
        <w:rPr>
          <w:spacing w:val="-72"/>
        </w:rPr>
      </w:r>
      <w:r>
        <w:rPr/>
        <w:t>能”。</w:t>
      </w:r>
    </w:p>
    <w:p>
      <w:pPr>
        <w:pStyle w:val="BodyText"/>
        <w:spacing w:line="357" w:lineRule="auto"/>
        <w:ind w:right="1131" w:firstLine="423"/>
        <w:jc w:val="both"/>
      </w:pPr>
      <w:r>
        <w:rPr>
          <w:spacing w:val="-1"/>
        </w:rPr>
        <w:t>③该义务的金额能够可靠地计量。预计负债应当按照履行相关现时义务所需支出的最佳估计数进行初</w:t>
      </w:r>
      <w:r>
        <w:rPr/>
        <w:t> </w:t>
      </w:r>
      <w:r>
        <w:rPr>
          <w:spacing w:val="-1"/>
        </w:rPr>
        <w:t>始计量。最佳估计数应根据不同的情况计算确定。如公司清偿预计负债所需支出全部或部分预期由第三方</w:t>
      </w:r>
      <w:r>
        <w:rPr>
          <w:spacing w:val="-81"/>
        </w:rPr>
        <w:t> </w:t>
      </w:r>
      <w:r>
        <w:rPr>
          <w:spacing w:val="-81"/>
        </w:rPr>
      </w:r>
      <w:r>
        <w:rPr>
          <w:spacing w:val="-1"/>
        </w:rPr>
        <w:t>补偿的，补偿金额在基本确定能够收到时作为资产单独确认，不得冲预计负债，且不应当超过预计负债的</w:t>
      </w:r>
      <w:r>
        <w:rPr>
          <w:spacing w:val="-83"/>
        </w:rPr>
        <w:t> </w:t>
      </w:r>
      <w:r>
        <w:rPr>
          <w:spacing w:val="-83"/>
        </w:rPr>
      </w:r>
      <w:r>
        <w:rPr/>
        <w:t>账面价值。</w:t>
      </w:r>
    </w:p>
    <w:p>
      <w:pPr>
        <w:pStyle w:val="BodyText"/>
        <w:spacing w:line="355" w:lineRule="auto"/>
        <w:ind w:left="577" w:right="0"/>
        <w:jc w:val="left"/>
      </w:pPr>
      <w:r>
        <w:rPr/>
        <w:t>（</w:t>
      </w:r>
      <w:r>
        <w:rPr>
          <w:rFonts w:ascii="宋体" w:hAnsi="宋体" w:cs="宋体" w:eastAsia="宋体" w:hint="default"/>
        </w:rPr>
        <w:t>2</w:t>
      </w:r>
      <w:r>
        <w:rPr/>
        <w:t>）预计负债的计量方法 </w:t>
      </w:r>
      <w:r>
        <w:rPr>
          <w:spacing w:val="-1"/>
        </w:rPr>
        <w:t>预计负债按照履行现时义务所需支出的最佳估计数进行初始计量。所需支出存在一个连续范围，且该</w:t>
      </w:r>
    </w:p>
    <w:p>
      <w:pPr>
        <w:pStyle w:val="BodyText"/>
        <w:spacing w:line="355" w:lineRule="auto" w:before="33"/>
        <w:ind w:left="154" w:right="0"/>
        <w:jc w:val="left"/>
      </w:pPr>
      <w:r>
        <w:rPr>
          <w:spacing w:val="-1"/>
        </w:rPr>
        <w:t>范围内各种结果发生的可能性相同的最佳估计数按该范围的中间值确定；在其他情况下，最佳估计数按如</w:t>
      </w:r>
      <w:r>
        <w:rPr>
          <w:spacing w:val="-81"/>
        </w:rPr>
        <w:t> </w:t>
      </w:r>
      <w:r>
        <w:rPr>
          <w:spacing w:val="-81"/>
        </w:rPr>
      </w:r>
      <w:r>
        <w:rPr/>
        <w:t>下方法确定：</w:t>
      </w:r>
    </w:p>
    <w:p>
      <w:pPr>
        <w:pStyle w:val="BodyText"/>
        <w:spacing w:line="240" w:lineRule="auto" w:before="33"/>
        <w:ind w:left="577" w:right="0"/>
        <w:jc w:val="left"/>
      </w:pPr>
      <w:r>
        <w:rPr/>
        <w:t>①或有事项涉及单个项目时，最佳估计数按最可能发生金额确定。</w:t>
      </w:r>
    </w:p>
    <w:p>
      <w:pPr>
        <w:pStyle w:val="BodyText"/>
        <w:spacing w:line="357" w:lineRule="auto" w:before="133"/>
        <w:ind w:left="577" w:right="0"/>
        <w:jc w:val="left"/>
      </w:pPr>
      <w:r>
        <w:rPr/>
        <w:t>②或有事项涉及多个项目时，最佳估计数按各种可能发生金额及其发生概率计算确定。 </w:t>
      </w:r>
      <w:r>
        <w:rPr>
          <w:spacing w:val="-1"/>
        </w:rPr>
        <w:t>公司清偿预计负债所需支出全部或部分预期由第三方或其他方补偿的，则补偿金额在基本确定能收到</w:t>
      </w:r>
    </w:p>
    <w:p>
      <w:pPr>
        <w:pStyle w:val="BodyText"/>
        <w:spacing w:line="355" w:lineRule="auto"/>
        <w:ind w:left="577" w:right="0" w:hanging="424"/>
        <w:jc w:val="left"/>
      </w:pPr>
      <w:r>
        <w:rPr/>
        <w:t>时，作为资产单独确认。确认的补偿金额不超过所确认预计负债的账面价值。 </w:t>
      </w:r>
      <w:r>
        <w:rPr>
          <w:spacing w:val="-1"/>
        </w:rPr>
        <w:t>公司资产负债表日对预计负债账面价值进行复核，有确凿证据表明该账面价值不能真实反映当前最佳</w:t>
      </w:r>
    </w:p>
    <w:p>
      <w:pPr>
        <w:pStyle w:val="BodyText"/>
        <w:spacing w:line="240" w:lineRule="auto" w:before="33"/>
        <w:ind w:left="154" w:right="0"/>
        <w:jc w:val="left"/>
      </w:pPr>
      <w:r>
        <w:rPr/>
        <w:t>估计数，按照当前最佳估计数对该账面价值进行调整。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22、股份支付" w:id="189"/>
      <w:bookmarkEnd w:id="189"/>
      <w:r>
        <w:rPr>
          <w:b w:val="0"/>
          <w:bCs w:val="0"/>
        </w:rPr>
      </w:r>
      <w:r>
        <w:rPr>
          <w:rFonts w:ascii="Times New Roman" w:hAnsi="Times New Roman" w:cs="Times New Roman" w:eastAsia="Times New Roman" w:hint="default"/>
        </w:rPr>
        <w:t>22</w:t>
      </w:r>
      <w:r>
        <w:rPr/>
        <w:t>、股份支付</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7" w:right="5289"/>
        <w:jc w:val="left"/>
      </w:pPr>
      <w:r>
        <w:rPr/>
        <w:t>（</w:t>
      </w:r>
      <w:r>
        <w:rPr>
          <w:rFonts w:ascii="宋体" w:hAnsi="宋体" w:cs="宋体" w:eastAsia="宋体" w:hint="default"/>
        </w:rPr>
        <w:t>1</w:t>
      </w:r>
      <w:r>
        <w:rPr/>
        <w:t>）股份支付的种类 包括以权益结算的股份支付和以现金结算的股份支付。</w:t>
      </w:r>
    </w:p>
    <w:p>
      <w:pPr>
        <w:pStyle w:val="BodyText"/>
        <w:spacing w:line="240" w:lineRule="auto"/>
        <w:ind w:left="577" w:right="0"/>
        <w:jc w:val="left"/>
      </w:pPr>
      <w:r>
        <w:rPr/>
        <w:t>（</w:t>
      </w:r>
      <w:r>
        <w:rPr>
          <w:rFonts w:ascii="宋体" w:hAnsi="宋体" w:cs="宋体" w:eastAsia="宋体" w:hint="default"/>
        </w:rPr>
        <w:t>2</w:t>
      </w:r>
      <w:r>
        <w:rPr/>
        <w:t>）股份支付的会计处理</w:t>
      </w:r>
    </w:p>
    <w:p>
      <w:pPr>
        <w:pStyle w:val="BodyText"/>
        <w:spacing w:line="355" w:lineRule="auto" w:before="134"/>
        <w:ind w:left="577" w:right="0"/>
        <w:jc w:val="left"/>
      </w:pPr>
      <w:r>
        <w:rPr/>
        <w:t>①以权益结算的股份支付 </w:t>
      </w:r>
      <w:r>
        <w:rPr>
          <w:spacing w:val="-1"/>
        </w:rPr>
        <w:t>授予后立即可行权的换取职工服务的以权益结算的股份支付，在授予日按照权益工具的公允价值计入</w:t>
      </w:r>
    </w:p>
    <w:p>
      <w:pPr>
        <w:pStyle w:val="BodyText"/>
        <w:spacing w:line="355" w:lineRule="auto" w:before="33"/>
        <w:ind w:left="154" w:right="1023"/>
        <w:jc w:val="left"/>
      </w:pPr>
      <w:r>
        <w:rPr/>
        <w:t>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2"/>
        </w:rPr>
        <w:t> </w:t>
      </w:r>
      <w:r>
        <w:rPr>
          <w:spacing w:val="-92"/>
        </w:rPr>
      </w:r>
      <w:r>
        <w:rPr/>
        <w:t>按权益工具授予日的公允价值，将当期取得的服务计入相关成本或费用，相应调整资本公积。</w:t>
      </w:r>
    </w:p>
    <w:p>
      <w:pPr>
        <w:pStyle w:val="BodyText"/>
        <w:spacing w:line="357" w:lineRule="auto" w:before="33"/>
        <w:ind w:right="1131" w:firstLine="423"/>
        <w:jc w:val="both"/>
      </w:pPr>
      <w:r>
        <w:rPr>
          <w:spacing w:val="-1"/>
        </w:rPr>
        <w:t>换取其他方服务的权益结算的股份支付，如果其他方服务的公允价值能够可靠计量的，按照其他方服</w:t>
      </w:r>
      <w:r>
        <w:rPr/>
        <w:t> </w:t>
      </w:r>
      <w:r>
        <w:rPr>
          <w:spacing w:val="-1"/>
        </w:rPr>
        <w:t>务在取得日的公允价值计量；如果其他方服务的公允价值不能可靠计量，但权益工具的公允价值能够可靠</w:t>
      </w:r>
      <w:r>
        <w:rPr>
          <w:spacing w:val="-81"/>
        </w:rPr>
        <w:t> </w:t>
      </w:r>
      <w:r>
        <w:rPr>
          <w:spacing w:val="-81"/>
        </w:rPr>
      </w:r>
      <w:r>
        <w:rPr/>
        <w:t>计量的，按照权益工具在服务取得日的公允价值计量，计入相关成本或费用，相应增加所有者权益。</w:t>
      </w:r>
    </w:p>
    <w:p>
      <w:pPr>
        <w:pStyle w:val="BodyText"/>
        <w:spacing w:line="357" w:lineRule="auto"/>
        <w:ind w:left="577" w:right="0"/>
        <w:jc w:val="left"/>
      </w:pPr>
      <w:r>
        <w:rPr/>
        <w:t>②以现金结算的股份支付 </w:t>
      </w:r>
      <w:r>
        <w:rPr>
          <w:spacing w:val="-1"/>
        </w:rPr>
        <w:t>授予后立即可行权的换取职工服务的以现金结算的股份支付，在授予日按公司承担负债的公允价值计</w:t>
      </w:r>
    </w:p>
    <w:p>
      <w:pPr>
        <w:pStyle w:val="BodyText"/>
        <w:spacing w:line="355" w:lineRule="auto"/>
        <w:ind w:left="154" w:right="0"/>
        <w:jc w:val="left"/>
      </w:pPr>
      <w:r>
        <w:rPr>
          <w:spacing w:val="-1"/>
        </w:rPr>
        <w:t>入相关成本或费用，相应增加负债。完成等待期内的服务或达到规定业绩条件才可行权的换取职工服务的</w:t>
      </w:r>
      <w:r>
        <w:rPr>
          <w:spacing w:val="-81"/>
        </w:rPr>
        <w:t> </w:t>
      </w:r>
      <w:r>
        <w:rPr>
          <w:spacing w:val="-81"/>
        </w:rPr>
      </w:r>
      <w:r>
        <w:rPr>
          <w:spacing w:val="-1"/>
        </w:rPr>
        <w:t>以现金结算的股份支付，在等待期内的每个资产负债表日，以对可行权情况的最佳估计为基础，按公司承</w:t>
      </w:r>
    </w:p>
    <w:p>
      <w:pPr>
        <w:spacing w:after="0" w:line="355" w:lineRule="auto"/>
        <w:jc w:val="left"/>
        <w:sectPr>
          <w:footerReference w:type="default" r:id="rId13"/>
          <w:pgSz w:w="11910" w:h="16840"/>
          <w:pgMar w:footer="979" w:header="877" w:top="1060" w:bottom="1160" w:left="980" w:right="0"/>
          <w:pgNumType w:start="101"/>
        </w:sectPr>
      </w:pPr>
    </w:p>
    <w:p>
      <w:pPr>
        <w:spacing w:line="240" w:lineRule="auto" w:before="3"/>
        <w:rPr>
          <w:rFonts w:ascii="宋体" w:hAnsi="宋体" w:cs="宋体" w:eastAsia="宋体" w:hint="default"/>
          <w:sz w:val="23"/>
          <w:szCs w:val="23"/>
        </w:rPr>
      </w:pPr>
    </w:p>
    <w:p>
      <w:pPr>
        <w:pStyle w:val="BodyText"/>
        <w:spacing w:line="240" w:lineRule="auto" w:before="35"/>
        <w:ind w:left="154" w:right="0"/>
        <w:jc w:val="both"/>
      </w:pPr>
      <w:r>
        <w:rPr/>
        <w:t>担负债的公允价值，将当期取得的服务计入相关成本或费用和相应的负债。</w:t>
      </w:r>
    </w:p>
    <w:p>
      <w:pPr>
        <w:pStyle w:val="BodyText"/>
        <w:spacing w:line="240" w:lineRule="auto" w:before="133"/>
        <w:ind w:left="577" w:right="0"/>
        <w:jc w:val="left"/>
      </w:pPr>
      <w:r>
        <w:rPr/>
        <w:t>（</w:t>
      </w:r>
      <w:r>
        <w:rPr>
          <w:rFonts w:ascii="宋体" w:hAnsi="宋体" w:cs="宋体" w:eastAsia="宋体" w:hint="default"/>
        </w:rPr>
        <w:t>3</w:t>
      </w:r>
      <w:r>
        <w:rPr/>
        <w:t>）权益工具公允价值的确定方法</w:t>
      </w:r>
    </w:p>
    <w:p>
      <w:pPr>
        <w:pStyle w:val="BodyText"/>
        <w:spacing w:line="240" w:lineRule="auto" w:before="134"/>
        <w:ind w:left="577" w:right="0"/>
        <w:jc w:val="left"/>
      </w:pPr>
      <w:r>
        <w:rPr/>
        <w:t>①存在活跃市场的，按照活跃市场中的报价确定。</w:t>
      </w:r>
    </w:p>
    <w:p>
      <w:pPr>
        <w:pStyle w:val="BodyText"/>
        <w:spacing w:line="357" w:lineRule="auto" w:before="133"/>
        <w:ind w:left="154" w:right="0" w:firstLine="423"/>
        <w:jc w:val="left"/>
      </w:pPr>
      <w:r>
        <w:rPr>
          <w:spacing w:val="-1"/>
        </w:rPr>
        <w:t>②不存在活跃市场的，采用估值技术确定，包括参考熟悉情况并自愿交易的各方最近进行的市场交易</w:t>
      </w:r>
      <w:r>
        <w:rPr/>
        <w:t> 中使用的价格、参照实质上相同的其他金融工具的当前公允价值、现金流量折现法和期权定价模型等。</w:t>
      </w:r>
    </w:p>
    <w:p>
      <w:pPr>
        <w:pStyle w:val="BodyText"/>
        <w:spacing w:line="357" w:lineRule="auto"/>
        <w:ind w:right="0" w:firstLine="423"/>
        <w:jc w:val="left"/>
      </w:pPr>
      <w:r>
        <w:rPr>
          <w:spacing w:val="-1"/>
        </w:rPr>
        <w:t>可行权权益工具最佳估计数是根据最新取得的可行权职工数变动等后续信息进行估计，修正预计可行</w:t>
      </w:r>
      <w:r>
        <w:rPr/>
        <w:t> 权的权益工具数量。在可行权日，最终预计可行权权益工具的数量与实际可行权数量一致。</w:t>
      </w:r>
    </w:p>
    <w:p>
      <w:pPr>
        <w:pStyle w:val="BodyText"/>
        <w:spacing w:line="355" w:lineRule="auto"/>
        <w:ind w:left="577" w:right="0"/>
        <w:jc w:val="left"/>
      </w:pPr>
      <w:r>
        <w:rPr/>
        <w:t>（</w:t>
      </w:r>
      <w:r>
        <w:rPr>
          <w:rFonts w:ascii="宋体" w:hAnsi="宋体" w:cs="宋体" w:eastAsia="宋体" w:hint="default"/>
        </w:rPr>
        <w:t>4</w:t>
      </w:r>
      <w:r>
        <w:rPr/>
        <w:t>）修改、终止股份支付计划的相关会计处理 </w:t>
      </w:r>
      <w:r>
        <w:rPr>
          <w:spacing w:val="-1"/>
        </w:rPr>
        <w:t>如果修改增加了所授予的权益工具的公允价值，公司按照权益工具公允价值的增加相应地确认取得服</w:t>
      </w:r>
    </w:p>
    <w:p>
      <w:pPr>
        <w:pStyle w:val="BodyText"/>
        <w:spacing w:line="357" w:lineRule="auto" w:before="33"/>
        <w:ind w:right="1131"/>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w:t>
      </w:r>
    </w:p>
    <w:p>
      <w:pPr>
        <w:pStyle w:val="BodyText"/>
        <w:spacing w:line="357" w:lineRule="auto"/>
        <w:ind w:right="1131" w:firstLine="423"/>
        <w:jc w:val="both"/>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w:t>
      </w:r>
    </w:p>
    <w:p>
      <w:pPr>
        <w:pStyle w:val="BodyText"/>
        <w:spacing w:line="357" w:lineRule="auto" w:before="31"/>
        <w:ind w:right="0" w:firstLine="423"/>
        <w:jc w:val="left"/>
      </w:pPr>
      <w:r>
        <w:rPr>
          <w:spacing w:val="-1"/>
        </w:rPr>
        <w:t>如果公司在等待期内取消了所授予的权益工具或结算了所授予的权益工具（因未满足可行权条件而被</w:t>
      </w:r>
      <w:r>
        <w:rPr/>
        <w:t> 取消的除外），则将取消或结算作为加速可行权处理，立即确认原本在剩余等待期内确认的金额。</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23、收入" w:id="190"/>
      <w:bookmarkEnd w:id="190"/>
      <w:r>
        <w:rPr>
          <w:b w:val="0"/>
          <w:bCs w:val="0"/>
        </w:rPr>
      </w:r>
      <w:r>
        <w:rPr>
          <w:rFonts w:ascii="Times New Roman" w:hAnsi="Times New Roman" w:cs="Times New Roman" w:eastAsia="Times New Roman" w:hint="default"/>
        </w:rPr>
        <w:t>23</w:t>
      </w:r>
      <w:r>
        <w:rPr/>
        <w:t>、收入</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7" w:right="0"/>
        <w:jc w:val="left"/>
      </w:pPr>
      <w:r>
        <w:rPr/>
        <w:t>（</w:t>
      </w:r>
      <w:r>
        <w:rPr>
          <w:rFonts w:ascii="宋体" w:hAnsi="宋体" w:cs="宋体" w:eastAsia="宋体" w:hint="default"/>
        </w:rPr>
        <w:t>1</w:t>
      </w:r>
      <w:r>
        <w:rPr/>
        <w:t>）销售商品收入 </w:t>
      </w:r>
      <w:r>
        <w:rPr>
          <w:spacing w:val="-1"/>
        </w:rPr>
        <w:t>在已将商品所有权上的重要风险和报酬转移给购货方，本公司不再对该商品实施继续管理权和实际控</w:t>
      </w:r>
    </w:p>
    <w:p>
      <w:pPr>
        <w:pStyle w:val="BodyText"/>
        <w:spacing w:line="355" w:lineRule="auto" w:before="33"/>
        <w:ind w:left="154" w:right="1131"/>
        <w:jc w:val="both"/>
      </w:pPr>
      <w:r>
        <w:rPr>
          <w:spacing w:val="-1"/>
        </w:rPr>
        <w:t>制权，相关的收入已经收到或取得了收款的凭据，并且与销售该商品的成本能够可靠的计量时，确认收入</w:t>
      </w:r>
      <w:r>
        <w:rPr>
          <w:spacing w:val="-83"/>
        </w:rPr>
        <w:t> </w:t>
      </w:r>
      <w:r>
        <w:rPr>
          <w:spacing w:val="-83"/>
        </w:rPr>
      </w:r>
      <w:r>
        <w:rPr/>
        <w:t>的实现。主要交易方式的具体销售确认的时间为：</w:t>
      </w:r>
    </w:p>
    <w:p>
      <w:pPr>
        <w:pStyle w:val="BodyText"/>
        <w:spacing w:line="355" w:lineRule="auto" w:before="33"/>
        <w:ind w:right="0" w:firstLine="423"/>
        <w:jc w:val="left"/>
      </w:pPr>
      <w:r>
        <w:rPr>
          <w:spacing w:val="-1"/>
        </w:rPr>
        <w:t>①以离岸价（</w:t>
      </w:r>
      <w:r>
        <w:rPr>
          <w:rFonts w:ascii="宋体" w:hAnsi="宋体" w:cs="宋体" w:eastAsia="宋体" w:hint="default"/>
          <w:spacing w:val="-1"/>
        </w:rPr>
        <w:t>FOB</w:t>
      </w:r>
      <w:r>
        <w:rPr>
          <w:spacing w:val="-1"/>
        </w:rPr>
        <w:t>）、成本加运费（</w:t>
      </w:r>
      <w:r>
        <w:rPr>
          <w:rFonts w:ascii="宋体" w:hAnsi="宋体" w:cs="宋体" w:eastAsia="宋体" w:hint="default"/>
          <w:spacing w:val="-1"/>
        </w:rPr>
        <w:t>CNF</w:t>
      </w:r>
      <w:r>
        <w:rPr>
          <w:spacing w:val="-1"/>
        </w:rPr>
        <w:t>）结算的出口销售，以在合同规定的装运港将货物装箱上船并</w:t>
      </w:r>
      <w:r>
        <w:rPr/>
        <w:t> 船只越过船舷时的时间为收入确认时点；</w:t>
      </w:r>
    </w:p>
    <w:p>
      <w:pPr>
        <w:pStyle w:val="BodyText"/>
        <w:spacing w:line="240" w:lineRule="auto" w:before="32"/>
        <w:ind w:left="577" w:right="0"/>
        <w:jc w:val="left"/>
      </w:pPr>
      <w:r>
        <w:rPr/>
        <w:t>②以到岸价（</w:t>
      </w:r>
      <w:r>
        <w:rPr>
          <w:rFonts w:ascii="宋体" w:hAnsi="宋体" w:cs="宋体" w:eastAsia="宋体" w:hint="default"/>
        </w:rPr>
        <w:t>CIF</w:t>
      </w:r>
      <w:r>
        <w:rPr/>
        <w:t>）结算的出口销售，以货物越过在合同规定的目的港的船舷的时间为收入确认时点；</w:t>
      </w:r>
    </w:p>
    <w:p>
      <w:pPr>
        <w:pStyle w:val="BodyText"/>
        <w:spacing w:line="240" w:lineRule="auto" w:before="134"/>
        <w:ind w:left="577" w:right="0"/>
        <w:jc w:val="left"/>
      </w:pPr>
      <w:r>
        <w:rPr/>
        <w:t>③国内销售部分按转移商品所有权凭证或交付实物的时间为收入确认时点。</w:t>
      </w:r>
    </w:p>
    <w:p>
      <w:pPr>
        <w:pStyle w:val="BodyText"/>
        <w:spacing w:line="357" w:lineRule="auto" w:before="133"/>
        <w:ind w:left="577" w:right="0"/>
        <w:jc w:val="left"/>
      </w:pPr>
      <w:r>
        <w:rPr/>
        <w:t>（</w:t>
      </w:r>
      <w:r>
        <w:rPr>
          <w:rFonts w:ascii="宋体" w:hAnsi="宋体" w:cs="宋体" w:eastAsia="宋体" w:hint="default"/>
        </w:rPr>
        <w:t>2</w:t>
      </w:r>
      <w:r>
        <w:rPr/>
        <w:t>）提供劳务收入 </w:t>
      </w:r>
      <w:r>
        <w:rPr>
          <w:spacing w:val="-1"/>
        </w:rPr>
        <w:t>对在同一会计年度内开始并完成的劳务，于完成劳务时确认收入；如果劳务的开始和完成分属不同的</w:t>
      </w:r>
    </w:p>
    <w:p>
      <w:pPr>
        <w:pStyle w:val="BodyText"/>
        <w:spacing w:line="240" w:lineRule="auto"/>
        <w:ind w:left="154" w:right="0"/>
        <w:jc w:val="both"/>
      </w:pPr>
      <w:r>
        <w:rPr>
          <w:spacing w:val="-3"/>
        </w:rPr>
        <w:t>会计年度，则在提供劳务交易的结果能够可靠估计的情况下，于期末按完工百分比法确认相关的劳务收入。</w:t>
      </w:r>
    </w:p>
    <w:p>
      <w:pPr>
        <w:pStyle w:val="BodyText"/>
        <w:spacing w:line="355" w:lineRule="auto" w:before="134"/>
        <w:ind w:left="577" w:right="5499"/>
        <w:jc w:val="left"/>
      </w:pPr>
      <w:r>
        <w:rPr/>
        <w:t>（</w:t>
      </w:r>
      <w:r>
        <w:rPr>
          <w:rFonts w:ascii="宋体" w:hAnsi="宋体" w:cs="宋体" w:eastAsia="宋体" w:hint="default"/>
        </w:rPr>
        <w:t>3</w:t>
      </w:r>
      <w:r>
        <w:rPr/>
        <w:t>）让渡资产使用权收入 让渡资产使用权收入包括利息收入和使用费收入等；</w:t>
      </w:r>
    </w:p>
    <w:p>
      <w:pPr>
        <w:pStyle w:val="BodyText"/>
        <w:spacing w:line="240" w:lineRule="auto" w:before="32"/>
        <w:ind w:left="577" w:right="0"/>
        <w:jc w:val="left"/>
      </w:pPr>
      <w:r>
        <w:rPr/>
        <w:t>利息收入金额，按照他人使用本公司货币资金的时间和实际利率计算确定；使用费收入金额，按照有</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240" w:lineRule="auto" w:before="35"/>
        <w:ind w:left="154" w:right="0"/>
        <w:jc w:val="left"/>
      </w:pPr>
      <w:r>
        <w:rPr/>
        <w:t>关合同或协议约定的收费时间和方法计算确定。</w:t>
      </w:r>
    </w:p>
    <w:p>
      <w:pPr>
        <w:pStyle w:val="BodyText"/>
        <w:spacing w:line="357" w:lineRule="auto" w:before="133"/>
        <w:ind w:left="577" w:right="0"/>
        <w:jc w:val="left"/>
      </w:pPr>
      <w:r>
        <w:rPr/>
        <w:t>（</w:t>
      </w:r>
      <w:r>
        <w:rPr>
          <w:rFonts w:ascii="宋体" w:hAnsi="宋体" w:cs="宋体" w:eastAsia="宋体" w:hint="default"/>
        </w:rPr>
        <w:t>4</w:t>
      </w:r>
      <w:r>
        <w:rPr/>
        <w:t>）建造合同收入 </w:t>
      </w:r>
      <w:r>
        <w:rPr>
          <w:spacing w:val="-1"/>
        </w:rPr>
        <w:t>依据《企业会计准则－建造合同》的规定，本公司的建造合同收入确认原则为完工百分比法。完工百</w:t>
      </w:r>
    </w:p>
    <w:p>
      <w:pPr>
        <w:pStyle w:val="BodyText"/>
        <w:spacing w:line="240" w:lineRule="auto"/>
        <w:ind w:left="154" w:right="0"/>
        <w:jc w:val="left"/>
      </w:pPr>
      <w:r>
        <w:rPr/>
        <w:t>分比法是指根据合同完工进度确认合同收入和费用的方法。具体原则为：</w:t>
      </w:r>
    </w:p>
    <w:p>
      <w:pPr>
        <w:pStyle w:val="BodyText"/>
        <w:spacing w:line="357" w:lineRule="auto" w:before="134"/>
        <w:ind w:left="577" w:right="4029"/>
        <w:jc w:val="left"/>
      </w:pPr>
      <w:r>
        <w:rPr/>
        <w:t>①建造合同收入，按下列条件均能满足时按完工百分比法予以确认： 合同总收入能够可靠地计量； 与合同相关的经济利益很可能流入企业； 实际发生的合同成本能够清楚地区分和可靠地计量； 合同完工进度和为完成合同尚需发生的成本能够可靠地确定。</w:t>
      </w:r>
    </w:p>
    <w:p>
      <w:pPr>
        <w:pStyle w:val="BodyText"/>
        <w:spacing w:line="357" w:lineRule="auto" w:before="31"/>
        <w:ind w:left="577" w:right="0"/>
        <w:jc w:val="left"/>
      </w:pPr>
      <w:r>
        <w:rPr/>
        <w:t>②完工百分比计算办法和智能化工程收入确认原则 智能化工程的完工进度</w:t>
      </w:r>
      <w:r>
        <w:rPr>
          <w:rFonts w:ascii="宋体" w:hAnsi="宋体" w:cs="宋体" w:eastAsia="宋体" w:hint="default"/>
        </w:rPr>
        <w:t>=</w:t>
      </w:r>
      <w:r>
        <w:rPr/>
        <w:t>已完成的合同工作量</w:t>
      </w:r>
      <w:r>
        <w:rPr>
          <w:rFonts w:ascii="宋体" w:hAnsi="宋体" w:cs="宋体" w:eastAsia="宋体" w:hint="default"/>
        </w:rPr>
        <w:t>/</w:t>
      </w:r>
      <w:r>
        <w:rPr/>
        <w:t>合同预计总工作量×100% 智能化工程项目已完成的工作量主要是以监理或甲方签字认可的工作量为依据来确认。 </w:t>
      </w:r>
      <w:r>
        <w:rPr>
          <w:spacing w:val="-1"/>
        </w:rPr>
        <w:t>智能化工程项目预计的总工作量根据智能化工程预算资料合理预计，智能化工程预算资料是由达实智</w:t>
      </w:r>
    </w:p>
    <w:p>
      <w:pPr>
        <w:pStyle w:val="BodyText"/>
        <w:spacing w:line="357" w:lineRule="auto" w:before="31"/>
        <w:ind w:left="577" w:right="1824" w:hanging="424"/>
        <w:jc w:val="left"/>
      </w:pPr>
      <w:r>
        <w:rPr/>
        <w:t>能工程预算部门按工程合同约定的工程材料和工程量等进行计算、编制。 智能化工程收入确认原则： 未完工智能化工程的工程收入</w:t>
      </w:r>
      <w:r>
        <w:rPr>
          <w:rFonts w:ascii="宋体" w:hAnsi="宋体" w:cs="宋体" w:eastAsia="宋体" w:hint="default"/>
        </w:rPr>
        <w:t>=</w:t>
      </w:r>
      <w:r>
        <w:rPr/>
        <w:t>完工进度×合同总收入－以前会计年度累计已确认的工程收入 已完工未决算智能化工程的工程收入</w:t>
      </w:r>
      <w:r>
        <w:rPr>
          <w:rFonts w:ascii="宋体" w:hAnsi="宋体" w:cs="宋体" w:eastAsia="宋体" w:hint="default"/>
        </w:rPr>
        <w:t>=</w:t>
      </w:r>
      <w:r>
        <w:rPr/>
        <w:t>合同总收入－以前会计年度累计已确认的工程收入</w:t>
      </w:r>
    </w:p>
    <w:p>
      <w:pPr>
        <w:pStyle w:val="BodyText"/>
        <w:spacing w:line="357" w:lineRule="auto"/>
        <w:ind w:right="1134" w:firstLine="423"/>
        <w:jc w:val="both"/>
      </w:pPr>
      <w:r>
        <w:rPr/>
        <w:t>已完工已决算智能化工程的工程收入</w:t>
      </w:r>
      <w:r>
        <w:rPr>
          <w:rFonts w:ascii="宋体" w:hAnsi="宋体" w:cs="宋体" w:eastAsia="宋体" w:hint="default"/>
        </w:rPr>
        <w:t>=</w:t>
      </w:r>
      <w:r>
        <w:rPr/>
        <w:t>决算收入（或已全额结算收入）－以前会计年度累计已确认的 工程收入</w:t>
      </w:r>
    </w:p>
    <w:p>
      <w:pPr>
        <w:pStyle w:val="BodyText"/>
        <w:spacing w:line="357" w:lineRule="auto"/>
        <w:ind w:right="1131" w:firstLine="423"/>
        <w:jc w:val="both"/>
      </w:pPr>
      <w:r>
        <w:rPr>
          <w:spacing w:val="-1"/>
        </w:rPr>
        <w:t>③如果建造合同的结果不能可靠地估计，且合同成本能够收回的，合同收入根据能够收回的实际合同</w:t>
      </w:r>
      <w:r>
        <w:rPr/>
        <w:t> </w:t>
      </w:r>
      <w:r>
        <w:rPr>
          <w:spacing w:val="-1"/>
        </w:rPr>
        <w:t>成本加以确认，合同成本在其发生的当期确认为合同费用；合同成本不能收回的，于发生时立即确认为费</w:t>
      </w:r>
      <w:r>
        <w:rPr>
          <w:spacing w:val="-83"/>
        </w:rPr>
        <w:t> </w:t>
      </w:r>
      <w:r>
        <w:rPr>
          <w:spacing w:val="-83"/>
        </w:rPr>
      </w:r>
      <w:r>
        <w:rPr/>
        <w:t>用，不确认收入。</w:t>
      </w:r>
    </w:p>
    <w:p>
      <w:pPr>
        <w:pStyle w:val="BodyText"/>
        <w:spacing w:line="240" w:lineRule="auto"/>
        <w:ind w:left="577" w:right="0"/>
        <w:jc w:val="left"/>
      </w:pPr>
      <w:r>
        <w:rPr/>
        <w:t>④如果合同预计总成本将超过合同预计总收入，超过部分作为预计损失立即计入当期费用。</w:t>
      </w:r>
    </w:p>
    <w:p>
      <w:pPr>
        <w:pStyle w:val="BodyText"/>
        <w:spacing w:line="355" w:lineRule="auto" w:before="134"/>
        <w:ind w:left="577" w:right="0"/>
        <w:jc w:val="left"/>
      </w:pPr>
      <w:r>
        <w:rPr/>
        <w:t>（</w:t>
      </w:r>
      <w:r>
        <w:rPr>
          <w:rFonts w:ascii="宋体" w:hAnsi="宋体" w:cs="宋体" w:eastAsia="宋体" w:hint="default"/>
        </w:rPr>
        <w:t>5</w:t>
      </w:r>
      <w:r>
        <w:rPr/>
        <w:t>）节能服务合同业务收入 </w:t>
      </w:r>
      <w:r>
        <w:rPr>
          <w:spacing w:val="-1"/>
        </w:rPr>
        <w:t>节能服务合同业务基本情况：公司利用自身技术，通过为客户节约能源，获得节能分成来达到盈利目</w:t>
      </w:r>
    </w:p>
    <w:p>
      <w:pPr>
        <w:pStyle w:val="BodyText"/>
        <w:spacing w:line="357" w:lineRule="auto" w:before="33"/>
        <w:ind w:left="0" w:right="1111"/>
        <w:jc w:val="right"/>
      </w:pPr>
      <w:r>
        <w:rPr>
          <w:spacing w:val="-1"/>
        </w:rPr>
        <w:t>的；项目服务期通常为</w:t>
      </w:r>
      <w:r>
        <w:rPr>
          <w:rFonts w:ascii="宋体" w:hAnsi="宋体" w:cs="宋体" w:eastAsia="宋体" w:hint="default"/>
          <w:spacing w:val="-1"/>
        </w:rPr>
        <w:t>3-15</w:t>
      </w:r>
      <w:r>
        <w:rPr>
          <w:spacing w:val="-1"/>
        </w:rPr>
        <w:t>年；在经营过程中，公司为节能项目提供相应的设备；在经营期间，相应设备</w:t>
      </w:r>
      <w:r>
        <w:rPr/>
        <w:t> </w:t>
      </w:r>
      <w:r>
        <w:rPr>
          <w:spacing w:val="-1"/>
        </w:rPr>
        <w:t>由客户代为保管；在项目进行过程中，公司为客户提供相关节能的服务；在项目结束后，公司会将相应设</w:t>
      </w:r>
      <w:r>
        <w:rPr/>
        <w:t> 备转移给其客户，不再另行收费；在项目结束后，客户如需后续服务，公司会予以提供，但需另行收费。 </w:t>
      </w:r>
      <w:r>
        <w:rPr>
          <w:spacing w:val="-1"/>
        </w:rPr>
        <w:t>节能服务合同业务收入在满足收入确认条件时按双方约定的节能效果来计算确定，公司用于节能项目</w:t>
      </w:r>
      <w:r>
        <w:rPr/>
        <w:t> </w:t>
      </w:r>
      <w:r>
        <w:rPr>
          <w:spacing w:val="-1"/>
        </w:rPr>
        <w:t>的设备作为固定资产处理，使用寿命按项目期确定，计提折旧的年限按项目主要受益期确定，计提的折旧</w:t>
      </w:r>
    </w:p>
    <w:p>
      <w:pPr>
        <w:pStyle w:val="BodyText"/>
        <w:spacing w:line="240" w:lineRule="auto" w:before="31"/>
        <w:ind w:left="154" w:right="0"/>
        <w:jc w:val="left"/>
      </w:pPr>
      <w:r>
        <w:rPr/>
        <w:t>记入节能服务业务成本，与节能服务相关的费用记入当期费用。</w:t>
      </w:r>
    </w:p>
    <w:p>
      <w:pPr>
        <w:pStyle w:val="BodyText"/>
        <w:spacing w:line="357" w:lineRule="auto" w:before="133"/>
        <w:ind w:left="154" w:right="1138" w:firstLine="423"/>
        <w:jc w:val="both"/>
      </w:pPr>
      <w:r>
        <w:rPr/>
        <w:t>（</w:t>
      </w:r>
      <w:r>
        <w:rPr>
          <w:rFonts w:ascii="宋体" w:hAnsi="宋体" w:cs="宋体" w:eastAsia="宋体" w:hint="default"/>
        </w:rPr>
        <w:t>6</w:t>
      </w:r>
      <w:r>
        <w:rPr/>
        <w:t>）租赁收入：租赁服务费收入按照合同约定确认收入，租息收入以天为基数按照权责发生制原则 计入当月收入。</w:t>
      </w:r>
    </w:p>
    <w:p>
      <w:pPr>
        <w:spacing w:after="0" w:line="357"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4、政府补助判断依据及会计处理方法" w:id="191"/>
      <w:bookmarkEnd w:id="191"/>
      <w:r>
        <w:rPr>
          <w:b w:val="0"/>
          <w:bCs w:val="0"/>
        </w:rPr>
      </w:r>
      <w:r>
        <w:rPr>
          <w:rFonts w:ascii="Times New Roman" w:hAnsi="Times New Roman" w:cs="Times New Roman" w:eastAsia="Times New Roman" w:hint="default"/>
        </w:rPr>
        <w:t>24</w:t>
      </w:r>
      <w:r>
        <w:rPr/>
        <w:t>、政府补助判断依据及会计处理方法</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left="153" w:right="0"/>
        <w:jc w:val="left"/>
        <w:rPr>
          <w:b w:val="0"/>
          <w:bCs w:val="0"/>
        </w:rPr>
      </w:pPr>
      <w:bookmarkStart w:name="（1）类型" w:id="192"/>
      <w:bookmarkEnd w:id="192"/>
      <w:r>
        <w:rPr>
          <w:b w:val="0"/>
          <w:bCs w:val="0"/>
        </w:rPr>
      </w:r>
      <w:r>
        <w:rPr/>
        <w:t>（</w:t>
      </w:r>
      <w:r>
        <w:rPr>
          <w:rFonts w:ascii="Times New Roman" w:hAnsi="Times New Roman" w:cs="Times New Roman" w:eastAsia="Times New Roman" w:hint="default"/>
        </w:rPr>
        <w:t>1</w:t>
      </w:r>
      <w:r>
        <w:rPr/>
        <w:t>）类型</w:t>
      </w:r>
      <w:r>
        <w:rPr>
          <w:b w:val="0"/>
          <w:bCs w:val="0"/>
        </w:rPr>
      </w:r>
    </w:p>
    <w:p>
      <w:pPr>
        <w:spacing w:line="240" w:lineRule="auto" w:before="0"/>
        <w:rPr>
          <w:rFonts w:ascii="宋体" w:hAnsi="宋体" w:cs="宋体" w:eastAsia="宋体" w:hint="default"/>
          <w:b/>
          <w:bCs/>
          <w:sz w:val="17"/>
          <w:szCs w:val="17"/>
        </w:rPr>
      </w:pPr>
    </w:p>
    <w:p>
      <w:pPr>
        <w:pStyle w:val="BodyText"/>
        <w:spacing w:line="357" w:lineRule="auto" w:before="0"/>
        <w:ind w:right="1024" w:firstLine="420"/>
        <w:jc w:val="left"/>
      </w:pPr>
      <w:r>
        <w:rPr>
          <w:spacing w:val="3"/>
        </w:rPr>
        <w:t>政府补助是指本公司从政府无偿取得货币性资产和非货币性资产，不包括政府作为所有者投入的资</w:t>
      </w:r>
      <w:r>
        <w:rPr/>
        <w:t> 本。政府补助分为与资产相关的政府补助和与收益相关的政府补助。与资产相关的政府补助，是指企业取 得的、用于购建或以其他方式形成的长期资产，包括购买固定资产或无形资产的财政拨款、固定资产专门 借款的财政贴息等，但不包括公司合同能源管理对外投资形成的资产。与收益相关的政府补助，是指除与 资产相关的政府补助之外的政府补助。若政府文件未明确规定补助对象，则采用以下方式将补助款划分为 与收益相关的政府补助和与资产相关的政府补助：①政府文件明确了补助所针对的特定项目的，根据该特 定项目的预算中将形成资产的支出金额和计入费用的支出金额的相对比例进行划分，对该划分比例需在每 </w:t>
      </w:r>
      <w:r>
        <w:rPr>
          <w:spacing w:val="-3"/>
        </w:rPr>
        <w:t>个资产负债表日进行复核，必要时进行变更；②政府文件中对用途仅作一般性表述，没有指明特定项目的，</w:t>
      </w:r>
      <w:r>
        <w:rPr>
          <w:spacing w:val="-91"/>
        </w:rPr>
        <w:t> </w:t>
      </w:r>
      <w:r>
        <w:rPr>
          <w:spacing w:val="-91"/>
        </w:rPr>
      </w:r>
      <w:r>
        <w:rPr/>
        <w:t>作为与收益相关的政府补助。</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会计政策" w:id="193"/>
      <w:bookmarkEnd w:id="193"/>
      <w:r>
        <w:rPr>
          <w:b w:val="0"/>
          <w:bCs w:val="0"/>
        </w:rPr>
      </w:r>
      <w:r>
        <w:rPr/>
        <w:t>（</w:t>
      </w:r>
      <w:r>
        <w:rPr>
          <w:rFonts w:ascii="Times New Roman" w:hAnsi="Times New Roman" w:cs="Times New Roman" w:eastAsia="Times New Roman" w:hint="default"/>
        </w:rPr>
        <w:t>2</w:t>
      </w:r>
      <w:r>
        <w:rPr/>
        <w:t>）会计政策</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4" w:right="0"/>
        <w:jc w:val="left"/>
      </w:pPr>
      <w:r>
        <w:rPr>
          <w:rFonts w:ascii="宋体" w:hAnsi="宋体" w:cs="宋体" w:eastAsia="宋体" w:hint="default"/>
        </w:rPr>
        <w:t>A</w:t>
      </w:r>
      <w:r>
        <w:rPr/>
        <w:t>、资产相关政府补助和与收益相关政府补助的具体标准：</w:t>
      </w:r>
    </w:p>
    <w:p>
      <w:pPr>
        <w:pStyle w:val="BodyText"/>
        <w:spacing w:line="357" w:lineRule="auto" w:before="133"/>
        <w:ind w:right="1135" w:firstLine="420"/>
        <w:jc w:val="left"/>
      </w:pPr>
      <w:r>
        <w:rPr/>
        <w:t>①</w:t>
      </w:r>
      <w:r>
        <w:rPr>
          <w:spacing w:val="63"/>
        </w:rPr>
        <w:t> </w:t>
      </w:r>
      <w:r>
        <w:rPr/>
        <w:t>政府补助为货币性资产的，按照收到或应收的金额计量。政府补助为非货币性资产的，按照公允</w:t>
      </w:r>
      <w:r>
        <w:rPr/>
        <w:t> 价值计量；公允价值不能可靠取得的，按照名义金额计量。</w:t>
      </w:r>
    </w:p>
    <w:p>
      <w:pPr>
        <w:pStyle w:val="BodyText"/>
        <w:spacing w:line="357" w:lineRule="auto"/>
        <w:ind w:left="154" w:right="1133" w:firstLine="420"/>
        <w:jc w:val="both"/>
      </w:pPr>
      <w:r>
        <w:rPr/>
        <w:t>②</w:t>
      </w:r>
      <w:r>
        <w:rPr>
          <w:spacing w:val="60"/>
        </w:rPr>
        <w:t> </w:t>
      </w:r>
      <w:r>
        <w:rPr/>
        <w:t>与资产相关的政府补助，确认为递延收益，自相关资产达到预定可使用状态时起，在该资产使用</w:t>
      </w:r>
      <w:r>
        <w:rPr/>
        <w:t> </w:t>
      </w:r>
      <w:r>
        <w:rPr>
          <w:spacing w:val="-1"/>
        </w:rPr>
        <w:t>寿命内平均计入各期损益。相关资产在使用寿命结束前被出售、转让、报废或发生毁损的，将递延收益余</w:t>
      </w:r>
      <w:r>
        <w:rPr>
          <w:spacing w:val="-86"/>
        </w:rPr>
        <w:t> </w:t>
      </w:r>
      <w:r>
        <w:rPr>
          <w:spacing w:val="-86"/>
        </w:rPr>
      </w:r>
      <w:r>
        <w:rPr/>
        <w:t>额一次性转入资产处置当期的损益。</w:t>
      </w:r>
    </w:p>
    <w:p>
      <w:pPr>
        <w:pStyle w:val="BodyText"/>
        <w:spacing w:line="355" w:lineRule="auto" w:before="31"/>
        <w:ind w:left="573" w:right="3823"/>
        <w:jc w:val="left"/>
      </w:pPr>
      <w:r>
        <w:rPr>
          <w:rFonts w:ascii="宋体" w:hAnsi="宋体" w:cs="宋体" w:eastAsia="宋体" w:hint="default"/>
        </w:rPr>
        <w:t>B</w:t>
      </w:r>
      <w:r>
        <w:rPr/>
        <w:t>、</w:t>
      </w:r>
      <w:r>
        <w:rPr>
          <w:spacing w:val="-1"/>
        </w:rPr>
        <w:t> </w:t>
      </w:r>
      <w:r>
        <w:rPr/>
        <w:t>政府补助的确认时点</w:t>
      </w:r>
      <w:r>
        <w:rPr/>
        <w:t> 本公司在能够满足政府补助所附条件且实际收到时，确认为政府补助。 </w:t>
      </w:r>
      <w:r>
        <w:rPr>
          <w:rFonts w:ascii="宋体" w:hAnsi="宋体" w:cs="宋体" w:eastAsia="宋体" w:hint="default"/>
        </w:rPr>
        <w:t>C</w:t>
      </w:r>
      <w:r>
        <w:rPr/>
        <w:t>、与收益相关的政府补助：</w:t>
      </w:r>
    </w:p>
    <w:p>
      <w:pPr>
        <w:pStyle w:val="BodyText"/>
        <w:spacing w:line="355" w:lineRule="auto" w:before="33"/>
        <w:ind w:right="1093" w:firstLine="420"/>
        <w:jc w:val="left"/>
      </w:pPr>
      <w:r>
        <w:rPr/>
        <w:t>①用于补偿以后期间的相关费用或损失的，确认为递延收益，在确认相关费用的期间计入当期损益； 用于补偿已经发生的相关费用或损失的，取得时直接计入当期损益；</w:t>
      </w:r>
    </w:p>
    <w:p>
      <w:pPr>
        <w:pStyle w:val="BodyText"/>
        <w:spacing w:line="355" w:lineRule="auto" w:before="33"/>
        <w:ind w:right="0" w:firstLine="420"/>
        <w:jc w:val="left"/>
      </w:pPr>
      <w:r>
        <w:rPr>
          <w:spacing w:val="-1"/>
        </w:rPr>
        <w:t>②与公司建筑智能化与建筑节能项目相关的政府补助，实际收到时确认为递延收益，以后根据工程项</w:t>
      </w:r>
      <w:r>
        <w:rPr/>
        <w:t> 目的进度按比例转入当期损益；</w:t>
      </w:r>
    </w:p>
    <w:p>
      <w:pPr>
        <w:pStyle w:val="BodyText"/>
        <w:spacing w:line="355" w:lineRule="auto" w:before="33"/>
        <w:ind w:left="154" w:right="0" w:firstLine="420"/>
        <w:jc w:val="left"/>
      </w:pPr>
      <w:r>
        <w:rPr>
          <w:spacing w:val="-1"/>
        </w:rPr>
        <w:t>③与研发相关的政府补助，若需要相关部门验收的，则于实际收到时确认为递延收益，待验收通过后</w:t>
      </w:r>
      <w:r>
        <w:rPr/>
        <w:t> 转入当期损益。</w:t>
      </w:r>
    </w:p>
    <w:p>
      <w:pPr>
        <w:pStyle w:val="BodyText"/>
        <w:spacing w:line="240" w:lineRule="auto" w:before="32"/>
        <w:ind w:left="573" w:right="0"/>
        <w:jc w:val="left"/>
      </w:pPr>
      <w:r>
        <w:rPr>
          <w:rFonts w:ascii="宋体" w:hAnsi="宋体" w:cs="宋体" w:eastAsia="宋体" w:hint="default"/>
        </w:rPr>
        <w:t>D</w:t>
      </w:r>
      <w:r>
        <w:rPr/>
        <w:t>、已确认的政府补助需要返还的，分别下列情况处理：</w:t>
      </w:r>
    </w:p>
    <w:p>
      <w:pPr>
        <w:pStyle w:val="BodyText"/>
        <w:spacing w:line="240" w:lineRule="auto" w:before="134"/>
        <w:ind w:left="573" w:right="0"/>
        <w:jc w:val="left"/>
      </w:pPr>
      <w:r>
        <w:rPr/>
        <w:t>①存在相关递延收益的，冲减相关递延收益账面余额，超出部分计入当期损益。</w:t>
      </w:r>
    </w:p>
    <w:p>
      <w:pPr>
        <w:pStyle w:val="BodyText"/>
        <w:spacing w:line="240" w:lineRule="auto" w:before="133"/>
        <w:ind w:left="573" w:right="0"/>
        <w:jc w:val="left"/>
      </w:pPr>
      <w:r>
        <w:rPr/>
        <w:t>②不存在相关递延收益的，直接计入当期损益。</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5、递延所得税资产/递延所得税负债" w:id="194"/>
      <w:bookmarkEnd w:id="194"/>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7" w:right="0"/>
        <w:jc w:val="left"/>
      </w:pPr>
      <w:r>
        <w:rPr/>
        <w:t>（</w:t>
      </w:r>
      <w:r>
        <w:rPr>
          <w:rFonts w:ascii="宋体" w:hAnsi="宋体" w:cs="宋体" w:eastAsia="宋体" w:hint="default"/>
        </w:rPr>
        <w:t>1</w:t>
      </w:r>
      <w:r>
        <w:rPr/>
        <w:t>）暂时性差异 </w:t>
      </w:r>
      <w:r>
        <w:rPr>
          <w:spacing w:val="-1"/>
        </w:rPr>
        <w:t>暂时性差异包括资产与负债的账面价值与计税基础之间的差额，以及未作为资产和负债确认，但按照</w:t>
      </w:r>
    </w:p>
    <w:p>
      <w:pPr>
        <w:pStyle w:val="BodyText"/>
        <w:spacing w:line="355" w:lineRule="auto"/>
        <w:ind w:left="154" w:right="1132"/>
        <w:jc w:val="both"/>
      </w:pPr>
      <w:r>
        <w:rPr>
          <w:spacing w:val="-1"/>
        </w:rPr>
        <w:t>税法规定可以确定其计税基础的项目的账面价值与计税基础之间的差额。暂时性差异分为应纳税暂时性差</w:t>
      </w:r>
      <w:r>
        <w:rPr>
          <w:spacing w:val="-81"/>
        </w:rPr>
        <w:t> </w:t>
      </w:r>
      <w:r>
        <w:rPr>
          <w:spacing w:val="-81"/>
        </w:rPr>
      </w:r>
      <w:r>
        <w:rPr/>
        <w:t>异和可抵扣暂时性差异。</w:t>
      </w:r>
    </w:p>
    <w:p>
      <w:pPr>
        <w:pStyle w:val="BodyText"/>
        <w:spacing w:line="355" w:lineRule="auto" w:before="33"/>
        <w:ind w:left="577" w:right="0"/>
        <w:jc w:val="left"/>
      </w:pPr>
      <w:r>
        <w:rPr/>
        <w:t>（</w:t>
      </w:r>
      <w:r>
        <w:rPr>
          <w:rFonts w:ascii="宋体" w:hAnsi="宋体" w:cs="宋体" w:eastAsia="宋体" w:hint="default"/>
        </w:rPr>
        <w:t>2</w:t>
      </w:r>
      <w:r>
        <w:rPr/>
        <w:t>）递延所得税资产的确认依据 </w:t>
      </w:r>
      <w:r>
        <w:rPr>
          <w:spacing w:val="-1"/>
        </w:rPr>
        <w:t>对于可抵扣暂时性差异、能够结转以后年度的可抵扣亏损和税款抵减，本公司以很可能取得用来抵扣</w:t>
      </w:r>
    </w:p>
    <w:p>
      <w:pPr>
        <w:pStyle w:val="BodyText"/>
        <w:spacing w:line="355" w:lineRule="auto" w:before="33"/>
        <w:ind w:left="577" w:right="1093" w:hanging="424"/>
        <w:jc w:val="left"/>
      </w:pPr>
      <w:r>
        <w:rPr/>
        <w:t>可抵扣暂时性差异、可抵扣亏损和税款抵减的未来应纳税所得额为限，确认由此产生的递延所得税资产。 </w:t>
      </w:r>
      <w:r>
        <w:rPr>
          <w:spacing w:val="-1"/>
        </w:rPr>
        <w:t>同时具有下列特征的交易中因资产或负债的初始确认所产生的递延所得税资产不予确认：①该交易不</w:t>
      </w:r>
    </w:p>
    <w:p>
      <w:pPr>
        <w:pStyle w:val="BodyText"/>
        <w:spacing w:line="355" w:lineRule="auto" w:before="33"/>
        <w:ind w:left="577" w:right="0" w:hanging="424"/>
        <w:jc w:val="left"/>
      </w:pPr>
      <w:r>
        <w:rPr/>
        <w:t>是企业合并；②交易发生时既不影响会计利润也不影响应纳税所得额（或可抵扣亏损）； </w:t>
      </w:r>
      <w:r>
        <w:rPr>
          <w:spacing w:val="-1"/>
        </w:rPr>
        <w:t>公司对于与子公司、联营企业及合营企业投资相关的可抵扣暂时性差异，同时满足下列条件的，确认</w:t>
      </w:r>
    </w:p>
    <w:p>
      <w:pPr>
        <w:pStyle w:val="BodyText"/>
        <w:spacing w:line="357" w:lineRule="auto" w:before="32"/>
        <w:ind w:left="154" w:right="1131"/>
        <w:jc w:val="both"/>
      </w:pPr>
      <w:r>
        <w:rPr>
          <w:spacing w:val="-1"/>
        </w:rPr>
        <w:t>相应的递延所得税资产：①暂时性差异在可预见的未来很可能转回；②未来很可能获得用来抵扣可抵扣暂</w:t>
      </w:r>
      <w:r>
        <w:rPr>
          <w:spacing w:val="-81"/>
        </w:rPr>
        <w:t> </w:t>
      </w:r>
      <w:r>
        <w:rPr>
          <w:spacing w:val="-81"/>
        </w:rPr>
      </w:r>
      <w:r>
        <w:rPr/>
        <w:t>时性差异的应纳税所得额。</w:t>
      </w:r>
    </w:p>
    <w:p>
      <w:pPr>
        <w:pStyle w:val="BodyText"/>
        <w:spacing w:line="357" w:lineRule="auto"/>
        <w:ind w:left="577" w:right="5079"/>
        <w:jc w:val="left"/>
      </w:pPr>
      <w:r>
        <w:rPr/>
        <w:t>（</w:t>
      </w:r>
      <w:r>
        <w:rPr>
          <w:rFonts w:ascii="宋体" w:hAnsi="宋体" w:cs="宋体" w:eastAsia="宋体" w:hint="default"/>
        </w:rPr>
        <w:t>3</w:t>
      </w:r>
      <w:r>
        <w:rPr/>
        <w:t>）递延所得税负债的确认依据 对于各种应纳税暂时性差异均据以确认递延所得税负债。</w:t>
      </w:r>
    </w:p>
    <w:p>
      <w:pPr>
        <w:pStyle w:val="BodyText"/>
        <w:spacing w:line="357" w:lineRule="auto"/>
        <w:ind w:right="1018" w:firstLine="423"/>
        <w:jc w:val="left"/>
      </w:pPr>
      <w:r>
        <w:rPr>
          <w:spacing w:val="-3"/>
        </w:rPr>
        <w:t>但公司对在以下交易中产生的应纳税暂时性差异不确认递延所得税负债：（</w:t>
      </w:r>
      <w:r>
        <w:rPr>
          <w:rFonts w:ascii="宋体" w:hAnsi="宋体" w:cs="宋体" w:eastAsia="宋体" w:hint="default"/>
          <w:spacing w:val="-3"/>
        </w:rPr>
        <w:t>1</w:t>
      </w:r>
      <w:r>
        <w:rPr>
          <w:spacing w:val="-3"/>
        </w:rPr>
        <w:t>）商誉的初始确认；（</w:t>
      </w:r>
      <w:r>
        <w:rPr>
          <w:rFonts w:ascii="宋体" w:hAnsi="宋体" w:cs="宋体" w:eastAsia="宋体" w:hint="default"/>
          <w:spacing w:val="-3"/>
        </w:rPr>
        <w:t>2</w:t>
      </w:r>
      <w:r>
        <w:rPr>
          <w:spacing w:val="-3"/>
        </w:rPr>
        <w:t>）</w:t>
      </w:r>
      <w:r>
        <w:rPr/>
        <w:t> 同时具有以下特征的交易中产生的资产或负债的初始确认：该交易不是企业合并；并且交易发生时既不影</w:t>
      </w:r>
      <w:r>
        <w:rPr/>
        <w:t> 响会计利润也不影响应纳税所得额（或可抵扣亏损）；</w:t>
      </w:r>
    </w:p>
    <w:p>
      <w:pPr>
        <w:pStyle w:val="BodyText"/>
        <w:spacing w:line="357" w:lineRule="auto"/>
        <w:ind w:right="1015" w:firstLine="423"/>
        <w:jc w:val="left"/>
      </w:pPr>
      <w:r>
        <w:rPr>
          <w:spacing w:val="-3"/>
        </w:rPr>
        <w:t>对于与子公司、联营企业及合营企业投资相关的应纳税暂时性差异，应当确认相应的递延所得税负债。</w:t>
      </w:r>
      <w:r>
        <w:rPr/>
        <w:t> 但同时满足下列条件的除外：①投资企业能够控制暂时性差异转回的时间；②该暂时性差异在可预见的未 来很可能不会转回。</w:t>
      </w:r>
    </w:p>
    <w:p>
      <w:pPr>
        <w:pStyle w:val="BodyText"/>
        <w:spacing w:line="355" w:lineRule="auto" w:before="31"/>
        <w:ind w:left="577" w:right="0"/>
        <w:jc w:val="left"/>
      </w:pPr>
      <w:r>
        <w:rPr/>
        <w:t>（</w:t>
      </w:r>
      <w:r>
        <w:rPr>
          <w:rFonts w:ascii="宋体" w:hAnsi="宋体" w:cs="宋体" w:eastAsia="宋体" w:hint="default"/>
        </w:rPr>
        <w:t>4</w:t>
      </w:r>
      <w:r>
        <w:rPr/>
        <w:t>）递延所得税资产的减值 </w:t>
      </w:r>
      <w:r>
        <w:rPr>
          <w:spacing w:val="-1"/>
        </w:rPr>
        <w:t>在资产负债表日应当对递延所得税资产的账面价值进行复核。如果未来期间很可能无法取得足够的应</w:t>
      </w:r>
    </w:p>
    <w:p>
      <w:pPr>
        <w:pStyle w:val="BodyText"/>
        <w:spacing w:line="355" w:lineRule="auto" w:before="33"/>
        <w:ind w:left="154" w:right="1110"/>
        <w:jc w:val="both"/>
      </w:pPr>
      <w:r>
        <w:rPr>
          <w:spacing w:val="-1"/>
        </w:rPr>
        <w:t>纳税所得额用以抵扣递延所得税资产的利益，则减记递延所得税资产的账面价值。除原确认时计入所有者</w:t>
      </w:r>
      <w:r>
        <w:rPr>
          <w:spacing w:val="-81"/>
        </w:rPr>
        <w:t> </w:t>
      </w:r>
      <w:r>
        <w:rPr>
          <w:spacing w:val="-81"/>
        </w:rPr>
      </w:r>
      <w:r>
        <w:rPr/>
        <w:t>权益的递延所得税资产部分，其减记金额也应计入所有者权益外，其他的情况应计入当期的所得税费用。 在很可能取得足够的应纳税所得额时，减记的递延所得税资产账面价值可以恢复。</w:t>
      </w:r>
    </w:p>
    <w:p>
      <w:pPr>
        <w:pStyle w:val="BodyText"/>
        <w:spacing w:line="355" w:lineRule="auto" w:before="33"/>
        <w:ind w:left="577" w:right="6339"/>
        <w:jc w:val="left"/>
      </w:pPr>
      <w:r>
        <w:rPr/>
        <w:t>（</w:t>
      </w:r>
      <w:r>
        <w:rPr>
          <w:rFonts w:ascii="宋体" w:hAnsi="宋体" w:cs="宋体" w:eastAsia="宋体" w:hint="default"/>
        </w:rPr>
        <w:t>5</w:t>
      </w:r>
      <w:r>
        <w:rPr/>
        <w:t>）所得税费用 所得税费用包括当期所得税和递延所得税。</w:t>
      </w:r>
    </w:p>
    <w:p>
      <w:pPr>
        <w:pStyle w:val="BodyText"/>
        <w:spacing w:line="357" w:lineRule="auto" w:before="33"/>
        <w:ind w:left="154" w:right="1131" w:firstLine="423"/>
        <w:jc w:val="both"/>
      </w:pPr>
      <w:r>
        <w:rPr>
          <w:spacing w:val="3"/>
        </w:rPr>
        <w:t>除确认为其他综合收益或直接计入股东权益的交易和事项相关的当期所得税和递延所得税计入其他</w:t>
      </w:r>
      <w:r>
        <w:rPr/>
        <w:t>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spacing w:after="0" w:line="357"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6、租赁" w:id="195"/>
      <w:bookmarkEnd w:id="195"/>
      <w:r>
        <w:rPr>
          <w:b w:val="0"/>
          <w:bCs w:val="0"/>
        </w:rPr>
      </w: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196"/>
      <w:bookmarkEnd w:id="19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left="154" w:right="1133" w:firstLine="423"/>
        <w:jc w:val="both"/>
      </w:pPr>
      <w:r>
        <w:rPr>
          <w:spacing w:val="-1"/>
        </w:rPr>
        <w:t>①公司租入资产所支付的租赁费，在不扣除免租期的整个租赁期内，按直线法进行分摊，计入当期费</w:t>
      </w:r>
      <w:r>
        <w:rPr/>
        <w:t> 用。公司支付的与租赁交易相关的初始直接费用，计入当期费用。</w:t>
      </w:r>
    </w:p>
    <w:p>
      <w:pPr>
        <w:pStyle w:val="BodyText"/>
        <w:spacing w:line="355" w:lineRule="auto"/>
        <w:ind w:left="154" w:right="1133" w:firstLine="423"/>
        <w:jc w:val="both"/>
      </w:pPr>
      <w:r>
        <w:rPr>
          <w:spacing w:val="-1"/>
        </w:rPr>
        <w:t>资产出租方承担了应由公司承担的与租赁相关的费用时，公司将该部分费用从租金总额中扣除，按扣</w:t>
      </w:r>
      <w:r>
        <w:rPr/>
        <w:t> 除后的租金费用在租赁期内分摊，计入当期费用。</w:t>
      </w:r>
    </w:p>
    <w:p>
      <w:pPr>
        <w:pStyle w:val="BodyText"/>
        <w:spacing w:line="357" w:lineRule="auto" w:before="33"/>
        <w:ind w:left="154" w:right="1133" w:firstLine="423"/>
        <w:jc w:val="both"/>
      </w:pPr>
      <w:r>
        <w:rPr>
          <w:spacing w:val="-1"/>
        </w:rPr>
        <w:t>②公司出租资产所收取的租赁费，在不扣除免租期的整个租赁期内，按直线法进行分摊，确认为租赁</w:t>
      </w:r>
      <w:r>
        <w:rPr/>
        <w:t> </w:t>
      </w:r>
      <w:r>
        <w:rPr>
          <w:spacing w:val="-1"/>
        </w:rPr>
        <w:t>收入。公司支付的与租赁交易相关的初始直接费用，计入当期费用；如金额较大的，则予以资本化，在整</w:t>
      </w:r>
      <w:r>
        <w:rPr>
          <w:spacing w:val="-83"/>
        </w:rPr>
        <w:t> </w:t>
      </w:r>
      <w:r>
        <w:rPr>
          <w:spacing w:val="-83"/>
        </w:rPr>
      </w:r>
      <w:r>
        <w:rPr/>
        <w:t>个租赁期间内按照与租赁收入确认相同的基础分期计入当期收益。</w:t>
      </w:r>
    </w:p>
    <w:p>
      <w:pPr>
        <w:pStyle w:val="BodyText"/>
        <w:spacing w:line="357" w:lineRule="auto"/>
        <w:ind w:left="154" w:right="1133" w:firstLine="423"/>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融资租赁的会计处理方法" w:id="197"/>
      <w:bookmarkEnd w:id="19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154" w:right="1129" w:firstLine="423"/>
        <w:jc w:val="both"/>
      </w:pPr>
      <w:r>
        <w:rPr>
          <w:spacing w:val="-1"/>
        </w:rPr>
        <w:t>①融资租入资产：公司在承租开始日，将租赁资产公允价值与最低租赁付款额现值两者中较低者作为</w:t>
      </w:r>
      <w:r>
        <w:rPr/>
        <w:t> </w:t>
      </w:r>
      <w:r>
        <w:rPr>
          <w:spacing w:val="-2"/>
        </w:rPr>
        <w:t>租入资产的入账价值，将最低租赁付款额作为长期应付款的入账价值，其差额作为未确认的融资费用。</w:t>
      </w:r>
      <w:r>
        <w:rPr>
          <w:spacing w:val="-36"/>
        </w:rPr>
        <w:t> </w:t>
      </w:r>
      <w:r>
        <w:rPr/>
        <w:t>公</w:t>
      </w:r>
      <w:r>
        <w:rPr/>
        <w:t> 司采用实际利率法对未确认的融资费用，在资产租赁期间内摊销，计入财务费用。</w:t>
      </w:r>
    </w:p>
    <w:p>
      <w:pPr>
        <w:pStyle w:val="BodyText"/>
        <w:spacing w:line="357" w:lineRule="auto"/>
        <w:ind w:left="154" w:right="1023" w:firstLine="423"/>
        <w:jc w:val="left"/>
      </w:pPr>
      <w:r>
        <w:rPr/>
        <w:t>②融资租出资产：公司在租赁开始日，将应收融资租赁款，未担保余值之和与其现值的差额确认为未 </w:t>
      </w: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7、重要会计政策和会计估计变更" w:id="198"/>
      <w:bookmarkEnd w:id="198"/>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199"/>
      <w:bookmarkEnd w:id="19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见下表所述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第五届董事会第十一次会议</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before="0"/>
        <w:ind w:left="577" w:right="0"/>
        <w:jc w:val="left"/>
      </w:pPr>
      <w:r>
        <w:rPr/>
        <w:t>①会计政策变更的内容和原因</w:t>
      </w:r>
    </w:p>
    <w:p>
      <w:pPr>
        <w:pStyle w:val="BodyText"/>
        <w:spacing w:line="357" w:lineRule="auto" w:before="133"/>
        <w:ind w:right="1023" w:firstLine="423"/>
        <w:jc w:val="left"/>
      </w:pPr>
      <w:r>
        <w:rPr/>
        <w:t>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日起，财政部陆续修订了《企业会计准则第</w:t>
      </w:r>
      <w:r>
        <w:rPr>
          <w:rFonts w:ascii="宋体" w:hAnsi="宋体" w:cs="宋体" w:eastAsia="宋体" w:hint="default"/>
        </w:rPr>
        <w:t>9</w:t>
      </w:r>
      <w:r>
        <w:rPr/>
        <w:t>号——职工薪酬》、《企业会计准则第</w:t>
      </w:r>
      <w:r>
        <w:rPr>
          <w:rFonts w:ascii="宋体" w:hAnsi="宋体" w:cs="宋体" w:eastAsia="宋体" w:hint="default"/>
        </w:rPr>
        <w:t>30 </w:t>
      </w:r>
      <w:r>
        <w:rPr/>
        <w:t>号——财务报表列报》、《企业会计准则第</w:t>
      </w:r>
      <w:r>
        <w:rPr>
          <w:rFonts w:ascii="宋体" w:hAnsi="宋体" w:cs="宋体" w:eastAsia="宋体" w:hint="default"/>
        </w:rPr>
        <w:t>33</w:t>
      </w:r>
      <w:r>
        <w:rPr/>
        <w:t>号——合并财务报表》，颁布了《企业会计准则第</w:t>
      </w:r>
      <w:r>
        <w:rPr>
          <w:rFonts w:ascii="宋体" w:hAnsi="宋体" w:cs="宋体" w:eastAsia="宋体" w:hint="default"/>
        </w:rPr>
        <w:t>39</w:t>
      </w:r>
      <w:r>
        <w:rPr/>
        <w:t>号—公 </w:t>
      </w:r>
      <w:r>
        <w:rPr>
          <w:spacing w:val="-3"/>
        </w:rPr>
        <w:t>允价值计量》、《企业会计准则第</w:t>
      </w:r>
      <w:r>
        <w:rPr>
          <w:rFonts w:ascii="宋体" w:hAnsi="宋体" w:cs="宋体" w:eastAsia="宋体" w:hint="default"/>
          <w:spacing w:val="-3"/>
        </w:rPr>
        <w:t>40</w:t>
      </w:r>
      <w:r>
        <w:rPr>
          <w:spacing w:val="-3"/>
        </w:rPr>
        <w:t>号—合营安排》、《企业会计准则第</w:t>
      </w:r>
      <w:r>
        <w:rPr>
          <w:rFonts w:ascii="宋体" w:hAnsi="宋体" w:cs="宋体" w:eastAsia="宋体" w:hint="default"/>
          <w:spacing w:val="-3"/>
        </w:rPr>
        <w:t>41</w:t>
      </w:r>
      <w:r>
        <w:rPr>
          <w:spacing w:val="-3"/>
        </w:rPr>
        <w:t>号—在其他主体中权益的披露》</w:t>
      </w:r>
      <w:r>
        <w:rPr>
          <w:spacing w:val="-91"/>
        </w:rPr>
        <w:t> </w:t>
      </w:r>
      <w:r>
        <w:rPr>
          <w:spacing w:val="-91"/>
        </w:rPr>
      </w:r>
      <w:r>
        <w:rPr/>
        <w:t>等具体准则。根据财政部的要求，上述准则自</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日起、在所有执行企业会计准则的企业范围内施 行。</w:t>
      </w:r>
    </w:p>
    <w:p>
      <w:pPr>
        <w:pStyle w:val="BodyText"/>
        <w:spacing w:line="240" w:lineRule="auto"/>
        <w:ind w:left="577" w:right="0"/>
        <w:jc w:val="left"/>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20</w:t>
      </w:r>
      <w:r>
        <w:rPr/>
        <w:t>日财政部修订了《企业会计准则第</w:t>
      </w:r>
      <w:r>
        <w:rPr>
          <w:rFonts w:ascii="宋体" w:hAnsi="宋体" w:cs="宋体" w:eastAsia="宋体" w:hint="default"/>
        </w:rPr>
        <w:t>37</w:t>
      </w:r>
      <w:r>
        <w:rPr/>
        <w:t>号—金融工具列报》，要求执行企业会计准则的企</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left="577" w:right="0" w:hanging="424"/>
        <w:jc w:val="left"/>
      </w:pPr>
      <w:r>
        <w:rPr/>
        <w:t>业在</w:t>
      </w:r>
      <w:r>
        <w:rPr>
          <w:rFonts w:ascii="宋体" w:hAnsi="宋体" w:cs="宋体" w:eastAsia="宋体" w:hint="default"/>
        </w:rPr>
        <w:t>2014</w:t>
      </w:r>
      <w:r>
        <w:rPr/>
        <w:t>年度及以后期间的财务报告中按照该准则要求对金融工具进行列报。 </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23</w:t>
      </w:r>
      <w:r>
        <w:rPr/>
        <w:t>日财政部发布了《财政部关于修改〈企业会计准则—基本准则〉的决定》，要求所有执</w:t>
      </w:r>
    </w:p>
    <w:p>
      <w:pPr>
        <w:pStyle w:val="BodyText"/>
        <w:spacing w:line="240" w:lineRule="auto" w:before="33"/>
        <w:ind w:right="0"/>
        <w:jc w:val="both"/>
      </w:pPr>
      <w:r>
        <w:rPr/>
        <w:t>行企业会计准则的企业自公布之日起施行。</w:t>
      </w:r>
    </w:p>
    <w:p>
      <w:pPr>
        <w:pStyle w:val="BodyText"/>
        <w:spacing w:line="357" w:lineRule="auto" w:before="133"/>
        <w:ind w:left="577" w:right="0"/>
        <w:jc w:val="left"/>
      </w:pPr>
      <w:r>
        <w:rPr/>
        <w:t>②变更前公司所采用的会计政策 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日颁布的《企业会计准则——基本准则》和</w:t>
      </w:r>
      <w:r>
        <w:rPr>
          <w:rFonts w:ascii="宋体" w:hAnsi="宋体" w:cs="宋体" w:eastAsia="宋体" w:hint="default"/>
        </w:rPr>
        <w:t>38</w:t>
      </w:r>
      <w:r>
        <w:rPr/>
        <w:t>项具体会计准则、企业会计准则</w:t>
      </w:r>
    </w:p>
    <w:p>
      <w:pPr>
        <w:pStyle w:val="BodyText"/>
        <w:spacing w:line="240" w:lineRule="auto"/>
        <w:ind w:left="154" w:right="0"/>
        <w:jc w:val="both"/>
      </w:pPr>
      <w:r>
        <w:rPr/>
        <w:t>应用指南、企业会计准则解释公告以及其他相关规定。</w:t>
      </w:r>
    </w:p>
    <w:p>
      <w:pPr>
        <w:pStyle w:val="BodyText"/>
        <w:spacing w:line="355" w:lineRule="auto" w:before="134"/>
        <w:ind w:left="577" w:right="1131"/>
        <w:jc w:val="left"/>
      </w:pPr>
      <w:r>
        <w:rPr/>
        <w:t>③变更后公司所采用的会计政策 公司将按照财政部自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日起修订和颁布的《企业会计准则第</w:t>
      </w:r>
      <w:r>
        <w:rPr>
          <w:rFonts w:ascii="宋体" w:hAnsi="宋体" w:cs="宋体" w:eastAsia="宋体" w:hint="default"/>
        </w:rPr>
        <w:t>2</w:t>
      </w:r>
      <w:r>
        <w:rPr/>
        <w:t>号</w:t>
      </w:r>
      <w:r>
        <w:rPr>
          <w:rFonts w:ascii="宋体" w:hAnsi="宋体" w:cs="宋体" w:eastAsia="宋体" w:hint="default"/>
        </w:rPr>
        <w:t>-</w:t>
      </w:r>
      <w:r>
        <w:rPr/>
        <w:t>长期股权投资》、《企业</w:t>
      </w:r>
    </w:p>
    <w:p>
      <w:pPr>
        <w:pStyle w:val="BodyText"/>
        <w:spacing w:line="357" w:lineRule="auto" w:before="32"/>
        <w:ind w:right="1130"/>
        <w:jc w:val="both"/>
      </w:pPr>
      <w:r>
        <w:rPr>
          <w:spacing w:val="-1"/>
        </w:rPr>
        <w:t>会计准则第</w:t>
      </w:r>
      <w:r>
        <w:rPr>
          <w:rFonts w:ascii="宋体" w:hAnsi="宋体" w:cs="宋体" w:eastAsia="宋体" w:hint="default"/>
          <w:spacing w:val="-1"/>
        </w:rPr>
        <w:t>9</w:t>
      </w:r>
      <w:r>
        <w:rPr>
          <w:spacing w:val="-1"/>
        </w:rPr>
        <w:t>号</w:t>
      </w:r>
      <w:r>
        <w:rPr>
          <w:rFonts w:ascii="宋体" w:hAnsi="宋体" w:cs="宋体" w:eastAsia="宋体" w:hint="default"/>
          <w:spacing w:val="-1"/>
        </w:rPr>
        <w:t>-</w:t>
      </w:r>
      <w:r>
        <w:rPr>
          <w:spacing w:val="-1"/>
        </w:rPr>
        <w:t>职工薪酬》、《企业会计准则第</w:t>
      </w:r>
      <w:r>
        <w:rPr>
          <w:rFonts w:ascii="宋体" w:hAnsi="宋体" w:cs="宋体" w:eastAsia="宋体" w:hint="default"/>
          <w:spacing w:val="-1"/>
        </w:rPr>
        <w:t>30</w:t>
      </w:r>
      <w:r>
        <w:rPr>
          <w:spacing w:val="-1"/>
        </w:rPr>
        <w:t>号</w:t>
      </w:r>
      <w:r>
        <w:rPr>
          <w:rFonts w:ascii="宋体" w:hAnsi="宋体" w:cs="宋体" w:eastAsia="宋体" w:hint="default"/>
          <w:spacing w:val="-1"/>
        </w:rPr>
        <w:t>-</w:t>
      </w:r>
      <w:r>
        <w:rPr>
          <w:spacing w:val="-1"/>
        </w:rPr>
        <w:t>财务报表列报》、《企业会计准则第</w:t>
      </w:r>
      <w:r>
        <w:rPr>
          <w:rFonts w:ascii="宋体" w:hAnsi="宋体" w:cs="宋体" w:eastAsia="宋体" w:hint="default"/>
          <w:spacing w:val="-1"/>
        </w:rPr>
        <w:t>33</w:t>
      </w:r>
      <w:r>
        <w:rPr>
          <w:spacing w:val="-1"/>
        </w:rPr>
        <w:t>号</w:t>
      </w:r>
      <w:r>
        <w:rPr>
          <w:rFonts w:ascii="宋体" w:hAnsi="宋体" w:cs="宋体" w:eastAsia="宋体" w:hint="default"/>
          <w:spacing w:val="-1"/>
        </w:rPr>
        <w:t>-</w:t>
      </w:r>
      <w:r>
        <w:rPr>
          <w:spacing w:val="-1"/>
        </w:rPr>
        <w:t>合并财务</w:t>
      </w:r>
      <w:r>
        <w:rPr>
          <w:spacing w:val="-87"/>
        </w:rPr>
        <w:t> </w:t>
      </w:r>
      <w:r>
        <w:rPr>
          <w:spacing w:val="-87"/>
        </w:rPr>
      </w:r>
      <w:r>
        <w:rPr>
          <w:spacing w:val="-1"/>
        </w:rPr>
        <w:t>报表》、《企业会计准则第</w:t>
      </w:r>
      <w:r>
        <w:rPr>
          <w:rFonts w:ascii="宋体" w:hAnsi="宋体" w:cs="宋体" w:eastAsia="宋体" w:hint="default"/>
          <w:spacing w:val="-1"/>
        </w:rPr>
        <w:t>37</w:t>
      </w:r>
      <w:r>
        <w:rPr>
          <w:spacing w:val="-1"/>
        </w:rPr>
        <w:t>号</w:t>
      </w:r>
      <w:r>
        <w:rPr>
          <w:rFonts w:ascii="宋体" w:hAnsi="宋体" w:cs="宋体" w:eastAsia="宋体" w:hint="default"/>
          <w:spacing w:val="-1"/>
        </w:rPr>
        <w:t>-</w:t>
      </w:r>
      <w:r>
        <w:rPr>
          <w:spacing w:val="-1"/>
        </w:rPr>
        <w:t>金融工具列报》、《企业会计准则第</w:t>
      </w:r>
      <w:r>
        <w:rPr>
          <w:rFonts w:ascii="宋体" w:hAnsi="宋体" w:cs="宋体" w:eastAsia="宋体" w:hint="default"/>
          <w:spacing w:val="-1"/>
        </w:rPr>
        <w:t>39</w:t>
      </w:r>
      <w:r>
        <w:rPr>
          <w:spacing w:val="-1"/>
        </w:rPr>
        <w:t>号</w:t>
      </w:r>
      <w:r>
        <w:rPr>
          <w:rFonts w:ascii="宋体" w:hAnsi="宋体" w:cs="宋体" w:eastAsia="宋体" w:hint="default"/>
          <w:spacing w:val="-1"/>
        </w:rPr>
        <w:t>-</w:t>
      </w:r>
      <w:r>
        <w:rPr>
          <w:spacing w:val="-1"/>
        </w:rPr>
        <w:t>公允价值计量》、《企业会计</w:t>
      </w:r>
      <w:r>
        <w:rPr>
          <w:spacing w:val="-87"/>
        </w:rPr>
        <w:t> </w:t>
      </w:r>
      <w:r>
        <w:rPr>
          <w:spacing w:val="-87"/>
        </w:rPr>
      </w:r>
      <w:r>
        <w:rPr>
          <w:spacing w:val="-1"/>
        </w:rPr>
        <w:t>准则第</w:t>
      </w:r>
      <w:r>
        <w:rPr>
          <w:rFonts w:ascii="宋体" w:hAnsi="宋体" w:cs="宋体" w:eastAsia="宋体" w:hint="default"/>
          <w:spacing w:val="-1"/>
        </w:rPr>
        <w:t>40</w:t>
      </w:r>
      <w:r>
        <w:rPr>
          <w:spacing w:val="-1"/>
        </w:rPr>
        <w:t>号</w:t>
      </w:r>
      <w:r>
        <w:rPr>
          <w:rFonts w:ascii="宋体" w:hAnsi="宋体" w:cs="宋体" w:eastAsia="宋体" w:hint="default"/>
          <w:spacing w:val="-1"/>
        </w:rPr>
        <w:t>-</w:t>
      </w:r>
      <w:r>
        <w:rPr>
          <w:spacing w:val="-1"/>
        </w:rPr>
        <w:t>合营安排》、《企业会计准则第</w:t>
      </w:r>
      <w:r>
        <w:rPr>
          <w:rFonts w:ascii="宋体" w:hAnsi="宋体" w:cs="宋体" w:eastAsia="宋体" w:hint="default"/>
          <w:spacing w:val="-1"/>
        </w:rPr>
        <w:t>41</w:t>
      </w:r>
      <w:r>
        <w:rPr>
          <w:spacing w:val="-1"/>
        </w:rPr>
        <w:t>号</w:t>
      </w:r>
      <w:r>
        <w:rPr>
          <w:rFonts w:ascii="宋体" w:hAnsi="宋体" w:cs="宋体" w:eastAsia="宋体" w:hint="default"/>
          <w:spacing w:val="-1"/>
        </w:rPr>
        <w:t>-</w:t>
      </w:r>
      <w:r>
        <w:rPr>
          <w:spacing w:val="-1"/>
        </w:rPr>
        <w:t>在其他主体中权益的披露》及《企业会计准则—基本准</w:t>
      </w:r>
      <w:r>
        <w:rPr>
          <w:spacing w:val="-85"/>
        </w:rPr>
        <w:t> </w:t>
      </w:r>
      <w:r>
        <w:rPr>
          <w:spacing w:val="-85"/>
        </w:rPr>
      </w:r>
      <w:r>
        <w:rPr/>
        <w:t>则》等具体准则规定的起始日期进行执行，其余未变更部分仍执行中国财政部于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日颁布的相</w:t>
      </w:r>
      <w:r>
        <w:rPr>
          <w:spacing w:val="-28"/>
        </w:rPr>
        <w:t> </w:t>
      </w:r>
      <w:r>
        <w:rPr>
          <w:spacing w:val="-28"/>
        </w:rPr>
      </w:r>
      <w:r>
        <w:rPr/>
        <w:t>关准则及其他有关规定。</w:t>
      </w:r>
    </w:p>
    <w:p>
      <w:pPr>
        <w:pStyle w:val="BodyText"/>
        <w:spacing w:line="355" w:lineRule="auto" w:before="31"/>
        <w:ind w:left="577" w:right="3399"/>
        <w:jc w:val="left"/>
      </w:pPr>
      <w:r>
        <w:rPr/>
        <w:t>④变更日期： 根据前述规定，公司于以上文件规定的起始日开始执行上述企业会计准则。</w:t>
      </w:r>
    </w:p>
    <w:p>
      <w:pPr>
        <w:pStyle w:val="BodyText"/>
        <w:spacing w:line="357" w:lineRule="auto" w:before="32"/>
        <w:ind w:left="577" w:right="1089"/>
        <w:jc w:val="left"/>
      </w:pPr>
      <w:r>
        <w:rPr/>
        <w:t>⑤会计政策变更对公司的影响 </w:t>
      </w:r>
      <w:r>
        <w:rPr>
          <w:rFonts w:ascii="宋体" w:hAnsi="宋体" w:cs="宋体" w:eastAsia="宋体" w:hint="default"/>
        </w:rPr>
        <w:t>1</w:t>
      </w:r>
      <w:r>
        <w:rPr/>
        <w:t>）根据《财政部关于印发修订</w:t>
      </w:r>
      <w:r>
        <w:rPr>
          <w:rFonts w:ascii="宋体" w:hAnsi="宋体" w:cs="宋体" w:eastAsia="宋体" w:hint="default"/>
        </w:rPr>
        <w:t>&lt;</w:t>
      </w:r>
      <w:r>
        <w:rPr/>
        <w:t>企业会计准则第</w:t>
      </w:r>
      <w:r>
        <w:rPr>
          <w:rFonts w:ascii="宋体" w:hAnsi="宋体" w:cs="宋体" w:eastAsia="宋体" w:hint="default"/>
        </w:rPr>
        <w:t>2</w:t>
      </w:r>
      <w:r>
        <w:rPr/>
        <w:t>号—长期股权投资</w:t>
      </w:r>
      <w:r>
        <w:rPr>
          <w:rFonts w:ascii="宋体" w:hAnsi="宋体" w:cs="宋体" w:eastAsia="宋体" w:hint="default"/>
        </w:rPr>
        <w:t>&gt;</w:t>
      </w:r>
      <w:r>
        <w:rPr/>
        <w:t>的通知》（财会</w:t>
      </w:r>
      <w:r>
        <w:rPr>
          <w:rFonts w:ascii="宋体" w:hAnsi="宋体" w:cs="宋体" w:eastAsia="宋体" w:hint="default"/>
        </w:rPr>
        <w:t>[2014]14</w:t>
      </w:r>
      <w:r>
        <w:rPr/>
        <w:t>号），</w:t>
      </w:r>
    </w:p>
    <w:p>
      <w:pPr>
        <w:pStyle w:val="BodyText"/>
        <w:spacing w:line="357" w:lineRule="auto"/>
        <w:ind w:right="1131"/>
        <w:jc w:val="both"/>
      </w:pPr>
      <w:r>
        <w:rPr/>
        <w:t>执行《企业会计准则第</w:t>
      </w:r>
      <w:r>
        <w:rPr>
          <w:rFonts w:ascii="宋体" w:hAnsi="宋体" w:cs="宋体" w:eastAsia="宋体" w:hint="default"/>
        </w:rPr>
        <w:t>2</w:t>
      </w:r>
      <w:r>
        <w:rPr/>
        <w:t>号—长期股权投资》，规范对子公司、合营企业和联营企业的长期股权投资的确</w:t>
      </w:r>
      <w:r>
        <w:rPr>
          <w:spacing w:val="-33"/>
        </w:rPr>
        <w:t> </w:t>
      </w:r>
      <w:r>
        <w:rPr>
          <w:spacing w:val="-33"/>
        </w:rPr>
      </w:r>
      <w:r>
        <w:rPr>
          <w:spacing w:val="-1"/>
        </w:rPr>
        <w:t>认和计量，投资方对被投资单位不具有控制、共同控制和重大影响的长期股权投资将变为属于《企业会计</w:t>
      </w:r>
      <w:r>
        <w:rPr>
          <w:spacing w:val="-83"/>
        </w:rPr>
        <w:t> </w:t>
      </w:r>
      <w:r>
        <w:rPr>
          <w:spacing w:val="-83"/>
        </w:rPr>
      </w:r>
      <w:r>
        <w:rPr/>
        <w:t>准则第</w:t>
      </w:r>
      <w:r>
        <w:rPr>
          <w:rFonts w:ascii="宋体" w:hAnsi="宋体" w:cs="宋体" w:eastAsia="宋体" w:hint="default"/>
        </w:rPr>
        <w:t>22</w:t>
      </w:r>
      <w:r>
        <w:rPr/>
        <w:t>号—金融工具确认和计量》的规范范围，新准则的实施不会对公司财务报表产生影响。</w:t>
      </w:r>
    </w:p>
    <w:p>
      <w:pPr>
        <w:pStyle w:val="BodyText"/>
        <w:spacing w:line="355" w:lineRule="auto" w:before="31"/>
        <w:ind w:right="1133" w:firstLine="423"/>
        <w:jc w:val="both"/>
      </w:pPr>
      <w:r>
        <w:rPr>
          <w:rFonts w:ascii="宋体" w:hAnsi="宋体" w:cs="宋体" w:eastAsia="宋体" w:hint="default"/>
        </w:rPr>
        <w:t>2</w:t>
      </w:r>
      <w:r>
        <w:rPr/>
        <w:t>）根据《关于印发修订</w:t>
      </w:r>
      <w:r>
        <w:rPr>
          <w:rFonts w:ascii="宋体" w:hAnsi="宋体" w:cs="宋体" w:eastAsia="宋体" w:hint="default"/>
        </w:rPr>
        <w:t>&lt;</w:t>
      </w:r>
      <w:r>
        <w:rPr/>
        <w:t>企业会计准则第</w:t>
      </w:r>
      <w:r>
        <w:rPr>
          <w:rFonts w:ascii="宋体" w:hAnsi="宋体" w:cs="宋体" w:eastAsia="宋体" w:hint="default"/>
        </w:rPr>
        <w:t>9</w:t>
      </w:r>
      <w:r>
        <w:rPr/>
        <w:t>号——职工薪酬</w:t>
      </w:r>
      <w:r>
        <w:rPr>
          <w:rFonts w:ascii="宋体" w:hAnsi="宋体" w:cs="宋体" w:eastAsia="宋体" w:hint="default"/>
        </w:rPr>
        <w:t>&gt;</w:t>
      </w:r>
      <w:r>
        <w:rPr/>
        <w:t>的通知》（财会</w:t>
      </w:r>
      <w:r>
        <w:rPr>
          <w:rFonts w:ascii="宋体" w:hAnsi="宋体" w:cs="宋体" w:eastAsia="宋体" w:hint="default"/>
        </w:rPr>
        <w:t>[2014]8</w:t>
      </w:r>
      <w:r>
        <w:rPr/>
        <w:t>号），执行《企 业会计准则第</w:t>
      </w:r>
      <w:r>
        <w:rPr>
          <w:rFonts w:ascii="宋体" w:hAnsi="宋体" w:cs="宋体" w:eastAsia="宋体" w:hint="default"/>
        </w:rPr>
        <w:t>9</w:t>
      </w:r>
      <w:r>
        <w:rPr/>
        <w:t>号——职工薪酬》，根据该准则的要求在财务报表中进行相应披露。</w:t>
      </w:r>
    </w:p>
    <w:p>
      <w:pPr>
        <w:pStyle w:val="BodyText"/>
        <w:spacing w:line="240" w:lineRule="auto" w:before="32"/>
        <w:ind w:left="577" w:right="0"/>
        <w:jc w:val="left"/>
      </w:pPr>
      <w:r>
        <w:rPr>
          <w:rFonts w:ascii="宋体" w:hAnsi="宋体" w:cs="宋体" w:eastAsia="宋体" w:hint="default"/>
        </w:rPr>
        <w:t>3</w:t>
      </w:r>
      <w:r>
        <w:rPr/>
        <w:t>）根据《关于印发修订</w:t>
      </w:r>
      <w:r>
        <w:rPr>
          <w:rFonts w:ascii="宋体" w:hAnsi="宋体" w:cs="宋体" w:eastAsia="宋体" w:hint="default"/>
        </w:rPr>
        <w:t>&lt;</w:t>
      </w:r>
      <w:r>
        <w:rPr/>
        <w:t>企业会计准则第</w:t>
      </w:r>
      <w:r>
        <w:rPr>
          <w:rFonts w:ascii="宋体" w:hAnsi="宋体" w:cs="宋体" w:eastAsia="宋体" w:hint="default"/>
        </w:rPr>
        <w:t>30</w:t>
      </w:r>
      <w:r>
        <w:rPr/>
        <w:t>号——财务报表列报</w:t>
      </w:r>
      <w:r>
        <w:rPr>
          <w:rFonts w:ascii="宋体" w:hAnsi="宋体" w:cs="宋体" w:eastAsia="宋体" w:hint="default"/>
        </w:rPr>
        <w:t>&gt;</w:t>
      </w:r>
      <w:r>
        <w:rPr/>
        <w:t>的通知》（财会</w:t>
      </w:r>
      <w:r>
        <w:rPr>
          <w:rFonts w:ascii="宋体" w:hAnsi="宋体" w:cs="宋体" w:eastAsia="宋体" w:hint="default"/>
        </w:rPr>
        <w:t>[2014]7</w:t>
      </w:r>
      <w:r>
        <w:rPr/>
        <w:t>号），执行</w:t>
      </w:r>
    </w:p>
    <w:p>
      <w:pPr>
        <w:pStyle w:val="BodyText"/>
        <w:spacing w:line="355" w:lineRule="auto" w:before="134"/>
        <w:ind w:right="1129"/>
        <w:jc w:val="both"/>
      </w:pPr>
      <w:r>
        <w:rPr/>
        <w:t>《企业会计准则第</w:t>
      </w:r>
      <w:r>
        <w:rPr>
          <w:rFonts w:ascii="宋体" w:hAnsi="宋体" w:cs="宋体" w:eastAsia="宋体" w:hint="default"/>
        </w:rPr>
        <w:t>30</w:t>
      </w:r>
      <w:r>
        <w:rPr/>
        <w:t>号——财务报表列报》，对利润表中其他综合收益部分的列报，划分为两类：（</w:t>
      </w:r>
      <w:r>
        <w:rPr>
          <w:rFonts w:ascii="宋体" w:hAnsi="宋体" w:cs="宋体" w:eastAsia="宋体" w:hint="default"/>
        </w:rPr>
        <w:t>1</w:t>
      </w:r>
      <w:r>
        <w:rPr/>
        <w:t>）</w:t>
      </w:r>
      <w:r>
        <w:rPr>
          <w:spacing w:val="-25"/>
        </w:rPr>
        <w:t> </w:t>
      </w:r>
      <w:r>
        <w:rPr/>
        <w:t>后续不会重分类至损益的项目；（</w:t>
      </w:r>
      <w:r>
        <w:rPr>
          <w:rFonts w:ascii="宋体" w:hAnsi="宋体" w:cs="宋体" w:eastAsia="宋体" w:hint="default"/>
        </w:rPr>
        <w:t>2</w:t>
      </w:r>
      <w:r>
        <w:rPr/>
        <w:t>）在满足特定条件的情况下，后续可能重分类至损益的项目。</w:t>
      </w:r>
    </w:p>
    <w:p>
      <w:pPr>
        <w:pStyle w:val="BodyText"/>
        <w:spacing w:line="357" w:lineRule="auto" w:before="33"/>
        <w:ind w:right="1129" w:firstLine="423"/>
        <w:jc w:val="both"/>
      </w:pPr>
      <w:r>
        <w:rPr>
          <w:rFonts w:ascii="宋体" w:hAnsi="宋体" w:cs="宋体" w:eastAsia="宋体" w:hint="default"/>
        </w:rPr>
        <w:t>4</w:t>
      </w:r>
      <w:r>
        <w:rPr/>
        <w:t>）根据《关于印发修订</w:t>
      </w:r>
      <w:r>
        <w:rPr>
          <w:rFonts w:ascii="宋体" w:hAnsi="宋体" w:cs="宋体" w:eastAsia="宋体" w:hint="default"/>
        </w:rPr>
        <w:t>&lt;</w:t>
      </w:r>
      <w:r>
        <w:rPr/>
        <w:t>企业会计准则第</w:t>
      </w:r>
      <w:r>
        <w:rPr>
          <w:rFonts w:ascii="宋体" w:hAnsi="宋体" w:cs="宋体" w:eastAsia="宋体" w:hint="default"/>
        </w:rPr>
        <w:t>33</w:t>
      </w:r>
      <w:r>
        <w:rPr/>
        <w:t>号——合并财务报表</w:t>
      </w:r>
      <w:r>
        <w:rPr>
          <w:rFonts w:ascii="宋体" w:hAnsi="宋体" w:cs="宋体" w:eastAsia="宋体" w:hint="default"/>
        </w:rPr>
        <w:t>&gt;</w:t>
      </w:r>
      <w:r>
        <w:rPr/>
        <w:t>的通知》（财会</w:t>
      </w:r>
      <w:r>
        <w:rPr>
          <w:rFonts w:ascii="宋体" w:hAnsi="宋体" w:cs="宋体" w:eastAsia="宋体" w:hint="default"/>
        </w:rPr>
        <w:t>[2014]10</w:t>
      </w:r>
      <w:r>
        <w:rPr/>
        <w:t>号），执</w:t>
      </w:r>
      <w:r>
        <w:rPr>
          <w:spacing w:val="2"/>
        </w:rPr>
        <w:t> </w:t>
      </w:r>
      <w:r>
        <w:rPr>
          <w:spacing w:val="-1"/>
        </w:rPr>
        <w:t>行《企业会计准则第</w:t>
      </w:r>
      <w:r>
        <w:rPr>
          <w:rFonts w:ascii="宋体" w:hAnsi="宋体" w:cs="宋体" w:eastAsia="宋体" w:hint="default"/>
          <w:spacing w:val="-1"/>
        </w:rPr>
        <w:t>33</w:t>
      </w:r>
      <w:r>
        <w:rPr>
          <w:spacing w:val="-1"/>
        </w:rPr>
        <w:t>号——合并财务报表》，公司管理层在确定对被投资单位是否具有控制权时，必须</w:t>
      </w:r>
      <w:r>
        <w:rPr>
          <w:spacing w:val="-86"/>
        </w:rPr>
        <w:t> </w:t>
      </w:r>
      <w:r>
        <w:rPr>
          <w:spacing w:val="-86"/>
        </w:rPr>
      </w:r>
      <w:r>
        <w:rPr>
          <w:spacing w:val="3"/>
        </w:rPr>
        <w:t>且合理运用重大判断。公司以前年度纳入合并范围的子公司均满足该修订后准则所规定的控制权判断标</w:t>
      </w:r>
      <w:r>
        <w:rPr>
          <w:spacing w:val="-82"/>
        </w:rPr>
        <w:t> </w:t>
      </w:r>
      <w:r>
        <w:rPr>
          <w:spacing w:val="-82"/>
        </w:rPr>
      </w:r>
      <w:r>
        <w:rPr/>
        <w:t>准。</w:t>
      </w:r>
    </w:p>
    <w:p>
      <w:pPr>
        <w:pStyle w:val="BodyText"/>
        <w:spacing w:line="357" w:lineRule="auto"/>
        <w:ind w:right="1131" w:firstLine="423"/>
        <w:jc w:val="both"/>
      </w:pPr>
      <w:r>
        <w:rPr>
          <w:rFonts w:ascii="宋体" w:hAnsi="宋体" w:cs="宋体" w:eastAsia="宋体" w:hint="default"/>
          <w:spacing w:val="-3"/>
        </w:rPr>
        <w:t>5</w:t>
      </w:r>
      <w:r>
        <w:rPr>
          <w:spacing w:val="-3"/>
        </w:rPr>
        <w:t>）公司根据《关于印发</w:t>
      </w:r>
      <w:r>
        <w:rPr>
          <w:rFonts w:ascii="宋体" w:hAnsi="宋体" w:cs="宋体" w:eastAsia="宋体" w:hint="default"/>
          <w:spacing w:val="-3"/>
        </w:rPr>
        <w:t>&lt;</w:t>
      </w:r>
      <w:r>
        <w:rPr>
          <w:spacing w:val="-3"/>
        </w:rPr>
        <w:t>企业会计准则第</w:t>
      </w:r>
      <w:r>
        <w:rPr>
          <w:rFonts w:ascii="宋体" w:hAnsi="宋体" w:cs="宋体" w:eastAsia="宋体" w:hint="default"/>
          <w:spacing w:val="-3"/>
        </w:rPr>
        <w:t>40</w:t>
      </w:r>
      <w:r>
        <w:rPr>
          <w:spacing w:val="-3"/>
        </w:rPr>
        <w:t>号——合营安排</w:t>
      </w:r>
      <w:r>
        <w:rPr>
          <w:rFonts w:ascii="宋体" w:hAnsi="宋体" w:cs="宋体" w:eastAsia="宋体" w:hint="default"/>
          <w:spacing w:val="-3"/>
        </w:rPr>
        <w:t>&gt;</w:t>
      </w:r>
      <w:r>
        <w:rPr>
          <w:spacing w:val="-3"/>
        </w:rPr>
        <w:t>的通知》（财会</w:t>
      </w:r>
      <w:r>
        <w:rPr>
          <w:rFonts w:ascii="宋体" w:hAnsi="宋体" w:cs="宋体" w:eastAsia="宋体" w:hint="default"/>
          <w:spacing w:val="-3"/>
        </w:rPr>
        <w:t>[2014]11</w:t>
      </w:r>
      <w:r>
        <w:rPr>
          <w:spacing w:val="-3"/>
        </w:rPr>
        <w:t>号），执行《企</w:t>
      </w:r>
      <w:r>
        <w:rPr/>
        <w:t> </w:t>
      </w:r>
      <w:r>
        <w:rPr>
          <w:spacing w:val="-1"/>
        </w:rPr>
        <w:t>业会计准则第</w:t>
      </w:r>
      <w:r>
        <w:rPr>
          <w:rFonts w:ascii="宋体" w:hAnsi="宋体" w:cs="宋体" w:eastAsia="宋体" w:hint="default"/>
          <w:spacing w:val="-1"/>
        </w:rPr>
        <w:t>40</w:t>
      </w:r>
      <w:r>
        <w:rPr>
          <w:spacing w:val="-1"/>
        </w:rPr>
        <w:t>号——合营安排》，评估参与合营安排的情况、并执行合营安排的会计政策。截至目前公</w:t>
      </w:r>
      <w:r>
        <w:rPr>
          <w:spacing w:val="-87"/>
        </w:rPr>
        <w:t> </w:t>
      </w:r>
      <w:r>
        <w:rPr>
          <w:spacing w:val="-87"/>
        </w:rPr>
      </w:r>
      <w:r>
        <w:rPr/>
        <w:t>司尚未涉及此项业务内容，新准则的实施不会对公司财务报表产生影响。</w:t>
      </w:r>
    </w:p>
    <w:p>
      <w:pPr>
        <w:pStyle w:val="BodyText"/>
        <w:spacing w:line="240" w:lineRule="auto" w:before="31"/>
        <w:ind w:left="577" w:right="0"/>
        <w:jc w:val="left"/>
      </w:pPr>
      <w:r>
        <w:rPr>
          <w:rFonts w:ascii="宋体" w:hAnsi="宋体" w:cs="宋体" w:eastAsia="宋体" w:hint="default"/>
        </w:rPr>
        <w:t>6</w:t>
      </w:r>
      <w:r>
        <w:rPr/>
        <w:t>）公司根据《关于印发</w:t>
      </w:r>
      <w:r>
        <w:rPr>
          <w:rFonts w:ascii="宋体" w:hAnsi="宋体" w:cs="宋体" w:eastAsia="宋体" w:hint="default"/>
        </w:rPr>
        <w:t>&lt;</w:t>
      </w:r>
      <w:r>
        <w:rPr/>
        <w:t>企业会计准则第</w:t>
      </w:r>
      <w:r>
        <w:rPr>
          <w:rFonts w:ascii="宋体" w:hAnsi="宋体" w:cs="宋体" w:eastAsia="宋体" w:hint="default"/>
        </w:rPr>
        <w:t>39</w:t>
      </w:r>
      <w:r>
        <w:rPr/>
        <w:t>号——公允价值计量</w:t>
      </w:r>
      <w:r>
        <w:rPr>
          <w:rFonts w:ascii="宋体" w:hAnsi="宋体" w:cs="宋体" w:eastAsia="宋体" w:hint="default"/>
        </w:rPr>
        <w:t>&gt;</w:t>
      </w:r>
      <w:r>
        <w:rPr/>
        <w:t>的通知》（财会</w:t>
      </w:r>
      <w:r>
        <w:rPr>
          <w:rFonts w:ascii="宋体" w:hAnsi="宋体" w:cs="宋体" w:eastAsia="宋体" w:hint="default"/>
        </w:rPr>
        <w:t>[2014]6</w:t>
      </w:r>
      <w:r>
        <w:rPr/>
        <w:t>号），执行</w:t>
      </w:r>
    </w:p>
    <w:p>
      <w:pPr>
        <w:pStyle w:val="BodyText"/>
        <w:spacing w:line="240" w:lineRule="auto" w:before="133"/>
        <w:ind w:left="154" w:right="0"/>
        <w:jc w:val="left"/>
      </w:pPr>
      <w:r>
        <w:rPr/>
        <w:t>《企业会计准则第</w:t>
      </w:r>
      <w:r>
        <w:rPr>
          <w:rFonts w:ascii="宋体" w:hAnsi="宋体" w:cs="宋体" w:eastAsia="宋体" w:hint="default"/>
        </w:rPr>
        <w:t>39</w:t>
      </w:r>
      <w:r>
        <w:rPr/>
        <w:t>号——公允价值计量》，采用该准则后，公司将修订与公允价值计量相关的政策和程</w:t>
      </w:r>
    </w:p>
    <w:p>
      <w:pPr>
        <w:spacing w:after="0" w:line="240" w:lineRule="auto"/>
        <w:jc w:val="left"/>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left="577" w:right="0" w:hanging="424"/>
        <w:jc w:val="left"/>
      </w:pPr>
      <w:r>
        <w:rPr/>
        <w:t>序，并在财务报表中对公允价值信息进行更广泛的披露。 </w:t>
      </w:r>
      <w:r>
        <w:rPr>
          <w:rFonts w:ascii="宋体" w:hAnsi="宋体" w:cs="宋体" w:eastAsia="宋体" w:hint="default"/>
        </w:rPr>
        <w:t>7</w:t>
      </w:r>
      <w:r>
        <w:rPr/>
        <w:t>）公司根据《财政部关于印发</w:t>
      </w:r>
      <w:r>
        <w:rPr>
          <w:rFonts w:ascii="宋体" w:hAnsi="宋体" w:cs="宋体" w:eastAsia="宋体" w:hint="default"/>
        </w:rPr>
        <w:t>&lt;</w:t>
      </w:r>
      <w:r>
        <w:rPr/>
        <w:t>企业会计准则第</w:t>
      </w:r>
      <w:r>
        <w:rPr>
          <w:rFonts w:ascii="宋体" w:hAnsi="宋体" w:cs="宋体" w:eastAsia="宋体" w:hint="default"/>
        </w:rPr>
        <w:t>41</w:t>
      </w:r>
      <w:r>
        <w:rPr/>
        <w:t>号——在其他主体中权益的披露</w:t>
      </w:r>
      <w:r>
        <w:rPr>
          <w:rFonts w:ascii="宋体" w:hAnsi="宋体" w:cs="宋体" w:eastAsia="宋体" w:hint="default"/>
        </w:rPr>
        <w:t>&gt;</w:t>
      </w:r>
      <w:r>
        <w:rPr/>
        <w:t>的通知》（财会</w:t>
      </w:r>
    </w:p>
    <w:p>
      <w:pPr>
        <w:pStyle w:val="BodyText"/>
        <w:spacing w:line="357" w:lineRule="auto" w:before="33"/>
        <w:ind w:right="1131"/>
        <w:jc w:val="both"/>
      </w:pPr>
      <w:r>
        <w:rPr>
          <w:rFonts w:ascii="宋体" w:hAnsi="宋体" w:cs="宋体" w:eastAsia="宋体" w:hint="default"/>
          <w:spacing w:val="-1"/>
        </w:rPr>
        <w:t>[2014]16</w:t>
      </w:r>
      <w:r>
        <w:rPr>
          <w:spacing w:val="-1"/>
        </w:rPr>
        <w:t>号），执行《企业会计准则第</w:t>
      </w:r>
      <w:r>
        <w:rPr>
          <w:rFonts w:ascii="宋体" w:hAnsi="宋体" w:cs="宋体" w:eastAsia="宋体" w:hint="default"/>
          <w:spacing w:val="-1"/>
        </w:rPr>
        <w:t>41</w:t>
      </w:r>
      <w:r>
        <w:rPr>
          <w:spacing w:val="-1"/>
        </w:rPr>
        <w:t>号——在其他主体中权益的披露》，公司比较财务报表中披露的</w:t>
      </w:r>
      <w:r>
        <w:rPr>
          <w:spacing w:val="-79"/>
        </w:rPr>
        <w:t> </w:t>
      </w:r>
      <w:r>
        <w:rPr>
          <w:spacing w:val="-79"/>
        </w:rPr>
      </w:r>
      <w:r>
        <w:rPr>
          <w:spacing w:val="-1"/>
        </w:rPr>
        <w:t>该准则施行日之前的信息将按照该准则的规定进行调整（有关未纳入合并财务报表范围的结构化主体的披</w:t>
      </w:r>
      <w:r>
        <w:rPr>
          <w:spacing w:val="-81"/>
        </w:rPr>
        <w:t> </w:t>
      </w:r>
      <w:r>
        <w:rPr>
          <w:spacing w:val="-81"/>
        </w:rPr>
      </w:r>
      <w:r>
        <w:rPr/>
        <w:t>露要求除外）。</w:t>
      </w:r>
    </w:p>
    <w:p>
      <w:pPr>
        <w:pStyle w:val="BodyText"/>
        <w:spacing w:line="357" w:lineRule="auto"/>
        <w:ind w:left="154" w:right="0" w:firstLine="423"/>
        <w:jc w:val="left"/>
      </w:pPr>
      <w:r>
        <w:rPr>
          <w:rFonts w:ascii="宋体" w:hAnsi="宋体" w:cs="宋体" w:eastAsia="宋体" w:hint="default"/>
          <w:spacing w:val="-1"/>
        </w:rPr>
        <w:t>8</w:t>
      </w:r>
      <w:r>
        <w:rPr>
          <w:spacing w:val="-1"/>
        </w:rPr>
        <w:t>）本公司根据《关于印发修订</w:t>
      </w:r>
      <w:r>
        <w:rPr>
          <w:rFonts w:ascii="宋体" w:hAnsi="宋体" w:cs="宋体" w:eastAsia="宋体" w:hint="default"/>
          <w:spacing w:val="-1"/>
        </w:rPr>
        <w:t>&lt;</w:t>
      </w:r>
      <w:r>
        <w:rPr>
          <w:spacing w:val="-1"/>
        </w:rPr>
        <w:t>企业会计准则第</w:t>
      </w:r>
      <w:r>
        <w:rPr>
          <w:rFonts w:ascii="宋体" w:hAnsi="宋体" w:cs="宋体" w:eastAsia="宋体" w:hint="default"/>
          <w:spacing w:val="-1"/>
        </w:rPr>
        <w:t>37</w:t>
      </w:r>
      <w:r>
        <w:rPr>
          <w:spacing w:val="-1"/>
        </w:rPr>
        <w:t>号—金融工具列报</w:t>
      </w:r>
      <w:r>
        <w:rPr>
          <w:rFonts w:ascii="宋体" w:hAnsi="宋体" w:cs="宋体" w:eastAsia="宋体" w:hint="default"/>
          <w:spacing w:val="-1"/>
        </w:rPr>
        <w:t>&gt;</w:t>
      </w:r>
      <w:r>
        <w:rPr>
          <w:spacing w:val="-1"/>
        </w:rPr>
        <w:t>的通知》（财会</w:t>
      </w:r>
      <w:r>
        <w:rPr>
          <w:rFonts w:ascii="宋体" w:hAnsi="宋体" w:cs="宋体" w:eastAsia="宋体" w:hint="default"/>
          <w:spacing w:val="-1"/>
        </w:rPr>
        <w:t>[2014]23</w:t>
      </w:r>
      <w:r>
        <w:rPr>
          <w:spacing w:val="-1"/>
        </w:rPr>
        <w:t>号），</w:t>
      </w:r>
      <w:r>
        <w:rPr/>
        <w:t> 执行《企业会计准则第</w:t>
      </w:r>
      <w:r>
        <w:rPr>
          <w:rFonts w:ascii="宋体" w:hAnsi="宋体" w:cs="宋体" w:eastAsia="宋体" w:hint="default"/>
        </w:rPr>
        <w:t>37</w:t>
      </w:r>
      <w:r>
        <w:rPr/>
        <w:t>号—金融工具列报》，在</w:t>
      </w:r>
      <w:r>
        <w:rPr>
          <w:rFonts w:ascii="宋体" w:hAnsi="宋体" w:cs="宋体" w:eastAsia="宋体" w:hint="default"/>
        </w:rPr>
        <w:t>2014</w:t>
      </w:r>
      <w:r>
        <w:rPr/>
        <w:t>年度及以后期间的财务报告中按照该准则要求对金 融工具进行列报。</w:t>
      </w:r>
    </w:p>
    <w:p>
      <w:pPr>
        <w:pStyle w:val="BodyText"/>
        <w:spacing w:line="240" w:lineRule="auto"/>
        <w:ind w:left="577" w:right="0"/>
        <w:jc w:val="left"/>
      </w:pPr>
      <w:r>
        <w:rPr>
          <w:rFonts w:ascii="宋体" w:hAnsi="宋体" w:cs="宋体" w:eastAsia="宋体" w:hint="default"/>
        </w:rPr>
        <w:t>9</w:t>
      </w:r>
      <w:r>
        <w:rPr/>
        <w:t>）本次会计政策变更符合《企业会计准则》及相关规定，不会对公司财务报表产生重大影响。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2）重要会计估计变更" w:id="200"/>
      <w:bookmarkEnd w:id="20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税项" w:id="201"/>
      <w:bookmarkEnd w:id="201"/>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主要税种及税率" w:id="202"/>
      <w:bookmarkEnd w:id="20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4195"/>
        <w:gridCol w:w="2197"/>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销售收入、加工及修理修配劳务收入、租息收入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工程安装收入、房屋租赁收入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北京达实德润科技有限公司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上海联欣金山建筑技术有限公司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珠海达实科技发展有限公司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遵义达实绿色智慧发展有限公司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group style="position:absolute;margin-left:55.200001pt;margin-top:-49.526318pt;width:485pt;height:.1pt;mso-position-horizontal-relative:page;mso-position-vertical-relative:paragraph;z-index:-807616"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2、税收优惠" w:id="203"/>
      <w:bookmarkEnd w:id="20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130" w:firstLine="423"/>
        <w:jc w:val="both"/>
      </w:pPr>
      <w:r>
        <w:rPr>
          <w:spacing w:val="-1"/>
        </w:rPr>
        <w:t>（</w:t>
      </w:r>
      <w:r>
        <w:rPr>
          <w:rFonts w:ascii="宋体" w:hAnsi="宋体" w:cs="宋体" w:eastAsia="宋体" w:hint="default"/>
          <w:spacing w:val="-1"/>
        </w:rPr>
        <w:t>1</w:t>
      </w:r>
      <w:r>
        <w:rPr>
          <w:spacing w:val="-1"/>
        </w:rPr>
        <w:t>）根据</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日财政部、国家税务总局财税</w:t>
      </w:r>
      <w:r>
        <w:rPr>
          <w:rFonts w:ascii="宋体" w:hAnsi="宋体" w:cs="宋体" w:eastAsia="宋体" w:hint="default"/>
          <w:spacing w:val="-1"/>
        </w:rPr>
        <w:t>[2010]110</w:t>
      </w:r>
      <w:r>
        <w:rPr>
          <w:spacing w:val="-1"/>
        </w:rPr>
        <w:t>号《关于促进节能服务业产业发展增</w:t>
      </w:r>
      <w:r>
        <w:rPr/>
        <w:t> </w:t>
      </w:r>
      <w:r>
        <w:rPr>
          <w:spacing w:val="-1"/>
        </w:rPr>
        <w:t>值税营业税和企业所得税政策问题的通知》规定，自</w:t>
      </w:r>
      <w:r>
        <w:rPr>
          <w:rFonts w:ascii="宋体" w:hAnsi="宋体" w:cs="宋体" w:eastAsia="宋体" w:hint="default"/>
          <w:spacing w:val="-1"/>
        </w:rPr>
        <w:t>2011</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日起，对符合条件的节能服务公司实施合</w:t>
      </w:r>
      <w:r>
        <w:rPr>
          <w:spacing w:val="-82"/>
        </w:rPr>
        <w:t> </w:t>
      </w:r>
      <w:r>
        <w:rPr>
          <w:spacing w:val="-82"/>
        </w:rPr>
      </w:r>
      <w:r>
        <w:rPr>
          <w:spacing w:val="-1"/>
        </w:rPr>
        <w:t>同能源管理项目，取得的营业税应税收入，暂免征收营业税。节能服务公司实施符合条件的合同能源管理</w:t>
      </w:r>
      <w:r>
        <w:rPr>
          <w:spacing w:val="-83"/>
        </w:rPr>
        <w:t> </w:t>
      </w:r>
      <w:r>
        <w:rPr>
          <w:spacing w:val="-83"/>
        </w:rPr>
      </w:r>
      <w:r>
        <w:rPr>
          <w:spacing w:val="-1"/>
        </w:rPr>
        <w:t>项目，将项目中的增值税应税货物转让给用能企业，暂免征收增值税。对符合条件的节能服务公司实施合</w:t>
      </w:r>
      <w:r>
        <w:rPr>
          <w:spacing w:val="-82"/>
        </w:rPr>
        <w:t> </w:t>
      </w:r>
      <w:r>
        <w:rPr>
          <w:spacing w:val="-82"/>
        </w:rPr>
      </w:r>
      <w:r>
        <w:rPr>
          <w:spacing w:val="-1"/>
        </w:rPr>
        <w:t>同能源管理项目，符合企业所得税税法有关规定的，自项目取得第一笔生产经营收入所属纳税年度起，第</w:t>
      </w:r>
      <w:r>
        <w:rPr>
          <w:spacing w:val="-83"/>
        </w:rPr>
        <w:t> </w:t>
      </w:r>
      <w:r>
        <w:rPr>
          <w:spacing w:val="-83"/>
        </w:rPr>
      </w:r>
      <w:r>
        <w:rPr/>
        <w:t>一年至第三年免征企业所得税，第四年至第六年按照</w:t>
      </w:r>
      <w:r>
        <w:rPr>
          <w:rFonts w:ascii="宋体" w:hAnsi="宋体" w:cs="宋体" w:eastAsia="宋体" w:hint="default"/>
        </w:rPr>
        <w:t>25%</w:t>
      </w:r>
      <w:r>
        <w:rPr/>
        <w:t>的法定税率减半征收企业所得税。</w:t>
      </w:r>
    </w:p>
    <w:p>
      <w:pPr>
        <w:pStyle w:val="BodyText"/>
        <w:spacing w:line="240" w:lineRule="auto"/>
        <w:ind w:left="577" w:right="0"/>
        <w:jc w:val="left"/>
      </w:pPr>
      <w:r>
        <w:rPr/>
        <w:t>本公司的节能服务业务，依据上述规定享受税收优惠。</w:t>
      </w:r>
    </w:p>
    <w:p>
      <w:pPr>
        <w:pStyle w:val="BodyText"/>
        <w:spacing w:line="357" w:lineRule="auto" w:before="133"/>
        <w:ind w:left="154" w:right="1138" w:firstLine="423"/>
        <w:jc w:val="both"/>
      </w:pPr>
      <w:r>
        <w:rPr/>
        <w:t>（</w:t>
      </w:r>
      <w:r>
        <w:rPr>
          <w:rFonts w:ascii="宋体" w:hAnsi="宋体" w:cs="宋体" w:eastAsia="宋体" w:hint="default"/>
        </w:rPr>
        <w:t>2</w:t>
      </w:r>
      <w:r>
        <w:rPr/>
        <w:t>）本公司及子公司达实信息、达实联欣、达实德润均系国家级高新技术企业，依据企业所得税法 的规定适用</w:t>
      </w:r>
      <w:r>
        <w:rPr>
          <w:rFonts w:ascii="宋体" w:hAnsi="宋体" w:cs="宋体" w:eastAsia="宋体" w:hint="default"/>
        </w:rPr>
        <w:t>15%</w:t>
      </w:r>
      <w:r>
        <w:rPr/>
        <w:t>的企业所得税税率。</w:t>
      </w:r>
    </w:p>
    <w:p>
      <w:pPr>
        <w:pStyle w:val="BodyText"/>
        <w:spacing w:line="357" w:lineRule="auto"/>
        <w:ind w:right="1130" w:firstLine="423"/>
        <w:jc w:val="both"/>
      </w:pPr>
      <w:r>
        <w:rPr>
          <w:spacing w:val="-1"/>
        </w:rPr>
        <w:t>（</w:t>
      </w:r>
      <w:r>
        <w:rPr>
          <w:rFonts w:ascii="宋体" w:hAnsi="宋体" w:cs="宋体" w:eastAsia="宋体" w:hint="default"/>
          <w:spacing w:val="-1"/>
        </w:rPr>
        <w:t>3</w:t>
      </w:r>
      <w:r>
        <w:rPr>
          <w:spacing w:val="-1"/>
        </w:rPr>
        <w:t>）自</w:t>
      </w:r>
      <w:r>
        <w:rPr>
          <w:rFonts w:ascii="宋体" w:hAnsi="宋体" w:cs="宋体" w:eastAsia="宋体" w:hint="default"/>
          <w:spacing w:val="-1"/>
        </w:rPr>
        <w:t>2011</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日起根据财政部、国家税务总局财税</w:t>
      </w:r>
      <w:r>
        <w:rPr>
          <w:rFonts w:ascii="宋体" w:hAnsi="宋体" w:cs="宋体" w:eastAsia="宋体" w:hint="default"/>
          <w:spacing w:val="-1"/>
        </w:rPr>
        <w:t>[2011]100</w:t>
      </w:r>
      <w:r>
        <w:rPr>
          <w:spacing w:val="-1"/>
        </w:rPr>
        <w:t>号《关于软件产品增值税政策的通</w:t>
      </w:r>
      <w:r>
        <w:rPr/>
        <w:t> 知》执行软件产品增值税政策，增值税一般纳税人销售其自行开发生产的软件产品，按</w:t>
      </w:r>
      <w:r>
        <w:rPr>
          <w:rFonts w:ascii="宋体" w:hAnsi="宋体" w:cs="宋体" w:eastAsia="宋体" w:hint="default"/>
        </w:rPr>
        <w:t>17%</w:t>
      </w:r>
      <w:r>
        <w:rPr/>
        <w:t>税率征收增值</w:t>
      </w:r>
      <w:r>
        <w:rPr>
          <w:spacing w:val="-26"/>
        </w:rPr>
        <w:t> </w:t>
      </w:r>
      <w:r>
        <w:rPr>
          <w:spacing w:val="-26"/>
        </w:rPr>
      </w:r>
      <w:r>
        <w:rPr/>
        <w:t>税后，对其增值税实际税负超过</w:t>
      </w:r>
      <w:r>
        <w:rPr>
          <w:rFonts w:ascii="宋体" w:hAnsi="宋体" w:cs="宋体" w:eastAsia="宋体" w:hint="default"/>
        </w:rPr>
        <w:t>3%</w:t>
      </w:r>
      <w:r>
        <w:rPr/>
        <w:t>的部分实行即征即退政策。</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其他" w:id="204"/>
      <w:bookmarkEnd w:id="204"/>
      <w:r>
        <w:rPr>
          <w:b w:val="0"/>
          <w:bCs w:val="0"/>
        </w:rPr>
      </w: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left="154" w:right="1132" w:firstLine="423"/>
        <w:jc w:val="both"/>
      </w:pPr>
      <w:r>
        <w:rPr>
          <w:spacing w:val="-1"/>
        </w:rPr>
        <w:t>子公司达实联欣及其子公司联欣金山适用</w:t>
      </w:r>
      <w:r>
        <w:rPr>
          <w:rFonts w:ascii="宋体" w:hAnsi="宋体" w:cs="宋体" w:eastAsia="宋体" w:hint="default"/>
          <w:spacing w:val="-1"/>
        </w:rPr>
        <w:t>1%</w:t>
      </w:r>
      <w:r>
        <w:rPr>
          <w:spacing w:val="-1"/>
        </w:rPr>
        <w:t>的城市维护建设税税率，本公司及本公司其他子公司适用</w:t>
      </w:r>
      <w:r>
        <w:rPr/>
        <w:t> </w:t>
      </w:r>
      <w:r>
        <w:rPr>
          <w:rFonts w:ascii="宋体" w:hAnsi="宋体" w:cs="宋体" w:eastAsia="宋体" w:hint="default"/>
        </w:rPr>
        <w:t>7%</w:t>
      </w:r>
      <w:r>
        <w:rPr/>
        <w:t>的城市维护建设税税率。</w:t>
      </w:r>
    </w:p>
    <w:p>
      <w:pPr>
        <w:pStyle w:val="BodyText"/>
        <w:spacing w:line="355" w:lineRule="auto" w:before="33"/>
        <w:ind w:right="1105" w:firstLine="423"/>
        <w:jc w:val="both"/>
      </w:pPr>
      <w:r>
        <w:rPr/>
        <w:t>子公司联欣金山经主管税务机关批准为所得税核定征收企业，按年营业收入的</w:t>
      </w:r>
      <w:r>
        <w:rPr>
          <w:rFonts w:ascii="宋体" w:hAnsi="宋体" w:cs="宋体" w:eastAsia="宋体" w:hint="default"/>
        </w:rPr>
        <w:t>8%</w:t>
      </w:r>
      <w:r>
        <w:rPr/>
        <w:t>核定应纳税所得额， 企业所得税率为</w:t>
      </w:r>
      <w:r>
        <w:rPr>
          <w:rFonts w:ascii="宋体" w:hAnsi="宋体" w:cs="宋体" w:eastAsia="宋体" w:hint="default"/>
        </w:rPr>
        <w:t>25%</w:t>
      </w:r>
      <w:r>
        <w:rPr/>
        <w:t>。</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七、合并财务报表项目注释" w:id="205"/>
      <w:bookmarkEnd w:id="20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06"/>
      <w:bookmarkEnd w:id="20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351,889.47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149,346.63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462,180,301.62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218,598,814.01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7,886,947.66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5,974,055.90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470,419,138.75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224,722,216.54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5" w:lineRule="auto" w:before="71"/>
        <w:ind w:right="0" w:firstLine="423"/>
        <w:jc w:val="left"/>
      </w:pP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日其他货币资金中存放于指定账户的保函保证金存款</w:t>
      </w:r>
      <w:r>
        <w:rPr>
          <w:rFonts w:ascii="宋体" w:hAnsi="宋体" w:cs="宋体" w:eastAsia="宋体" w:hint="default"/>
          <w:spacing w:val="-1"/>
        </w:rPr>
        <w:t>4,610,105.66</w:t>
      </w:r>
      <w:r>
        <w:rPr>
          <w:spacing w:val="-1"/>
        </w:rPr>
        <w:t>元，其中已到期保函</w:t>
      </w:r>
      <w:r>
        <w:rPr/>
        <w:t> </w:t>
      </w:r>
      <w:r>
        <w:rPr>
          <w:spacing w:val="14"/>
        </w:rPr>
        <w:t>保证金金额为</w:t>
      </w:r>
      <w:r>
        <w:rPr>
          <w:spacing w:val="-84"/>
        </w:rPr>
        <w:t> </w:t>
      </w:r>
      <w:r>
        <w:rPr>
          <w:rFonts w:ascii="宋体" w:hAnsi="宋体" w:cs="宋体" w:eastAsia="宋体" w:hint="default"/>
        </w:rPr>
        <w:t>1,197,677.21</w:t>
      </w:r>
      <w:r>
        <w:rPr>
          <w:rFonts w:ascii="宋体" w:hAnsi="宋体" w:cs="宋体" w:eastAsia="宋体" w:hint="default"/>
          <w:spacing w:val="-85"/>
        </w:rPr>
        <w:t> </w:t>
      </w:r>
      <w:r>
        <w:rPr>
          <w:spacing w:val="9"/>
        </w:rPr>
        <w:t>元，</w:t>
      </w:r>
      <w:r>
        <w:rPr>
          <w:spacing w:val="-86"/>
        </w:rPr>
        <w:t> </w:t>
      </w:r>
      <w:r>
        <w:rPr>
          <w:spacing w:val="16"/>
        </w:rPr>
        <w:t>未到期保函保证金金额为</w:t>
      </w:r>
      <w:r>
        <w:rPr>
          <w:spacing w:val="-83"/>
        </w:rPr>
        <w:t> </w:t>
      </w:r>
      <w:r>
        <w:rPr>
          <w:rFonts w:ascii="宋体" w:hAnsi="宋体" w:cs="宋体" w:eastAsia="宋体" w:hint="default"/>
        </w:rPr>
        <w:t>3,412,428.45</w:t>
      </w:r>
      <w:r>
        <w:rPr>
          <w:rFonts w:ascii="宋体" w:hAnsi="宋体" w:cs="宋体" w:eastAsia="宋体" w:hint="default"/>
          <w:spacing w:val="-85"/>
        </w:rPr>
        <w:t> </w:t>
      </w:r>
      <w:r>
        <w:rPr>
          <w:spacing w:val="9"/>
        </w:rPr>
        <w:t>元。</w:t>
      </w:r>
      <w:r>
        <w:rPr>
          <w:spacing w:val="-86"/>
        </w:rPr>
        <w:t> </w:t>
      </w:r>
      <w:r>
        <w:rPr>
          <w:spacing w:val="16"/>
        </w:rPr>
        <w:t>银行承兑汇票的保证金</w:t>
      </w:r>
    </w:p>
    <w:p>
      <w:pPr>
        <w:spacing w:after="0" w:line="355" w:lineRule="auto"/>
        <w:jc w:val="left"/>
        <w:sectPr>
          <w:pgSz w:w="11910" w:h="16840"/>
          <w:pgMar w:header="87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pStyle w:val="BodyText"/>
        <w:spacing w:line="240" w:lineRule="auto" w:before="35"/>
        <w:ind w:left="154" w:right="0"/>
        <w:jc w:val="left"/>
      </w:pPr>
      <w:r>
        <w:rPr>
          <w:rFonts w:ascii="宋体" w:hAnsi="宋体" w:cs="宋体" w:eastAsia="宋体" w:hint="default"/>
        </w:rPr>
        <w:t>3,276,842.00</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2、应收票据" w:id="207"/>
      <w:bookmarkEnd w:id="207"/>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08"/>
      <w:bookmarkEnd w:id="20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8,054,266.85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12,237,388.21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37,684,194.16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5,678,210.79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45,738,461.01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17,915,599.00</w:t>
            </w:r>
          </w:p>
        </w:tc>
      </w:tr>
    </w:tbl>
    <w:p>
      <w:pPr>
        <w:pStyle w:val="Heading3"/>
        <w:spacing w:line="257" w:lineRule="exact"/>
        <w:ind w:right="0"/>
        <w:jc w:val="left"/>
        <w:rPr>
          <w:b w:val="0"/>
          <w:bCs w:val="0"/>
        </w:rPr>
      </w:pPr>
      <w:bookmarkStart w:name="（2）期末公司无已质押的应收票据" w:id="209"/>
      <w:bookmarkEnd w:id="209"/>
      <w:r>
        <w:rPr>
          <w:b w:val="0"/>
          <w:bCs w:val="0"/>
        </w:rPr>
      </w:r>
      <w:r>
        <w:rPr/>
        <w:t>（</w:t>
      </w:r>
      <w:r>
        <w:rPr>
          <w:rFonts w:ascii="Times New Roman" w:hAnsi="Times New Roman" w:cs="Times New Roman" w:eastAsia="Times New Roman" w:hint="default"/>
        </w:rPr>
        <w:t>2</w:t>
      </w:r>
      <w:r>
        <w:rPr/>
        <w:t>）期末公司无已质押的应收票据</w:t>
      </w:r>
      <w:r>
        <w:rPr>
          <w:b w:val="0"/>
          <w:bCs w:val="0"/>
        </w:rPr>
      </w:r>
    </w:p>
    <w:p>
      <w:pPr>
        <w:pStyle w:val="Heading3"/>
        <w:spacing w:line="240" w:lineRule="auto" w:before="118"/>
        <w:ind w:right="0"/>
        <w:jc w:val="left"/>
        <w:rPr>
          <w:b w:val="0"/>
          <w:bCs w:val="0"/>
        </w:rPr>
      </w:pPr>
      <w:bookmarkStart w:name="（3）期末公司已背书或贴现且在资产负债表日尚未到期的应收票据" w:id="210"/>
      <w:bookmarkEnd w:id="210"/>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11,690,261.64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5,506,796.06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17,197,057.70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无因出票人未履约而将其转应收账款的票据" w:id="211"/>
      <w:bookmarkEnd w:id="211"/>
      <w:r>
        <w:rPr>
          <w:b w:val="0"/>
          <w:bCs w:val="0"/>
        </w:rPr>
      </w:r>
      <w:r>
        <w:rPr/>
        <w:t>（</w:t>
      </w:r>
      <w:r>
        <w:rPr>
          <w:rFonts w:ascii="Times New Roman" w:hAnsi="Times New Roman" w:cs="Times New Roman" w:eastAsia="Times New Roman" w:hint="default"/>
        </w:rPr>
        <w:t>4</w:t>
      </w:r>
      <w:r>
        <w:rPr/>
        <w:t>）期末公司无因出票人未履约而将其转应收账款的票据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应收账款" w:id="212"/>
      <w:bookmarkEnd w:id="21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213"/>
      <w:bookmarkEnd w:id="21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665,058,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042.12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32,286,3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632,771,6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44.49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548,781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,739.56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24,463,09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524,318,64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3.58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970,277.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970,277.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125,479</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125,479.4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666,028,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320.09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33,256,6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4.99%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632,771,6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44.49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548,907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,219.05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24,588,57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4.48%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524,318,64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3.58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9" w:top="1060" w:bottom="1160" w:left="980" w:right="0"/>
        </w:sectPr>
      </w:pPr>
    </w:p>
    <w:p>
      <w:pPr>
        <w:spacing w:line="33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487,976,919.98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14,639,307.60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111,080,519.48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5,554,025.98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52,268,093.20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5,226,809.33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13,732,509.46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6,866,254.72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6,899,195.51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3,449,597.76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2,405,910.32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1,202,955.16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4,427,403.63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2,213,701.80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665,058,042.12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32,286,397.63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14"/>
      <w:bookmarkEnd w:id="2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154" w:right="0"/>
        <w:jc w:val="left"/>
      </w:pPr>
      <w:r>
        <w:rPr/>
        <w:t>本期计提坏账准备金额</w:t>
      </w:r>
      <w:r>
        <w:rPr>
          <w:spacing w:val="-53"/>
        </w:rPr>
        <w:t> </w:t>
      </w:r>
      <w:r>
        <w:rPr>
          <w:rFonts w:ascii="Times New Roman" w:hAnsi="Times New Roman" w:cs="Times New Roman" w:eastAsia="Times New Roman" w:hint="default"/>
        </w:rPr>
        <w:t>8,797,077.22</w:t>
      </w:r>
      <w:r>
        <w:rPr>
          <w:rFonts w:ascii="Times New Roman" w:hAnsi="Times New Roman" w:cs="Times New Roman" w:eastAsia="Times New Roman" w:hint="default"/>
          <w:spacing w:val="-2"/>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4"/>
          <w:szCs w:val="24"/>
        </w:rPr>
      </w:pPr>
    </w:p>
    <w:p>
      <w:pPr>
        <w:pStyle w:val="Heading3"/>
        <w:spacing w:line="240" w:lineRule="auto"/>
        <w:ind w:left="153" w:right="0"/>
        <w:jc w:val="left"/>
        <w:rPr>
          <w:b w:val="0"/>
          <w:bCs w:val="0"/>
        </w:rPr>
      </w:pPr>
      <w:bookmarkStart w:name="（3）本期实际核销的应收账款情况" w:id="215"/>
      <w:bookmarkEnd w:id="21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128,977.09</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128,977.09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992"/>
        <w:gridCol w:w="1700"/>
        <w:gridCol w:w="1419"/>
        <w:gridCol w:w="1202"/>
      </w:tblGrid>
      <w:tr>
        <w:trPr>
          <w:trHeight w:val="75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381" w:right="201"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45" w:right="55"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广州颐和南湖高尔夫会员住所有限公司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13,342.30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20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1"/>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天兆基业实业发展（深圳）有限公司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32,346.49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港中旅（珠海）海洋温泉有限公司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27,487.19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580" w:bottom="7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992"/>
        <w:gridCol w:w="1700"/>
        <w:gridCol w:w="1419"/>
        <w:gridCol w:w="1202"/>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武汉鑫天际网络系统集成有限公司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销售及服务 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工程款、销售 及服务款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45,561.11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128,977.09</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35"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应收账款情况" w:id="216"/>
      <w:bookmarkEnd w:id="21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553"/>
        <w:gridCol w:w="1134"/>
        <w:gridCol w:w="1418"/>
        <w:gridCol w:w="936"/>
        <w:gridCol w:w="1899"/>
        <w:gridCol w:w="1702"/>
      </w:tblGrid>
      <w:tr>
        <w:trPr>
          <w:trHeight w:val="659"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237" w:right="40" w:hanging="196"/>
              <w:jc w:val="left"/>
              <w:rPr>
                <w:rFonts w:ascii="宋体" w:hAnsi="宋体" w:cs="宋体" w:eastAsia="宋体" w:hint="default"/>
                <w:sz w:val="18"/>
                <w:szCs w:val="18"/>
              </w:rPr>
            </w:pPr>
            <w:r>
              <w:rPr>
                <w:rFonts w:ascii="宋体" w:hAnsi="宋体" w:cs="宋体" w:eastAsia="宋体" w:hint="default"/>
                <w:sz w:val="18"/>
                <w:szCs w:val="18"/>
              </w:rPr>
              <w:t>占应收账款期末余额合 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国网上海市电力公司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26,585,466.75</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797,564.00</w:t>
            </w:r>
          </w:p>
        </w:tc>
      </w:tr>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上海山川置业有限公司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18,049,423.51</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541,482.71</w:t>
            </w:r>
          </w:p>
        </w:tc>
      </w:tr>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烟台芝罘万达广场有限公司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13,064,245.60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391,927.37</w:t>
            </w:r>
          </w:p>
        </w:tc>
      </w:tr>
      <w:tr>
        <w:trPr>
          <w:trHeight w:val="347" w:hRule="exact"/>
        </w:trPr>
        <w:tc>
          <w:tcPr>
            <w:tcW w:w="255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22,421,401.36</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672,642.04</w:t>
            </w:r>
          </w:p>
        </w:tc>
      </w:tr>
      <w:tr>
        <w:trPr>
          <w:trHeight w:val="347" w:hRule="exact"/>
        </w:trPr>
        <w:tc>
          <w:tcPr>
            <w:tcW w:w="2553"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4,634,100.00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231,705.00</w:t>
            </w:r>
          </w:p>
        </w:tc>
      </w:tr>
      <w:tr>
        <w:trPr>
          <w:trHeight w:val="348" w:hRule="exact"/>
        </w:trPr>
        <w:tc>
          <w:tcPr>
            <w:tcW w:w="2553"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4,033,510.94</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0.61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403,351.09</w:t>
            </w:r>
          </w:p>
        </w:tc>
      </w:tr>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德州万达广场投资有限公司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16,422,254.80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492,667.64</w:t>
            </w:r>
          </w:p>
        </w:tc>
      </w:tr>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105,210,402.96</w:t>
            </w:r>
          </w:p>
        </w:tc>
        <w:tc>
          <w:tcPr>
            <w:tcW w:w="936" w:type="dxa"/>
            <w:tcBorders>
              <w:top w:val="single" w:sz="6" w:space="0" w:color="000000"/>
              <w:left w:val="single" w:sz="6"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15.81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3,531,339.85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预付款项" w:id="217"/>
      <w:bookmarkEnd w:id="21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18"/>
      <w:bookmarkEnd w:id="21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35,002,675.59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46,192,756.58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4,452,948.26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3,043,591.89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2,281,639.37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769,665.26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431,515.86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21,850.60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42,168,779.08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50,027,864.33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5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公司无账龄超过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年且金额重要的预付款项。</w:t>
      </w:r>
    </w:p>
    <w:p>
      <w:pPr>
        <w:spacing w:line="240" w:lineRule="auto" w:before="8"/>
        <w:rPr>
          <w:rFonts w:ascii="宋体" w:hAnsi="宋体" w:cs="宋体" w:eastAsia="宋体" w:hint="default"/>
          <w:sz w:val="19"/>
          <w:szCs w:val="19"/>
        </w:rPr>
      </w:pPr>
    </w:p>
    <w:p>
      <w:pPr>
        <w:pStyle w:val="Heading3"/>
        <w:spacing w:line="240" w:lineRule="auto"/>
        <w:ind w:left="153" w:right="0"/>
        <w:jc w:val="left"/>
        <w:rPr>
          <w:b w:val="0"/>
          <w:bCs w:val="0"/>
        </w:rPr>
      </w:pPr>
      <w:bookmarkStart w:name="（2）按预付对象归集的期末余额前五吊的预付款情况" w:id="219"/>
      <w:bookmarkEnd w:id="21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836"/>
        <w:gridCol w:w="1488"/>
        <w:gridCol w:w="1771"/>
        <w:gridCol w:w="1773"/>
        <w:gridCol w:w="1772"/>
      </w:tblGrid>
      <w:tr>
        <w:trPr>
          <w:trHeight w:val="659" w:hRule="exact"/>
        </w:trPr>
        <w:tc>
          <w:tcPr>
            <w:tcW w:w="28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7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112" w:right="67" w:hanging="45"/>
              <w:jc w:val="left"/>
              <w:rPr>
                <w:rFonts w:ascii="宋体" w:hAnsi="宋体" w:cs="宋体" w:eastAsia="宋体" w:hint="default"/>
                <w:sz w:val="18"/>
                <w:szCs w:val="18"/>
              </w:rPr>
            </w:pPr>
            <w:r>
              <w:rPr>
                <w:rFonts w:ascii="宋体" w:hAnsi="宋体" w:cs="宋体" w:eastAsia="宋体" w:hint="default"/>
                <w:sz w:val="18"/>
                <w:szCs w:val="18"/>
              </w:rPr>
              <w:t>占预付款项期末余额 合计数的比例（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深圳市禾鸿兴智能科技有限公司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6,220,000.00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14.75</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珠海市丰兰实业有限公司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3,640,000.00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836"/>
        <w:gridCol w:w="1488"/>
        <w:gridCol w:w="1771"/>
        <w:gridCol w:w="1773"/>
        <w:gridCol w:w="1772"/>
      </w:tblGrid>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成都启源电子信息技术有限公司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5"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3,362,204.00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7.97</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泰创科技股份有限公司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5"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2,895,000.00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6.87</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广东北众电气工业开发有限公司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5"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1,838,060.00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4.36</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17,955,264.00</w:t>
            </w:r>
          </w:p>
        </w:tc>
        <w:tc>
          <w:tcPr>
            <w:tcW w:w="177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42.58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其他应收款" w:id="220"/>
      <w:bookmarkEnd w:id="220"/>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21"/>
      <w:bookmarkEnd w:id="22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57,263,1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36.59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4,433,40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52,829,73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34,062,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416.53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2,948,604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31,113,811.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57,293,1</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36.59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4,463,40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52,829,73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34,092,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416.53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2,978,604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31,113,811.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38,917,592.84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1,167,527.78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8,235,133.89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411,756.70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5,502,714.45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550,271.45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4,607,695.41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2,303,847.70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1,229,141.98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614,570.98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810,859.33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405,429.67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2,567,694.10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1,283,847.05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57,263,136.59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4,433,403.63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1,484,799.09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本期无核销的其他应收款" w:id="223"/>
      <w:bookmarkEnd w:id="223"/>
      <w:r>
        <w:rPr>
          <w:b w:val="0"/>
          <w:bCs w:val="0"/>
        </w:rPr>
      </w:r>
      <w:r>
        <w:rPr/>
        <w:t>（</w:t>
      </w:r>
      <w:r>
        <w:rPr>
          <w:rFonts w:ascii="Times New Roman" w:hAnsi="Times New Roman" w:cs="Times New Roman" w:eastAsia="Times New Roman" w:hint="default"/>
        </w:rPr>
        <w:t>3</w:t>
      </w:r>
      <w:r>
        <w:rPr/>
        <w:t>）本期无核销的其他应收款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应收款按款项性质分类情况" w:id="224"/>
      <w:bookmarkEnd w:id="22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7,639,908.74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6,581,548.58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42,662,573.51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25,262,012.64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171,729.34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137,277.00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1,204,828.00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1,234,498.86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5,614,097.00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877,079.45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57,293,136.59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34,092,416.53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225"/>
      <w:bookmarkEnd w:id="22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124"/>
        <w:gridCol w:w="1145"/>
        <w:gridCol w:w="989"/>
        <w:gridCol w:w="1596"/>
        <w:gridCol w:w="1595"/>
      </w:tblGrid>
      <w:tr>
        <w:trPr>
          <w:trHeight w:val="71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遵义市投资（集团）有限责任公司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烟台芝罘万达广场有限公司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港铁轨道交通</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2,520,482.10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1,260,241.05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天津市泛亚工程机电设备咨询有限公司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48,000.00</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15,420,482.10</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1,647,241.05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存货" w:id="226"/>
      <w:bookmarkEnd w:id="226"/>
      <w:r>
        <w:rPr>
          <w:b w:val="0"/>
          <w:bCs w:val="0"/>
        </w:rPr>
      </w:r>
      <w:r>
        <w:rPr>
          <w:rFonts w:ascii="Times New Roman" w:hAnsi="Times New Roman" w:cs="Times New Roman" w:eastAsia="Times New Roman" w:hint="default"/>
        </w:rPr>
        <w:t>6</w:t>
      </w:r>
      <w:r>
        <w:rPr/>
        <w:t>、存货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27"/>
      <w:bookmarkEnd w:id="22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6,099,021.76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6,099,021.76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7,689,272.30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7,689,272.30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743,308.14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743,308.14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1,251,201.19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1,251,201.19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8,027,358.26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8,027,358.26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7,955,114.67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7,955,114.67</w:t>
            </w: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230,773,743.50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230,773,743.50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168,773,103.97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168,773,103.97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7,890,100.20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7,890,100.20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1,599,883.25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1,599,883.25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27,936.31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615,620.36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615,620.36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2,763.17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23,140.53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23,140.53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253,564,231.34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253,564,231.34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187,907,336.27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187,907,336.27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建造合同形成的已完工未结算资产情况" w:id="228"/>
      <w:bookmarkEnd w:id="228"/>
      <w:r>
        <w:rPr>
          <w:b w:val="0"/>
          <w:bCs w:val="0"/>
        </w:rPr>
      </w:r>
      <w:r>
        <w:rPr/>
        <w:t>（</w:t>
      </w:r>
      <w:r>
        <w:rPr>
          <w:rFonts w:ascii="Times New Roman" w:hAnsi="Times New Roman" w:cs="Times New Roman" w:eastAsia="Times New Roman" w:hint="default"/>
        </w:rPr>
        <w:t>2</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1,794,274,452.40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440,250,276.57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2,003,750,985.47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230,773,743.50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一年内到期的非流动资产" w:id="229"/>
      <w:bookmarkEnd w:id="229"/>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应收融资租赁债权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流动资产" w:id="230"/>
      <w:bookmarkEnd w:id="230"/>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增值税进项待抵扣税款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4,236,226.43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展位费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35,849.06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117,698.54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129,461.52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504,353,924.97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170,304.58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长期应收款" w:id="231"/>
      <w:bookmarkEnd w:id="231"/>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32"/>
      <w:bookmarkEnd w:id="23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285"/>
        <w:gridCol w:w="966"/>
        <w:gridCol w:w="1251"/>
        <w:gridCol w:w="1166"/>
        <w:gridCol w:w="1169"/>
        <w:gridCol w:w="1164"/>
        <w:gridCol w:w="1165"/>
      </w:tblGrid>
      <w:tr>
        <w:trPr>
          <w:trHeight w:val="206"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2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5" w:type="dxa"/>
            <w:vMerge/>
            <w:tcBorders>
              <w:left w:val="single" w:sz="4" w:space="0" w:color="000000"/>
              <w:bottom w:val="single" w:sz="4" w:space="0" w:color="000000"/>
              <w:right w:val="single" w:sz="4" w:space="0" w:color="000000"/>
            </w:tcBorders>
            <w:shd w:val="clear" w:color="auto" w:fill="D2D2D2"/>
          </w:tcPr>
          <w:p>
            <w:pPr/>
          </w:p>
        </w:tc>
        <w:tc>
          <w:tcPr>
            <w:tcW w:w="966" w:type="dxa"/>
            <w:vMerge/>
            <w:tcBorders>
              <w:left w:val="single" w:sz="4" w:space="0" w:color="000000"/>
              <w:bottom w:val="single" w:sz="4" w:space="0" w:color="000000"/>
              <w:right w:val="single" w:sz="4" w:space="0" w:color="000000"/>
            </w:tcBorders>
            <w:shd w:val="clear" w:color="auto" w:fill="D2D2D2"/>
          </w:tcPr>
          <w:p>
            <w:pPr/>
          </w:p>
        </w:tc>
        <w:tc>
          <w:tcPr>
            <w:tcW w:w="1251"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118,023,631.10</w:t>
            </w:r>
          </w:p>
        </w:tc>
        <w:tc>
          <w:tcPr>
            <w:tcW w:w="9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118,023,631.10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13,019,977.19</w:t>
            </w:r>
          </w:p>
        </w:tc>
        <w:tc>
          <w:tcPr>
            <w:tcW w:w="9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13,019,977.19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遵义规划馆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项目工程款</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8,496,363.00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8,496,363.00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126,519,994.10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126,519,994.10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投资性房地产" w:id="233"/>
      <w:bookmarkEnd w:id="233"/>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34"/>
      <w:bookmarkEnd w:id="23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5"/>
        <w:gridCol w:w="1872"/>
        <w:gridCol w:w="1860"/>
        <w:gridCol w:w="1862"/>
        <w:gridCol w:w="1861"/>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198,807,526.92</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198,807,526.92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198,807,526.92</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198,807,526.92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72" w:type="dxa"/>
            <w:tcBorders>
              <w:top w:val="single" w:sz="4" w:space="0" w:color="000000"/>
              <w:left w:val="single" w:sz="13" w:space="0" w:color="D2D2D2"/>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57,582,902.02</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57,582,902.02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11,239,043.59</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11,239,043.59</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11,239,043.59</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11,239,043.59</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68,821,945.61</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68,821,945.61</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72" w:type="dxa"/>
            <w:tcBorders>
              <w:top w:val="single" w:sz="4" w:space="0" w:color="000000"/>
              <w:left w:val="single" w:sz="13" w:space="0" w:color="D2D2D2"/>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7"/>
        <w:gridCol w:w="1861"/>
        <w:gridCol w:w="1860"/>
        <w:gridCol w:w="1862"/>
        <w:gridCol w:w="1861"/>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129,985,581.31</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129,985,581.31</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141,224,624.90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141,224,624.90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固定资产" w:id="235"/>
      <w:bookmarkEnd w:id="235"/>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36"/>
      <w:bookmarkEnd w:id="23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50,968,969.26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14,569,331.78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9,017,439.48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70,300,490.68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144,856,231.20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1,956,791.13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1,096,341.53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16,622,036.67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19,675,169.33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980,123.13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1,096,341.53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2,076,464.66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16,622,036.67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16,622,036.67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976,668.00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976,668.00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1,904,999.23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2,532,264.56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4,442,933.79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1,904,999.23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2,532,264.56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4,442,933.79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50,968,969.26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14,621,123.68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10,108,111.01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84,390,262.79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160,088,466.74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17,306,832.54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8,428,267.28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4,417,717.79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24,155,429.15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54,308,246.76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2,544,188.09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2,739,887.93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1,548,681.99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10,116,903.44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16,949,661.45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2,544,188.09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2,178,480.36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1,548,681.99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10,116,903.44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16,388,253.88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07" w:type="dxa"/>
            <w:tcBorders>
              <w:top w:val="single" w:sz="4" w:space="0" w:color="000000"/>
              <w:left w:val="single" w:sz="10" w:space="0" w:color="D9D9D9"/>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561,407.57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561,407.57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1,797,606.55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5,386.50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2,532,264.56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4,335,257.61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1,797,606.55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5,386.50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2,532,264.56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4,335,257.61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19,851,020.63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9,370,548.66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5,961,013.28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31,740,068.03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66,922,650.60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31,117,948.63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5,250,575.02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4,147,097.73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52,650,194.76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93,165,816.14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33,662,136.72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6,141,064.50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4,599,721.69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46,145,061.53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90,547,984.44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2、在建工程" w:id="237"/>
      <w:bookmarkEnd w:id="237"/>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38"/>
      <w:bookmarkEnd w:id="23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170"/>
        <w:gridCol w:w="1050"/>
        <w:gridCol w:w="1204"/>
        <w:gridCol w:w="1218"/>
        <w:gridCol w:w="1120"/>
        <w:gridCol w:w="1116"/>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深圳市公安局机关合同能源管理 节能改造项目</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2,622,026.36</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2,622,026.36</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9"/>
              <w:jc w:val="left"/>
              <w:rPr>
                <w:rFonts w:ascii="宋体" w:hAnsi="宋体" w:cs="宋体" w:eastAsia="宋体" w:hint="default"/>
                <w:sz w:val="18"/>
                <w:szCs w:val="18"/>
              </w:rPr>
            </w:pPr>
            <w:r>
              <w:rPr>
                <w:rFonts w:ascii="宋体" w:hAnsi="宋体" w:cs="宋体" w:eastAsia="宋体" w:hint="default"/>
                <w:sz w:val="18"/>
                <w:szCs w:val="18"/>
              </w:rPr>
              <w:t>镇江益华广场一期群楼能源站节 能服务项目</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11,274,386.31</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11,274,386.31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重庆莱宝水蓄冷节能改造服务</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2,119,223.70</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0" w:right="0"/>
              <w:jc w:val="center"/>
              <w:rPr>
                <w:rFonts w:ascii="Times New Roman" w:hAnsi="Times New Roman" w:cs="Times New Roman" w:eastAsia="Times New Roman" w:hint="default"/>
                <w:sz w:val="18"/>
                <w:szCs w:val="18"/>
              </w:rPr>
            </w:pPr>
            <w:r>
              <w:rPr>
                <w:rFonts w:ascii="Times New Roman"/>
                <w:sz w:val="18"/>
              </w:rPr>
              <w:t>2,119,223.70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展厅改造</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225,941.64</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225,941.64</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古北国际财富中心节能改造项目</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1,892,462.75</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1,892,462.75</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达实智能大厦改造</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4,726,238.14</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4,726,238.14</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9,466,668.89</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9,466,668.89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13,393,610.01</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13,393,610.01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无形资产" w:id="239"/>
      <w:bookmarkEnd w:id="239"/>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40"/>
      <w:bookmarkEnd w:id="24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3,476,807.79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3,476,807.79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155,611.93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750,998.54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906,610.47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750,998.54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750,998.54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155,611.93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155,611.93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155,611.93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4,227,806.33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4,383,418.26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1,358,153.37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1,358,153.37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15,561.19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652,766.69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668,327.88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15,561.19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652,766.69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668,327.88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15,561.19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2,010,920.06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2,026,481.25</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140,050.74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2,216,886.27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2,356,937.01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2,118,654.42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2,118,654.42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29.90%</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14、开发支出" w:id="241"/>
      <w:bookmarkEnd w:id="241"/>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008"/>
        <w:gridCol w:w="1527"/>
        <w:gridCol w:w="853"/>
        <w:gridCol w:w="1498"/>
        <w:gridCol w:w="994"/>
        <w:gridCol w:w="898"/>
        <w:gridCol w:w="11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3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5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311" w:right="130"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自然分层水蓄冷布 水器实验研究</w:t>
            </w:r>
          </w:p>
        </w:tc>
        <w:tc>
          <w:tcPr>
            <w:tcW w:w="100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155,611.93</w:t>
            </w:r>
          </w:p>
        </w:tc>
        <w:tc>
          <w:tcPr>
            <w:tcW w:w="853"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155,611.93</w:t>
            </w:r>
          </w:p>
        </w:tc>
        <w:tc>
          <w:tcPr>
            <w:tcW w:w="99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0" w:right="0"/>
              <w:jc w:val="left"/>
              <w:rPr>
                <w:rFonts w:ascii="Times New Roman" w:hAnsi="Times New Roman" w:cs="Times New Roman" w:eastAsia="Times New Roman" w:hint="default"/>
                <w:sz w:val="18"/>
                <w:szCs w:val="18"/>
              </w:rPr>
            </w:pPr>
            <w:r>
              <w:rPr>
                <w:rFonts w:ascii="Times New Roman"/>
                <w:sz w:val="18"/>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155,611.93</w:t>
            </w:r>
          </w:p>
        </w:tc>
        <w:tc>
          <w:tcPr>
            <w:tcW w:w="853"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155,611.93</w:t>
            </w:r>
          </w:p>
        </w:tc>
        <w:tc>
          <w:tcPr>
            <w:tcW w:w="99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商誉" w:id="242"/>
      <w:bookmarkEnd w:id="242"/>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43"/>
      <w:bookmarkEnd w:id="24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158,769,749.96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3,363,284.00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155,406,465.96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北京达实德润能 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7,256,368.77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7,256,368.77</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上海腾隆变配电 设备管理有限公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5,902,248.73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5,902,248.73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166,026,118.73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5,902,248.73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3,363,284.00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168,565,083.46</w:t>
            </w:r>
          </w:p>
        </w:tc>
      </w:tr>
    </w:tbl>
    <w:p>
      <w:pPr>
        <w:spacing w:line="316" w:lineRule="auto" w:before="51"/>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本报告期公司对子公司达实联欣的商誉金额调减是因为：子公司达实联欣未完成收购时承诺的业绩，按实际未完成比例</w:t>
      </w:r>
      <w:r>
        <w:rPr>
          <w:rFonts w:ascii="宋体" w:hAnsi="宋体" w:cs="宋体" w:eastAsia="宋体" w:hint="default"/>
          <w:sz w:val="18"/>
          <w:szCs w:val="18"/>
        </w:rPr>
        <w:t> 相应调减应支付的股权收购款。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0"/>
        <w:jc w:val="left"/>
        <w:rPr>
          <w:b w:val="0"/>
          <w:bCs w:val="0"/>
        </w:rPr>
      </w:pPr>
      <w:bookmarkStart w:name="（2）商誉减值准备" w:id="244"/>
      <w:bookmarkEnd w:id="24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before="51"/>
        <w:ind w:left="514" w:right="0" w:firstLine="0"/>
        <w:jc w:val="left"/>
        <w:rPr>
          <w:rFonts w:ascii="宋体" w:hAnsi="宋体" w:cs="宋体" w:eastAsia="宋体" w:hint="default"/>
          <w:sz w:val="18"/>
          <w:szCs w:val="18"/>
        </w:rPr>
      </w:pPr>
      <w:r>
        <w:rPr>
          <w:rFonts w:ascii="宋体" w:hAnsi="宋体" w:cs="宋体" w:eastAsia="宋体" w:hint="default"/>
          <w:sz w:val="18"/>
          <w:szCs w:val="18"/>
        </w:rPr>
        <w:t>①商誉的基本情况</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4" w:right="1185" w:firstLine="36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月公司与上海臻龙投资管理合伙企业、上海益憬投资管理事务所、青岛邦源创业投资中心（有限合伙）签署 </w:t>
      </w:r>
      <w:r>
        <w:rPr>
          <w:rFonts w:ascii="宋体" w:hAnsi="宋体" w:cs="宋体" w:eastAsia="宋体" w:hint="default"/>
          <w:spacing w:val="-9"/>
          <w:sz w:val="18"/>
          <w:szCs w:val="18"/>
        </w:rPr>
        <w:t>了《投资协议》，约定以</w:t>
      </w:r>
      <w:r>
        <w:rPr>
          <w:rFonts w:ascii="宋体" w:hAnsi="宋体" w:cs="宋体" w:eastAsia="宋体" w:hint="default"/>
          <w:spacing w:val="-43"/>
          <w:sz w:val="18"/>
          <w:szCs w:val="18"/>
        </w:rPr>
        <w:t> </w:t>
      </w:r>
      <w:r>
        <w:rPr>
          <w:rFonts w:ascii="宋体" w:hAnsi="宋体" w:cs="宋体" w:eastAsia="宋体" w:hint="default"/>
          <w:sz w:val="18"/>
          <w:szCs w:val="18"/>
        </w:rPr>
        <w:t>201,144,000.00</w:t>
      </w:r>
      <w:r>
        <w:rPr>
          <w:rFonts w:ascii="宋体" w:hAnsi="宋体" w:cs="宋体" w:eastAsia="宋体" w:hint="default"/>
          <w:spacing w:val="-43"/>
          <w:sz w:val="18"/>
          <w:szCs w:val="18"/>
        </w:rPr>
        <w:t> </w:t>
      </w:r>
      <w:r>
        <w:rPr>
          <w:rFonts w:ascii="宋体" w:hAnsi="宋体" w:cs="宋体" w:eastAsia="宋体" w:hint="default"/>
          <w:sz w:val="18"/>
          <w:szCs w:val="18"/>
        </w:rPr>
        <w:t>元采取股权转让的方式合计受让上海联欣科技发展有限公司</w:t>
      </w:r>
      <w:r>
        <w:rPr>
          <w:rFonts w:ascii="宋体" w:hAnsi="宋体" w:cs="宋体" w:eastAsia="宋体" w:hint="default"/>
          <w:spacing w:val="-42"/>
          <w:sz w:val="18"/>
          <w:szCs w:val="18"/>
        </w:rPr>
        <w:t> </w:t>
      </w:r>
      <w:r>
        <w:rPr>
          <w:rFonts w:ascii="宋体" w:hAnsi="宋体" w:cs="宋体" w:eastAsia="宋体" w:hint="default"/>
          <w:sz w:val="18"/>
          <w:szCs w:val="18"/>
        </w:rPr>
        <w:t>51.00%</w:t>
      </w:r>
      <w:r>
        <w:rPr>
          <w:rFonts w:ascii="宋体" w:hAnsi="宋体" w:cs="宋体" w:eastAsia="宋体" w:hint="default"/>
          <w:sz w:val="18"/>
          <w:szCs w:val="18"/>
        </w:rPr>
        <w:t>的股权。根据</w:t>
      </w:r>
    </w:p>
    <w:p>
      <w:pPr>
        <w:spacing w:before="19"/>
        <w:ind w:left="153" w:right="0" w:firstLine="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宋体" w:hAnsi="宋体" w:cs="宋体" w:eastAsia="宋体" w:hint="default"/>
          <w:sz w:val="18"/>
          <w:szCs w:val="18"/>
        </w:rPr>
        <w:t>33</w:t>
      </w:r>
      <w:r>
        <w:rPr>
          <w:rFonts w:ascii="宋体" w:hAnsi="宋体" w:cs="宋体" w:eastAsia="宋体" w:hint="default"/>
          <w:spacing w:val="-46"/>
          <w:sz w:val="18"/>
          <w:szCs w:val="18"/>
        </w:rPr>
        <w:t> </w:t>
      </w:r>
      <w:r>
        <w:rPr>
          <w:rFonts w:ascii="宋体" w:hAnsi="宋体" w:cs="宋体" w:eastAsia="宋体" w:hint="default"/>
          <w:sz w:val="18"/>
          <w:szCs w:val="18"/>
        </w:rPr>
        <w:t>号——合并财务报表》有关规定，合并日按持股比例计算应享有被合并方可辨认净资产的公允价值的</w:t>
      </w:r>
    </w:p>
    <w:p>
      <w:pPr>
        <w:spacing w:before="77"/>
        <w:ind w:left="154" w:right="0" w:firstLine="0"/>
        <w:jc w:val="both"/>
        <w:rPr>
          <w:rFonts w:ascii="宋体" w:hAnsi="宋体" w:cs="宋体" w:eastAsia="宋体" w:hint="default"/>
          <w:sz w:val="18"/>
          <w:szCs w:val="18"/>
        </w:rPr>
      </w:pPr>
      <w:r>
        <w:rPr>
          <w:rFonts w:ascii="宋体" w:hAnsi="宋体" w:cs="宋体" w:eastAsia="宋体" w:hint="default"/>
          <w:sz w:val="18"/>
          <w:szCs w:val="18"/>
        </w:rPr>
        <w:t>份额为</w:t>
      </w:r>
      <w:r>
        <w:rPr>
          <w:rFonts w:ascii="宋体" w:hAnsi="宋体" w:cs="宋体" w:eastAsia="宋体" w:hint="default"/>
          <w:spacing w:val="-46"/>
          <w:sz w:val="18"/>
          <w:szCs w:val="18"/>
        </w:rPr>
        <w:t> </w:t>
      </w:r>
      <w:r>
        <w:rPr>
          <w:rFonts w:ascii="宋体" w:hAnsi="宋体" w:cs="宋体" w:eastAsia="宋体" w:hint="default"/>
          <w:sz w:val="18"/>
          <w:szCs w:val="18"/>
        </w:rPr>
        <w:t>42,374,250.04</w:t>
      </w:r>
      <w:r>
        <w:rPr>
          <w:rFonts w:ascii="宋体" w:hAnsi="宋体" w:cs="宋体" w:eastAsia="宋体" w:hint="default"/>
          <w:spacing w:val="-46"/>
          <w:sz w:val="18"/>
          <w:szCs w:val="18"/>
        </w:rPr>
        <w:t> </w:t>
      </w:r>
      <w:r>
        <w:rPr>
          <w:rFonts w:ascii="宋体" w:hAnsi="宋体" w:cs="宋体" w:eastAsia="宋体" w:hint="default"/>
          <w:sz w:val="18"/>
          <w:szCs w:val="18"/>
        </w:rPr>
        <w:t>元，故合并时形成</w:t>
      </w:r>
      <w:r>
        <w:rPr>
          <w:rFonts w:ascii="宋体" w:hAnsi="宋体" w:cs="宋体" w:eastAsia="宋体" w:hint="default"/>
          <w:spacing w:val="-46"/>
          <w:sz w:val="18"/>
          <w:szCs w:val="18"/>
        </w:rPr>
        <w:t> </w:t>
      </w:r>
      <w:r>
        <w:rPr>
          <w:rFonts w:ascii="宋体" w:hAnsi="宋体" w:cs="宋体" w:eastAsia="宋体" w:hint="default"/>
          <w:sz w:val="18"/>
          <w:szCs w:val="18"/>
        </w:rPr>
        <w:t>158,769,749.96</w:t>
      </w:r>
      <w:r>
        <w:rPr>
          <w:rFonts w:ascii="宋体" w:hAnsi="宋体" w:cs="宋体" w:eastAsia="宋体" w:hint="default"/>
          <w:spacing w:val="-46"/>
          <w:sz w:val="18"/>
          <w:szCs w:val="18"/>
        </w:rPr>
        <w:t> </w:t>
      </w:r>
      <w:r>
        <w:rPr>
          <w:rFonts w:ascii="宋体" w:hAnsi="宋体" w:cs="宋体" w:eastAsia="宋体" w:hint="default"/>
          <w:sz w:val="18"/>
          <w:szCs w:val="18"/>
        </w:rPr>
        <w:t>元商誉。</w:t>
      </w:r>
    </w:p>
    <w:p>
      <w:pPr>
        <w:spacing w:line="319" w:lineRule="auto" w:before="115"/>
        <w:ind w:left="153" w:right="1117" w:firstLine="36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月，公司与北京启迪德润能源科技有限公司（已更名为北京达实德润能源科技有限公司）原股东沈宏明和北 </w:t>
      </w:r>
      <w:r>
        <w:rPr>
          <w:rFonts w:ascii="宋体" w:hAnsi="宋体" w:cs="宋体" w:eastAsia="宋体" w:hint="default"/>
          <w:spacing w:val="-4"/>
          <w:sz w:val="18"/>
          <w:szCs w:val="18"/>
        </w:rPr>
        <w:t>京启迪建筑信息技术有限公司签署了《投资协议》，约定以现金</w:t>
      </w:r>
      <w:r>
        <w:rPr>
          <w:rFonts w:ascii="宋体" w:hAnsi="宋体" w:cs="宋体" w:eastAsia="宋体" w:hint="default"/>
          <w:spacing w:val="-43"/>
          <w:sz w:val="18"/>
          <w:szCs w:val="18"/>
        </w:rPr>
        <w:t> </w:t>
      </w:r>
      <w:r>
        <w:rPr>
          <w:rFonts w:ascii="宋体" w:hAnsi="宋体" w:cs="宋体" w:eastAsia="宋体" w:hint="default"/>
          <w:sz w:val="18"/>
          <w:szCs w:val="18"/>
        </w:rPr>
        <w:t>8,100,000.00</w:t>
      </w:r>
      <w:r>
        <w:rPr>
          <w:rFonts w:ascii="宋体" w:hAnsi="宋体" w:cs="宋体" w:eastAsia="宋体" w:hint="default"/>
          <w:spacing w:val="-44"/>
          <w:sz w:val="18"/>
          <w:szCs w:val="18"/>
        </w:rPr>
        <w:t> </w:t>
      </w:r>
      <w:r>
        <w:rPr>
          <w:rFonts w:ascii="宋体" w:hAnsi="宋体" w:cs="宋体" w:eastAsia="宋体" w:hint="default"/>
          <w:sz w:val="18"/>
          <w:szCs w:val="18"/>
        </w:rPr>
        <w:t>元增资达实德润取得其</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z w:val="18"/>
          <w:szCs w:val="18"/>
        </w:rPr>
        <w:t>股权，以现金</w:t>
      </w:r>
      <w:r>
        <w:rPr>
          <w:rFonts w:ascii="宋体" w:hAnsi="宋体" w:cs="宋体" w:eastAsia="宋体" w:hint="default"/>
          <w:spacing w:val="-75"/>
          <w:sz w:val="18"/>
          <w:szCs w:val="18"/>
        </w:rPr>
        <w:t> </w:t>
      </w:r>
      <w:r>
        <w:rPr>
          <w:rFonts w:ascii="宋体" w:hAnsi="宋体" w:cs="宋体" w:eastAsia="宋体" w:hint="default"/>
          <w:sz w:val="18"/>
          <w:szCs w:val="18"/>
        </w:rPr>
        <w:t>5,400,000.00</w:t>
      </w:r>
      <w:r>
        <w:rPr>
          <w:rFonts w:ascii="宋体" w:hAnsi="宋体" w:cs="宋体" w:eastAsia="宋体" w:hint="default"/>
          <w:spacing w:val="-58"/>
          <w:sz w:val="18"/>
          <w:szCs w:val="18"/>
        </w:rPr>
        <w:t> </w:t>
      </w:r>
      <w:r>
        <w:rPr>
          <w:rFonts w:ascii="宋体" w:hAnsi="宋体" w:cs="宋体" w:eastAsia="宋体" w:hint="default"/>
          <w:sz w:val="18"/>
          <w:szCs w:val="18"/>
        </w:rPr>
        <w:t>元受让达实德润</w:t>
      </w:r>
      <w:r>
        <w:rPr>
          <w:rFonts w:ascii="宋体" w:hAnsi="宋体" w:cs="宋体" w:eastAsia="宋体" w:hint="default"/>
          <w:spacing w:val="-58"/>
          <w:sz w:val="18"/>
          <w:szCs w:val="18"/>
        </w:rPr>
        <w:t> </w:t>
      </w:r>
      <w:r>
        <w:rPr>
          <w:rFonts w:ascii="宋体" w:hAnsi="宋体" w:cs="宋体" w:eastAsia="宋体" w:hint="default"/>
          <w:sz w:val="18"/>
          <w:szCs w:val="18"/>
        </w:rPr>
        <w:t>18.00%</w:t>
      </w:r>
      <w:r>
        <w:rPr>
          <w:rFonts w:ascii="宋体" w:hAnsi="宋体" w:cs="宋体" w:eastAsia="宋体" w:hint="default"/>
          <w:sz w:val="18"/>
          <w:szCs w:val="18"/>
        </w:rPr>
        <w:t>股权，合计取得</w:t>
      </w:r>
      <w:r>
        <w:rPr>
          <w:rFonts w:ascii="宋体" w:hAnsi="宋体" w:cs="宋体" w:eastAsia="宋体" w:hint="default"/>
          <w:spacing w:val="-58"/>
          <w:sz w:val="18"/>
          <w:szCs w:val="18"/>
        </w:rPr>
        <w:t> </w:t>
      </w:r>
      <w:r>
        <w:rPr>
          <w:rFonts w:ascii="宋体" w:hAnsi="宋体" w:cs="宋体" w:eastAsia="宋体" w:hint="default"/>
          <w:sz w:val="18"/>
          <w:szCs w:val="18"/>
        </w:rPr>
        <w:t>45.00%</w:t>
      </w:r>
      <w:r>
        <w:rPr>
          <w:rFonts w:ascii="宋体" w:hAnsi="宋体" w:cs="宋体" w:eastAsia="宋体" w:hint="default"/>
          <w:sz w:val="18"/>
          <w:szCs w:val="18"/>
        </w:rPr>
        <w:t>股权。合并日按持股比例计算应享有被合并方可辨认净资产的 公允价值的份额为</w:t>
      </w:r>
      <w:r>
        <w:rPr>
          <w:rFonts w:ascii="宋体" w:hAnsi="宋体" w:cs="宋体" w:eastAsia="宋体" w:hint="default"/>
          <w:spacing w:val="-46"/>
          <w:sz w:val="18"/>
          <w:szCs w:val="18"/>
        </w:rPr>
        <w:t> </w:t>
      </w:r>
      <w:r>
        <w:rPr>
          <w:rFonts w:ascii="宋体" w:hAnsi="宋体" w:cs="宋体" w:eastAsia="宋体" w:hint="default"/>
          <w:sz w:val="18"/>
          <w:szCs w:val="18"/>
        </w:rPr>
        <w:t>6,243,631.23</w:t>
      </w:r>
      <w:r>
        <w:rPr>
          <w:rFonts w:ascii="宋体" w:hAnsi="宋体" w:cs="宋体" w:eastAsia="宋体" w:hint="default"/>
          <w:spacing w:val="-46"/>
          <w:sz w:val="18"/>
          <w:szCs w:val="18"/>
        </w:rPr>
        <w:t> </w:t>
      </w:r>
      <w:r>
        <w:rPr>
          <w:rFonts w:ascii="宋体" w:hAnsi="宋体" w:cs="宋体" w:eastAsia="宋体" w:hint="default"/>
          <w:sz w:val="18"/>
          <w:szCs w:val="18"/>
        </w:rPr>
        <w:t>元，故合并时形成</w:t>
      </w:r>
      <w:r>
        <w:rPr>
          <w:rFonts w:ascii="宋体" w:hAnsi="宋体" w:cs="宋体" w:eastAsia="宋体" w:hint="default"/>
          <w:spacing w:val="-46"/>
          <w:sz w:val="18"/>
          <w:szCs w:val="18"/>
        </w:rPr>
        <w:t> </w:t>
      </w:r>
      <w:r>
        <w:rPr>
          <w:rFonts w:ascii="宋体" w:hAnsi="宋体" w:cs="宋体" w:eastAsia="宋体" w:hint="default"/>
          <w:sz w:val="18"/>
          <w:szCs w:val="18"/>
        </w:rPr>
        <w:t>7,256,368.77</w:t>
      </w:r>
      <w:r>
        <w:rPr>
          <w:rFonts w:ascii="宋体" w:hAnsi="宋体" w:cs="宋体" w:eastAsia="宋体" w:hint="default"/>
          <w:spacing w:val="-46"/>
          <w:sz w:val="18"/>
          <w:szCs w:val="18"/>
        </w:rPr>
        <w:t> </w:t>
      </w:r>
      <w:r>
        <w:rPr>
          <w:rFonts w:ascii="宋体" w:hAnsi="宋体" w:cs="宋体" w:eastAsia="宋体" w:hint="default"/>
          <w:sz w:val="18"/>
          <w:szCs w:val="18"/>
        </w:rPr>
        <w:t>元商誉。</w:t>
      </w:r>
    </w:p>
    <w:p>
      <w:pPr>
        <w:spacing w:before="56"/>
        <w:ind w:left="513" w:right="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月，达实联欣通过上海交易所购买上海腾隆</w:t>
      </w:r>
      <w:r>
        <w:rPr>
          <w:rFonts w:ascii="宋体" w:hAnsi="宋体" w:cs="宋体" w:eastAsia="宋体" w:hint="default"/>
          <w:spacing w:val="-47"/>
          <w:sz w:val="18"/>
          <w:szCs w:val="18"/>
        </w:rPr>
        <w:t> </w:t>
      </w:r>
      <w:r>
        <w:rPr>
          <w:rFonts w:ascii="宋体" w:hAnsi="宋体" w:cs="宋体" w:eastAsia="宋体" w:hint="default"/>
          <w:spacing w:val="-3"/>
          <w:sz w:val="18"/>
          <w:szCs w:val="18"/>
        </w:rPr>
        <w:t>100.00%</w:t>
      </w:r>
      <w:r>
        <w:rPr>
          <w:rFonts w:ascii="宋体" w:hAnsi="宋体" w:cs="宋体" w:eastAsia="宋体" w:hint="default"/>
          <w:spacing w:val="-3"/>
          <w:sz w:val="18"/>
          <w:szCs w:val="18"/>
        </w:rPr>
        <w:t>股权，购买价</w:t>
      </w:r>
      <w:r>
        <w:rPr>
          <w:rFonts w:ascii="宋体" w:hAnsi="宋体" w:cs="宋体" w:eastAsia="宋体" w:hint="default"/>
          <w:spacing w:val="-47"/>
          <w:sz w:val="18"/>
          <w:szCs w:val="18"/>
        </w:rPr>
        <w:t> </w:t>
      </w:r>
      <w:r>
        <w:rPr>
          <w:rFonts w:ascii="宋体" w:hAnsi="宋体" w:cs="宋体" w:eastAsia="宋体" w:hint="default"/>
          <w:sz w:val="18"/>
          <w:szCs w:val="18"/>
        </w:rPr>
        <w:t>17,100,000.00</w:t>
      </w:r>
      <w:r>
        <w:rPr>
          <w:rFonts w:ascii="宋体" w:hAnsi="宋体" w:cs="宋体" w:eastAsia="宋体" w:hint="default"/>
          <w:spacing w:val="-47"/>
          <w:sz w:val="18"/>
          <w:szCs w:val="18"/>
        </w:rPr>
        <w:t> </w:t>
      </w:r>
      <w:r>
        <w:rPr>
          <w:rFonts w:ascii="宋体" w:hAnsi="宋体" w:cs="宋体" w:eastAsia="宋体" w:hint="default"/>
          <w:spacing w:val="-3"/>
          <w:sz w:val="18"/>
          <w:szCs w:val="18"/>
        </w:rPr>
        <w:t>元，合并日按持股比例计算</w:t>
      </w:r>
    </w:p>
    <w:p>
      <w:pPr>
        <w:spacing w:before="77"/>
        <w:ind w:left="154" w:right="0" w:firstLine="0"/>
        <w:jc w:val="both"/>
        <w:rPr>
          <w:rFonts w:ascii="宋体" w:hAnsi="宋体" w:cs="宋体" w:eastAsia="宋体" w:hint="default"/>
          <w:sz w:val="18"/>
          <w:szCs w:val="18"/>
        </w:rPr>
      </w:pPr>
      <w:r>
        <w:rPr>
          <w:rFonts w:ascii="宋体" w:hAnsi="宋体" w:cs="宋体" w:eastAsia="宋体" w:hint="default"/>
          <w:sz w:val="18"/>
          <w:szCs w:val="18"/>
        </w:rPr>
        <w:t>应享有被合并方可辨认净资产的公允价值的份额为</w:t>
      </w:r>
      <w:r>
        <w:rPr>
          <w:rFonts w:ascii="宋体" w:hAnsi="宋体" w:cs="宋体" w:eastAsia="宋体" w:hint="default"/>
          <w:spacing w:val="-45"/>
          <w:sz w:val="18"/>
          <w:szCs w:val="18"/>
        </w:rPr>
        <w:t> </w:t>
      </w:r>
      <w:r>
        <w:rPr>
          <w:rFonts w:ascii="宋体" w:hAnsi="宋体" w:cs="宋体" w:eastAsia="宋体" w:hint="default"/>
          <w:sz w:val="18"/>
          <w:szCs w:val="18"/>
        </w:rPr>
        <w:t>11,197,751.27</w:t>
      </w:r>
      <w:r>
        <w:rPr>
          <w:rFonts w:ascii="宋体" w:hAnsi="宋体" w:cs="宋体" w:eastAsia="宋体" w:hint="default"/>
          <w:spacing w:val="-46"/>
          <w:sz w:val="18"/>
          <w:szCs w:val="18"/>
        </w:rPr>
        <w:t> </w:t>
      </w:r>
      <w:r>
        <w:rPr>
          <w:rFonts w:ascii="宋体" w:hAnsi="宋体" w:cs="宋体" w:eastAsia="宋体" w:hint="default"/>
          <w:sz w:val="18"/>
          <w:szCs w:val="18"/>
        </w:rPr>
        <w:t>元，故合并时形成</w:t>
      </w:r>
      <w:r>
        <w:rPr>
          <w:rFonts w:ascii="宋体" w:hAnsi="宋体" w:cs="宋体" w:eastAsia="宋体" w:hint="default"/>
          <w:spacing w:val="-46"/>
          <w:sz w:val="18"/>
          <w:szCs w:val="18"/>
        </w:rPr>
        <w:t> </w:t>
      </w:r>
      <w:r>
        <w:rPr>
          <w:rFonts w:ascii="宋体" w:hAnsi="宋体" w:cs="宋体" w:eastAsia="宋体" w:hint="default"/>
          <w:sz w:val="18"/>
          <w:szCs w:val="18"/>
        </w:rPr>
        <w:t>5,902,248.73</w:t>
      </w:r>
      <w:r>
        <w:rPr>
          <w:rFonts w:ascii="宋体" w:hAnsi="宋体" w:cs="宋体" w:eastAsia="宋体" w:hint="default"/>
          <w:spacing w:val="-46"/>
          <w:sz w:val="18"/>
          <w:szCs w:val="18"/>
        </w:rPr>
        <w:t> </w:t>
      </w:r>
      <w:r>
        <w:rPr>
          <w:rFonts w:ascii="宋体" w:hAnsi="宋体" w:cs="宋体" w:eastAsia="宋体" w:hint="default"/>
          <w:sz w:val="18"/>
          <w:szCs w:val="18"/>
        </w:rPr>
        <w:t>元商誉。</w:t>
      </w:r>
    </w:p>
    <w:p>
      <w:pPr>
        <w:spacing w:line="314" w:lineRule="auto" w:before="116"/>
        <w:ind w:left="574" w:right="0" w:hanging="60"/>
        <w:jc w:val="left"/>
        <w:rPr>
          <w:rFonts w:ascii="宋体" w:hAnsi="宋体" w:cs="宋体" w:eastAsia="宋体" w:hint="default"/>
          <w:sz w:val="18"/>
          <w:szCs w:val="18"/>
        </w:rPr>
      </w:pPr>
      <w:r>
        <w:rPr>
          <w:rFonts w:ascii="宋体" w:hAnsi="宋体" w:cs="宋体" w:eastAsia="宋体" w:hint="default"/>
          <w:sz w:val="18"/>
          <w:szCs w:val="18"/>
        </w:rPr>
        <w:t>②说明商誉减值测试过程、参数及商誉减值损失的确认方法： 按照企业会计准则的规定，企业合并所形成的商誉，至少应当在每年年度终进行减值测试。由于商誉难以独立产生现</w:t>
      </w:r>
    </w:p>
    <w:p>
      <w:pPr>
        <w:spacing w:line="357" w:lineRule="auto" w:before="59"/>
        <w:ind w:left="154" w:right="1133" w:firstLine="0"/>
        <w:jc w:val="both"/>
        <w:rPr>
          <w:rFonts w:ascii="宋体" w:hAnsi="宋体" w:cs="宋体" w:eastAsia="宋体" w:hint="default"/>
          <w:sz w:val="18"/>
          <w:szCs w:val="18"/>
        </w:rPr>
      </w:pPr>
      <w:r>
        <w:rPr>
          <w:rFonts w:ascii="宋体" w:hAnsi="宋体" w:cs="宋体" w:eastAsia="宋体" w:hint="default"/>
          <w:spacing w:val="-2"/>
          <w:sz w:val="18"/>
          <w:szCs w:val="18"/>
        </w:rPr>
        <w:t>金流量，应当结合与其相关的资产组或者资产组组合进行减值测试。为了进行资产减值测试，因企业合并形成的商誉的账面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价值，应当自购买日起按照合理的方法分摊至相关的资产组；难以分摊至相关的资产组的，应当将其分摊至相关的资产组组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合。商誉减值测试流程如下：</w:t>
      </w:r>
    </w:p>
    <w:p>
      <w:pPr>
        <w:spacing w:line="357" w:lineRule="auto" w:before="25"/>
        <w:ind w:left="154" w:right="1132" w:firstLine="420"/>
        <w:jc w:val="both"/>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）因企业合并所形成的商誉是母公司根据其在子公司所拥有的权益而确认的商誉，子公司中归属于少数股东的商誉并</w:t>
      </w:r>
      <w:r>
        <w:rPr>
          <w:rFonts w:ascii="宋体" w:hAnsi="宋体" w:cs="宋体" w:eastAsia="宋体" w:hint="default"/>
          <w:sz w:val="18"/>
          <w:szCs w:val="18"/>
        </w:rPr>
        <w:t> </w:t>
      </w:r>
      <w:r>
        <w:rPr>
          <w:rFonts w:ascii="宋体" w:hAnsi="宋体" w:cs="宋体" w:eastAsia="宋体" w:hint="default"/>
          <w:spacing w:val="-2"/>
          <w:sz w:val="18"/>
          <w:szCs w:val="18"/>
        </w:rPr>
        <w:t>没有在合并财务报表中予以确认。因此，在对与商誉相关的资产组或者资产组组合进行减值测试时，由于其可收回金额的预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计包括归属于少数股东的商誉价值部分，因此，公司调整资产组的账面价值；</w:t>
      </w:r>
    </w:p>
    <w:p>
      <w:pPr>
        <w:spacing w:before="26"/>
        <w:ind w:left="573"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）折现率取行业平均水平；</w:t>
      </w:r>
    </w:p>
    <w:p>
      <w:pPr>
        <w:spacing w:line="355" w:lineRule="auto" w:before="115"/>
        <w:ind w:left="154" w:right="1132" w:firstLine="420"/>
        <w:jc w:val="both"/>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）营业收入根据已签约合同及预计签约合同业务量测算，营业成本及费用根据公司历史成本费用与收入的配比关系并</w:t>
      </w:r>
      <w:r>
        <w:rPr>
          <w:rFonts w:ascii="宋体" w:hAnsi="宋体" w:cs="宋体" w:eastAsia="宋体" w:hint="default"/>
          <w:sz w:val="18"/>
          <w:szCs w:val="18"/>
        </w:rPr>
        <w:t> 考虑物价增长指数数据测算，推算出近五年净利润，并假设五年后经营情况趋于稳定，计算可收回金额；</w:t>
      </w:r>
    </w:p>
    <w:p>
      <w:pPr>
        <w:spacing w:before="29"/>
        <w:ind w:left="573"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）比较调整后的资产组的账面价值与其可收回金额，以确定资产组</w:t>
      </w:r>
      <w:r>
        <w:rPr>
          <w:rFonts w:ascii="宋体" w:hAnsi="宋体" w:cs="宋体" w:eastAsia="宋体" w:hint="default"/>
          <w:sz w:val="18"/>
          <w:szCs w:val="18"/>
        </w:rPr>
        <w:t>(</w:t>
      </w:r>
      <w:r>
        <w:rPr>
          <w:rFonts w:ascii="宋体" w:hAnsi="宋体" w:cs="宋体" w:eastAsia="宋体" w:hint="default"/>
          <w:sz w:val="18"/>
          <w:szCs w:val="18"/>
        </w:rPr>
        <w:t>包括商誉</w:t>
      </w:r>
      <w:r>
        <w:rPr>
          <w:rFonts w:ascii="宋体" w:hAnsi="宋体" w:cs="宋体" w:eastAsia="宋体" w:hint="default"/>
          <w:sz w:val="18"/>
          <w:szCs w:val="18"/>
        </w:rPr>
        <w:t>)</w:t>
      </w:r>
      <w:r>
        <w:rPr>
          <w:rFonts w:ascii="宋体" w:hAnsi="宋体" w:cs="宋体" w:eastAsia="宋体" w:hint="default"/>
          <w:sz w:val="18"/>
          <w:szCs w:val="18"/>
        </w:rPr>
        <w:t>是否发生了减值；</w:t>
      </w:r>
    </w:p>
    <w:p>
      <w:pPr>
        <w:spacing w:line="357" w:lineRule="auto" w:before="115"/>
        <w:ind w:left="153" w:right="1130" w:firstLine="420"/>
        <w:jc w:val="both"/>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1"/>
          <w:sz w:val="18"/>
          <w:szCs w:val="18"/>
        </w:rPr>
        <w:t>）如发生减值的，应当首先抵减商誉的账面价值，但由于根据上述方法计算的商誉减值损失包括了应由少数股东权益</w:t>
      </w:r>
      <w:r>
        <w:rPr>
          <w:rFonts w:ascii="宋体" w:hAnsi="宋体" w:cs="宋体" w:eastAsia="宋体" w:hint="default"/>
          <w:sz w:val="18"/>
          <w:szCs w:val="18"/>
        </w:rPr>
        <w:t> </w:t>
      </w:r>
      <w:r>
        <w:rPr>
          <w:rFonts w:ascii="宋体" w:hAnsi="宋体" w:cs="宋体" w:eastAsia="宋体" w:hint="default"/>
          <w:spacing w:val="-2"/>
          <w:sz w:val="18"/>
          <w:szCs w:val="18"/>
        </w:rPr>
        <w:t>承担的部分，而少数股东权益拥有的商誉价值及其减值损失都不在合并财务报表中反映，合并财务报表只反映归属于母公司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的商誉减值损失，因此应当将商誉减值损失在可归属于母公司和少数股东权益部分之间按比例进行分摊，以确认归属于母公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司的商誉减值损失。</w:t>
      </w:r>
    </w:p>
    <w:p>
      <w:pPr>
        <w:spacing w:line="240" w:lineRule="auto" w:before="3"/>
        <w:rPr>
          <w:rFonts w:ascii="宋体" w:hAnsi="宋体" w:cs="宋体" w:eastAsia="宋体" w:hint="default"/>
          <w:sz w:val="26"/>
          <w:szCs w:val="26"/>
        </w:rPr>
      </w:pPr>
    </w:p>
    <w:p>
      <w:pPr>
        <w:pStyle w:val="Heading3"/>
        <w:spacing w:line="240" w:lineRule="auto"/>
        <w:ind w:left="153" w:right="0"/>
        <w:jc w:val="both"/>
        <w:rPr>
          <w:b w:val="0"/>
          <w:bCs w:val="0"/>
        </w:rPr>
      </w:pPr>
      <w:bookmarkStart w:name="（3）商誉测试结果" w:id="245"/>
      <w:bookmarkEnd w:id="245"/>
      <w:r>
        <w:rPr>
          <w:b w:val="0"/>
          <w:bCs w:val="0"/>
        </w:rPr>
      </w:r>
      <w:r>
        <w:rPr/>
        <w:t>（</w:t>
      </w:r>
      <w:r>
        <w:rPr>
          <w:rFonts w:ascii="Times New Roman" w:hAnsi="Times New Roman" w:cs="Times New Roman" w:eastAsia="Times New Roman" w:hint="default"/>
        </w:rPr>
        <w:t>3</w:t>
      </w:r>
      <w:r>
        <w:rPr/>
        <w:t>）商誉测试结果</w:t>
      </w:r>
      <w:r>
        <w:rPr>
          <w:b w:val="0"/>
          <w:bCs w:val="0"/>
        </w:rPr>
      </w:r>
    </w:p>
    <w:p>
      <w:pPr>
        <w:spacing w:line="240" w:lineRule="auto" w:before="5"/>
        <w:rPr>
          <w:rFonts w:ascii="宋体" w:hAnsi="宋体" w:cs="宋体" w:eastAsia="宋体" w:hint="default"/>
          <w:b/>
          <w:bCs/>
          <w:sz w:val="23"/>
          <w:szCs w:val="23"/>
        </w:rPr>
      </w:pPr>
    </w:p>
    <w:p>
      <w:pPr>
        <w:spacing w:line="357" w:lineRule="auto" w:before="0"/>
        <w:ind w:left="153" w:right="1132" w:firstLine="352"/>
        <w:jc w:val="both"/>
        <w:rPr>
          <w:rFonts w:ascii="宋体" w:hAnsi="宋体" w:cs="宋体" w:eastAsia="宋体" w:hint="default"/>
          <w:sz w:val="18"/>
          <w:szCs w:val="18"/>
        </w:rPr>
      </w:pPr>
      <w:r>
        <w:rPr>
          <w:rFonts w:ascii="宋体" w:hAnsi="宋体" w:cs="宋体" w:eastAsia="宋体" w:hint="default"/>
          <w:spacing w:val="-2"/>
          <w:sz w:val="18"/>
          <w:szCs w:val="18"/>
        </w:rPr>
        <w:t>根据上述商誉减值测试计算，上海达实联欣科技发展有限公司、北京达实德润能源科技有限公司、上海腾隆变配电设备</w:t>
      </w:r>
      <w:r>
        <w:rPr>
          <w:rFonts w:ascii="宋体" w:hAnsi="宋体" w:cs="宋体" w:eastAsia="宋体" w:hint="default"/>
          <w:sz w:val="18"/>
          <w:szCs w:val="18"/>
        </w:rPr>
        <w:t> 管理有限公司</w:t>
      </w:r>
      <w:r>
        <w:rPr>
          <w:rFonts w:ascii="宋体" w:hAnsi="宋体" w:cs="宋体" w:eastAsia="宋体" w:hint="default"/>
          <w:sz w:val="18"/>
          <w:szCs w:val="18"/>
        </w:rPr>
        <w:t>3</w:t>
      </w:r>
      <w:r>
        <w:rPr>
          <w:rFonts w:ascii="宋体" w:hAnsi="宋体" w:cs="宋体" w:eastAsia="宋体" w:hint="default"/>
          <w:sz w:val="18"/>
          <w:szCs w:val="18"/>
        </w:rPr>
        <w:t>家公司可收回金额大于调整后账面价值，商誉不存在减值风险。</w:t>
      </w:r>
    </w:p>
    <w:p>
      <w:pPr>
        <w:spacing w:line="240" w:lineRule="auto" w:before="3"/>
        <w:rPr>
          <w:rFonts w:ascii="宋体" w:hAnsi="宋体" w:cs="宋体" w:eastAsia="宋体" w:hint="default"/>
          <w:sz w:val="26"/>
          <w:szCs w:val="26"/>
        </w:rPr>
      </w:pPr>
    </w:p>
    <w:p>
      <w:pPr>
        <w:pStyle w:val="Heading3"/>
        <w:spacing w:line="240" w:lineRule="auto"/>
        <w:ind w:left="153" w:right="0"/>
        <w:jc w:val="both"/>
        <w:rPr>
          <w:b w:val="0"/>
          <w:bCs w:val="0"/>
        </w:rPr>
      </w:pPr>
      <w:bookmarkStart w:name="16、长期待摊费用" w:id="246"/>
      <w:bookmarkEnd w:id="246"/>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15,529,579.54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294,659.52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3,773,052.44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12,051,186.62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认证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9,722.29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9,722.29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15,539,301.83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294,659.52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3,782,774.73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12,051,186.62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506" w:lineRule="auto" w:before="35"/>
        <w:ind w:left="153" w:right="7322"/>
        <w:jc w:val="left"/>
        <w:rPr>
          <w:b w:val="0"/>
          <w:bCs w:val="0"/>
        </w:rPr>
      </w:pPr>
      <w:bookmarkStart w:name="17、递延所得税资产/递延所得税负债" w:id="247"/>
      <w:bookmarkEnd w:id="247"/>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w w:val="99"/>
        </w:rPr>
        <w:t> </w:t>
      </w:r>
      <w:bookmarkStart w:name="未经抵销的递延所得税资产" w:id="248"/>
      <w:bookmarkEnd w:id="248"/>
      <w:r>
        <w:rPr/>
        <w:t>未</w:t>
      </w:r>
      <w:r>
        <w:rPr/>
        <w:t>经抵销的递延所得税资产</w:t>
      </w:r>
      <w:r>
        <w:rPr>
          <w:b w:val="0"/>
          <w:bCs w:val="0"/>
        </w:rPr>
      </w:r>
    </w:p>
    <w:p>
      <w:pPr>
        <w:spacing w:before="13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37,720,079.23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5,729,681.24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27,567,180.01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4,145,044.01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1,039,237.62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178,820.25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840,949.71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152,777.90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123,511.08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18,526.66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81,304.96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12,195.74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预提工资</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4,653,464.05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698,019.61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657,669.51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98,650.44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3,635,330.32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545,299.56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48,890,497.44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7,428,178.59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36,978,229.05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5,583,336.82</w:t>
            </w:r>
          </w:p>
        </w:tc>
      </w:tr>
    </w:tbl>
    <w:p>
      <w:pPr>
        <w:spacing w:line="240" w:lineRule="auto" w:before="2"/>
        <w:rPr>
          <w:rFonts w:ascii="宋体" w:hAnsi="宋体" w:cs="宋体" w:eastAsia="宋体" w:hint="default"/>
          <w:sz w:val="19"/>
          <w:szCs w:val="19"/>
        </w:rPr>
      </w:pPr>
    </w:p>
    <w:p>
      <w:pPr>
        <w:pStyle w:val="Heading3"/>
        <w:spacing w:line="506" w:lineRule="auto" w:before="35"/>
        <w:ind w:right="9487"/>
        <w:jc w:val="left"/>
        <w:rPr>
          <w:b w:val="0"/>
          <w:bCs w:val="0"/>
        </w:rPr>
      </w:pPr>
      <w:bookmarkStart w:name="18、短期借款" w:id="249"/>
      <w:bookmarkEnd w:id="249"/>
      <w:r>
        <w:rPr>
          <w:b w:val="0"/>
          <w:bCs w:val="0"/>
        </w:rPr>
      </w:r>
      <w:r>
        <w:rPr>
          <w:rFonts w:ascii="Times New Roman" w:hAnsi="Times New Roman" w:cs="Times New Roman" w:eastAsia="Times New Roman" w:hint="default"/>
        </w:rPr>
        <w:t>18</w:t>
      </w:r>
      <w:r>
        <w:rPr/>
        <w:t>、短期借款</w:t>
      </w:r>
      <w:r>
        <w:rPr>
          <w:w w:val="99"/>
        </w:rPr>
        <w:t> </w:t>
      </w:r>
      <w:bookmarkStart w:name="短期借款分类" w:id="250"/>
      <w:bookmarkEnd w:id="250"/>
      <w:r>
        <w:rPr/>
        <w:t>短</w:t>
      </w:r>
      <w:r>
        <w:rPr/>
        <w:t>期借款分类</w:t>
      </w:r>
      <w:r>
        <w:rPr>
          <w:b w:val="0"/>
          <w:bCs w:val="0"/>
        </w:rPr>
      </w:r>
    </w:p>
    <w:p>
      <w:pPr>
        <w:spacing w:before="13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应付票据" w:id="251"/>
      <w:bookmarkEnd w:id="251"/>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42,449,018.49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18,891,301.12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42,449,018.49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18,891,301.12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0、应付账款" w:id="252"/>
      <w:bookmarkEnd w:id="252"/>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53"/>
      <w:bookmarkEnd w:id="25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283,932,266.01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241,174,698.99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87,075,617.18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74,177,492.61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51,486,218.44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23,768,408.58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21,196,601.51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5,520,035.81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443,690,703.14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344,640,635.99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前五吊应付账款" w:id="254"/>
      <w:bookmarkEnd w:id="25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年的前五名应付账款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2269"/>
        <w:gridCol w:w="3189"/>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深圳市地天智能科技有限公司成都分公司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10,406,911.03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深圳市深安视通科技发展有限公司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6,726,861.11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上海大华电器设备有限公司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6,283,229.40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成都巨安智能化工程有限公司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5,339,425.03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深圳市智安科技发展有限公司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4,393,524.68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33,149,951.25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本公司根据公司经营规模等确定单项金额重大的应付账款标准为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1、预收款项" w:id="255"/>
      <w:bookmarkEnd w:id="255"/>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56"/>
      <w:bookmarkEnd w:id="25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119,563,727.40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66,008,438.09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4,966,043.49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10,051,004.05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1,931,272.01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3,703,810.00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375,400.52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145,650.00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126,836,443.42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79,908,902.14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57"/>
      <w:bookmarkEnd w:id="25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北京金隅世纪城房地产开发有公司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重庆工贸职业技术学院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2,431,600.00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6"/>
        <w:ind w:left="577" w:right="0" w:firstLine="0"/>
        <w:jc w:val="left"/>
        <w:rPr>
          <w:rFonts w:ascii="宋体" w:hAnsi="宋体" w:cs="宋体" w:eastAsia="宋体" w:hint="default"/>
          <w:sz w:val="18"/>
          <w:szCs w:val="18"/>
        </w:rPr>
      </w:pPr>
      <w:r>
        <w:rPr>
          <w:rFonts w:ascii="宋体" w:hAnsi="宋体" w:cs="宋体" w:eastAsia="宋体" w:hint="default"/>
          <w:sz w:val="18"/>
          <w:szCs w:val="18"/>
        </w:rPr>
        <w:t>本公司根据公司经营规模等确定单项金额重大的预收账款标准为</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2、应付职工薪酬" w:id="258"/>
      <w:bookmarkEnd w:id="258"/>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59"/>
      <w:bookmarkEnd w:id="25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0"/>
        <w:gridCol w:w="1790"/>
        <w:gridCol w:w="1790"/>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13,550,955.08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131,176,509.60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126,837,125.54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17,890,339.14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8,403,191.36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8,403,191.36</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504,579.11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504,579.11</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13,550,955.08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140,084,280.07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135,744,896.01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17,890,339.14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60"/>
      <w:bookmarkEnd w:id="26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0"/>
        <w:gridCol w:w="1790"/>
        <w:gridCol w:w="1790"/>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13,550,955.08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124,189,126.50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119,849,742.44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17,890,339.14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83,013.88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83,013.88</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3,384,916.92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3,384,916.92</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2,896,558.67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2,896,558.67</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205,701.70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205,701.70</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282,656.55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282,656.55</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2,682,532.26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2,682,532.26</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812,398.90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812,398.90</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80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24,521.14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24,521.14</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13,550,955.08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131,176,509.60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126,837,125.54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17,890,339.14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61"/>
      <w:bookmarkEnd w:id="26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791"/>
        <w:gridCol w:w="1790"/>
        <w:gridCol w:w="1790"/>
        <w:gridCol w:w="1779"/>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1791"/>
        <w:gridCol w:w="1790"/>
        <w:gridCol w:w="1790"/>
        <w:gridCol w:w="1790"/>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7,885,514.50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7,885,514.50</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517,676.86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517,676.86</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8,403,191.36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8,403,191.36</w:t>
            </w:r>
          </w:p>
        </w:tc>
        <w:tc>
          <w:tcPr>
            <w:tcW w:w="17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3、应交税费" w:id="262"/>
      <w:bookmarkEnd w:id="262"/>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541,590.35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402,823.94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11,332,455.55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8,824,503.22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18,054,908.78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11,392,496.84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584,741.95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377,104.91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740,913.76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700,970.89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433,800.66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357,069.17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231,499.82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175,600.09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61,435.63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61,435.63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589,496.41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233,527.02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519,497.67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672,261.98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33,090,340.58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23,197,793.69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应付利息" w:id="263"/>
      <w:bookmarkEnd w:id="263"/>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1,458,333.35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1,462,833.35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5、应付股利" w:id="264"/>
      <w:bookmarkEnd w:id="264"/>
      <w:r>
        <w:rPr>
          <w:b w:val="0"/>
          <w:bCs w:val="0"/>
        </w:rPr>
      </w:r>
      <w:r>
        <w:rPr>
          <w:rFonts w:ascii="Times New Roman" w:hAnsi="Times New Roman" w:cs="Times New Roman" w:eastAsia="Times New Roman" w:hint="default"/>
        </w:rPr>
        <w:t>25</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199,500.00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期末余额是公司代管的未到解禁期的员工限制性股票分红款。</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6、其他应付款" w:id="265"/>
      <w:bookmarkEnd w:id="265"/>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66"/>
      <w:bookmarkEnd w:id="26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692,549.35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98,541.93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18,569,748.31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17,565,978.10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8,841,004.53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3,945,100.56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28,103,302.19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21,609,620.59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67"/>
      <w:bookmarkEnd w:id="26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爱瑞森特科技（深圳）有限公司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1,150,403.88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租房押金，退租后归还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深圳市深安视通科技发展有限公司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1,309,754.79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履约保证金，未到期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2,460,158.67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16" w:lineRule="auto" w:before="51"/>
        <w:ind w:left="153" w:right="4813" w:firstLine="0"/>
        <w:jc w:val="left"/>
        <w:rPr>
          <w:rFonts w:ascii="宋体" w:hAnsi="宋体" w:cs="宋体" w:eastAsia="宋体" w:hint="default"/>
          <w:sz w:val="18"/>
          <w:szCs w:val="18"/>
        </w:rPr>
      </w:pPr>
      <w:r>
        <w:rPr>
          <w:rFonts w:ascii="宋体" w:hAnsi="宋体" w:cs="宋体" w:eastAsia="宋体" w:hint="default"/>
          <w:sz w:val="18"/>
          <w:szCs w:val="18"/>
        </w:rPr>
        <w:t>其他说明 本公司根据公司经营规模等确定单项金额重大的其他应付款标准为</w:t>
      </w:r>
      <w:r>
        <w:rPr>
          <w:rFonts w:ascii="宋体" w:hAnsi="宋体" w:cs="宋体" w:eastAsia="宋体" w:hint="default"/>
          <w:sz w:val="18"/>
          <w:szCs w:val="18"/>
        </w:rPr>
        <w:t>50</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pStyle w:val="Heading3"/>
        <w:spacing w:line="240" w:lineRule="auto" w:before="138"/>
        <w:ind w:left="153" w:right="0"/>
        <w:jc w:val="left"/>
        <w:rPr>
          <w:b w:val="0"/>
          <w:bCs w:val="0"/>
        </w:rPr>
      </w:pPr>
      <w:bookmarkStart w:name="27、一年内到期的非流动负债" w:id="268"/>
      <w:bookmarkEnd w:id="268"/>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22,724,894.00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22,724,894.00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8、其他流动负债" w:id="269"/>
      <w:bookmarkEnd w:id="269"/>
      <w:r>
        <w:rPr>
          <w:b w:val="0"/>
          <w:bCs w:val="0"/>
        </w:rPr>
      </w:r>
      <w:r>
        <w:rPr>
          <w:rFonts w:ascii="Times New Roman" w:hAnsi="Times New Roman" w:cs="Times New Roman" w:eastAsia="Times New Roman" w:hint="default"/>
        </w:rPr>
        <w:t>28</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4,653,464.05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4,653,464.05</w:t>
            </w:r>
          </w:p>
        </w:tc>
      </w:tr>
    </w:tbl>
    <w:p>
      <w:pPr>
        <w:spacing w:line="240" w:lineRule="auto" w:before="4"/>
        <w:rPr>
          <w:rFonts w:ascii="宋体" w:hAnsi="宋体" w:cs="宋体" w:eastAsia="宋体" w:hint="default"/>
          <w:sz w:val="21"/>
          <w:szCs w:val="21"/>
        </w:rPr>
      </w:pPr>
    </w:p>
    <w:p>
      <w:pPr>
        <w:spacing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政府补助明细如下：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6427"/>
        <w:gridCol w:w="1606"/>
        <w:gridCol w:w="1608"/>
      </w:tblGrid>
      <w:tr>
        <w:trPr>
          <w:trHeight w:val="347" w:hRule="exact"/>
        </w:trPr>
        <w:tc>
          <w:tcPr>
            <w:tcW w:w="64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科技成果转化项目补助资金</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803,464.05</w:t>
            </w: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大型公共建筑中央空调能耗监测与节能优化关键技术研究专项补助资金</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427"/>
        <w:gridCol w:w="1606"/>
        <w:gridCol w:w="1608"/>
      </w:tblGrid>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城市轨道交通分布式综合监控系统（</w:t>
            </w:r>
            <w:r>
              <w:rPr>
                <w:rFonts w:ascii="Times New Roman" w:hAnsi="Times New Roman" w:cs="Times New Roman" w:eastAsia="Times New Roman" w:hint="default"/>
                <w:sz w:val="18"/>
                <w:szCs w:val="18"/>
              </w:rPr>
              <w:t>SCADA</w:t>
            </w:r>
            <w:r>
              <w:rPr>
                <w:rFonts w:ascii="宋体" w:hAnsi="宋体" w:cs="宋体" w:eastAsia="宋体" w:hint="default"/>
                <w:sz w:val="18"/>
                <w:szCs w:val="18"/>
              </w:rPr>
              <w:t>）研发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复杂工业系统全流程集成监控与节能优化关键技术及应用</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450,000.00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450,000.00</w:t>
            </w: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主动蓄能的分布式冷热电联产系统集成研究补助</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400,000.00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400,000.00</w:t>
            </w:r>
          </w:p>
        </w:tc>
      </w:tr>
      <w:tr>
        <w:trPr>
          <w:trHeight w:val="348"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大型建筑主动蓄冷冻中央空调系统合同能源管理产业化项目</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7,500,000.00</w:t>
            </w:r>
          </w:p>
        </w:tc>
        <w:tc>
          <w:tcPr>
            <w:tcW w:w="160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9,350,000.00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4,653,464.05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长期应付款" w:id="270"/>
      <w:bookmarkEnd w:id="270"/>
      <w:r>
        <w:rPr>
          <w:b w:val="0"/>
          <w:bCs w:val="0"/>
        </w:rPr>
      </w:r>
      <w:r>
        <w:rPr>
          <w:rFonts w:ascii="Times New Roman" w:hAnsi="Times New Roman" w:cs="Times New Roman" w:eastAsia="Times New Roman" w:hint="default"/>
        </w:rPr>
        <w:t>29</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271"/>
      <w:bookmarkEnd w:id="27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股权购买款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45,449,788.00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45,449,788.00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股本" w:id="272"/>
      <w:bookmarkEnd w:id="272"/>
      <w:r>
        <w:rPr>
          <w:b w:val="0"/>
          <w:bCs w:val="0"/>
        </w:rPr>
      </w:r>
      <w:r>
        <w:rPr>
          <w:rFonts w:ascii="Times New Roman" w:hAnsi="Times New Roman" w:cs="Times New Roman" w:eastAsia="Times New Roman" w:hint="default"/>
        </w:rPr>
        <w:t>30</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5"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1"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208,800,000.00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47,000,000.00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47,000,000.00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255,800,000.00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资本公积" w:id="273"/>
      <w:bookmarkEnd w:id="273"/>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288,903,424.67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705,535,462.98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994,438,887.65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95,100.00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288,998,524.67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705,535,462.98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994,533,987.65</w:t>
            </w:r>
          </w:p>
        </w:tc>
      </w:tr>
    </w:tbl>
    <w:p>
      <w:pPr>
        <w:spacing w:before="10"/>
        <w:ind w:left="0" w:right="1049" w:firstLine="0"/>
        <w:jc w:val="right"/>
        <w:rPr>
          <w:rFonts w:ascii="宋体" w:hAnsi="宋体" w:cs="宋体" w:eastAsia="宋体" w:hint="default"/>
          <w:sz w:val="18"/>
          <w:szCs w:val="18"/>
        </w:rPr>
      </w:pPr>
      <w:r>
        <w:rPr>
          <w:rFonts w:ascii="宋体" w:hAnsi="宋体" w:cs="宋体" w:eastAsia="宋体" w:hint="default"/>
          <w:sz w:val="18"/>
          <w:szCs w:val="18"/>
        </w:rPr>
        <w:t>本期增加系公司报告期内非公开发行股票、员工限制性股票成本摊销以及子公司达实租赁少数股东外币出资汇兑差额转入。</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2、盈余公积" w:id="274"/>
      <w:bookmarkEnd w:id="274"/>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27,163,933.74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6,685,584.95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33,849,518.69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27,163,933.74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6,685,584.95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33,849,518.69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3、未分配利润" w:id="275"/>
      <w:bookmarkEnd w:id="275"/>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248,883,757.67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181,808,180.23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248,883,757.67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181,808,180.23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112,167,858.11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82,294,209.87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6,685,584.95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4,778,632.43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333,486,030.83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248,883,757.67</w:t>
            </w:r>
          </w:p>
        </w:tc>
      </w:tr>
    </w:tbl>
    <w:p>
      <w:pPr>
        <w:spacing w:line="314" w:lineRule="auto" w:before="51"/>
        <w:ind w:left="154" w:right="364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w:t>
      </w:r>
      <w:r>
        <w:rPr>
          <w:rFonts w:ascii="宋体" w:hAnsi="宋体" w:cs="宋体" w:eastAsia="宋体"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15"/>
        <w:ind w:left="154"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before="115"/>
        <w:ind w:left="154"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before="115"/>
        <w:ind w:left="153"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34、营业收入和营业成本" w:id="276"/>
      <w:bookmarkEnd w:id="276"/>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1,229,117,014.17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846,890,069.73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978,916,632.18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696,412,795.13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33,945,252.87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16,654,174.57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32,976,021.71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16,798,060.25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1,263,062,267.04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863,544,244.30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1,011,892,653.89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713,210,855.38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营业税金及附加" w:id="277"/>
      <w:bookmarkEnd w:id="277"/>
      <w:r>
        <w:rPr>
          <w:b w:val="0"/>
          <w:bCs w:val="0"/>
        </w:rPr>
      </w:r>
      <w:r>
        <w:rPr>
          <w:rFonts w:ascii="Times New Roman" w:hAnsi="Times New Roman" w:cs="Times New Roman" w:eastAsia="Times New Roman" w:hint="default"/>
        </w:rPr>
        <w:t>35</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30,684,726.39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22,010,718.74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2,510,827.59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2,388,279.28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1,370,124.47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1,199,797.68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908,968.44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802,044.18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216,158.88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195,080.67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183,938.18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178,107.39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35,874,743.95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26,774,027.94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6、销售费用" w:id="278"/>
      <w:bookmarkEnd w:id="278"/>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57,142,399.69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45,449,164.82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9,131,639.77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7,890,949.48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3,000,877.39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1,271,986.09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4,462,297.27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2,988,296.33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4,772,780.58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3,185,170.46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物料消耗及低耗品摊销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599,654.64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423,018.28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工程及售后维护费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2,537,423.50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1,092,204.71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其他项小计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11,140,442.61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12,587,078.95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92,787,515.45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74,887,869.12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管理费用" w:id="279"/>
      <w:bookmarkEnd w:id="279"/>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40,365,656.61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32,161,398.96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2,945,294.03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3,981,604.49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2,974,066.86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3,503,163.06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咨询及审计费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3,502,604.27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2,100,230.99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4,822,907.77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3,954,726.83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6,199,319.20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5,458,560.29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30,319,468.45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24,484,763.38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91,129,317.19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75,644,448.00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财务费用" w:id="280"/>
      <w:bookmarkEnd w:id="280"/>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6,646,030.06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2,140,245.45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2,255,647.82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减：未确认融资收益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552,306.12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123,462.23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213,793.72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434,101.80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259,423.51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4,511,042.52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-1,557,430.59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资产减值损失" w:id="281"/>
      <w:bookmarkEnd w:id="281"/>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10,281,876.31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4,537,277.83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10,281,876.31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4,537,277.83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公允价值变动收益" w:id="282"/>
      <w:bookmarkEnd w:id="282"/>
      <w:r>
        <w:rPr>
          <w:b w:val="0"/>
          <w:bCs w:val="0"/>
        </w:rPr>
      </w:r>
      <w:r>
        <w:rPr>
          <w:rFonts w:ascii="Times New Roman" w:hAnsi="Times New Roman" w:cs="Times New Roman" w:eastAsia="Times New Roman" w:hint="default"/>
        </w:rPr>
        <w:t>40</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-339,591.58</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-339,591.58</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投资收益" w:id="283"/>
      <w:bookmarkEnd w:id="283"/>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340,082.27</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340,082.27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2、营业外收入" w:id="284"/>
      <w:bookmarkEnd w:id="284"/>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10,505,327.01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8,289,137.21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10,505,327.01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106,426.23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229,298.44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106,426.23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10,611,988.24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8,531,945.65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10,611,988.24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2150"/>
        <w:gridCol w:w="2151"/>
        <w:gridCol w:w="2149"/>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9"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9"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19"/>
        <w:gridCol w:w="2150"/>
        <w:gridCol w:w="2151"/>
        <w:gridCol w:w="2149"/>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自主创新产业发展专项资金</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204,000.00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企业国内市场开拓项目资助</w:t>
            </w:r>
          </w:p>
        </w:tc>
        <w:tc>
          <w:tcPr>
            <w:tcW w:w="21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17,880.00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计算机软件著作权、专利资助</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24,520.00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7,005.00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合同能源管理财政奖励资金项目</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149,980.00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高新技术产业专项补助</w:t>
            </w:r>
          </w:p>
        </w:tc>
        <w:tc>
          <w:tcPr>
            <w:tcW w:w="21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301,000.00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增值税软件退税</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3,898,403.95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1,966,611.37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深圳市民营及中小企业发展专项资金</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92,560.00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19,570.00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财政奖励款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3,355,287.31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3,334,400.00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著名商标奖励</w:t>
            </w:r>
          </w:p>
        </w:tc>
        <w:tc>
          <w:tcPr>
            <w:tcW w:w="21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科学技术委员会扶持基金</w:t>
            </w:r>
          </w:p>
        </w:tc>
        <w:tc>
          <w:tcPr>
            <w:tcW w:w="21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税务局奖励款</w:t>
            </w:r>
          </w:p>
        </w:tc>
        <w:tc>
          <w:tcPr>
            <w:tcW w:w="21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583,685.40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杨浦区资金收付中心扶持资金</w:t>
            </w:r>
          </w:p>
        </w:tc>
        <w:tc>
          <w:tcPr>
            <w:tcW w:w="21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88,000.00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123,741.70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164,637.32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科技成果转换补助资金</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803,464.05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976,368.12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研发补助资金</w:t>
            </w:r>
          </w:p>
        </w:tc>
        <w:tc>
          <w:tcPr>
            <w:tcW w:w="21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仪器设施补贴资金</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2,300.00</w:t>
            </w:r>
          </w:p>
        </w:tc>
        <w:tc>
          <w:tcPr>
            <w:tcW w:w="2151" w:type="dxa"/>
            <w:tcBorders>
              <w:top w:val="single" w:sz="4" w:space="0" w:color="000000"/>
              <w:left w:val="single" w:sz="4" w:space="0" w:color="000000"/>
              <w:bottom w:val="single" w:sz="4" w:space="0" w:color="000000"/>
              <w:right w:val="single" w:sz="4" w:space="0" w:color="000000"/>
            </w:tcBorders>
          </w:tcPr>
          <w:p>
            <w:pP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减免税款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2151" w:type="dxa"/>
            <w:tcBorders>
              <w:top w:val="single" w:sz="4" w:space="0" w:color="000000"/>
              <w:left w:val="single" w:sz="4" w:space="0" w:color="000000"/>
              <w:bottom w:val="single" w:sz="4" w:space="0" w:color="000000"/>
              <w:right w:val="single" w:sz="4" w:space="0" w:color="000000"/>
            </w:tcBorders>
          </w:tcPr>
          <w:p>
            <w:pP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5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10,505,327.01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8,289,137.21</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75"/>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月收到深圳市国税局南山区分局增值税软件退税款</w:t>
      </w:r>
      <w:r>
        <w:rPr>
          <w:rFonts w:ascii="Times New Roman" w:hAnsi="Times New Roman" w:cs="Times New Roman" w:eastAsia="Times New Roman" w:hint="default"/>
          <w:sz w:val="18"/>
          <w:szCs w:val="18"/>
        </w:rPr>
        <w:t>70,594.54</w:t>
      </w:r>
      <w:r>
        <w:rPr>
          <w:rFonts w:ascii="宋体" w:hAnsi="宋体" w:cs="宋体" w:eastAsia="宋体" w:hint="default"/>
          <w:sz w:val="18"/>
          <w:szCs w:val="18"/>
        </w:rPr>
        <w:t>元。</w:t>
      </w:r>
    </w:p>
    <w:p>
      <w:pPr>
        <w:spacing w:line="338" w:lineRule="auto" w:before="101"/>
        <w:ind w:left="153" w:right="0" w:firstLine="4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月收到深圳市南山区财政委员会</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年南山区自主创新产业发展专项资金（经济促进局第二批）扶持资 金</w:t>
      </w:r>
      <w:r>
        <w:rPr>
          <w:rFonts w:ascii="Times New Roman" w:hAnsi="Times New Roman" w:cs="Times New Roman" w:eastAsia="Times New Roman" w:hint="default"/>
          <w:sz w:val="18"/>
          <w:szCs w:val="18"/>
        </w:rPr>
        <w:t>200,000.00</w:t>
      </w:r>
      <w:r>
        <w:rPr>
          <w:rFonts w:ascii="宋体" w:hAnsi="宋体" w:cs="宋体" w:eastAsia="宋体" w:hint="default"/>
          <w:sz w:val="18"/>
          <w:szCs w:val="18"/>
        </w:rPr>
        <w:t>元。</w:t>
      </w:r>
    </w:p>
    <w:p>
      <w:pPr>
        <w:spacing w:before="18"/>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月收到深圳市地方税务局返还</w:t>
      </w:r>
      <w:r>
        <w:rPr>
          <w:rFonts w:ascii="Times New Roman" w:hAnsi="Times New Roman" w:cs="Times New Roman" w:eastAsia="Times New Roman" w:hint="default"/>
          <w:sz w:val="18"/>
          <w:szCs w:val="18"/>
        </w:rPr>
        <w:t>2013</w:t>
      </w:r>
      <w:r>
        <w:rPr>
          <w:rFonts w:ascii="宋体" w:hAnsi="宋体" w:cs="宋体" w:eastAsia="宋体" w:hint="default"/>
          <w:sz w:val="18"/>
          <w:szCs w:val="18"/>
        </w:rPr>
        <w:t>年个税手续费</w:t>
      </w:r>
      <w:r>
        <w:rPr>
          <w:rFonts w:ascii="Times New Roman" w:hAnsi="Times New Roman" w:cs="Times New Roman" w:eastAsia="Times New Roman" w:hint="default"/>
          <w:sz w:val="18"/>
          <w:szCs w:val="18"/>
        </w:rPr>
        <w:t>106,379.82</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月收到深圳市市场监督管理局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年深圳市第一批专利申请资助款</w:t>
      </w:r>
      <w:r>
        <w:rPr>
          <w:rFonts w:ascii="Times New Roman" w:hAnsi="Times New Roman" w:cs="Times New Roman" w:eastAsia="Times New Roman" w:hint="default"/>
          <w:sz w:val="18"/>
          <w:szCs w:val="18"/>
        </w:rPr>
        <w:t>15,000.00</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月递延收益转入科技成果转化项目政府补助</w:t>
      </w:r>
      <w:r>
        <w:rPr>
          <w:rFonts w:ascii="Times New Roman" w:hAnsi="Times New Roman" w:cs="Times New Roman" w:eastAsia="Times New Roman" w:hint="default"/>
          <w:sz w:val="18"/>
          <w:szCs w:val="18"/>
        </w:rPr>
        <w:t>803,464.05</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月收到深圳市市场监督管理局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年第二批计算机软件著作权登记补贴款</w:t>
      </w:r>
      <w:r>
        <w:rPr>
          <w:rFonts w:ascii="Times New Roman" w:hAnsi="Times New Roman" w:cs="Times New Roman" w:eastAsia="Times New Roman" w:hint="default"/>
          <w:sz w:val="18"/>
          <w:szCs w:val="18"/>
        </w:rPr>
        <w:t>3,000.00</w:t>
      </w:r>
      <w:r>
        <w:rPr>
          <w:rFonts w:ascii="宋体" w:hAnsi="宋体" w:cs="宋体" w:eastAsia="宋体" w:hint="default"/>
          <w:sz w:val="18"/>
          <w:szCs w:val="18"/>
        </w:rPr>
        <w:t>元。</w:t>
      </w:r>
    </w:p>
    <w:p>
      <w:pPr>
        <w:spacing w:line="336" w:lineRule="auto" w:before="101"/>
        <w:ind w:left="153" w:right="0" w:firstLine="4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月递延收益转入科工贸和信息化委员会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大型公共建筑中央空调能耗监测与节能优化关键技术研究</w:t>
      </w:r>
      <w:r>
        <w:rPr>
          <w:rFonts w:ascii="Times New Roman" w:hAnsi="Times New Roman" w:cs="Times New Roman" w:eastAsia="Times New Roman" w:hint="default"/>
          <w:sz w:val="18"/>
          <w:szCs w:val="18"/>
        </w:rPr>
        <w:t>”</w:t>
      </w:r>
      <w:r>
        <w:rPr>
          <w:rFonts w:ascii="宋体" w:hAnsi="宋体" w:cs="宋体" w:eastAsia="宋体" w:hint="default"/>
          <w:sz w:val="18"/>
          <w:szCs w:val="18"/>
        </w:rPr>
        <w:t>专项</w:t>
      </w:r>
      <w:r>
        <w:rPr>
          <w:rFonts w:ascii="宋体" w:hAnsi="宋体" w:cs="宋体" w:eastAsia="宋体" w:hint="default"/>
          <w:spacing w:val="2"/>
          <w:sz w:val="18"/>
          <w:szCs w:val="18"/>
        </w:rPr>
        <w:t> </w:t>
      </w:r>
      <w:r>
        <w:rPr>
          <w:rFonts w:ascii="宋体" w:hAnsi="宋体" w:cs="宋体" w:eastAsia="宋体" w:hint="default"/>
          <w:sz w:val="18"/>
          <w:szCs w:val="18"/>
        </w:rPr>
        <w:t>补助资金</w:t>
      </w:r>
      <w:r>
        <w:rPr>
          <w:rFonts w:ascii="Times New Roman" w:hAnsi="Times New Roman" w:cs="Times New Roman" w:eastAsia="Times New Roman" w:hint="default"/>
          <w:sz w:val="18"/>
          <w:szCs w:val="18"/>
        </w:rPr>
        <w:t>2,000,000.00</w:t>
      </w:r>
      <w:r>
        <w:rPr>
          <w:rFonts w:ascii="宋体" w:hAnsi="宋体" w:cs="宋体" w:eastAsia="宋体" w:hint="default"/>
          <w:sz w:val="18"/>
          <w:szCs w:val="18"/>
        </w:rPr>
        <w:t>元。</w:t>
      </w:r>
    </w:p>
    <w:p>
      <w:pPr>
        <w:spacing w:before="2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月收到深圳市国税局南山区分局增值税软件退税款</w:t>
      </w:r>
      <w:r>
        <w:rPr>
          <w:rFonts w:ascii="Times New Roman" w:hAnsi="Times New Roman" w:cs="Times New Roman" w:eastAsia="Times New Roman" w:hint="default"/>
          <w:sz w:val="18"/>
          <w:szCs w:val="18"/>
        </w:rPr>
        <w:t>127,679.06</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月收到深圳市市场监督管理局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年深圳市第三批专利申请资助款</w:t>
      </w:r>
      <w:r>
        <w:rPr>
          <w:rFonts w:ascii="Times New Roman" w:hAnsi="Times New Roman" w:cs="Times New Roman" w:eastAsia="Times New Roman" w:hint="default"/>
          <w:sz w:val="18"/>
          <w:szCs w:val="18"/>
        </w:rPr>
        <w:t>5,000.00</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月收到深圳市科学技术协会关于公司成立企业科协款</w:t>
      </w:r>
      <w:r>
        <w:rPr>
          <w:rFonts w:ascii="Times New Roman" w:hAnsi="Times New Roman" w:cs="Times New Roman" w:eastAsia="Times New Roman" w:hint="default"/>
          <w:sz w:val="18"/>
          <w:szCs w:val="18"/>
        </w:rPr>
        <w:t>80,000.00</w:t>
      </w:r>
      <w:r>
        <w:rPr>
          <w:rFonts w:ascii="宋体" w:hAnsi="宋体" w:cs="宋体" w:eastAsia="宋体" w:hint="default"/>
          <w:sz w:val="18"/>
          <w:szCs w:val="18"/>
        </w:rPr>
        <w:t>元。</w:t>
      </w:r>
    </w:p>
    <w:p>
      <w:pPr>
        <w:spacing w:before="101"/>
        <w:ind w:left="57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月收到深圳市南山区财政局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年自主创新产业发展专项资金（科技部分）第四批拟资助款</w:t>
      </w:r>
      <w:r>
        <w:rPr>
          <w:rFonts w:ascii="Times New Roman" w:hAnsi="Times New Roman" w:cs="Times New Roman" w:eastAsia="Times New Roman" w:hint="default"/>
          <w:sz w:val="18"/>
          <w:szCs w:val="18"/>
        </w:rPr>
        <w:t>4,000.00</w:t>
      </w:r>
    </w:p>
    <w:p>
      <w:pPr>
        <w:spacing w:before="100"/>
        <w:ind w:left="153" w:right="0" w:firstLine="0"/>
        <w:jc w:val="left"/>
        <w:rPr>
          <w:rFonts w:ascii="宋体" w:hAnsi="宋体" w:cs="宋体" w:eastAsia="宋体" w:hint="default"/>
          <w:sz w:val="18"/>
          <w:szCs w:val="18"/>
        </w:rPr>
      </w:pPr>
      <w:r>
        <w:rPr>
          <w:rFonts w:ascii="宋体" w:hAnsi="宋体" w:cs="宋体" w:eastAsia="宋体" w:hint="default"/>
          <w:sz w:val="18"/>
          <w:szCs w:val="18"/>
        </w:rPr>
        <w:t>元。</w:t>
      </w:r>
    </w:p>
    <w:p>
      <w:pPr>
        <w:spacing w:before="115"/>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月收到上海市青浦区财政局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年财政奖励款</w:t>
      </w:r>
      <w:r>
        <w:rPr>
          <w:rFonts w:ascii="Times New Roman" w:hAnsi="Times New Roman" w:cs="Times New Roman" w:eastAsia="Times New Roman" w:hint="default"/>
          <w:sz w:val="18"/>
          <w:szCs w:val="18"/>
        </w:rPr>
        <w:t>3,064,100.00</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月收到上海市国库收付中心零余额专户专利资助费</w:t>
      </w:r>
      <w:r>
        <w:rPr>
          <w:rFonts w:ascii="Times New Roman" w:hAnsi="Times New Roman" w:cs="Times New Roman" w:eastAsia="Times New Roman" w:hint="default"/>
          <w:sz w:val="18"/>
          <w:szCs w:val="18"/>
        </w:rPr>
        <w:t>760.00</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月收到上海市青浦区国家税务局返还个税手续费</w:t>
      </w:r>
      <w:r>
        <w:rPr>
          <w:rFonts w:ascii="Times New Roman" w:hAnsi="Times New Roman" w:cs="Times New Roman" w:eastAsia="Times New Roman" w:hint="default"/>
          <w:sz w:val="18"/>
          <w:szCs w:val="18"/>
        </w:rPr>
        <w:t>19,187.31</w:t>
      </w:r>
      <w:r>
        <w:rPr>
          <w:rFonts w:ascii="宋体" w:hAnsi="宋体" w:cs="宋体" w:eastAsia="宋体" w:hint="default"/>
          <w:sz w:val="18"/>
          <w:szCs w:val="18"/>
        </w:rPr>
        <w:t>元。</w:t>
      </w:r>
    </w:p>
    <w:p>
      <w:pPr>
        <w:spacing w:before="101"/>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月收到上海市科学技术委员会奖励费</w:t>
      </w:r>
      <w:r>
        <w:rPr>
          <w:rFonts w:ascii="Times New Roman" w:hAnsi="Times New Roman" w:cs="Times New Roman" w:eastAsia="Times New Roman" w:hint="default"/>
          <w:sz w:val="18"/>
          <w:szCs w:val="18"/>
        </w:rPr>
        <w:t>7,000.00</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2"/>
          <w:szCs w:val="22"/>
        </w:rPr>
      </w:pPr>
    </w:p>
    <w:p>
      <w:pPr>
        <w:spacing w:before="44"/>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月收到上海市青浦区财政局专利资助款</w:t>
      </w:r>
      <w:r>
        <w:rPr>
          <w:rFonts w:ascii="Times New Roman" w:hAnsi="Times New Roman" w:cs="Times New Roman" w:eastAsia="Times New Roman" w:hint="default"/>
          <w:sz w:val="18"/>
          <w:szCs w:val="18"/>
        </w:rPr>
        <w:t>760.00</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月收到上海市青浦区财政局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年度大型科学仪器设施补贴资金</w:t>
      </w:r>
      <w:r>
        <w:rPr>
          <w:rFonts w:ascii="Times New Roman" w:hAnsi="Times New Roman" w:cs="Times New Roman" w:eastAsia="Times New Roman" w:hint="default"/>
          <w:sz w:val="18"/>
          <w:szCs w:val="18"/>
        </w:rPr>
        <w:t>2,300.00</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月收到上海市金山区财政局财政扶持款</w:t>
      </w:r>
      <w:r>
        <w:rPr>
          <w:rFonts w:ascii="Times New Roman" w:hAnsi="Times New Roman" w:cs="Times New Roman" w:eastAsia="Times New Roman" w:hint="default"/>
          <w:sz w:val="18"/>
          <w:szCs w:val="18"/>
        </w:rPr>
        <w:t>108,000.00</w:t>
      </w:r>
      <w:r>
        <w:rPr>
          <w:rFonts w:ascii="宋体" w:hAnsi="宋体" w:cs="宋体" w:eastAsia="宋体" w:hint="default"/>
          <w:sz w:val="18"/>
          <w:szCs w:val="18"/>
        </w:rPr>
        <w:t>元。</w:t>
      </w:r>
    </w:p>
    <w:p>
      <w:pPr>
        <w:spacing w:before="100"/>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月收到上海市地方税务局金山分局返还个税手续费</w:t>
      </w:r>
      <w:r>
        <w:rPr>
          <w:rFonts w:ascii="Times New Roman" w:hAnsi="Times New Roman" w:cs="Times New Roman" w:eastAsia="Times New Roman" w:hint="default"/>
          <w:sz w:val="18"/>
          <w:szCs w:val="18"/>
        </w:rPr>
        <w:t>448.39</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月收到上海市金山区财政局扶持资金</w:t>
      </w:r>
      <w:r>
        <w:rPr>
          <w:rFonts w:ascii="Times New Roman" w:hAnsi="Times New Roman" w:cs="Times New Roman" w:eastAsia="Times New Roman" w:hint="default"/>
          <w:sz w:val="18"/>
          <w:szCs w:val="18"/>
        </w:rPr>
        <w:t>157,000.00</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月收到上海市地方税务局返还个税手续费</w:t>
      </w:r>
      <w:r>
        <w:rPr>
          <w:rFonts w:ascii="Times New Roman" w:hAnsi="Times New Roman" w:cs="Times New Roman" w:eastAsia="Times New Roman" w:hint="default"/>
          <w:sz w:val="18"/>
          <w:szCs w:val="18"/>
        </w:rPr>
        <w:t>1,428.25</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月收到深圳市国税局南山区分局增值税软件退税款</w:t>
      </w:r>
      <w:r>
        <w:rPr>
          <w:rFonts w:ascii="Times New Roman" w:hAnsi="Times New Roman" w:cs="Times New Roman" w:eastAsia="Times New Roman" w:hint="default"/>
          <w:sz w:val="18"/>
          <w:szCs w:val="18"/>
        </w:rPr>
        <w:t>3,700,130.35</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月收到深圳市民营及中小企业发展专项补贴</w:t>
      </w:r>
      <w:r>
        <w:rPr>
          <w:rFonts w:ascii="Times New Roman" w:hAnsi="Times New Roman" w:cs="Times New Roman" w:eastAsia="Times New Roman" w:hint="default"/>
          <w:sz w:val="18"/>
          <w:szCs w:val="18"/>
        </w:rPr>
        <w:t>12,560.00</w:t>
      </w:r>
      <w:r>
        <w:rPr>
          <w:rFonts w:ascii="宋体" w:hAnsi="宋体" w:cs="宋体" w:eastAsia="宋体" w:hint="default"/>
          <w:sz w:val="18"/>
          <w:szCs w:val="18"/>
        </w:rPr>
        <w:t>元。</w:t>
      </w:r>
    </w:p>
    <w:p>
      <w:pPr>
        <w:spacing w:before="100"/>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月收到深圳市地方税务局返还个税手续费</w:t>
      </w:r>
      <w:r>
        <w:rPr>
          <w:rFonts w:ascii="Times New Roman" w:hAnsi="Times New Roman" w:cs="Times New Roman" w:eastAsia="Times New Roman" w:hint="default"/>
          <w:sz w:val="18"/>
          <w:szCs w:val="18"/>
        </w:rPr>
        <w:t>14,380.92</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月防伪税控系统维护费减免款</w:t>
      </w:r>
      <w:r>
        <w:rPr>
          <w:rFonts w:ascii="Times New Roman" w:hAnsi="Times New Roman" w:cs="Times New Roman" w:eastAsia="Times New Roman" w:hint="default"/>
          <w:sz w:val="18"/>
          <w:szCs w:val="18"/>
        </w:rPr>
        <w:t>1,050.00</w:t>
      </w:r>
      <w:r>
        <w:rPr>
          <w:rFonts w:ascii="宋体" w:hAnsi="宋体" w:cs="宋体" w:eastAsia="宋体" w:hint="default"/>
          <w:sz w:val="18"/>
          <w:szCs w:val="18"/>
        </w:rPr>
        <w:t>元。</w:t>
      </w:r>
    </w:p>
    <w:p>
      <w:pPr>
        <w:spacing w:before="101"/>
        <w:ind w:left="5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月收到上海市闸北税务返还个税手续费</w:t>
      </w:r>
      <w:r>
        <w:rPr>
          <w:rFonts w:ascii="Times New Roman" w:hAnsi="Times New Roman" w:cs="Times New Roman" w:eastAsia="Times New Roman" w:hint="default"/>
          <w:sz w:val="18"/>
          <w:szCs w:val="18"/>
        </w:rPr>
        <w:t>1,104.32</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3"/>
        <w:spacing w:line="240" w:lineRule="auto"/>
        <w:ind w:left="153" w:right="0"/>
        <w:jc w:val="left"/>
        <w:rPr>
          <w:b w:val="0"/>
          <w:bCs w:val="0"/>
        </w:rPr>
      </w:pPr>
      <w:bookmarkStart w:name="43、营业外支出" w:id="285"/>
      <w:bookmarkEnd w:id="285"/>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107,676.18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107,676.18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107,676.18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107,676.18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312,171.23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312,171.23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16,780.70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16,780.70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446,628.11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109,241.81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446,628.11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所得税费用" w:id="286"/>
      <w:bookmarkEnd w:id="286"/>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87"/>
      <w:bookmarkEnd w:id="28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29,203,955.67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19,861,704.39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-1,844,841.77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-236,091.94</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27,359,113.90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19,625,612.45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88"/>
      <w:bookmarkEnd w:id="28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175,098,887.45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26,264,833.12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333,302.15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226,149.54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534,829.09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27,359,113.90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现金流量表项目" w:id="289"/>
      <w:bookmarkEnd w:id="289"/>
      <w:r>
        <w:rPr>
          <w:b w:val="0"/>
          <w:bCs w:val="0"/>
        </w:rPr>
      </w:r>
      <w:r>
        <w:rPr>
          <w:rFonts w:ascii="Times New Roman" w:hAnsi="Times New Roman" w:cs="Times New Roman" w:eastAsia="Times New Roman" w:hint="default"/>
        </w:rPr>
        <w:t>45</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90"/>
      <w:bookmarkEnd w:id="29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2,024,785.49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2,235,264.50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除税收返还外的其他补贴收入等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10,453,960.07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5,482,267.06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施工、投标等保证金收支净额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4,013,400.55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9,168,540.19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保函及票据保证金收支净额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2,532,802.28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4,389,680.39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19,024,948.39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21,275,752.14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91"/>
      <w:bookmarkEnd w:id="29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销售、管理费用等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46,816,553.01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51,418,050.83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施工、投标、保函等保证金收支净额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32,778,272.12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14,369,828.26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保函及票据保证金收支净额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2,627,630.38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82,222,455.51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65,787,879.09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292"/>
      <w:bookmarkEnd w:id="29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293"/>
      <w:bookmarkEnd w:id="29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收购中介费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保本型银行理财款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294"/>
      <w:bookmarkEnd w:id="29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295"/>
      <w:bookmarkEnd w:id="29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42,452.83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非公开发行股票发行费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1,505,268.23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公司拆借款本息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50,442,361.11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52,070,082.17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6、现金流量表补充资料" w:id="296"/>
      <w:bookmarkEnd w:id="296"/>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297"/>
      <w:bookmarkEnd w:id="29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6"/>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147,739,773.55</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107,193,188.29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10,281,876.31</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4,537,277.83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27,627,297.47</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25,586,252.21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668,327.88</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548,139.05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3,782,774.73</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3,796,321.13</w:t>
            </w: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25,227.50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-9,940.91</w:t>
            </w:r>
            <w:r>
              <w:rPr>
                <w:rFonts w:ascii="Times New Roman"/>
                <w:sz w:val="18"/>
              </w:rPr>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82,213.68</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6,568,530.06</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152,000.00</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-340,082.27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6"/>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-1,844,841.77</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-236,091.94</w:t>
            </w:r>
            <w:r>
              <w:rPr>
                <w:rFonts w:ascii="Times New Roman"/>
                <w:sz w:val="18"/>
              </w:rPr>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-50,938.74</w:t>
            </w:r>
            <w:r>
              <w:rPr>
                <w:rFonts w:ascii="Times New Roman"/>
                <w:sz w:val="18"/>
              </w:rPr>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-66,706,906.60</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-75,895,543.89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-315,965,290.85</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-164,735,340.11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301,045,874.63</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98,536,459.77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802,914.99</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5,439,622.74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114,107,771.58</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4,520,823.16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39" w:right="0"/>
              <w:jc w:val="left"/>
              <w:rPr>
                <w:rFonts w:ascii="Times New Roman" w:hAnsi="Times New Roman" w:cs="Times New Roman" w:eastAsia="Times New Roman" w:hint="default"/>
                <w:sz w:val="18"/>
                <w:szCs w:val="18"/>
              </w:rPr>
            </w:pPr>
            <w:r>
              <w:rPr>
                <w:rFonts w:ascii="Times New Roman"/>
                <w:sz w:val="18"/>
              </w:rPr>
              <w:t>--</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39" w:right="0"/>
              <w:jc w:val="left"/>
              <w:rPr>
                <w:rFonts w:ascii="Times New Roman" w:hAnsi="Times New Roman" w:cs="Times New Roman" w:eastAsia="Times New Roman" w:hint="default"/>
                <w:sz w:val="18"/>
                <w:szCs w:val="18"/>
              </w:rPr>
            </w:pPr>
            <w:r>
              <w:rPr>
                <w:rFonts w:ascii="Times New Roman"/>
                <w:sz w:val="18"/>
              </w:rPr>
              <w:t>--</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462,532,191.09</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218,831,010.64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218,831,010.64</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221,681,366.30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243,701,180.45</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-2,850,355.66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298"/>
      <w:bookmarkEnd w:id="29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6,958,632.53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6,958,632.53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10,141,367.47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299"/>
      <w:bookmarkEnd w:id="299"/>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462,532,191.09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218,831,010.64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351,889.47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149,346.63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462,180,301.62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218,598,814.01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82,850.00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462,532,191.09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218,831,010.64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7、所有权或使用权受到限制的资产" w:id="300"/>
      <w:bookmarkEnd w:id="300"/>
      <w:r>
        <w:rPr>
          <w:b w:val="0"/>
          <w:bCs w:val="0"/>
        </w:rPr>
      </w:r>
      <w:r>
        <w:rPr>
          <w:rFonts w:ascii="Times New Roman" w:hAnsi="Times New Roman" w:cs="Times New Roman" w:eastAsia="Times New Roman" w:hint="default"/>
        </w:rPr>
        <w:t>47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7,886,947.66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保函保证金、票据保证金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7,886,947.66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8、外币货币性项目" w:id="301"/>
      <w:bookmarkEnd w:id="301"/>
      <w:r>
        <w:rPr>
          <w:b w:val="0"/>
          <w:bCs w:val="0"/>
        </w:rPr>
      </w:r>
      <w:r>
        <w:rPr>
          <w:rFonts w:ascii="Times New Roman" w:hAnsi="Times New Roman" w:cs="Times New Roman" w:eastAsia="Times New Roman" w:hint="default"/>
        </w:rPr>
        <w:t>48</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02"/>
      <w:bookmarkEnd w:id="30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25,309,274.40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4,130,077.65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25,271,945.14</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47,318.11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37,329.26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八、合并范围的变更" w:id="303"/>
      <w:bookmarkEnd w:id="303"/>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304"/>
      <w:bookmarkEnd w:id="30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305"/>
      <w:bookmarkEnd w:id="30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190"/>
        <w:gridCol w:w="855"/>
        <w:gridCol w:w="811"/>
        <w:gridCol w:w="1399"/>
        <w:gridCol w:w="1062"/>
        <w:gridCol w:w="1122"/>
        <w:gridCol w:w="100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1" w:right="63"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2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5" w:right="10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 w:right="4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上海腾隆变 配电设备管 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17,100,000.00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100.00%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同时符合准 则规定的条 件</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23,500,424.31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-42,331.38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及商誉" w:id="306"/>
      <w:bookmarkEnd w:id="30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6427"/>
        <w:gridCol w:w="3214"/>
      </w:tblGrid>
      <w:tr>
        <w:trPr>
          <w:trHeight w:val="347" w:hRule="exact"/>
        </w:trPr>
        <w:tc>
          <w:tcPr>
            <w:tcW w:w="64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2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48" w:right="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上海腾隆变配电设备管理有限公司</w:t>
            </w: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17,100,000.00</w:t>
            </w: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21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321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21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321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321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427"/>
        <w:gridCol w:w="3214"/>
      </w:tblGrid>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1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17,100,000.00</w:t>
            </w:r>
          </w:p>
        </w:tc>
      </w:tr>
      <w:tr>
        <w:trPr>
          <w:trHeight w:val="347"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11,197,751.27</w:t>
            </w:r>
          </w:p>
        </w:tc>
      </w:tr>
      <w:tr>
        <w:trPr>
          <w:trHeight w:val="348" w:hRule="exact"/>
        </w:trPr>
        <w:tc>
          <w:tcPr>
            <w:tcW w:w="6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5,902,248.73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被购买方于购买日可辨认资产、负债" w:id="307"/>
      <w:bookmarkEnd w:id="30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214"/>
        <w:gridCol w:w="3213"/>
        <w:gridCol w:w="3214"/>
      </w:tblGrid>
      <w:tr>
        <w:trPr>
          <w:trHeight w:val="341" w:hRule="exact"/>
        </w:trPr>
        <w:tc>
          <w:tcPr>
            <w:tcW w:w="3214" w:type="dxa"/>
            <w:vMerge w:val="restart"/>
            <w:tcBorders>
              <w:top w:val="single" w:sz="6" w:space="0" w:color="000000"/>
              <w:left w:val="single" w:sz="6" w:space="0" w:color="000000"/>
              <w:right w:val="single" w:sz="6" w:space="0" w:color="000000"/>
            </w:tcBorders>
            <w:shd w:val="clear" w:color="auto" w:fill="D9D9D9"/>
          </w:tcPr>
          <w:p>
            <w:pPr/>
          </w:p>
        </w:tc>
        <w:tc>
          <w:tcPr>
            <w:tcW w:w="642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855" w:right="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上海腾隆变配电设备管理有限公司</w:t>
            </w:r>
          </w:p>
        </w:tc>
      </w:tr>
      <w:tr>
        <w:trPr>
          <w:trHeight w:val="347" w:hRule="exact"/>
        </w:trPr>
        <w:tc>
          <w:tcPr>
            <w:tcW w:w="3214" w:type="dxa"/>
            <w:vMerge/>
            <w:tcBorders>
              <w:left w:val="single" w:sz="6" w:space="0" w:color="000000"/>
              <w:bottom w:val="single" w:sz="6" w:space="0" w:color="000000"/>
              <w:right w:val="single" w:sz="6" w:space="0" w:color="000000"/>
            </w:tcBorders>
            <w:shd w:val="clear" w:color="auto" w:fill="D9D9D9"/>
          </w:tcPr>
          <w:p>
            <w:pPr/>
          </w:p>
        </w:tc>
        <w:tc>
          <w:tcPr>
            <w:tcW w:w="32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6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2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6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14,079,588.07</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14,079,588.07</w:t>
            </w:r>
          </w:p>
        </w:tc>
      </w:tr>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13,664,327.64</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13,664,327.64</w:t>
            </w:r>
          </w:p>
        </w:tc>
      </w:tr>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415,260.43</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415,260.43</w:t>
            </w:r>
          </w:p>
        </w:tc>
      </w:tr>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2,881,836.80</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2,881,836.80</w:t>
            </w:r>
          </w:p>
        </w:tc>
      </w:tr>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2,881,836.80</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2,881,836.80</w:t>
            </w:r>
          </w:p>
        </w:tc>
      </w:tr>
      <w:tr>
        <w:trPr>
          <w:trHeight w:val="34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11,197,751.27</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11,197,751.27</w:t>
            </w:r>
          </w:p>
        </w:tc>
      </w:tr>
      <w:tr>
        <w:trPr>
          <w:trHeight w:val="34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r>
      <w:tr>
        <w:trPr>
          <w:trHeight w:val="34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11,197,751.27</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11,197,751.27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其他原因的合并范围变动" w:id="308"/>
      <w:bookmarkEnd w:id="308"/>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70"/>
        <w:ind w:right="-20"/>
        <w:jc w:val="left"/>
      </w:pPr>
      <w:r>
        <w:rPr/>
        <w:t>本报告期公司新设立</w:t>
      </w:r>
      <w:r>
        <w:rPr>
          <w:rFonts w:ascii="宋体" w:hAnsi="宋体" w:cs="宋体" w:eastAsia="宋体" w:hint="default"/>
        </w:rPr>
        <w:t>2</w:t>
      </w:r>
      <w:r>
        <w:rPr/>
        <w:t>家全资子公司纳入合并范围</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t>单位：元</w:t>
      </w:r>
    </w:p>
    <w:p>
      <w:pPr>
        <w:spacing w:after="0" w:line="240" w:lineRule="auto"/>
        <w:jc w:val="left"/>
        <w:sectPr>
          <w:type w:val="continuous"/>
          <w:pgSz w:w="11910" w:h="16840"/>
          <w:pgMar w:top="1580" w:bottom="760" w:left="980" w:right="0"/>
          <w:cols w:num="2" w:equalWidth="0">
            <w:col w:w="6995" w:space="1805"/>
            <w:col w:w="2130"/>
          </w:cols>
        </w:sectPr>
      </w:pPr>
    </w:p>
    <w:p>
      <w:pPr>
        <w:spacing w:line="240" w:lineRule="auto" w:before="11"/>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694"/>
        <w:gridCol w:w="3261"/>
        <w:gridCol w:w="1559"/>
        <w:gridCol w:w="2126"/>
      </w:tblGrid>
      <w:tr>
        <w:trPr>
          <w:trHeight w:val="347"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812" w:right="0"/>
              <w:jc w:val="left"/>
              <w:rPr>
                <w:rFonts w:ascii="宋体" w:hAnsi="宋体" w:cs="宋体" w:eastAsia="宋体" w:hint="default"/>
                <w:sz w:val="18"/>
                <w:szCs w:val="18"/>
              </w:rPr>
            </w:pPr>
            <w:r>
              <w:rPr>
                <w:rFonts w:ascii="宋体" w:hAnsi="宋体" w:cs="宋体" w:eastAsia="宋体" w:hint="default"/>
                <w:sz w:val="18"/>
                <w:szCs w:val="18"/>
              </w:rPr>
              <w:t>纳入合并范围的原因</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54" w:right="0"/>
              <w:jc w:val="left"/>
              <w:rPr>
                <w:rFonts w:ascii="宋体" w:hAnsi="宋体" w:cs="宋体" w:eastAsia="宋体" w:hint="default"/>
                <w:sz w:val="18"/>
                <w:szCs w:val="18"/>
              </w:rPr>
            </w:pPr>
            <w:r>
              <w:rPr>
                <w:rFonts w:ascii="宋体" w:hAnsi="宋体" w:cs="宋体" w:eastAsia="宋体" w:hint="default"/>
                <w:sz w:val="18"/>
                <w:szCs w:val="18"/>
              </w:rPr>
              <w:t>纳入合并范围内净利润</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珠海达实科技发展有限公司</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pacing w:val="3"/>
                <w:sz w:val="18"/>
                <w:szCs w:val="18"/>
              </w:rPr>
              <w:t>本公司持有该公司</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股权，能对该</w:t>
            </w:r>
            <w:r>
              <w:rPr>
                <w:rFonts w:ascii="宋体" w:hAnsi="宋体" w:cs="宋体" w:eastAsia="宋体" w:hint="default"/>
                <w:sz w:val="18"/>
                <w:szCs w:val="18"/>
              </w:rPr>
              <w:t> 公司实施控制。</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3,087,052.67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-12,947.33</w:t>
            </w:r>
            <w:r>
              <w:rPr>
                <w:rFonts w:ascii="Times New Roman"/>
                <w:sz w:val="18"/>
              </w:rPr>
            </w:r>
          </w:p>
        </w:tc>
      </w:tr>
      <w:tr>
        <w:trPr>
          <w:trHeight w:val="660"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遵义达实绿色智慧发展有限公司</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pacing w:val="3"/>
                <w:sz w:val="18"/>
                <w:szCs w:val="18"/>
              </w:rPr>
              <w:t>本公司持有该公司</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股权，能对该</w:t>
            </w:r>
            <w:r>
              <w:rPr>
                <w:rFonts w:ascii="宋体" w:hAnsi="宋体" w:cs="宋体" w:eastAsia="宋体" w:hint="default"/>
                <w:sz w:val="18"/>
                <w:szCs w:val="18"/>
              </w:rPr>
              <w:t> 公司实施控制。</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9,219,047.59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-780,952.41</w:t>
            </w:r>
            <w:r>
              <w:rPr>
                <w:rFonts w:ascii="Times New Roman"/>
                <w:sz w:val="18"/>
              </w:rPr>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九、在其他主体中的权益" w:id="309"/>
      <w:bookmarkEnd w:id="309"/>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310"/>
      <w:bookmarkEnd w:id="31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pict>
          <v:group style="position:absolute;margin-left:383.019989pt;margin-top:79.273674pt;width:42.05pt;height:28pt;mso-position-horizontal-relative:page;mso-position-vertical-relative:paragraph;z-index:-807568" coordorigin="7660,1585" coordsize="841,560">
            <v:group style="position:absolute;left:7672;top:1597;width:2;height:393" coordorigin="7672,1597" coordsize="2,393">
              <v:shape style="position:absolute;left:7672;top:1597;width:2;height:393" coordorigin="7672,1597" coordsize="0,393" path="m7672,1597l7672,1989e" filled="false" stroked="true" strokeweight="1.140pt" strokecolor="#ffffff">
                <v:path arrowok="t"/>
              </v:shape>
            </v:group>
            <v:group style="position:absolute;left:7660;top:1989;width:841;height:156" coordorigin="7660,1989" coordsize="841,156">
              <v:shape style="position:absolute;left:7660;top:1989;width:841;height:156" coordorigin="7660,1989" coordsize="841,156" path="m7660,2145l8501,2145,8501,1989,7660,1989,7660,2145xe" filled="true" fillcolor="#ffffff" stroked="false">
                <v:path arrowok="t"/>
                <v:fill type="solid"/>
              </v:shape>
            </v:group>
            <v:group style="position:absolute;left:7683;top:1597;width:795;height:393" coordorigin="7683,1597" coordsize="795,393">
              <v:shape style="position:absolute;left:7683;top:1597;width:795;height:393" coordorigin="7683,1597" coordsize="795,393" path="m7683,1989l8478,1989,8478,1597,7683,1597,7683,1989xe" filled="true" fillcolor="#ffffff" stroked="false">
                <v:path arrowok="t"/>
                <v:fill type="solid"/>
              </v:shape>
            </v:group>
            <w10:wrap type="none"/>
          </v:group>
        </w:pict>
      </w:r>
      <w:bookmarkStart w:name="（1）企业集团的构成" w:id="311"/>
      <w:bookmarkEnd w:id="31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966"/>
        <w:gridCol w:w="827"/>
        <w:gridCol w:w="3357"/>
        <w:gridCol w:w="165"/>
        <w:gridCol w:w="686"/>
        <w:gridCol w:w="834"/>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6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966" w:type="dxa"/>
            <w:vMerge/>
            <w:tcBorders>
              <w:left w:val="single" w:sz="4" w:space="0" w:color="000000"/>
              <w:bottom w:val="single" w:sz="4" w:space="0" w:color="000000"/>
              <w:right w:val="single" w:sz="4" w:space="0" w:color="000000"/>
            </w:tcBorders>
            <w:shd w:val="clear" w:color="auto" w:fill="D2D2D2"/>
          </w:tcPr>
          <w:p>
            <w:pPr/>
          </w:p>
        </w:tc>
        <w:tc>
          <w:tcPr>
            <w:tcW w:w="827" w:type="dxa"/>
            <w:vMerge/>
            <w:tcBorders>
              <w:left w:val="single" w:sz="4" w:space="0" w:color="000000"/>
              <w:bottom w:val="single" w:sz="4" w:space="0" w:color="000000"/>
              <w:right w:val="single" w:sz="4" w:space="0" w:color="000000"/>
            </w:tcBorders>
            <w:shd w:val="clear" w:color="auto" w:fill="D2D2D2"/>
          </w:tcPr>
          <w:p>
            <w:pPr/>
          </w:p>
        </w:tc>
        <w:tc>
          <w:tcPr>
            <w:tcW w:w="3357" w:type="dxa"/>
            <w:vMerge/>
            <w:tcBorders>
              <w:left w:val="single" w:sz="4" w:space="0" w:color="000000"/>
              <w:bottom w:val="single" w:sz="4" w:space="0" w:color="000000"/>
              <w:right w:val="single" w:sz="4" w:space="0" w:color="000000"/>
            </w:tcBorders>
            <w:shd w:val="clear" w:color="auto" w:fill="D2D2D2"/>
          </w:tcPr>
          <w:p>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上海达实自动化 工程有限公司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楼宇自动化、工业自动化、办公自动化系 </w:t>
            </w:r>
            <w:r>
              <w:rPr>
                <w:rFonts w:ascii="宋体" w:hAnsi="宋体" w:cs="宋体" w:eastAsia="宋体" w:hint="default"/>
                <w:spacing w:val="-2"/>
                <w:sz w:val="18"/>
                <w:szCs w:val="18"/>
              </w:rPr>
              <w:t>统的设计、开发、安装、调试及维修服务</w:t>
            </w:r>
          </w:p>
        </w:tc>
        <w:tc>
          <w:tcPr>
            <w:tcW w:w="16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90.00%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bl>
    <w:p>
      <w:pPr>
        <w:spacing w:after="0" w:line="319" w:lineRule="auto"/>
        <w:jc w:val="left"/>
        <w:rPr>
          <w:rFonts w:ascii="宋体" w:hAnsi="宋体" w:cs="宋体" w:eastAsia="宋体" w:hint="default"/>
          <w:sz w:val="18"/>
          <w:szCs w:val="18"/>
        </w:rPr>
        <w:sectPr>
          <w:type w:val="continuous"/>
          <w:pgSz w:w="11910" w:h="16840"/>
          <w:pgMar w:top="1580" w:bottom="760" w:left="980" w:right="0"/>
        </w:sectPr>
      </w:pPr>
    </w:p>
    <w:p>
      <w:pPr>
        <w:spacing w:line="240" w:lineRule="auto" w:before="6"/>
        <w:rPr>
          <w:rFonts w:ascii="宋体" w:hAnsi="宋体" w:cs="宋体" w:eastAsia="宋体" w:hint="default"/>
          <w:b/>
          <w:bCs/>
          <w:sz w:val="28"/>
          <w:szCs w:val="28"/>
        </w:rPr>
      </w:pPr>
      <w:r>
        <w:rPr/>
        <w:pict>
          <v:group style="position:absolute;margin-left:384.160004pt;margin-top:80.279984pt;width:39.75pt;height:19.650pt;mso-position-horizontal-relative:page;mso-position-vertical-relative:page;z-index:-807544" coordorigin="7683,1606" coordsize="795,393">
            <v:shape style="position:absolute;left:7683;top:1606;width:795;height:393" coordorigin="7683,1606" coordsize="795,393" path="m7683,1998l8478,1998,8478,1606,7683,1606,7683,199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966"/>
        <w:gridCol w:w="827"/>
        <w:gridCol w:w="3357"/>
        <w:gridCol w:w="120"/>
        <w:gridCol w:w="731"/>
        <w:gridCol w:w="834"/>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深圳达实信息技 术有限公司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96"/>
              <w:jc w:val="right"/>
              <w:rPr>
                <w:rFonts w:ascii="宋体" w:hAnsi="宋体" w:cs="宋体" w:eastAsia="宋体" w:hint="default"/>
                <w:sz w:val="18"/>
                <w:szCs w:val="18"/>
              </w:rPr>
            </w:pPr>
            <w:r>
              <w:rPr>
                <w:rFonts w:ascii="宋体" w:hAnsi="宋体" w:cs="宋体" w:eastAsia="宋体" w:hint="default"/>
                <w:sz w:val="18"/>
                <w:szCs w:val="18"/>
              </w:rPr>
              <w:t>深圳</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335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安防行业，智能一卡通和计算机系统集成</w:t>
            </w:r>
          </w:p>
        </w:tc>
        <w:tc>
          <w:tcPr>
            <w:tcW w:w="12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北京达实德润能 源科技有限公司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96"/>
              <w:jc w:val="right"/>
              <w:rPr>
                <w:rFonts w:ascii="宋体" w:hAnsi="宋体" w:cs="宋体" w:eastAsia="宋体" w:hint="default"/>
                <w:sz w:val="18"/>
                <w:szCs w:val="18"/>
              </w:rPr>
            </w:pPr>
            <w:r>
              <w:rPr>
                <w:rFonts w:ascii="宋体" w:hAnsi="宋体" w:cs="宋体" w:eastAsia="宋体" w:hint="default"/>
                <w:sz w:val="18"/>
                <w:szCs w:val="18"/>
              </w:rPr>
              <w:t>北京</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技术咨询服务；计算机系统服务及维修， 销售计算机、电子、机械产品。</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45.00%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96"/>
              <w:jc w:val="right"/>
              <w:rPr>
                <w:rFonts w:ascii="宋体" w:hAnsi="宋体" w:cs="宋体" w:eastAsia="宋体" w:hint="default"/>
                <w:sz w:val="18"/>
                <w:szCs w:val="18"/>
              </w:rPr>
            </w:pPr>
            <w:r>
              <w:rPr>
                <w:rFonts w:ascii="宋体" w:hAnsi="宋体" w:cs="宋体" w:eastAsia="宋体" w:hint="default"/>
                <w:sz w:val="18"/>
                <w:szCs w:val="18"/>
              </w:rPr>
              <w:t>上海</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建筑智能化，安防行业，电气及设备集成 系统，技术咨询服务，销售五金电缆防水 装潢材料。</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51.00%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深圳达实融资租 赁有限公司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96"/>
              <w:jc w:val="right"/>
              <w:rPr>
                <w:rFonts w:ascii="宋体" w:hAnsi="宋体" w:cs="宋体" w:eastAsia="宋体" w:hint="default"/>
                <w:sz w:val="18"/>
                <w:szCs w:val="18"/>
              </w:rPr>
            </w:pPr>
            <w:r>
              <w:rPr>
                <w:rFonts w:ascii="宋体" w:hAnsi="宋体" w:cs="宋体" w:eastAsia="宋体" w:hint="default"/>
                <w:sz w:val="18"/>
                <w:szCs w:val="18"/>
              </w:rPr>
              <w:t>深圳</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融资租赁业务；租赁业务；向国内外购买 租赁资产；租赁资产的残值处理及维修； 租赁交易咨询和担保。</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75.00%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珠海达实科技发 展有限公司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96"/>
              <w:jc w:val="right"/>
              <w:rPr>
                <w:rFonts w:ascii="宋体" w:hAnsi="宋体" w:cs="宋体" w:eastAsia="宋体" w:hint="default"/>
                <w:sz w:val="18"/>
                <w:szCs w:val="18"/>
              </w:rPr>
            </w:pPr>
            <w:r>
              <w:rPr>
                <w:rFonts w:ascii="宋体" w:hAnsi="宋体" w:cs="宋体" w:eastAsia="宋体" w:hint="default"/>
                <w:sz w:val="18"/>
                <w:szCs w:val="18"/>
              </w:rPr>
              <w:t>珠海</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珠海</w:t>
            </w:r>
          </w:p>
        </w:tc>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建筑智能化及建筑节能。</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遵义达实绿色智 慧发展有限公司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96"/>
              <w:jc w:val="right"/>
              <w:rPr>
                <w:rFonts w:ascii="宋体" w:hAnsi="宋体" w:cs="宋体" w:eastAsia="宋体" w:hint="default"/>
                <w:sz w:val="18"/>
                <w:szCs w:val="18"/>
              </w:rPr>
            </w:pPr>
            <w:r>
              <w:rPr>
                <w:rFonts w:ascii="宋体" w:hAnsi="宋体" w:cs="宋体" w:eastAsia="宋体" w:hint="default"/>
                <w:sz w:val="18"/>
                <w:szCs w:val="18"/>
              </w:rPr>
              <w:t>遵义</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遵义</w:t>
            </w:r>
          </w:p>
        </w:tc>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智慧城市、基础设施、科普设施建设、展 览设施建。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上海联欣金山建 筑科技发展有限 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96"/>
              <w:jc w:val="right"/>
              <w:rPr>
                <w:rFonts w:ascii="宋体" w:hAnsi="宋体" w:cs="宋体" w:eastAsia="宋体" w:hint="default"/>
                <w:sz w:val="18"/>
                <w:szCs w:val="18"/>
              </w:rPr>
            </w:pPr>
            <w:r>
              <w:rPr>
                <w:rFonts w:ascii="宋体" w:hAnsi="宋体" w:cs="宋体" w:eastAsia="宋体" w:hint="default"/>
                <w:sz w:val="18"/>
                <w:szCs w:val="18"/>
              </w:rPr>
              <w:t>上海</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82"/>
              <w:jc w:val="left"/>
              <w:rPr>
                <w:rFonts w:ascii="宋体" w:hAnsi="宋体" w:cs="宋体" w:eastAsia="宋体" w:hint="default"/>
                <w:sz w:val="18"/>
                <w:szCs w:val="18"/>
              </w:rPr>
            </w:pPr>
            <w:r>
              <w:rPr>
                <w:rFonts w:ascii="宋体" w:hAnsi="宋体" w:cs="宋体" w:eastAsia="宋体" w:hint="default"/>
                <w:sz w:val="18"/>
                <w:szCs w:val="18"/>
              </w:rPr>
              <w:t>建筑智能化、安防行业、电气及设备集成 系统，技术咨询服务。</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上海腾隆变配电 设备管理有限公 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96"/>
              <w:jc w:val="right"/>
              <w:rPr>
                <w:rFonts w:ascii="宋体" w:hAnsi="宋体" w:cs="宋体" w:eastAsia="宋体" w:hint="default"/>
                <w:sz w:val="18"/>
                <w:szCs w:val="18"/>
              </w:rPr>
            </w:pPr>
            <w:r>
              <w:rPr>
                <w:rFonts w:ascii="宋体" w:hAnsi="宋体" w:cs="宋体" w:eastAsia="宋体" w:hint="default"/>
                <w:sz w:val="18"/>
                <w:szCs w:val="18"/>
              </w:rPr>
              <w:t>上海</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110KV</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及以下变电站、施工用电箱式变压 器的运行管理、设备调试、维修保养、继 保电试，电气安全用具销售及电气工程咨 询服务，机电设备销售及维修，在电力专 业领域内从事四技服务，电力设施承装类 四级、承修类三级、承试类五级，自有设 </w:t>
            </w:r>
            <w:r>
              <w:rPr>
                <w:rFonts w:ascii="宋体" w:hAnsi="宋体" w:cs="宋体" w:eastAsia="宋体" w:hint="default"/>
                <w:spacing w:val="-9"/>
                <w:sz w:val="18"/>
                <w:szCs w:val="18"/>
              </w:rPr>
              <w:t>备租赁（除金融租赁）。</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316" w:lineRule="auto" w:before="51"/>
        <w:ind w:left="513" w:right="0" w:hanging="36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w:t>
      </w:r>
      <w:r>
        <w:rPr>
          <w:rFonts w:ascii="宋体" w:hAnsi="宋体" w:cs="宋体" w:eastAsia="宋体" w:hint="default"/>
          <w:spacing w:val="-2"/>
          <w:sz w:val="18"/>
          <w:szCs w:val="18"/>
        </w:rPr>
        <w:t>北京达实德润能源科技有限公司，持有半数或以下表决权但仍控制被投资单位的依据：本公司系该公司第一大股东，其</w:t>
      </w:r>
    </w:p>
    <w:p>
      <w:pPr>
        <w:spacing w:line="439" w:lineRule="auto" w:before="57"/>
        <w:ind w:left="153" w:right="2653" w:firstLine="0"/>
        <w:jc w:val="left"/>
        <w:rPr>
          <w:rFonts w:ascii="宋体" w:hAnsi="宋体" w:cs="宋体" w:eastAsia="宋体" w:hint="default"/>
          <w:sz w:val="18"/>
          <w:szCs w:val="18"/>
        </w:rPr>
      </w:pPr>
      <w:r>
        <w:rPr>
          <w:rFonts w:ascii="宋体" w:hAnsi="宋体" w:cs="宋体" w:eastAsia="宋体" w:hint="default"/>
          <w:sz w:val="18"/>
          <w:szCs w:val="18"/>
        </w:rPr>
        <w:t>他两名股东之间无关联。该公司的董事长、财务负责人均由本公司委任，本公司能对该公司实施控制。 其他说明：</w:t>
      </w:r>
    </w:p>
    <w:p>
      <w:pPr>
        <w:spacing w:line="202" w:lineRule="exact"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联欣金山、上海腾隆系控股子公司达实联欣的全资子公司。</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重要的非全资子公司" w:id="312"/>
      <w:bookmarkEnd w:id="31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上海达实联欣科技发展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35,167,839.97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18,021,964.69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95,738,231.04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313"/>
      <w:bookmarkEnd w:id="31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上海达 实联欣 科技发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329,260,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098.99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39,314,7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05.02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368,574,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804.01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196,449,</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149.03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196,449,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149.03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189,115,</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939.08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35,588,3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66.01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224,704,</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305.09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89,810,5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94.03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89,810,5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94.03</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上海达实联 欣科技发展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373,104,764.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74,011,463.7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74,011,463.7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80,951,399.8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221,911,833.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52,468,127.8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52,468,127.8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47,710,572.1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与金融工具相关的风险" w:id="314"/>
      <w:bookmarkEnd w:id="314"/>
      <w:r>
        <w:rPr>
          <w:b w:val="0"/>
          <w:bCs w:val="0"/>
        </w:rPr>
      </w:r>
      <w:r>
        <w:rPr/>
        <w:t>十、与金融工具相关的风险</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30" w:firstLine="420"/>
        <w:jc w:val="both"/>
      </w:pPr>
      <w:r>
        <w:rPr>
          <w:spacing w:val="-1"/>
        </w:rPr>
        <w:t>本公司的主要金融工具包括应收款项、应付款项等，各项金融工具的详细情况说明见本附注五相关项</w:t>
      </w:r>
      <w:r>
        <w:rPr/>
        <w:t> </w:t>
      </w:r>
      <w:r>
        <w:rPr>
          <w:spacing w:val="-1"/>
        </w:rPr>
        <w:t>目。与这些金融工具有关的风险，以及本公司为降低这些风险所采取的风险管理政策如下所述。本公司管</w:t>
      </w:r>
      <w:r>
        <w:rPr>
          <w:spacing w:val="-82"/>
        </w:rPr>
        <w:t> </w:t>
      </w:r>
      <w:r>
        <w:rPr>
          <w:spacing w:val="-82"/>
        </w:rPr>
      </w:r>
      <w:r>
        <w:rPr/>
        <w:t>理层对这些风险敞口进行管理和监控以确保将上述风险控制在限定的范围之内。</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一、关联方及关联交易" w:id="315"/>
      <w:bookmarkEnd w:id="315"/>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316"/>
      <w:bookmarkEnd w:id="31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099"/>
        <w:gridCol w:w="2552"/>
        <w:gridCol w:w="1132"/>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深圳市达实投资发 展有限公司</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投资兴办实业（具体项目另报）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国内商业、物资供销业；软件技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术开发、经济信息咨询。</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56.1pt;height:15.6pt;mso-position-horizontal-relative:char;mso-position-vertical-relative:line" coordorigin="0,0" coordsize="1122,312">
                  <v:group style="position:absolute;left:0;top:0;width:1122;height:312" coordorigin="0,0" coordsize="1122,312">
                    <v:shape style="position:absolute;left:0;top:0;width:1122;height:312" coordorigin="0,0" coordsize="1122,312" path="m0,312l1122,312,1122,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23.71%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23.71%</w:t>
            </w:r>
          </w:p>
        </w:tc>
      </w:tr>
    </w:tbl>
    <w:p>
      <w:pPr>
        <w:spacing w:before="51"/>
        <w:ind w:left="154" w:right="0" w:firstLine="0"/>
        <w:jc w:val="left"/>
        <w:rPr>
          <w:rFonts w:ascii="宋体" w:hAnsi="宋体" w:cs="宋体" w:eastAsia="宋体" w:hint="default"/>
          <w:sz w:val="18"/>
          <w:szCs w:val="18"/>
        </w:rPr>
      </w:pPr>
      <w:r>
        <w:rPr/>
        <w:pict>
          <v:shape style="position:absolute;margin-left:313.040009pt;margin-top:-51.318287pt;width:62.3pt;height:15.6pt;mso-position-horizontal-relative:page;mso-position-vertical-relative:paragraph;z-index:-8074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本企业最终控制方是刘磅。</w:t>
      </w:r>
    </w:p>
    <w:p>
      <w:pPr>
        <w:spacing w:line="240" w:lineRule="auto" w:before="11"/>
        <w:rPr>
          <w:rFonts w:ascii="宋体" w:hAnsi="宋体" w:cs="宋体" w:eastAsia="宋体" w:hint="default"/>
          <w:sz w:val="26"/>
          <w:szCs w:val="26"/>
        </w:rPr>
      </w:pPr>
    </w:p>
    <w:p>
      <w:pPr>
        <w:spacing w:line="547" w:lineRule="auto" w:before="0"/>
        <w:ind w:left="154" w:right="7917" w:firstLine="0"/>
        <w:jc w:val="left"/>
        <w:rPr>
          <w:rFonts w:ascii="宋体" w:hAnsi="宋体" w:cs="宋体" w:eastAsia="宋体" w:hint="default"/>
          <w:sz w:val="21"/>
          <w:szCs w:val="21"/>
        </w:rPr>
      </w:pPr>
      <w:bookmarkStart w:name="2、本企业的子公司情况" w:id="317"/>
      <w:bookmarkEnd w:id="31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其他关联方情况" w:id="318"/>
      <w:bookmarkEnd w:id="31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3119"/>
        <w:gridCol w:w="645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6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19"/>
        <w:gridCol w:w="645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界首市达实置业有限公司</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控股股东及实际控制人有重大影响的企业的全资子公司</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东兴企业澳门离岸商业服务有限公司</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东兴企业澳门离岸商业服务有限公司实际控制人林步东先生担任公司副董事长</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北京启迪筑能建筑信息技术有限公司</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北京启迪筑能建筑信息技术有限公司实际控制人沈宏明先生担任公司监事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上海金杖房地产开发有限公司</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上海金杖房地产开发有限公司董事长兼总经理贾虹女士担任公司董事</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关联交易情况" w:id="319"/>
      <w:bookmarkEnd w:id="319"/>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20"/>
      <w:bookmarkEnd w:id="32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3132"/>
        <w:gridCol w:w="2019"/>
        <w:gridCol w:w="2020"/>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提供智能与节能工程劳务</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19,784,039.00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提供强电配套工程劳务</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1,811,438.60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7,728,594.40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界首市达实置业有限公司</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投资建设能源站系统（供配电系统）</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18,011,591.88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60" w:lineRule="auto" w:before="51"/>
        <w:ind w:left="154" w:right="4632"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上述交易合同的签订时间均发生在公司收购达实联欣、达实德润的股权之前。</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2）关联租赁情况" w:id="321"/>
      <w:bookmarkEnd w:id="321"/>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2291"/>
        <w:gridCol w:w="2291"/>
        <w:gridCol w:w="229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上海金杖房地产开发有限公司</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8" w:right="0"/>
              <w:jc w:val="left"/>
              <w:rPr>
                <w:rFonts w:ascii="Times New Roman" w:hAnsi="Times New Roman" w:cs="Times New Roman" w:eastAsia="Times New Roman" w:hint="default"/>
                <w:sz w:val="18"/>
                <w:szCs w:val="18"/>
              </w:rPr>
            </w:pPr>
            <w:r>
              <w:rPr>
                <w:rFonts w:ascii="Times New Roman"/>
                <w:sz w:val="18"/>
              </w:rPr>
              <w:t>681,444.00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9" w:right="0"/>
              <w:jc w:val="left"/>
              <w:rPr>
                <w:rFonts w:ascii="Times New Roman" w:hAnsi="Times New Roman" w:cs="Times New Roman" w:eastAsia="Times New Roman" w:hint="default"/>
                <w:sz w:val="18"/>
                <w:szCs w:val="18"/>
              </w:rPr>
            </w:pPr>
            <w:r>
              <w:rPr>
                <w:rFonts w:ascii="Times New Roman"/>
                <w:sz w:val="18"/>
              </w:rPr>
              <w:t>681,444.00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关联方资金拆借" w:id="322"/>
      <w:bookmarkEnd w:id="322"/>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489"/>
        <w:gridCol w:w="1702"/>
        <w:gridCol w:w="1700"/>
        <w:gridCol w:w="276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北京启迪筑能建筑信息 技术有限公司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借款利息按月支付，至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日无逾期未支付利息。</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关联交易" w:id="323"/>
      <w:bookmarkEnd w:id="323"/>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060" w:bottom="1160" w:left="980" w:right="0"/>
        </w:sectPr>
      </w:pPr>
    </w:p>
    <w:p>
      <w:pPr>
        <w:pStyle w:val="BodyText"/>
        <w:spacing w:line="240" w:lineRule="auto" w:before="35"/>
        <w:ind w:left="577" w:right="-20"/>
        <w:jc w:val="left"/>
      </w:pPr>
      <w:r>
        <w:rPr/>
        <w:t>共同对外投资的重大关联交易</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577"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3308" w:space="5098"/>
            <w:col w:w="2524"/>
          </w:cols>
        </w:sectPr>
      </w:pP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065"/>
        <w:gridCol w:w="1062"/>
        <w:gridCol w:w="1064"/>
        <w:gridCol w:w="1067"/>
        <w:gridCol w:w="1272"/>
        <w:gridCol w:w="858"/>
        <w:gridCol w:w="1062"/>
        <w:gridCol w:w="1063"/>
        <w:gridCol w:w="1127"/>
      </w:tblGrid>
      <w:tr>
        <w:trPr>
          <w:trHeight w:val="658" w:hRule="exact"/>
        </w:trPr>
        <w:tc>
          <w:tcPr>
            <w:tcW w:w="10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0"/>
              <w:ind w:left="23" w:right="0"/>
              <w:jc w:val="left"/>
              <w:rPr>
                <w:rFonts w:ascii="宋体" w:hAnsi="宋体" w:cs="宋体" w:eastAsia="宋体" w:hint="default"/>
                <w:sz w:val="20"/>
                <w:szCs w:val="20"/>
              </w:rPr>
            </w:pPr>
            <w:r>
              <w:rPr>
                <w:rFonts w:ascii="宋体" w:hAnsi="宋体" w:cs="宋体" w:eastAsia="宋体" w:hint="default"/>
                <w:sz w:val="20"/>
                <w:szCs w:val="20"/>
              </w:rPr>
              <w:t>共同投资方</w:t>
            </w:r>
          </w:p>
        </w:tc>
        <w:tc>
          <w:tcPr>
            <w:tcW w:w="10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0"/>
              <w:ind w:left="122" w:right="0"/>
              <w:jc w:val="left"/>
              <w:rPr>
                <w:rFonts w:ascii="宋体" w:hAnsi="宋体" w:cs="宋体" w:eastAsia="宋体" w:hint="default"/>
                <w:sz w:val="20"/>
                <w:szCs w:val="20"/>
              </w:rPr>
            </w:pPr>
            <w:r>
              <w:rPr>
                <w:rFonts w:ascii="宋体" w:hAnsi="宋体" w:cs="宋体" w:eastAsia="宋体" w:hint="default"/>
                <w:sz w:val="20"/>
                <w:szCs w:val="20"/>
              </w:rPr>
              <w:t>关联关系</w:t>
            </w:r>
          </w:p>
        </w:tc>
        <w:tc>
          <w:tcPr>
            <w:tcW w:w="10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
              <w:ind w:left="224" w:right="22" w:hanging="200"/>
              <w:jc w:val="left"/>
              <w:rPr>
                <w:rFonts w:ascii="宋体" w:hAnsi="宋体" w:cs="宋体" w:eastAsia="宋体" w:hint="default"/>
                <w:sz w:val="20"/>
                <w:szCs w:val="20"/>
              </w:rPr>
            </w:pPr>
            <w:r>
              <w:rPr>
                <w:rFonts w:ascii="宋体" w:hAnsi="宋体" w:cs="宋体" w:eastAsia="宋体" w:hint="default"/>
                <w:sz w:val="20"/>
                <w:szCs w:val="20"/>
              </w:rPr>
              <w:t>共同投资定</w:t>
            </w:r>
            <w:r>
              <w:rPr>
                <w:rFonts w:ascii="宋体" w:hAnsi="宋体" w:cs="宋体" w:eastAsia="宋体" w:hint="default"/>
                <w:w w:val="100"/>
                <w:sz w:val="20"/>
                <w:szCs w:val="20"/>
              </w:rPr>
              <w:t> </w:t>
            </w:r>
            <w:r>
              <w:rPr>
                <w:rFonts w:ascii="宋体" w:hAnsi="宋体" w:cs="宋体" w:eastAsia="宋体" w:hint="default"/>
                <w:sz w:val="20"/>
                <w:szCs w:val="20"/>
              </w:rPr>
              <w:t>价原则</w:t>
            </w:r>
          </w:p>
        </w:tc>
        <w:tc>
          <w:tcPr>
            <w:tcW w:w="10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
              <w:ind w:left="226" w:right="23" w:hanging="201"/>
              <w:jc w:val="left"/>
              <w:rPr>
                <w:rFonts w:ascii="宋体" w:hAnsi="宋体" w:cs="宋体" w:eastAsia="宋体" w:hint="default"/>
                <w:sz w:val="20"/>
                <w:szCs w:val="20"/>
              </w:rPr>
            </w:pPr>
            <w:r>
              <w:rPr>
                <w:rFonts w:ascii="宋体" w:hAnsi="宋体" w:cs="宋体" w:eastAsia="宋体" w:hint="default"/>
                <w:sz w:val="20"/>
                <w:szCs w:val="20"/>
              </w:rPr>
              <w:t>被投资企业</w:t>
            </w:r>
            <w:r>
              <w:rPr>
                <w:rFonts w:ascii="宋体" w:hAnsi="宋体" w:cs="宋体" w:eastAsia="宋体" w:hint="default"/>
                <w:w w:val="100"/>
                <w:sz w:val="20"/>
                <w:szCs w:val="20"/>
              </w:rPr>
              <w:t> </w:t>
            </w:r>
            <w:r>
              <w:rPr>
                <w:rFonts w:ascii="宋体" w:hAnsi="宋体" w:cs="宋体" w:eastAsia="宋体" w:hint="default"/>
                <w:sz w:val="20"/>
                <w:szCs w:val="20"/>
              </w:rPr>
              <w:t>的名称</w:t>
            </w:r>
          </w:p>
        </w:tc>
        <w:tc>
          <w:tcPr>
            <w:tcW w:w="12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
              <w:ind w:left="227" w:right="26" w:hanging="201"/>
              <w:jc w:val="left"/>
              <w:rPr>
                <w:rFonts w:ascii="宋体" w:hAnsi="宋体" w:cs="宋体" w:eastAsia="宋体" w:hint="default"/>
                <w:sz w:val="20"/>
                <w:szCs w:val="20"/>
              </w:rPr>
            </w:pPr>
            <w:r>
              <w:rPr>
                <w:rFonts w:ascii="宋体" w:hAnsi="宋体" w:cs="宋体" w:eastAsia="宋体" w:hint="default"/>
                <w:sz w:val="20"/>
                <w:szCs w:val="20"/>
              </w:rPr>
              <w:t>被投资企业的</w:t>
            </w:r>
            <w:r>
              <w:rPr>
                <w:rFonts w:ascii="宋体" w:hAnsi="宋体" w:cs="宋体" w:eastAsia="宋体" w:hint="default"/>
                <w:w w:val="100"/>
                <w:sz w:val="20"/>
                <w:szCs w:val="20"/>
              </w:rPr>
              <w:t> </w:t>
            </w:r>
            <w:r>
              <w:rPr>
                <w:rFonts w:ascii="宋体" w:hAnsi="宋体" w:cs="宋体" w:eastAsia="宋体" w:hint="default"/>
                <w:sz w:val="20"/>
                <w:szCs w:val="20"/>
              </w:rPr>
              <w:t>主营业务</w:t>
            </w:r>
          </w:p>
        </w:tc>
        <w:tc>
          <w:tcPr>
            <w:tcW w:w="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
              <w:ind w:left="20" w:right="19"/>
              <w:jc w:val="left"/>
              <w:rPr>
                <w:rFonts w:ascii="宋体" w:hAnsi="宋体" w:cs="宋体" w:eastAsia="宋体" w:hint="default"/>
                <w:sz w:val="20"/>
                <w:szCs w:val="20"/>
              </w:rPr>
            </w:pPr>
            <w:r>
              <w:rPr>
                <w:rFonts w:ascii="宋体" w:hAnsi="宋体" w:cs="宋体" w:eastAsia="宋体" w:hint="default"/>
                <w:sz w:val="20"/>
                <w:szCs w:val="20"/>
              </w:rPr>
              <w:t>被投资企</w:t>
            </w:r>
            <w:r>
              <w:rPr>
                <w:rFonts w:ascii="宋体" w:hAnsi="宋体" w:cs="宋体" w:eastAsia="宋体" w:hint="default"/>
                <w:w w:val="100"/>
                <w:sz w:val="20"/>
                <w:szCs w:val="20"/>
              </w:rPr>
              <w:t> </w:t>
            </w:r>
            <w:r>
              <w:rPr>
                <w:rFonts w:ascii="宋体" w:hAnsi="宋体" w:cs="宋体" w:eastAsia="宋体" w:hint="default"/>
                <w:sz w:val="20"/>
                <w:szCs w:val="20"/>
              </w:rPr>
              <w:t>业的注册</w:t>
            </w:r>
          </w:p>
        </w:tc>
        <w:tc>
          <w:tcPr>
            <w:tcW w:w="10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
              <w:ind w:left="123" w:right="21" w:hanging="100"/>
              <w:jc w:val="left"/>
              <w:rPr>
                <w:rFonts w:ascii="宋体" w:hAnsi="宋体" w:cs="宋体" w:eastAsia="宋体" w:hint="default"/>
                <w:sz w:val="20"/>
                <w:szCs w:val="20"/>
              </w:rPr>
            </w:pPr>
            <w:r>
              <w:rPr>
                <w:rFonts w:ascii="宋体" w:hAnsi="宋体" w:cs="宋体" w:eastAsia="宋体" w:hint="default"/>
                <w:sz w:val="20"/>
                <w:szCs w:val="20"/>
              </w:rPr>
              <w:t>被投资企业</w:t>
            </w:r>
            <w:r>
              <w:rPr>
                <w:rFonts w:ascii="宋体" w:hAnsi="宋体" w:cs="宋体" w:eastAsia="宋体" w:hint="default"/>
                <w:w w:val="100"/>
                <w:sz w:val="20"/>
                <w:szCs w:val="20"/>
              </w:rPr>
              <w:t> </w:t>
            </w:r>
            <w:r>
              <w:rPr>
                <w:rFonts w:ascii="宋体" w:hAnsi="宋体" w:cs="宋体" w:eastAsia="宋体" w:hint="default"/>
                <w:sz w:val="20"/>
                <w:szCs w:val="20"/>
              </w:rPr>
              <w:t>的总资产</w:t>
            </w:r>
          </w:p>
        </w:tc>
        <w:tc>
          <w:tcPr>
            <w:tcW w:w="10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
              <w:ind w:left="124" w:right="20" w:hanging="100"/>
              <w:jc w:val="left"/>
              <w:rPr>
                <w:rFonts w:ascii="宋体" w:hAnsi="宋体" w:cs="宋体" w:eastAsia="宋体" w:hint="default"/>
                <w:sz w:val="20"/>
                <w:szCs w:val="20"/>
              </w:rPr>
            </w:pPr>
            <w:r>
              <w:rPr>
                <w:rFonts w:ascii="宋体" w:hAnsi="宋体" w:cs="宋体" w:eastAsia="宋体" w:hint="default"/>
                <w:sz w:val="20"/>
                <w:szCs w:val="20"/>
              </w:rPr>
              <w:t>被投资企业</w:t>
            </w:r>
            <w:r>
              <w:rPr>
                <w:rFonts w:ascii="宋体" w:hAnsi="宋体" w:cs="宋体" w:eastAsia="宋体" w:hint="default"/>
                <w:w w:val="100"/>
                <w:sz w:val="20"/>
                <w:szCs w:val="20"/>
              </w:rPr>
              <w:t> </w:t>
            </w:r>
            <w:r>
              <w:rPr>
                <w:rFonts w:ascii="宋体" w:hAnsi="宋体" w:cs="宋体" w:eastAsia="宋体" w:hint="default"/>
                <w:sz w:val="20"/>
                <w:szCs w:val="20"/>
              </w:rPr>
              <w:t>的净资产</w:t>
            </w:r>
          </w:p>
        </w:tc>
        <w:tc>
          <w:tcPr>
            <w:tcW w:w="1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
              <w:ind w:left="154" w:right="54" w:hanging="100"/>
              <w:jc w:val="left"/>
              <w:rPr>
                <w:rFonts w:ascii="宋体" w:hAnsi="宋体" w:cs="宋体" w:eastAsia="宋体" w:hint="default"/>
                <w:sz w:val="20"/>
                <w:szCs w:val="20"/>
              </w:rPr>
            </w:pPr>
            <w:r>
              <w:rPr>
                <w:rFonts w:ascii="宋体" w:hAnsi="宋体" w:cs="宋体" w:eastAsia="宋体" w:hint="default"/>
                <w:sz w:val="20"/>
                <w:szCs w:val="20"/>
              </w:rPr>
              <w:t>被投资企业</w:t>
            </w:r>
            <w:r>
              <w:rPr>
                <w:rFonts w:ascii="宋体" w:hAnsi="宋体" w:cs="宋体" w:eastAsia="宋体" w:hint="default"/>
                <w:w w:val="100"/>
                <w:sz w:val="20"/>
                <w:szCs w:val="20"/>
              </w:rPr>
              <w:t> </w:t>
            </w:r>
            <w:r>
              <w:rPr>
                <w:rFonts w:ascii="宋体" w:hAnsi="宋体" w:cs="宋体" w:eastAsia="宋体" w:hint="default"/>
                <w:sz w:val="20"/>
                <w:szCs w:val="20"/>
              </w:rPr>
              <w:t>的净利润</w:t>
            </w:r>
          </w:p>
        </w:tc>
      </w:tr>
    </w:tbl>
    <w:p>
      <w:pPr>
        <w:spacing w:after="0" w:line="285" w:lineRule="auto"/>
        <w:jc w:val="left"/>
        <w:rPr>
          <w:rFonts w:ascii="宋体" w:hAnsi="宋体" w:cs="宋体" w:eastAsia="宋体" w:hint="default"/>
          <w:sz w:val="20"/>
          <w:szCs w:val="20"/>
        </w:rPr>
        <w:sectPr>
          <w:type w:val="continuous"/>
          <w:pgSz w:w="11910" w:h="16840"/>
          <w:pgMar w:top="1580" w:bottom="7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5"/>
        <w:gridCol w:w="1062"/>
        <w:gridCol w:w="1064"/>
        <w:gridCol w:w="1067"/>
        <w:gridCol w:w="1272"/>
        <w:gridCol w:w="858"/>
        <w:gridCol w:w="1062"/>
        <w:gridCol w:w="1063"/>
        <w:gridCol w:w="1127"/>
      </w:tblGrid>
      <w:tr>
        <w:trPr>
          <w:trHeight w:val="340" w:hRule="exact"/>
        </w:trPr>
        <w:tc>
          <w:tcPr>
            <w:tcW w:w="1065"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062"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064"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272"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20" w:right="0"/>
              <w:jc w:val="left"/>
              <w:rPr>
                <w:rFonts w:ascii="宋体" w:hAnsi="宋体" w:cs="宋体" w:eastAsia="宋体" w:hint="default"/>
                <w:sz w:val="20"/>
                <w:szCs w:val="20"/>
              </w:rPr>
            </w:pPr>
            <w:r>
              <w:rPr>
                <w:rFonts w:ascii="宋体" w:hAnsi="宋体" w:cs="宋体" w:eastAsia="宋体" w:hint="default"/>
                <w:sz w:val="20"/>
                <w:szCs w:val="20"/>
              </w:rPr>
              <w:t>资本</w:t>
            </w:r>
          </w:p>
        </w:tc>
        <w:tc>
          <w:tcPr>
            <w:tcW w:w="1062"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063"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127" w:type="dxa"/>
            <w:tcBorders>
              <w:top w:val="single" w:sz="6" w:space="0" w:color="000000"/>
              <w:left w:val="single" w:sz="6" w:space="0" w:color="000000"/>
              <w:bottom w:val="single" w:sz="6" w:space="0" w:color="000000"/>
              <w:right w:val="single" w:sz="6" w:space="0" w:color="000000"/>
            </w:tcBorders>
            <w:shd w:val="clear" w:color="auto" w:fill="D9D9D9"/>
          </w:tcPr>
          <w:p>
            <w:pPr/>
          </w:p>
        </w:tc>
      </w:tr>
      <w:tr>
        <w:trPr>
          <w:trHeight w:val="2540"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85" w:lineRule="auto"/>
              <w:ind w:left="2" w:right="-9"/>
              <w:jc w:val="both"/>
              <w:rPr>
                <w:rFonts w:ascii="宋体" w:hAnsi="宋体" w:cs="宋体" w:eastAsia="宋体" w:hint="default"/>
                <w:sz w:val="20"/>
                <w:szCs w:val="20"/>
              </w:rPr>
            </w:pPr>
            <w:r>
              <w:rPr>
                <w:rFonts w:ascii="宋体" w:hAnsi="宋体" w:cs="宋体" w:eastAsia="宋体" w:hint="default"/>
                <w:spacing w:val="10"/>
                <w:sz w:val="20"/>
                <w:szCs w:val="20"/>
              </w:rPr>
              <w:t>东兴企业澳</w:t>
            </w:r>
            <w:r>
              <w:rPr>
                <w:rFonts w:ascii="宋体" w:hAnsi="宋体" w:cs="宋体" w:eastAsia="宋体" w:hint="default"/>
                <w:spacing w:val="-98"/>
                <w:sz w:val="20"/>
                <w:szCs w:val="20"/>
              </w:rPr>
              <w:t> </w:t>
            </w:r>
            <w:r>
              <w:rPr>
                <w:rFonts w:ascii="宋体" w:hAnsi="宋体" w:cs="宋体" w:eastAsia="宋体" w:hint="default"/>
                <w:spacing w:val="10"/>
                <w:sz w:val="20"/>
                <w:szCs w:val="20"/>
              </w:rPr>
              <w:t>门离岸商业</w:t>
            </w:r>
            <w:r>
              <w:rPr>
                <w:rFonts w:ascii="宋体" w:hAnsi="宋体" w:cs="宋体" w:eastAsia="宋体" w:hint="default"/>
                <w:spacing w:val="-98"/>
                <w:sz w:val="20"/>
                <w:szCs w:val="20"/>
              </w:rPr>
              <w:t> </w:t>
            </w:r>
            <w:r>
              <w:rPr>
                <w:rFonts w:ascii="宋体" w:hAnsi="宋体" w:cs="宋体" w:eastAsia="宋体" w:hint="default"/>
                <w:spacing w:val="10"/>
                <w:sz w:val="20"/>
                <w:szCs w:val="20"/>
              </w:rPr>
              <w:t>服务有限公</w:t>
            </w:r>
            <w:r>
              <w:rPr>
                <w:rFonts w:ascii="宋体" w:hAnsi="宋体" w:cs="宋体" w:eastAsia="宋体" w:hint="default"/>
                <w:spacing w:val="-98"/>
                <w:sz w:val="20"/>
                <w:szCs w:val="20"/>
              </w:rPr>
              <w:t> </w:t>
            </w:r>
            <w:r>
              <w:rPr>
                <w:rFonts w:ascii="宋体" w:hAnsi="宋体" w:cs="宋体" w:eastAsia="宋体" w:hint="default"/>
                <w:sz w:val="20"/>
                <w:szCs w:val="20"/>
              </w:rPr>
              <w:t>司</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68"/>
              <w:ind w:left="2" w:right="1"/>
              <w:jc w:val="both"/>
              <w:rPr>
                <w:rFonts w:ascii="宋体" w:hAnsi="宋体" w:cs="宋体" w:eastAsia="宋体" w:hint="default"/>
                <w:sz w:val="20"/>
                <w:szCs w:val="20"/>
              </w:rPr>
            </w:pPr>
            <w:r>
              <w:rPr>
                <w:rFonts w:ascii="宋体" w:hAnsi="宋体" w:cs="宋体" w:eastAsia="宋体" w:hint="default"/>
                <w:spacing w:val="7"/>
                <w:sz w:val="20"/>
                <w:szCs w:val="20"/>
              </w:rPr>
              <w:t>东兴企业澳</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7"/>
                <w:sz w:val="20"/>
                <w:szCs w:val="20"/>
              </w:rPr>
              <w:t>门离岸商业</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7"/>
                <w:sz w:val="20"/>
                <w:szCs w:val="20"/>
              </w:rPr>
              <w:t>服务有限公</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7"/>
                <w:sz w:val="20"/>
                <w:szCs w:val="20"/>
              </w:rPr>
              <w:t>司实际控制</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7"/>
                <w:sz w:val="20"/>
                <w:szCs w:val="20"/>
              </w:rPr>
              <w:t>人林步东先</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7"/>
                <w:sz w:val="20"/>
                <w:szCs w:val="20"/>
              </w:rPr>
              <w:t>生担任公司</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副董事长</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20"/>
                <w:szCs w:val="20"/>
              </w:rPr>
            </w:pPr>
            <w:r>
              <w:rPr>
                <w:rFonts w:ascii="宋体" w:hAnsi="宋体" w:cs="宋体" w:eastAsia="宋体" w:hint="default"/>
                <w:sz w:val="20"/>
                <w:szCs w:val="20"/>
              </w:rPr>
              <w:t>市场原则</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85" w:lineRule="auto"/>
              <w:ind w:left="3" w:right="0"/>
              <w:jc w:val="both"/>
              <w:rPr>
                <w:rFonts w:ascii="宋体" w:hAnsi="宋体" w:cs="宋体" w:eastAsia="宋体" w:hint="default"/>
                <w:sz w:val="20"/>
                <w:szCs w:val="20"/>
              </w:rPr>
            </w:pPr>
            <w:r>
              <w:rPr>
                <w:rFonts w:ascii="宋体" w:hAnsi="宋体" w:cs="宋体" w:eastAsia="宋体" w:hint="default"/>
                <w:spacing w:val="8"/>
                <w:sz w:val="20"/>
                <w:szCs w:val="20"/>
              </w:rPr>
              <w:t>深圳达实融</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8"/>
                <w:sz w:val="20"/>
                <w:szCs w:val="20"/>
              </w:rPr>
              <w:t>资租赁有限</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公司</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2"/>
              <w:ind w:left="2" w:right="1"/>
              <w:jc w:val="left"/>
              <w:rPr>
                <w:rFonts w:ascii="宋体" w:hAnsi="宋体" w:cs="宋体" w:eastAsia="宋体" w:hint="default"/>
                <w:sz w:val="20"/>
                <w:szCs w:val="20"/>
              </w:rPr>
            </w:pPr>
            <w:r>
              <w:rPr>
                <w:rFonts w:ascii="宋体" w:hAnsi="宋体" w:cs="宋体" w:eastAsia="宋体" w:hint="default"/>
                <w:sz w:val="20"/>
                <w:szCs w:val="20"/>
              </w:rPr>
              <w:t>融</w:t>
            </w:r>
            <w:r>
              <w:rPr>
                <w:rFonts w:ascii="宋体" w:hAnsi="宋体" w:cs="宋体" w:eastAsia="宋体" w:hint="default"/>
                <w:spacing w:val="-38"/>
                <w:sz w:val="20"/>
                <w:szCs w:val="20"/>
              </w:rPr>
              <w:t> </w:t>
            </w:r>
            <w:r>
              <w:rPr>
                <w:rFonts w:ascii="宋体" w:hAnsi="宋体" w:cs="宋体" w:eastAsia="宋体" w:hint="default"/>
                <w:sz w:val="20"/>
                <w:szCs w:val="20"/>
              </w:rPr>
              <w:t>资</w:t>
            </w:r>
            <w:r>
              <w:rPr>
                <w:rFonts w:ascii="宋体" w:hAnsi="宋体" w:cs="宋体" w:eastAsia="宋体" w:hint="default"/>
                <w:spacing w:val="-37"/>
                <w:sz w:val="20"/>
                <w:szCs w:val="20"/>
              </w:rPr>
              <w:t> </w:t>
            </w:r>
            <w:r>
              <w:rPr>
                <w:rFonts w:ascii="宋体" w:hAnsi="宋体" w:cs="宋体" w:eastAsia="宋体" w:hint="default"/>
                <w:sz w:val="20"/>
                <w:szCs w:val="20"/>
              </w:rPr>
              <w:t>租</w:t>
            </w:r>
            <w:r>
              <w:rPr>
                <w:rFonts w:ascii="宋体" w:hAnsi="宋体" w:cs="宋体" w:eastAsia="宋体" w:hint="default"/>
                <w:spacing w:val="-38"/>
                <w:sz w:val="20"/>
                <w:szCs w:val="20"/>
              </w:rPr>
              <w:t> </w:t>
            </w:r>
            <w:r>
              <w:rPr>
                <w:rFonts w:ascii="宋体" w:hAnsi="宋体" w:cs="宋体" w:eastAsia="宋体" w:hint="default"/>
                <w:sz w:val="20"/>
                <w:szCs w:val="20"/>
              </w:rPr>
              <w:t>赁</w:t>
            </w:r>
            <w:r>
              <w:rPr>
                <w:rFonts w:ascii="宋体" w:hAnsi="宋体" w:cs="宋体" w:eastAsia="宋体" w:hint="default"/>
                <w:spacing w:val="-38"/>
                <w:sz w:val="20"/>
                <w:szCs w:val="20"/>
              </w:rPr>
              <w:t> </w:t>
            </w: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pacing w:val="-9"/>
                <w:sz w:val="20"/>
                <w:szCs w:val="20"/>
              </w:rPr>
              <w:t>务；租赁业务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7"/>
                <w:sz w:val="20"/>
                <w:szCs w:val="20"/>
              </w:rPr>
              <w:t>向国内外购买</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7"/>
                <w:sz w:val="20"/>
                <w:szCs w:val="20"/>
              </w:rPr>
              <w:t>租赁资产；租</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7"/>
                <w:sz w:val="20"/>
                <w:szCs w:val="20"/>
              </w:rPr>
              <w:t>赁资产的残值</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7"/>
                <w:sz w:val="20"/>
                <w:szCs w:val="20"/>
              </w:rPr>
              <w:t>处理及维修；</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7"/>
                <w:sz w:val="20"/>
                <w:szCs w:val="20"/>
              </w:rPr>
              <w:t>租赁交易咨询</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和担保。</w:t>
            </w:r>
          </w:p>
        </w:tc>
        <w:tc>
          <w:tcPr>
            <w:tcW w:w="858" w:type="dxa"/>
            <w:tcBorders>
              <w:top w:val="single" w:sz="6" w:space="0" w:color="000000"/>
              <w:left w:val="single" w:sz="6" w:space="0" w:color="000000"/>
              <w:bottom w:val="single" w:sz="6" w:space="0" w:color="000000"/>
              <w:right w:val="single" w:sz="6" w:space="0" w:color="000000"/>
            </w:tcBorders>
          </w:tcPr>
          <w:p>
            <w:pPr>
              <w:pStyle w:val="TableParagraph"/>
              <w:spacing w:line="946" w:lineRule="exact"/>
              <w:ind w:left="-6" w:right="-55"/>
              <w:jc w:val="left"/>
              <w:rPr>
                <w:rFonts w:ascii="宋体" w:hAnsi="宋体" w:cs="宋体" w:eastAsia="宋体" w:hint="default"/>
                <w:sz w:val="20"/>
                <w:szCs w:val="20"/>
              </w:rPr>
            </w:pPr>
            <w:r>
              <w:rPr>
                <w:rFonts w:ascii="宋体" w:hAnsi="宋体" w:cs="宋体" w:eastAsia="宋体" w:hint="default"/>
                <w:position w:val="-18"/>
                <w:sz w:val="20"/>
                <w:szCs w:val="20"/>
              </w:rPr>
              <w:pict>
                <v:group style="width:42.75pt;height:47.35pt;mso-position-horizontal-relative:char;mso-position-vertical-relative:line" coordorigin="0,0" coordsize="855,947">
                  <v:group style="position:absolute;left:4;top:1;width:845;height:946" coordorigin="4,1" coordsize="845,946">
                    <v:shape style="position:absolute;left:4;top:1;width:845;height:946" coordorigin="4,1" coordsize="845,946" path="m4,947l849,947,849,1,4,1,4,947xe" filled="true" fillcolor="#ffffff" stroked="false">
                      <v:path arrowok="t"/>
                      <v:fill type="solid"/>
                    </v:shape>
                  </v:group>
                  <v:group style="position:absolute;left:5;top:5;width:844;height:2" coordorigin="5,5" coordsize="844,2">
                    <v:shape style="position:absolute;left:5;top:5;width:844;height:2" coordorigin="5,5" coordsize="844,0" path="m5,5l849,5e" filled="false" stroked="true" strokeweight=".54pt" strokecolor="#ffffff">
                      <v:path arrowok="t"/>
                    </v:shape>
                  </v:group>
                </v:group>
              </w:pict>
            </w:r>
            <w:r>
              <w:rPr>
                <w:rFonts w:ascii="宋体" w:hAnsi="宋体" w:cs="宋体" w:eastAsia="宋体" w:hint="default"/>
                <w:position w:val="-18"/>
                <w:sz w:val="20"/>
                <w:szCs w:val="20"/>
              </w:rPr>
            </w:r>
          </w:p>
          <w:p>
            <w:pPr>
              <w:pStyle w:val="TableParagraph"/>
              <w:spacing w:line="240" w:lineRule="auto" w:before="48"/>
              <w:ind w:left="39" w:right="0"/>
              <w:jc w:val="left"/>
              <w:rPr>
                <w:rFonts w:ascii="Times New Roman" w:hAnsi="Times New Roman" w:cs="Times New Roman" w:eastAsia="Times New Roman" w:hint="default"/>
                <w:sz w:val="20"/>
                <w:szCs w:val="20"/>
              </w:rPr>
            </w:pPr>
            <w:r>
              <w:rPr>
                <w:rFonts w:ascii="Times New Roman"/>
                <w:sz w:val="20"/>
              </w:rPr>
              <w:t>200,000,0</w:t>
            </w:r>
          </w:p>
          <w:p>
            <w:pPr>
              <w:pStyle w:val="TableParagraph"/>
              <w:spacing w:line="240" w:lineRule="auto" w:before="82"/>
              <w:ind w:left="389"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pacing w:val="-1"/>
                <w:sz w:val="20"/>
              </w:rPr>
              <w:t>203,665,694</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.58</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100,968,091</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.16</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208" w:right="0"/>
              <w:jc w:val="left"/>
              <w:rPr>
                <w:rFonts w:ascii="Times New Roman" w:hAnsi="Times New Roman" w:cs="Times New Roman" w:eastAsia="Times New Roman" w:hint="default"/>
                <w:sz w:val="20"/>
                <w:szCs w:val="20"/>
              </w:rPr>
            </w:pPr>
            <w:r>
              <w:rPr>
                <w:rFonts w:ascii="Times New Roman"/>
                <w:sz w:val="20"/>
              </w:rPr>
              <w:t>306,519.16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shape style="position:absolute;margin-left:327.694977pt;margin-top:-139.126358pt;width:48.1pt;height:47.3pt;mso-position-horizontal-relative:page;mso-position-vertical-relative:paragraph;z-index:-807448" type="#_x0000_t202" filled="false" stroked="false">
            <v:textbox inset="0,0,0,0">
              <w:txbxContent>
                <w:p>
                  <w:pPr>
                    <w:spacing w:line="240" w:lineRule="auto" w:before="2"/>
                    <w:rPr>
                      <w:rFonts w:ascii="宋体" w:hAnsi="宋体" w:cs="宋体" w:eastAsia="宋体" w:hint="default"/>
                      <w:sz w:val="24"/>
                      <w:szCs w:val="24"/>
                    </w:rPr>
                  </w:pPr>
                </w:p>
                <w:p>
                  <w:pPr>
                    <w:spacing w:before="0"/>
                    <w:ind w:left="0" w:right="0" w:firstLine="0"/>
                    <w:jc w:val="left"/>
                    <w:rPr>
                      <w:rFonts w:ascii="宋体" w:hAnsi="宋体" w:cs="宋体" w:eastAsia="宋体" w:hint="default"/>
                      <w:sz w:val="20"/>
                      <w:szCs w:val="20"/>
                    </w:rPr>
                  </w:pPr>
                  <w:r>
                    <w:rPr>
                      <w:rFonts w:ascii="宋体" w:hAnsi="宋体" w:cs="宋体" w:eastAsia="宋体" w:hint="default"/>
                      <w:w w:val="100"/>
                      <w:sz w:val="20"/>
                      <w:szCs w:val="20"/>
                    </w:rPr>
                    <w:t>；</w:t>
                  </w:r>
                </w:p>
              </w:txbxContent>
            </v:textbox>
            <w10:wrap type="none"/>
          </v:shape>
        </w:pict>
      </w:r>
      <w:bookmarkStart w:name="5、关联方应收应付款项" w:id="324"/>
      <w:bookmarkEnd w:id="324"/>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25"/>
      <w:bookmarkEnd w:id="32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北京启迪筑能建筑 信息技术有限公司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1,228,088.60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61,036.43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应收帐款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上海金杖房地产开 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9,909,310.00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297,279.30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1,633,832.40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49,014.97</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界首市达实置业有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18,602,850.00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股份支付" w:id="326"/>
      <w:bookmarkEnd w:id="326"/>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支付总体情况" w:id="327"/>
      <w:bookmarkEnd w:id="327"/>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4,198,593.76</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57" w:lineRule="auto" w:before="74"/>
        <w:ind w:left="153" w:right="0" w:firstLine="424"/>
        <w:jc w:val="left"/>
        <w:rPr>
          <w:rFonts w:ascii="宋体" w:hAnsi="宋体" w:cs="宋体" w:eastAsia="宋体" w:hint="default"/>
          <w:sz w:val="18"/>
          <w:szCs w:val="18"/>
        </w:rPr>
      </w:pPr>
      <w:r>
        <w:rPr>
          <w:rFonts w:ascii="宋体" w:hAnsi="宋体" w:cs="宋体" w:eastAsia="宋体" w:hint="default"/>
          <w:spacing w:val="-5"/>
          <w:sz w:val="18"/>
          <w:szCs w:val="18"/>
        </w:rPr>
        <w:t>2012</w:t>
      </w:r>
      <w:r>
        <w:rPr>
          <w:rFonts w:ascii="宋体" w:hAnsi="宋体" w:cs="宋体" w:eastAsia="宋体" w:hint="default"/>
          <w:spacing w:val="-5"/>
          <w:sz w:val="18"/>
          <w:szCs w:val="18"/>
        </w:rPr>
        <w:t>年</w:t>
      </w:r>
      <w:r>
        <w:rPr>
          <w:rFonts w:ascii="宋体" w:hAnsi="宋体" w:cs="宋体" w:eastAsia="宋体" w:hint="default"/>
          <w:spacing w:val="-5"/>
          <w:sz w:val="18"/>
          <w:szCs w:val="18"/>
        </w:rPr>
        <w:t>5</w:t>
      </w:r>
      <w:r>
        <w:rPr>
          <w:rFonts w:ascii="宋体" w:hAnsi="宋体" w:cs="宋体" w:eastAsia="宋体" w:hint="default"/>
          <w:spacing w:val="-5"/>
          <w:sz w:val="18"/>
          <w:szCs w:val="18"/>
        </w:rPr>
        <w:t>月</w:t>
      </w:r>
      <w:r>
        <w:rPr>
          <w:rFonts w:ascii="宋体" w:hAnsi="宋体" w:cs="宋体" w:eastAsia="宋体" w:hint="default"/>
          <w:spacing w:val="-5"/>
          <w:sz w:val="18"/>
          <w:szCs w:val="18"/>
        </w:rPr>
        <w:t>25</w:t>
      </w:r>
      <w:r>
        <w:rPr>
          <w:rFonts w:ascii="宋体" w:hAnsi="宋体" w:cs="宋体" w:eastAsia="宋体" w:hint="default"/>
          <w:spacing w:val="-5"/>
          <w:sz w:val="18"/>
          <w:szCs w:val="18"/>
        </w:rPr>
        <w:t>日，公司召开</w:t>
      </w:r>
      <w:r>
        <w:rPr>
          <w:rFonts w:ascii="宋体" w:hAnsi="宋体" w:cs="宋体" w:eastAsia="宋体" w:hint="default"/>
          <w:spacing w:val="-5"/>
          <w:sz w:val="18"/>
          <w:szCs w:val="18"/>
        </w:rPr>
        <w:t>2012</w:t>
      </w:r>
      <w:r>
        <w:rPr>
          <w:rFonts w:ascii="宋体" w:hAnsi="宋体" w:cs="宋体" w:eastAsia="宋体" w:hint="default"/>
          <w:spacing w:val="-5"/>
          <w:sz w:val="18"/>
          <w:szCs w:val="18"/>
        </w:rPr>
        <w:t>年第一次临时股东大会审议通过了《深圳达实智能股份有限公司限制性股票激励计划（草</w:t>
      </w:r>
      <w:r>
        <w:rPr>
          <w:rFonts w:ascii="宋体" w:hAnsi="宋体" w:cs="宋体" w:eastAsia="宋体" w:hint="default"/>
          <w:sz w:val="18"/>
          <w:szCs w:val="18"/>
        </w:rPr>
        <w:t> 案）》，根据股东大会对董事会的授权，公司已于</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日完成了限制性股票的授予工作，具体情况如下：</w:t>
      </w:r>
    </w:p>
    <w:p>
      <w:pPr>
        <w:spacing w:before="26"/>
        <w:ind w:left="57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）授予日：董事会已确定授予日为</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p>
      <w:pPr>
        <w:spacing w:before="115"/>
        <w:ind w:left="57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）授予数量：公司本次的授予对象为</w:t>
      </w:r>
      <w:r>
        <w:rPr>
          <w:rFonts w:ascii="宋体" w:hAnsi="宋体" w:cs="宋体" w:eastAsia="宋体" w:hint="default"/>
          <w:sz w:val="18"/>
          <w:szCs w:val="18"/>
        </w:rPr>
        <w:t>76</w:t>
      </w:r>
      <w:r>
        <w:rPr>
          <w:rFonts w:ascii="宋体" w:hAnsi="宋体" w:cs="宋体" w:eastAsia="宋体" w:hint="default"/>
          <w:sz w:val="18"/>
          <w:szCs w:val="18"/>
        </w:rPr>
        <w:t>人；授予数量为</w:t>
      </w:r>
      <w:r>
        <w:rPr>
          <w:rFonts w:ascii="宋体" w:hAnsi="宋体" w:cs="宋体" w:eastAsia="宋体" w:hint="default"/>
          <w:sz w:val="18"/>
          <w:szCs w:val="18"/>
        </w:rPr>
        <w:t>300</w:t>
      </w:r>
      <w:r>
        <w:rPr>
          <w:rFonts w:ascii="宋体" w:hAnsi="宋体" w:cs="宋体" w:eastAsia="宋体" w:hint="default"/>
          <w:sz w:val="18"/>
          <w:szCs w:val="18"/>
        </w:rPr>
        <w:t>万股，占公司当前总股本</w:t>
      </w:r>
      <w:r>
        <w:rPr>
          <w:rFonts w:ascii="宋体" w:hAnsi="宋体" w:cs="宋体" w:eastAsia="宋体" w:hint="default"/>
          <w:sz w:val="18"/>
          <w:szCs w:val="18"/>
        </w:rPr>
        <w:t>10,140</w:t>
      </w:r>
      <w:r>
        <w:rPr>
          <w:rFonts w:ascii="宋体" w:hAnsi="宋体" w:cs="宋体" w:eastAsia="宋体" w:hint="default"/>
          <w:sz w:val="18"/>
          <w:szCs w:val="18"/>
        </w:rPr>
        <w:t>万股的</w:t>
      </w:r>
      <w:r>
        <w:rPr>
          <w:rFonts w:ascii="宋体" w:hAnsi="宋体" w:cs="宋体" w:eastAsia="宋体" w:hint="default"/>
          <w:sz w:val="18"/>
          <w:szCs w:val="18"/>
        </w:rPr>
        <w:t>2.96</w:t>
      </w:r>
      <w:r>
        <w:rPr>
          <w:rFonts w:ascii="宋体" w:hAnsi="宋体" w:cs="宋体" w:eastAsia="宋体" w:hint="default"/>
          <w:sz w:val="18"/>
          <w:szCs w:val="18"/>
        </w:rPr>
        <w:t>％。</w:t>
      </w:r>
    </w:p>
    <w:p>
      <w:pPr>
        <w:spacing w:before="115"/>
        <w:ind w:left="57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）授予价格：</w:t>
      </w:r>
      <w:r>
        <w:rPr>
          <w:rFonts w:ascii="宋体" w:hAnsi="宋体" w:cs="宋体" w:eastAsia="宋体" w:hint="default"/>
          <w:sz w:val="18"/>
          <w:szCs w:val="18"/>
        </w:rPr>
        <w:t>8.51</w:t>
      </w:r>
      <w:r>
        <w:rPr>
          <w:rFonts w:ascii="宋体" w:hAnsi="宋体" w:cs="宋体" w:eastAsia="宋体" w:hint="default"/>
          <w:sz w:val="18"/>
          <w:szCs w:val="18"/>
        </w:rPr>
        <w:t>元／股。</w:t>
      </w:r>
    </w:p>
    <w:p>
      <w:pPr>
        <w:spacing w:before="113"/>
        <w:ind w:left="57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）股票来源：激励计划授予激励对象的标的股票来源为达实智能向激励对象定向发行新股。</w:t>
      </w:r>
    </w:p>
    <w:p>
      <w:pPr>
        <w:spacing w:before="115"/>
        <w:ind w:left="57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）激励计划的有效期：本计划有效期为</w:t>
      </w:r>
      <w:r>
        <w:rPr>
          <w:rFonts w:ascii="宋体" w:hAnsi="宋体" w:cs="宋体" w:eastAsia="宋体" w:hint="default"/>
          <w:sz w:val="18"/>
          <w:szCs w:val="18"/>
        </w:rPr>
        <w:t>4</w:t>
      </w:r>
      <w:r>
        <w:rPr>
          <w:rFonts w:ascii="宋体" w:hAnsi="宋体" w:cs="宋体" w:eastAsia="宋体" w:hint="default"/>
          <w:sz w:val="18"/>
          <w:szCs w:val="18"/>
        </w:rPr>
        <w:t>年，其中禁售期为</w:t>
      </w:r>
      <w:r>
        <w:rPr>
          <w:rFonts w:ascii="宋体" w:hAnsi="宋体" w:cs="宋体" w:eastAsia="宋体" w:hint="default"/>
          <w:sz w:val="18"/>
          <w:szCs w:val="18"/>
        </w:rPr>
        <w:t>12</w:t>
      </w:r>
      <w:r>
        <w:rPr>
          <w:rFonts w:ascii="宋体" w:hAnsi="宋体" w:cs="宋体" w:eastAsia="宋体" w:hint="default"/>
          <w:sz w:val="18"/>
          <w:szCs w:val="18"/>
        </w:rPr>
        <w:t>个月，解锁期为</w:t>
      </w:r>
      <w:r>
        <w:rPr>
          <w:rFonts w:ascii="宋体" w:hAnsi="宋体" w:cs="宋体" w:eastAsia="宋体" w:hint="default"/>
          <w:sz w:val="18"/>
          <w:szCs w:val="18"/>
        </w:rPr>
        <w:t>36</w:t>
      </w:r>
      <w:r>
        <w:rPr>
          <w:rFonts w:ascii="宋体" w:hAnsi="宋体" w:cs="宋体" w:eastAsia="宋体" w:hint="default"/>
          <w:sz w:val="18"/>
          <w:szCs w:val="18"/>
        </w:rPr>
        <w:t>个月。公司授予激励对象的限制性</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2"/>
          <w:szCs w:val="22"/>
        </w:rPr>
      </w:pPr>
    </w:p>
    <w:p>
      <w:pPr>
        <w:spacing w:line="357" w:lineRule="auto" w:before="44"/>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股票自授予之日起</w:t>
      </w:r>
      <w:r>
        <w:rPr>
          <w:rFonts w:ascii="宋体" w:hAnsi="宋体" w:cs="宋体" w:eastAsia="宋体" w:hint="default"/>
          <w:spacing w:val="-2"/>
          <w:sz w:val="18"/>
          <w:szCs w:val="18"/>
        </w:rPr>
        <w:t>12</w:t>
      </w:r>
      <w:r>
        <w:rPr>
          <w:rFonts w:ascii="宋体" w:hAnsi="宋体" w:cs="宋体" w:eastAsia="宋体" w:hint="default"/>
          <w:spacing w:val="-2"/>
          <w:sz w:val="18"/>
          <w:szCs w:val="18"/>
        </w:rPr>
        <w:t>个月为禁售期。禁售期内，激励对象通过本激励计划持有的限制性股票将被锁定不得转让、用于担保或</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偿还债务；禁售期后</w:t>
      </w:r>
      <w:r>
        <w:rPr>
          <w:rFonts w:ascii="宋体" w:hAnsi="宋体" w:cs="宋体" w:eastAsia="宋体" w:hint="default"/>
          <w:spacing w:val="-2"/>
          <w:sz w:val="18"/>
          <w:szCs w:val="18"/>
        </w:rPr>
        <w:t>36</w:t>
      </w:r>
      <w:r>
        <w:rPr>
          <w:rFonts w:ascii="宋体" w:hAnsi="宋体" w:cs="宋体" w:eastAsia="宋体" w:hint="default"/>
          <w:spacing w:val="-2"/>
          <w:sz w:val="18"/>
          <w:szCs w:val="18"/>
        </w:rPr>
        <w:t>个月为解锁期。在解锁期内，在满足本激励计划规定的解锁条件时，激励对象可分三次申请标的股票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解锁。</w:t>
      </w:r>
    </w:p>
    <w:p>
      <w:pPr>
        <w:spacing w:before="25"/>
        <w:ind w:left="578" w:right="0" w:firstLine="0"/>
        <w:jc w:val="left"/>
        <w:rPr>
          <w:rFonts w:ascii="宋体" w:hAnsi="宋体" w:cs="宋体" w:eastAsia="宋体" w:hint="default"/>
          <w:sz w:val="18"/>
          <w:szCs w:val="18"/>
        </w:rPr>
      </w:pPr>
      <w:r>
        <w:rPr>
          <w:rFonts w:ascii="宋体" w:hAnsi="宋体" w:cs="宋体" w:eastAsia="宋体" w:hint="default"/>
          <w:sz w:val="18"/>
          <w:szCs w:val="18"/>
        </w:rPr>
        <w:t>在解锁期内，若达到本激励计划规定的解锁条件，激励对象可分三次申请解锁。解锁安排如表所示：</w:t>
      </w:r>
    </w:p>
    <w:p>
      <w:pPr>
        <w:spacing w:line="240" w:lineRule="auto" w:before="2"/>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851"/>
        <w:gridCol w:w="7230"/>
        <w:gridCol w:w="1560"/>
      </w:tblGrid>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解锁期</w:t>
            </w:r>
          </w:p>
        </w:tc>
        <w:tc>
          <w:tcPr>
            <w:tcW w:w="7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解锁时间安排</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22" w:right="50" w:hanging="270"/>
              <w:jc w:val="left"/>
              <w:rPr>
                <w:rFonts w:ascii="宋体" w:hAnsi="宋体" w:cs="宋体" w:eastAsia="宋体" w:hint="default"/>
                <w:sz w:val="18"/>
                <w:szCs w:val="18"/>
              </w:rPr>
            </w:pPr>
            <w:r>
              <w:rPr>
                <w:rFonts w:ascii="宋体" w:hAnsi="宋体" w:cs="宋体" w:eastAsia="宋体" w:hint="default"/>
                <w:sz w:val="18"/>
                <w:szCs w:val="18"/>
              </w:rPr>
              <w:t>解锁数量占获授股 票数量比例</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第一个</w:t>
            </w:r>
          </w:p>
        </w:tc>
        <w:tc>
          <w:tcPr>
            <w:tcW w:w="7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宋体" w:hAnsi="宋体" w:cs="宋体" w:eastAsia="宋体" w:hint="default"/>
                <w:sz w:val="18"/>
                <w:szCs w:val="18"/>
              </w:rPr>
              <w:t>12</w:t>
            </w:r>
            <w:r>
              <w:rPr>
                <w:rFonts w:ascii="宋体" w:hAnsi="宋体" w:cs="宋体" w:eastAsia="宋体" w:hint="default"/>
                <w:sz w:val="18"/>
                <w:szCs w:val="18"/>
              </w:rPr>
              <w:t>个月后的首个交易日起至授予日起</w:t>
            </w:r>
            <w:r>
              <w:rPr>
                <w:rFonts w:ascii="宋体" w:hAnsi="宋体" w:cs="宋体" w:eastAsia="宋体" w:hint="default"/>
                <w:sz w:val="18"/>
                <w:szCs w:val="18"/>
              </w:rPr>
              <w:t>24</w:t>
            </w:r>
            <w:r>
              <w:rPr>
                <w:rFonts w:ascii="宋体" w:hAnsi="宋体" w:cs="宋体" w:eastAsia="宋体" w:hint="default"/>
                <w:sz w:val="18"/>
                <w:szCs w:val="18"/>
              </w:rPr>
              <w:t>个月内的最后一个交易日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30%</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第二个</w:t>
            </w:r>
          </w:p>
        </w:tc>
        <w:tc>
          <w:tcPr>
            <w:tcW w:w="7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宋体" w:hAnsi="宋体" w:cs="宋体" w:eastAsia="宋体" w:hint="default"/>
                <w:sz w:val="18"/>
                <w:szCs w:val="18"/>
              </w:rPr>
              <w:t>24</w:t>
            </w:r>
            <w:r>
              <w:rPr>
                <w:rFonts w:ascii="宋体" w:hAnsi="宋体" w:cs="宋体" w:eastAsia="宋体" w:hint="default"/>
                <w:sz w:val="18"/>
                <w:szCs w:val="18"/>
              </w:rPr>
              <w:t>个月后的首个交易日起至授予日起</w:t>
            </w:r>
            <w:r>
              <w:rPr>
                <w:rFonts w:ascii="宋体" w:hAnsi="宋体" w:cs="宋体" w:eastAsia="宋体" w:hint="default"/>
                <w:sz w:val="18"/>
                <w:szCs w:val="18"/>
              </w:rPr>
              <w:t>36</w:t>
            </w:r>
            <w:r>
              <w:rPr>
                <w:rFonts w:ascii="宋体" w:hAnsi="宋体" w:cs="宋体" w:eastAsia="宋体" w:hint="default"/>
                <w:sz w:val="18"/>
                <w:szCs w:val="18"/>
              </w:rPr>
              <w:t>个月内的最后一个交易日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30%</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第三个</w:t>
            </w:r>
          </w:p>
        </w:tc>
        <w:tc>
          <w:tcPr>
            <w:tcW w:w="7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宋体" w:hAnsi="宋体" w:cs="宋体" w:eastAsia="宋体" w:hint="default"/>
                <w:sz w:val="18"/>
                <w:szCs w:val="18"/>
              </w:rPr>
              <w:t>36</w:t>
            </w:r>
            <w:r>
              <w:rPr>
                <w:rFonts w:ascii="宋体" w:hAnsi="宋体" w:cs="宋体" w:eastAsia="宋体" w:hint="default"/>
                <w:sz w:val="18"/>
                <w:szCs w:val="18"/>
              </w:rPr>
              <w:t>个月后的首个交易日起至授予日起</w:t>
            </w:r>
            <w:r>
              <w:rPr>
                <w:rFonts w:ascii="宋体" w:hAnsi="宋体" w:cs="宋体" w:eastAsia="宋体" w:hint="default"/>
                <w:sz w:val="18"/>
                <w:szCs w:val="18"/>
              </w:rPr>
              <w:t>48</w:t>
            </w:r>
            <w:r>
              <w:rPr>
                <w:rFonts w:ascii="宋体" w:hAnsi="宋体" w:cs="宋体" w:eastAsia="宋体" w:hint="default"/>
                <w:sz w:val="18"/>
                <w:szCs w:val="18"/>
              </w:rPr>
              <w:t>个月内的最后一个交易日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40%</w:t>
            </w:r>
          </w:p>
        </w:tc>
      </w:tr>
    </w:tbl>
    <w:p>
      <w:pPr>
        <w:spacing w:line="205" w:lineRule="exact" w:before="0"/>
        <w:ind w:left="578" w:right="0" w:firstLine="0"/>
        <w:jc w:val="left"/>
        <w:rPr>
          <w:rFonts w:ascii="宋体" w:hAnsi="宋体" w:cs="宋体" w:eastAsia="宋体" w:hint="default"/>
          <w:sz w:val="18"/>
          <w:szCs w:val="18"/>
        </w:rPr>
      </w:pPr>
      <w:r>
        <w:rPr>
          <w:rFonts w:ascii="宋体" w:hAnsi="宋体" w:cs="宋体" w:eastAsia="宋体" w:hint="default"/>
          <w:sz w:val="18"/>
          <w:szCs w:val="18"/>
        </w:rPr>
        <w:t>在授予日起的</w:t>
      </w:r>
      <w:r>
        <w:rPr>
          <w:rFonts w:ascii="宋体" w:hAnsi="宋体" w:cs="宋体" w:eastAsia="宋体" w:hint="default"/>
          <w:sz w:val="18"/>
          <w:szCs w:val="18"/>
        </w:rPr>
        <w:t>12</w:t>
      </w:r>
      <w:r>
        <w:rPr>
          <w:rFonts w:ascii="宋体" w:hAnsi="宋体" w:cs="宋体" w:eastAsia="宋体" w:hint="default"/>
          <w:sz w:val="18"/>
          <w:szCs w:val="18"/>
        </w:rPr>
        <w:t>个月内，激励对象并不享有所获授的限制性股票的以下权利，包括但不限于该等股票的投票权或通过</w:t>
      </w:r>
    </w:p>
    <w:p>
      <w:pPr>
        <w:spacing w:line="357" w:lineRule="auto" w:before="115"/>
        <w:ind w:left="578" w:right="0" w:hanging="425"/>
        <w:jc w:val="left"/>
        <w:rPr>
          <w:rFonts w:ascii="宋体" w:hAnsi="宋体" w:cs="宋体" w:eastAsia="宋体" w:hint="default"/>
          <w:sz w:val="18"/>
          <w:szCs w:val="18"/>
        </w:rPr>
      </w:pPr>
      <w:r>
        <w:rPr>
          <w:rFonts w:ascii="宋体" w:hAnsi="宋体" w:cs="宋体" w:eastAsia="宋体" w:hint="default"/>
          <w:sz w:val="18"/>
          <w:szCs w:val="18"/>
        </w:rPr>
        <w:t>抵押、质押等任何方式支配该等限制性股票以获取利益的权利。 激励对象因获授的限制性股票在解锁前取得的现金股利由公司代管，作为应付股利在解锁时向激励对象支付。若根据</w:t>
      </w:r>
    </w:p>
    <w:p>
      <w:pPr>
        <w:spacing w:line="357" w:lineRule="auto" w:before="26"/>
        <w:ind w:left="578" w:right="0" w:hanging="425"/>
        <w:jc w:val="left"/>
        <w:rPr>
          <w:rFonts w:ascii="宋体" w:hAnsi="宋体" w:cs="宋体" w:eastAsia="宋体" w:hint="default"/>
          <w:sz w:val="18"/>
          <w:szCs w:val="18"/>
        </w:rPr>
      </w:pPr>
      <w:r>
        <w:rPr>
          <w:rFonts w:ascii="宋体" w:hAnsi="宋体" w:cs="宋体" w:eastAsia="宋体" w:hint="default"/>
          <w:sz w:val="18"/>
          <w:szCs w:val="18"/>
        </w:rPr>
        <w:t>本激励计划不能解锁，则由公司收回。 激励对象因获授的限制性股票在解锁前取得的红股、资本公积转增股份、配股股份、增发中向原股东配售的股份同时</w:t>
      </w:r>
    </w:p>
    <w:p>
      <w:pPr>
        <w:spacing w:line="357" w:lineRule="auto" w:before="25"/>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锁定，不得在二级市场出售或以其他方式转让，该等股票的锁定截止日期与相应限制性股票相同。若根据本激励计划不能解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锁，则由公司回购注销。</w:t>
      </w:r>
    </w:p>
    <w:p>
      <w:pPr>
        <w:spacing w:line="357" w:lineRule="auto" w:before="26"/>
        <w:ind w:left="578" w:right="4478" w:firstLine="0"/>
        <w:jc w:val="left"/>
        <w:rPr>
          <w:rFonts w:ascii="宋体" w:hAnsi="宋体" w:cs="宋体" w:eastAsia="宋体" w:hint="default"/>
          <w:sz w:val="18"/>
          <w:szCs w:val="18"/>
        </w:rPr>
      </w:pPr>
      <w:r>
        <w:rPr>
          <w:rFonts w:ascii="宋体" w:hAnsi="宋体" w:cs="宋体" w:eastAsia="宋体" w:hint="default"/>
          <w:sz w:val="18"/>
          <w:szCs w:val="18"/>
        </w:rPr>
        <w:t>第一个解锁期已达到激励计划规定的解锁条件，已于</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日解锁。 第二个解锁期已达到激励计划规定的解锁条件，已于</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日解锁。</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328"/>
      <w:bookmarkEnd w:id="32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舒尔斯期权定价模型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12,181,858.61</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1,220,932.95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三、承诺及或有事项" w:id="329"/>
      <w:bookmarkEnd w:id="329"/>
      <w:r>
        <w:rPr>
          <w:b w:val="0"/>
          <w:bCs w:val="0"/>
        </w:rPr>
      </w:r>
      <w:r>
        <w:rPr/>
        <w:t>十三、承诺及或有事项</w:t>
      </w:r>
      <w:r>
        <w:rPr>
          <w:b w:val="0"/>
          <w:bCs w:val="0"/>
        </w:rPr>
      </w:r>
    </w:p>
    <w:p>
      <w:pPr>
        <w:spacing w:line="570" w:lineRule="atLeast" w:before="43"/>
        <w:ind w:left="154" w:right="8022" w:firstLine="0"/>
        <w:jc w:val="left"/>
        <w:rPr>
          <w:rFonts w:ascii="宋体" w:hAnsi="宋体" w:cs="宋体" w:eastAsia="宋体" w:hint="default"/>
          <w:sz w:val="21"/>
          <w:szCs w:val="21"/>
        </w:rPr>
      </w:pPr>
      <w:bookmarkStart w:name="1、重要承诺事项" w:id="330"/>
      <w:bookmarkEnd w:id="33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t>资产负债表日存在的重要承诺</w:t>
      </w:r>
    </w:p>
    <w:p>
      <w:pPr>
        <w:pStyle w:val="BodyText"/>
        <w:spacing w:line="240" w:lineRule="auto" w:before="133"/>
        <w:ind w:left="574" w:right="0"/>
        <w:jc w:val="left"/>
      </w:pP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日，本公司无需披露的重要承诺事项。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left="153" w:right="0"/>
        <w:jc w:val="left"/>
        <w:rPr>
          <w:b w:val="0"/>
          <w:bCs w:val="0"/>
        </w:rPr>
      </w:pPr>
      <w:bookmarkStart w:name="2、或有事项" w:id="331"/>
      <w:bookmarkEnd w:id="33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53" w:right="0"/>
        <w:jc w:val="left"/>
        <w:rPr>
          <w:b w:val="0"/>
          <w:bCs w:val="0"/>
        </w:rPr>
      </w:pPr>
      <w:bookmarkStart w:name="（1）资产负债表日存在的重要或有事项" w:id="332"/>
      <w:bookmarkEnd w:id="33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pStyle w:val="BodyText"/>
        <w:spacing w:line="338" w:lineRule="auto" w:before="117"/>
        <w:ind w:right="1132" w:firstLine="336"/>
        <w:jc w:val="both"/>
      </w:pPr>
      <w:r>
        <w:rPr/>
        <w:t>①截至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日，本公司为承接建筑智能及工业自动化工程出具的未到期投标、履约及预付款保函</w:t>
      </w:r>
      <w:r>
        <w:rPr>
          <w:rFonts w:ascii="Times New Roman" w:hAnsi="Times New Roman" w:cs="Times New Roman" w:eastAsia="Times New Roman" w:hint="default"/>
        </w:rPr>
        <w:t>70 </w:t>
      </w:r>
      <w:r>
        <w:rPr/>
        <w:t>份，投标、履约及预付款保函金额为</w:t>
      </w:r>
      <w:r>
        <w:rPr>
          <w:rFonts w:ascii="Times New Roman" w:hAnsi="Times New Roman" w:cs="Times New Roman" w:eastAsia="Times New Roman" w:hint="default"/>
        </w:rPr>
        <w:t>125,436,506.64</w:t>
      </w:r>
      <w:r>
        <w:rPr>
          <w:rFonts w:ascii="Times New Roman" w:hAnsi="Times New Roman" w:cs="Times New Roman" w:eastAsia="Times New Roman" w:hint="default"/>
          <w:spacing w:val="26"/>
        </w:rPr>
        <w:t> </w:t>
      </w:r>
      <w:r>
        <w:rPr/>
        <w:t>元，其存入保函保证金金额为</w:t>
      </w:r>
      <w:r>
        <w:rPr>
          <w:rFonts w:ascii="Times New Roman" w:hAnsi="Times New Roman" w:cs="Times New Roman" w:eastAsia="Times New Roman" w:hint="default"/>
        </w:rPr>
        <w:t>3,412,428.45</w:t>
      </w:r>
      <w:r>
        <w:rPr/>
        <w:t>元；应付票 据金额为</w:t>
      </w:r>
      <w:r>
        <w:rPr>
          <w:rFonts w:ascii="Times New Roman" w:hAnsi="Times New Roman" w:cs="Times New Roman" w:eastAsia="Times New Roman" w:hint="default"/>
        </w:rPr>
        <w:t>6,553,684.00</w:t>
      </w:r>
      <w:r>
        <w:rPr/>
        <w:t>元，其保证金为</w:t>
      </w:r>
      <w:r>
        <w:rPr>
          <w:rFonts w:ascii="Times New Roman" w:hAnsi="Times New Roman" w:cs="Times New Roman" w:eastAsia="Times New Roman" w:hint="default"/>
        </w:rPr>
        <w:t>3,276,,842.00</w:t>
      </w:r>
      <w:r>
        <w:rPr/>
        <w:t>元；</w:t>
      </w:r>
    </w:p>
    <w:p>
      <w:pPr>
        <w:spacing w:after="0" w:line="338" w:lineRule="auto"/>
        <w:jc w:val="both"/>
        <w:sectPr>
          <w:pgSz w:w="11910" w:h="16840"/>
          <w:pgMar w:header="877" w:footer="979" w:top="1060" w:bottom="1160" w:left="980" w:right="0"/>
        </w:sectPr>
      </w:pPr>
    </w:p>
    <w:p>
      <w:pPr>
        <w:spacing w:line="240" w:lineRule="auto" w:before="3"/>
        <w:rPr>
          <w:rFonts w:ascii="宋体" w:hAnsi="宋体" w:cs="宋体" w:eastAsia="宋体" w:hint="default"/>
          <w:sz w:val="23"/>
          <w:szCs w:val="23"/>
        </w:rPr>
      </w:pPr>
    </w:p>
    <w:p>
      <w:pPr>
        <w:pStyle w:val="BodyText"/>
        <w:spacing w:line="240" w:lineRule="auto" w:before="35"/>
        <w:ind w:left="577" w:right="0"/>
        <w:jc w:val="left"/>
      </w:pPr>
      <w:r>
        <w:rPr/>
        <w:t>未到期前十明细如下：</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262"/>
        <w:gridCol w:w="1559"/>
        <w:gridCol w:w="1646"/>
        <w:gridCol w:w="1386"/>
        <w:gridCol w:w="1722"/>
      </w:tblGrid>
      <w:tr>
        <w:trPr>
          <w:trHeight w:val="330" w:hRule="exact"/>
        </w:trPr>
        <w:tc>
          <w:tcPr>
            <w:tcW w:w="3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受益人</w:t>
            </w:r>
            <w:r>
              <w:rPr>
                <w:rFonts w:ascii="宋体" w:hAnsi="宋体" w:cs="宋体" w:eastAsia="宋体" w:hint="default"/>
                <w:sz w:val="21"/>
                <w:szCs w:val="21"/>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77" w:right="0"/>
              <w:jc w:val="left"/>
              <w:rPr>
                <w:rFonts w:ascii="宋体" w:hAnsi="宋体" w:cs="宋体" w:eastAsia="宋体" w:hint="default"/>
                <w:sz w:val="21"/>
                <w:szCs w:val="21"/>
              </w:rPr>
            </w:pPr>
            <w:r>
              <w:rPr>
                <w:rFonts w:ascii="宋体" w:hAnsi="宋体" w:cs="宋体" w:eastAsia="宋体" w:hint="default"/>
                <w:b/>
                <w:bCs/>
                <w:sz w:val="21"/>
                <w:szCs w:val="21"/>
              </w:rPr>
              <w:t>保函、票据押金</w:t>
            </w:r>
            <w:r>
              <w:rPr>
                <w:rFonts w:ascii="宋体" w:hAnsi="宋体" w:cs="宋体" w:eastAsia="宋体" w:hint="default"/>
                <w:sz w:val="21"/>
                <w:szCs w:val="21"/>
              </w:rPr>
            </w:r>
          </w:p>
        </w:tc>
        <w:tc>
          <w:tcPr>
            <w:tcW w:w="13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7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430" w:right="0"/>
              <w:jc w:val="left"/>
              <w:rPr>
                <w:rFonts w:ascii="宋体" w:hAnsi="宋体" w:cs="宋体" w:eastAsia="宋体" w:hint="default"/>
                <w:sz w:val="21"/>
                <w:szCs w:val="21"/>
              </w:rPr>
            </w:pPr>
            <w:r>
              <w:rPr>
                <w:rFonts w:ascii="宋体" w:hAnsi="宋体" w:cs="宋体" w:eastAsia="宋体" w:hint="default"/>
                <w:b/>
                <w:bCs/>
                <w:sz w:val="21"/>
                <w:szCs w:val="21"/>
              </w:rPr>
              <w:t>开具银行</w:t>
            </w:r>
            <w:r>
              <w:rPr>
                <w:rFonts w:ascii="宋体" w:hAnsi="宋体" w:cs="宋体" w:eastAsia="宋体" w:hint="default"/>
                <w:sz w:val="21"/>
                <w:szCs w:val="21"/>
              </w:rPr>
            </w:r>
          </w:p>
        </w:tc>
      </w:tr>
      <w:tr>
        <w:trPr>
          <w:trHeight w:val="365" w:hRule="exact"/>
        </w:trPr>
        <w:tc>
          <w:tcPr>
            <w:tcW w:w="326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中铁成都投资发展有限公司</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21"/>
                <w:szCs w:val="21"/>
              </w:rPr>
            </w:pPr>
            <w:r>
              <w:rPr>
                <w:rFonts w:ascii="Times New Roman"/>
                <w:sz w:val="21"/>
              </w:rPr>
              <w:t>13,800,000.00</w:t>
            </w:r>
          </w:p>
        </w:tc>
        <w:tc>
          <w:tcPr>
            <w:tcW w:w="1646" w:type="dxa"/>
            <w:tcBorders>
              <w:top w:val="single" w:sz="10" w:space="0" w:color="000000"/>
              <w:left w:val="single" w:sz="6" w:space="0" w:color="000000"/>
              <w:bottom w:val="single" w:sz="6" w:space="0" w:color="000000"/>
              <w:right w:val="single" w:sz="6" w:space="0" w:color="000000"/>
            </w:tcBorders>
          </w:tcPr>
          <w:p>
            <w:pPr/>
          </w:p>
        </w:tc>
        <w:tc>
          <w:tcPr>
            <w:tcW w:w="13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2016-6-30</w:t>
            </w:r>
          </w:p>
        </w:tc>
        <w:tc>
          <w:tcPr>
            <w:tcW w:w="17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中国银行</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长沙市轨道交通集团有限公司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13,798,888.86</w:t>
            </w:r>
          </w:p>
        </w:tc>
        <w:tc>
          <w:tcPr>
            <w:tcW w:w="164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2016-12-31</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平安银行</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福州市城市地铁有限责任公司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13,440,000.00</w:t>
            </w:r>
          </w:p>
        </w:tc>
        <w:tc>
          <w:tcPr>
            <w:tcW w:w="164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2017-5-31</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中国银行</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福州市城市地铁有限责任公司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8,960,000.00</w:t>
            </w:r>
          </w:p>
        </w:tc>
        <w:tc>
          <w:tcPr>
            <w:tcW w:w="164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2017-9-10</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平安银行</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中铁成都投资发展有限公司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6,900,000.00</w:t>
            </w:r>
          </w:p>
        </w:tc>
        <w:tc>
          <w:tcPr>
            <w:tcW w:w="164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2017-7-28</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中国银行</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南宁轨道交通集团有限责任公司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5,400,000.00</w:t>
            </w:r>
          </w:p>
        </w:tc>
        <w:tc>
          <w:tcPr>
            <w:tcW w:w="164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2015-4-30</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中国银行</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中技国际招标公司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4,000,000.00</w:t>
            </w:r>
          </w:p>
        </w:tc>
        <w:tc>
          <w:tcPr>
            <w:tcW w:w="164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2015-12-31</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中国银行</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中国广核集团有限公司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3,447,090.00</w:t>
            </w:r>
          </w:p>
        </w:tc>
        <w:tc>
          <w:tcPr>
            <w:tcW w:w="164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2015-8-10</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平安银行</w:t>
            </w:r>
          </w:p>
        </w:tc>
      </w:tr>
      <w:tr>
        <w:trPr>
          <w:trHeight w:val="659"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宋体" w:hAnsi="宋体" w:cs="宋体" w:eastAsia="宋体" w:hint="default"/>
                <w:sz w:val="21"/>
                <w:szCs w:val="21"/>
              </w:rPr>
            </w:pPr>
            <w:r>
              <w:rPr>
                <w:rFonts w:ascii="宋体" w:hAnsi="宋体" w:cs="宋体" w:eastAsia="宋体" w:hint="default"/>
                <w:spacing w:val="9"/>
                <w:sz w:val="21"/>
                <w:szCs w:val="21"/>
              </w:rPr>
              <w:t>范德兰德物流自动化系统</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上海</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有</w:t>
            </w:r>
            <w:r>
              <w:rPr>
                <w:rFonts w:ascii="宋体" w:hAnsi="宋体" w:cs="宋体" w:eastAsia="宋体" w:hint="default"/>
                <w:spacing w:val="-98"/>
                <w:sz w:val="21"/>
                <w:szCs w:val="21"/>
              </w:rPr>
              <w:t> </w:t>
            </w:r>
            <w:r>
              <w:rPr>
                <w:rFonts w:ascii="宋体" w:hAnsi="宋体" w:cs="宋体" w:eastAsia="宋体" w:hint="default"/>
                <w:sz w:val="21"/>
                <w:szCs w:val="21"/>
              </w:rPr>
              <w:t>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3,080,000.00</w:t>
            </w:r>
          </w:p>
        </w:tc>
        <w:tc>
          <w:tcPr>
            <w:tcW w:w="164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2015-5-31</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中国建设银行</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中国广核集团有限公司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3,029,000.00</w:t>
            </w:r>
          </w:p>
        </w:tc>
        <w:tc>
          <w:tcPr>
            <w:tcW w:w="164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2015-8-10</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平安银行</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56,135,211.78</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6,689,270.45</w:t>
            </w:r>
          </w:p>
        </w:tc>
        <w:tc>
          <w:tcPr>
            <w:tcW w:w="1386" w:type="dxa"/>
            <w:tcBorders>
              <w:top w:val="single" w:sz="6" w:space="0" w:color="000000"/>
              <w:left w:val="single" w:sz="6" w:space="0" w:color="000000"/>
              <w:bottom w:val="single" w:sz="6" w:space="0" w:color="000000"/>
              <w:right w:val="single" w:sz="6" w:space="0" w:color="000000"/>
            </w:tcBorders>
          </w:tcPr>
          <w:p>
            <w:pPr/>
          </w:p>
        </w:tc>
        <w:tc>
          <w:tcPr>
            <w:tcW w:w="172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131,990,190.64</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6,689,270.45</w:t>
            </w:r>
          </w:p>
        </w:tc>
        <w:tc>
          <w:tcPr>
            <w:tcW w:w="1386" w:type="dxa"/>
            <w:tcBorders>
              <w:top w:val="single" w:sz="6" w:space="0" w:color="000000"/>
              <w:left w:val="single" w:sz="6" w:space="0" w:color="000000"/>
              <w:bottom w:val="single" w:sz="6" w:space="0" w:color="000000"/>
              <w:right w:val="single" w:sz="6" w:space="0" w:color="000000"/>
            </w:tcBorders>
          </w:tcPr>
          <w:p>
            <w:pPr/>
          </w:p>
        </w:tc>
        <w:tc>
          <w:tcPr>
            <w:tcW w:w="172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before="0"/>
        <w:ind w:left="578" w:right="0"/>
        <w:jc w:val="left"/>
      </w:pPr>
      <w:r>
        <w:rPr/>
        <w:t>若公司未按合同履约，将在有效期内向受益人支付不超过保函金额的赔偿额。</w:t>
      </w:r>
    </w:p>
    <w:p>
      <w:pPr>
        <w:pStyle w:val="BodyText"/>
        <w:spacing w:line="357" w:lineRule="auto" w:before="133"/>
        <w:ind w:right="0" w:firstLine="424"/>
        <w:jc w:val="left"/>
      </w:pPr>
      <w:r>
        <w:rPr/>
        <w:t>②截至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日，本公司已背书给他方但尚未到期的应收票据共有</w:t>
      </w:r>
      <w:r>
        <w:rPr>
          <w:rFonts w:ascii="宋体" w:hAnsi="宋体" w:cs="宋体" w:eastAsia="宋体" w:hint="default"/>
        </w:rPr>
        <w:t>17,197,057.70</w:t>
      </w:r>
      <w:r>
        <w:rPr/>
        <w:t>元，其中商 业承兑汇票</w:t>
      </w:r>
      <w:r>
        <w:rPr>
          <w:rFonts w:ascii="宋体" w:hAnsi="宋体" w:cs="宋体" w:eastAsia="宋体" w:hint="default"/>
        </w:rPr>
        <w:t>5,506,796.06</w:t>
      </w:r>
      <w:r>
        <w:rPr/>
        <w:t>元。上述商业承兑汇票可能存在票据到期时出票人拒付风险。</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333"/>
      <w:bookmarkEnd w:id="33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十四、资产负债表日后事项" w:id="334"/>
      <w:bookmarkEnd w:id="334"/>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335"/>
      <w:bookmarkEnd w:id="335"/>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员工限制性股票激励计划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-22,835,900.00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-22,835,900.00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336"/>
      <w:bookmarkEnd w:id="33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其他资产负债表日后事项说明" w:id="337"/>
      <w:bookmarkEnd w:id="337"/>
      <w:r>
        <w:rPr>
          <w:b w:val="0"/>
          <w:bCs w:val="0"/>
        </w:rPr>
      </w:r>
      <w:r>
        <w:rPr>
          <w:rFonts w:ascii="Times New Roman" w:hAnsi="Times New Roman" w:cs="Times New Roman" w:eastAsia="Times New Roman" w:hint="default"/>
        </w:rPr>
        <w:t>3</w:t>
      </w:r>
      <w:r>
        <w:rPr/>
        <w:t>、其他资产负债表日后事项说明</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32" w:firstLine="355"/>
        <w:jc w:val="both"/>
      </w:pPr>
      <w:r>
        <w:rPr/>
        <w:t>截止本报告批准报出日，经公司第五届董事会第十八次会议审议并通过《</w:t>
      </w:r>
      <w:r>
        <w:rPr>
          <w:rFonts w:ascii="宋体" w:hAnsi="宋体" w:cs="宋体" w:eastAsia="宋体" w:hint="default"/>
        </w:rPr>
        <w:t>2014</w:t>
      </w:r>
      <w:r>
        <w:rPr/>
        <w:t>年度利润分配预案》， 以</w:t>
      </w:r>
      <w:r>
        <w:rPr>
          <w:rFonts w:ascii="宋体" w:hAnsi="宋体" w:cs="宋体" w:eastAsia="宋体" w:hint="default"/>
        </w:rPr>
        <w:t>2015</w:t>
      </w:r>
      <w:r>
        <w:rPr/>
        <w:t>年</w:t>
      </w:r>
      <w:r>
        <w:rPr>
          <w:rFonts w:ascii="宋体" w:hAnsi="宋体" w:cs="宋体" w:eastAsia="宋体" w:hint="default"/>
        </w:rPr>
        <w:t>03</w:t>
      </w:r>
      <w:r>
        <w:rPr/>
        <w:t>月</w:t>
      </w:r>
      <w:r>
        <w:rPr>
          <w:rFonts w:ascii="宋体" w:hAnsi="宋体" w:cs="宋体" w:eastAsia="宋体" w:hint="default"/>
        </w:rPr>
        <w:t>05</w:t>
      </w:r>
      <w:r>
        <w:rPr/>
        <w:t>日的公司总股本</w:t>
      </w:r>
      <w:r>
        <w:rPr>
          <w:rFonts w:ascii="宋体" w:hAnsi="宋体" w:cs="宋体" w:eastAsia="宋体" w:hint="default"/>
        </w:rPr>
        <w:t>261,600,000</w:t>
      </w:r>
      <w:r>
        <w:rPr/>
        <w:t>股为基数，向全体股东每</w:t>
      </w:r>
      <w:r>
        <w:rPr>
          <w:rFonts w:ascii="宋体" w:hAnsi="宋体" w:cs="宋体" w:eastAsia="宋体" w:hint="default"/>
        </w:rPr>
        <w:t>10 </w:t>
      </w:r>
      <w:r>
        <w:rPr/>
        <w:t>股派发现金股利 </w:t>
      </w:r>
      <w:r>
        <w:rPr>
          <w:rFonts w:ascii="宋体" w:hAnsi="宋体" w:cs="宋体" w:eastAsia="宋体" w:hint="default"/>
        </w:rPr>
        <w:t>1</w:t>
      </w:r>
      <w:r>
        <w:rPr>
          <w:rFonts w:ascii="宋体" w:hAnsi="宋体" w:cs="宋体" w:eastAsia="宋体" w:hint="default"/>
          <w:spacing w:val="-66"/>
        </w:rPr>
        <w:t> </w:t>
      </w:r>
      <w:r>
        <w:rPr>
          <w:spacing w:val="-11"/>
        </w:rPr>
        <w:t>元人民币（含</w:t>
      </w:r>
      <w:r>
        <w:rPr/>
        <w:t> 税），同时以资本公积金向全体股东每 </w:t>
      </w:r>
      <w:r>
        <w:rPr>
          <w:rFonts w:ascii="宋体" w:hAnsi="宋体" w:cs="宋体" w:eastAsia="宋体" w:hint="default"/>
        </w:rPr>
        <w:t>10 </w:t>
      </w:r>
      <w:r>
        <w:rPr/>
        <w:t>股转增 </w:t>
      </w:r>
      <w:r>
        <w:rPr>
          <w:rFonts w:ascii="宋体" w:hAnsi="宋体" w:cs="宋体" w:eastAsia="宋体" w:hint="default"/>
        </w:rPr>
        <w:t>12</w:t>
      </w:r>
      <w:r>
        <w:rPr>
          <w:rFonts w:ascii="宋体" w:hAnsi="宋体" w:cs="宋体" w:eastAsia="宋体" w:hint="default"/>
          <w:spacing w:val="-3"/>
        </w:rPr>
        <w:t> </w:t>
      </w:r>
      <w:r>
        <w:rPr/>
        <w:t>股。上述分配预案须经股东大会审议通过。</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五、其他重要事项" w:id="338"/>
      <w:bookmarkEnd w:id="338"/>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分部信息" w:id="339"/>
      <w:bookmarkEnd w:id="339"/>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分部的财务信息" w:id="340"/>
      <w:bookmarkEnd w:id="340"/>
      <w:r>
        <w:rPr>
          <w:b w:val="0"/>
          <w:bCs w:val="0"/>
        </w:rPr>
      </w:r>
      <w:r>
        <w:rPr/>
        <w:t>（</w:t>
      </w:r>
      <w:r>
        <w:rPr>
          <w:rFonts w:ascii="Times New Roman" w:hAnsi="Times New Roman" w:cs="Times New Roman" w:eastAsia="Times New Roman" w:hint="default"/>
        </w:rPr>
        <w:t>1</w:t>
      </w:r>
      <w:r>
        <w:rPr/>
        <w:t>）报告分部的财务信息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5"/>
        <w:ind w:left="573" w:right="0"/>
        <w:jc w:val="left"/>
      </w:pPr>
      <w:r>
        <w:rPr/>
        <w:t>（</w:t>
      </w:r>
      <w:r>
        <w:rPr>
          <w:rFonts w:ascii="Times New Roman" w:hAnsi="Times New Roman" w:cs="Times New Roman" w:eastAsia="Times New Roman" w:hint="default"/>
        </w:rPr>
        <w:t>1</w:t>
      </w:r>
      <w:r>
        <w:rPr/>
        <w:t>）主营业务（分行业）</w:t>
      </w:r>
    </w:p>
    <w:p>
      <w:pPr>
        <w:pStyle w:val="BodyText"/>
        <w:spacing w:line="240" w:lineRule="auto" w:before="21"/>
        <w:ind w:left="0" w:right="1130"/>
        <w:jc w:val="right"/>
      </w:pPr>
      <w:r>
        <w:rPr>
          <w:spacing w:val="-1"/>
        </w:rPr>
        <w:t>单位：元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410"/>
        <w:gridCol w:w="1844"/>
        <w:gridCol w:w="1843"/>
        <w:gridCol w:w="1842"/>
        <w:gridCol w:w="1702"/>
      </w:tblGrid>
      <w:tr>
        <w:trPr>
          <w:trHeight w:val="347" w:hRule="exact"/>
        </w:trPr>
        <w:tc>
          <w:tcPr>
            <w:tcW w:w="241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8"/>
              <w:ind w:left="797" w:right="0"/>
              <w:jc w:val="left"/>
              <w:rPr>
                <w:rFonts w:ascii="宋体" w:hAnsi="宋体" w:cs="宋体" w:eastAsia="宋体" w:hint="default"/>
                <w:sz w:val="20"/>
                <w:szCs w:val="20"/>
              </w:rPr>
            </w:pPr>
            <w:r>
              <w:rPr>
                <w:rFonts w:ascii="宋体" w:hAnsi="宋体" w:cs="宋体" w:eastAsia="宋体" w:hint="default"/>
                <w:sz w:val="20"/>
                <w:szCs w:val="20"/>
              </w:rPr>
              <w:t>行业名称</w:t>
            </w:r>
          </w:p>
        </w:tc>
        <w:tc>
          <w:tcPr>
            <w:tcW w:w="368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54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7" w:hRule="exact"/>
        </w:trPr>
        <w:tc>
          <w:tcPr>
            <w:tcW w:w="2410" w:type="dxa"/>
            <w:vMerge/>
            <w:tcBorders>
              <w:left w:val="single" w:sz="6" w:space="0" w:color="000000"/>
              <w:bottom w:val="single" w:sz="6" w:space="0" w:color="000000"/>
              <w:right w:val="single" w:sz="6" w:space="0" w:color="000000"/>
            </w:tcBorders>
            <w:shd w:val="clear" w:color="auto" w:fill="D9D9D9"/>
          </w:tcPr>
          <w:p>
            <w:pP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14"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1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1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42" w:right="0"/>
              <w:jc w:val="left"/>
              <w:rPr>
                <w:rFonts w:ascii="宋体" w:hAnsi="宋体" w:cs="宋体" w:eastAsia="宋体" w:hint="default"/>
                <w:sz w:val="20"/>
                <w:szCs w:val="20"/>
              </w:rPr>
            </w:pPr>
            <w:r>
              <w:rPr>
                <w:rFonts w:ascii="宋体" w:hAnsi="宋体" w:cs="宋体" w:eastAsia="宋体" w:hint="default"/>
                <w:sz w:val="20"/>
                <w:szCs w:val="20"/>
              </w:rPr>
              <w:t>营业成本</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建筑智能化及建筑节能</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889,625,801.98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654,442,399.29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748,600,663.03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560,933,015.91</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绿色建筑公用工程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236,671,479.65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141,432,446.57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167,998,524.25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106,843,650.37</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工业自动化</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42,420,832.79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33,600,666.10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22,967,056.20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16,204,545.23</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终端产品及其他</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55,552,552.51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15,162,550.13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39,350,388.70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12,431,583.62</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融资租赁</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4,846,347.24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2,252,007.64</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0"/>
                <w:sz w:val="20"/>
                <w:szCs w:val="20"/>
              </w:rPr>
              <w:t> </w:t>
            </w:r>
            <w:r>
              <w:rPr>
                <w:rFonts w:ascii="宋体" w:hAnsi="宋体" w:cs="宋体" w:eastAsia="宋体" w:hint="default"/>
                <w:sz w:val="20"/>
                <w:szCs w:val="20"/>
              </w:rPr>
              <w:t>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1,229,117,014.17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846,890,069.73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978,916,632.18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696,412,795.13</w:t>
            </w:r>
          </w:p>
        </w:tc>
      </w:tr>
    </w:tbl>
    <w:p>
      <w:pPr>
        <w:pStyle w:val="BodyText"/>
        <w:spacing w:line="276" w:lineRule="exact" w:before="0"/>
        <w:ind w:left="574" w:right="0"/>
        <w:jc w:val="left"/>
      </w:pPr>
      <w:r>
        <w:rPr/>
        <w:t>（</w:t>
      </w:r>
      <w:r>
        <w:rPr>
          <w:rFonts w:ascii="Times New Roman" w:hAnsi="Times New Roman" w:cs="Times New Roman" w:eastAsia="Times New Roman" w:hint="default"/>
        </w:rPr>
        <w:t>2</w:t>
      </w:r>
      <w:r>
        <w:rPr/>
        <w:t>）主营业务（分地区）</w:t>
      </w:r>
    </w:p>
    <w:p>
      <w:pPr>
        <w:pStyle w:val="BodyText"/>
        <w:spacing w:line="240" w:lineRule="auto" w:before="21"/>
        <w:ind w:left="0" w:right="1130"/>
        <w:jc w:val="right"/>
      </w:pPr>
      <w:r>
        <w:rPr>
          <w:spacing w:val="-1"/>
        </w:rPr>
        <w:t>单位：元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426"/>
        <w:gridCol w:w="1844"/>
        <w:gridCol w:w="1843"/>
        <w:gridCol w:w="1842"/>
        <w:gridCol w:w="1700"/>
      </w:tblGrid>
      <w:tr>
        <w:trPr>
          <w:trHeight w:val="348" w:hRule="exact"/>
        </w:trPr>
        <w:tc>
          <w:tcPr>
            <w:tcW w:w="242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9"/>
              <w:ind w:right="0"/>
              <w:jc w:val="center"/>
              <w:rPr>
                <w:rFonts w:ascii="宋体" w:hAnsi="宋体" w:cs="宋体" w:eastAsia="宋体" w:hint="default"/>
                <w:sz w:val="20"/>
                <w:szCs w:val="20"/>
              </w:rPr>
            </w:pPr>
            <w:r>
              <w:rPr>
                <w:rFonts w:ascii="宋体" w:hAnsi="宋体" w:cs="宋体" w:eastAsia="宋体" w:hint="default"/>
                <w:sz w:val="20"/>
                <w:szCs w:val="20"/>
              </w:rPr>
              <w:t>地区名称</w:t>
            </w:r>
          </w:p>
        </w:tc>
        <w:tc>
          <w:tcPr>
            <w:tcW w:w="368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54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6" w:hRule="exact"/>
        </w:trPr>
        <w:tc>
          <w:tcPr>
            <w:tcW w:w="2426" w:type="dxa"/>
            <w:vMerge/>
            <w:tcBorders>
              <w:left w:val="single" w:sz="6" w:space="0" w:color="000000"/>
              <w:bottom w:val="single" w:sz="6" w:space="0" w:color="000000"/>
              <w:right w:val="single" w:sz="6" w:space="0" w:color="000000"/>
            </w:tcBorders>
            <w:shd w:val="clear" w:color="auto" w:fill="D9D9D9"/>
          </w:tcPr>
          <w:p>
            <w:pP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51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51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51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442" w:right="0"/>
              <w:jc w:val="left"/>
              <w:rPr>
                <w:rFonts w:ascii="宋体" w:hAnsi="宋体" w:cs="宋体" w:eastAsia="宋体" w:hint="default"/>
                <w:sz w:val="20"/>
                <w:szCs w:val="20"/>
              </w:rPr>
            </w:pPr>
            <w:r>
              <w:rPr>
                <w:rFonts w:ascii="宋体" w:hAnsi="宋体" w:cs="宋体" w:eastAsia="宋体" w:hint="default"/>
                <w:sz w:val="20"/>
                <w:szCs w:val="20"/>
              </w:rPr>
              <w:t>营业成本</w:t>
            </w:r>
          </w:p>
        </w:tc>
      </w:tr>
      <w:tr>
        <w:trPr>
          <w:trHeight w:val="34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82" w:right="0"/>
              <w:jc w:val="left"/>
              <w:rPr>
                <w:rFonts w:ascii="宋体" w:hAnsi="宋体" w:cs="宋体" w:eastAsia="宋体" w:hint="default"/>
                <w:sz w:val="20"/>
                <w:szCs w:val="20"/>
              </w:rPr>
            </w:pPr>
            <w:r>
              <w:rPr>
                <w:rFonts w:ascii="宋体" w:hAnsi="宋体" w:cs="宋体" w:eastAsia="宋体" w:hint="default"/>
                <w:sz w:val="20"/>
                <w:szCs w:val="20"/>
              </w:rPr>
              <w:t>华南地区</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407,981,856.53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297,190,149.03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314,755,271.25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232,044,330.50</w:t>
            </w:r>
          </w:p>
        </w:tc>
      </w:tr>
      <w:tr>
        <w:trPr>
          <w:trHeight w:val="34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82" w:right="0"/>
              <w:jc w:val="left"/>
              <w:rPr>
                <w:rFonts w:ascii="宋体" w:hAnsi="宋体" w:cs="宋体" w:eastAsia="宋体" w:hint="default"/>
                <w:sz w:val="20"/>
                <w:szCs w:val="20"/>
              </w:rPr>
            </w:pPr>
            <w:r>
              <w:rPr>
                <w:rFonts w:ascii="宋体" w:hAnsi="宋体" w:cs="宋体" w:eastAsia="宋体" w:hint="default"/>
                <w:sz w:val="20"/>
                <w:szCs w:val="20"/>
              </w:rPr>
              <w:t>华东地区</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486,143,025.49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315,339,216.21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283,954,180.42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173,560,146.70</w:t>
            </w:r>
          </w:p>
        </w:tc>
      </w:tr>
      <w:tr>
        <w:trPr>
          <w:trHeight w:val="34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82" w:right="0"/>
              <w:jc w:val="left"/>
              <w:rPr>
                <w:rFonts w:ascii="宋体" w:hAnsi="宋体" w:cs="宋体" w:eastAsia="宋体" w:hint="default"/>
                <w:sz w:val="20"/>
                <w:szCs w:val="20"/>
              </w:rPr>
            </w:pPr>
            <w:r>
              <w:rPr>
                <w:rFonts w:ascii="宋体" w:hAnsi="宋体" w:cs="宋体" w:eastAsia="宋体" w:hint="default"/>
                <w:sz w:val="20"/>
                <w:szCs w:val="20"/>
              </w:rPr>
              <w:t>华北地区</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47,709,670.20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35,663,557.09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60,122,305.91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44,243,787.17</w:t>
            </w:r>
          </w:p>
        </w:tc>
      </w:tr>
      <w:tr>
        <w:trPr>
          <w:trHeight w:val="34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82" w:right="0"/>
              <w:jc w:val="left"/>
              <w:rPr>
                <w:rFonts w:ascii="宋体" w:hAnsi="宋体" w:cs="宋体" w:eastAsia="宋体" w:hint="default"/>
                <w:sz w:val="20"/>
                <w:szCs w:val="20"/>
              </w:rPr>
            </w:pPr>
            <w:r>
              <w:rPr>
                <w:rFonts w:ascii="宋体" w:hAnsi="宋体" w:cs="宋体" w:eastAsia="宋体" w:hint="default"/>
                <w:sz w:val="20"/>
                <w:szCs w:val="20"/>
              </w:rPr>
              <w:t>东北地区</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53,150,131.59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43,848,960.08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54,669,870.76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44,747,952.01</w:t>
            </w:r>
          </w:p>
        </w:tc>
      </w:tr>
      <w:tr>
        <w:trPr>
          <w:trHeight w:val="348"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82" w:right="0"/>
              <w:jc w:val="left"/>
              <w:rPr>
                <w:rFonts w:ascii="宋体" w:hAnsi="宋体" w:cs="宋体" w:eastAsia="宋体" w:hint="default"/>
                <w:sz w:val="20"/>
                <w:szCs w:val="20"/>
              </w:rPr>
            </w:pPr>
            <w:r>
              <w:rPr>
                <w:rFonts w:ascii="宋体" w:hAnsi="宋体" w:cs="宋体" w:eastAsia="宋体" w:hint="default"/>
                <w:sz w:val="20"/>
                <w:szCs w:val="20"/>
              </w:rPr>
              <w:t>华中地区</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66,632,518.97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43,751,928.80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177,729,131.17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138,757,489.13</w:t>
            </w:r>
          </w:p>
        </w:tc>
      </w:tr>
      <w:tr>
        <w:trPr>
          <w:trHeight w:val="34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2"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148,798,610.69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98,339,489.00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70,204,058.30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50,588,309.69</w:t>
            </w:r>
          </w:p>
        </w:tc>
      </w:tr>
      <w:tr>
        <w:trPr>
          <w:trHeight w:val="34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82" w:right="0"/>
              <w:jc w:val="left"/>
              <w:rPr>
                <w:rFonts w:ascii="宋体" w:hAnsi="宋体" w:cs="宋体" w:eastAsia="宋体" w:hint="default"/>
                <w:sz w:val="20"/>
                <w:szCs w:val="20"/>
              </w:rPr>
            </w:pPr>
            <w:r>
              <w:rPr>
                <w:rFonts w:ascii="宋体" w:hAnsi="宋体" w:cs="宋体" w:eastAsia="宋体" w:hint="default"/>
                <w:sz w:val="20"/>
                <w:szCs w:val="20"/>
              </w:rPr>
              <w:t>西北地区</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18,701,200.70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12,756,769.52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17,481,814.37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12,470,779.93</w:t>
            </w:r>
          </w:p>
        </w:tc>
      </w:tr>
      <w:tr>
        <w:trPr>
          <w:trHeight w:val="348"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0"/>
                <w:sz w:val="20"/>
                <w:szCs w:val="20"/>
              </w:rPr>
              <w:t> </w:t>
            </w:r>
            <w:r>
              <w:rPr>
                <w:rFonts w:ascii="宋体" w:hAnsi="宋体" w:cs="宋体" w:eastAsia="宋体" w:hint="default"/>
                <w:sz w:val="20"/>
                <w:szCs w:val="20"/>
              </w:rPr>
              <w:t>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1,229,117,014.17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846,890,069.73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978,916,632.18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696,412,795.13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母公司财务报表主要项目注释" w:id="341"/>
      <w:bookmarkEnd w:id="341"/>
      <w:r>
        <w:rPr>
          <w:b w:val="0"/>
          <w:bCs w:val="0"/>
        </w:rPr>
      </w: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342"/>
      <w:bookmarkEnd w:id="34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343"/>
      <w:bookmarkEnd w:id="34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468,480,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161.51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25,162,2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40.56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443,317,9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20.95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428,916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,600.56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20,079,06</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408,837,53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4.57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424,277.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45,479.49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468,904,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439.48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25,586,5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18.53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443,317,9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20.95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428,962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,080.05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20,124,54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5.48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4.69%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408,837,53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4.57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318,670,575.42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9,560,117.26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91,729,979.58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4,586,498.98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45,060,447.35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4,506,044.74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13,019,159.16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6,509,579.58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6,515,116.24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3,257,558.12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2,302,112.24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1,151,056.12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4,201,930.68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2,100,965.34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468,480,161.51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25,162,240.56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344"/>
      <w:bookmarkEnd w:id="3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5,583,472.14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本期实际核销的应收账款情况" w:id="345"/>
      <w:bookmarkEnd w:id="34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121,499.09</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121,499.09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2012"/>
        <w:gridCol w:w="1288"/>
        <w:gridCol w:w="1680"/>
        <w:gridCol w:w="1596"/>
        <w:gridCol w:w="1309"/>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 程序</w:t>
            </w: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9" w:right="108"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广州颐和南湖高尔夫 会员住所有限公司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13,342.30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依据公司制度</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天兆基业实业发展</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（深圳）有限公司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32,346.49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依据公司制度</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港中旅（珠海）海洋 温泉有限公司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27,487.19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依据公司制度</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武汉鑫天际网络系统 集成有限公司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销售及服务费</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10,240.00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依据公司制度</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工程款、销售及服务款</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38,083.11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账龄较长，无法收回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依据公司制度</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121,499.09</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89"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应收账款情况" w:id="346"/>
      <w:bookmarkEnd w:id="34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150"/>
        <w:gridCol w:w="1103"/>
        <w:gridCol w:w="1417"/>
        <w:gridCol w:w="1134"/>
        <w:gridCol w:w="1702"/>
        <w:gridCol w:w="1241"/>
      </w:tblGrid>
      <w:tr>
        <w:trPr>
          <w:trHeight w:val="739" w:hRule="exact"/>
        </w:trPr>
        <w:tc>
          <w:tcPr>
            <w:tcW w:w="31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1"/>
              <w:ind w:left="47" w:right="33" w:hanging="16"/>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1"/>
              <w:ind w:left="433" w:right="71"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347" w:hRule="exact"/>
        </w:trPr>
        <w:tc>
          <w:tcPr>
            <w:tcW w:w="315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22,421,401.36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4.78</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672,642.04</w:t>
            </w:r>
          </w:p>
        </w:tc>
      </w:tr>
      <w:tr>
        <w:trPr>
          <w:trHeight w:val="347" w:hRule="exact"/>
        </w:trPr>
        <w:tc>
          <w:tcPr>
            <w:tcW w:w="3150" w:type="dxa"/>
            <w:vMerge/>
            <w:tcBorders>
              <w:left w:val="single" w:sz="6" w:space="0" w:color="000000"/>
              <w:right w:val="single" w:sz="6" w:space="0" w:color="000000"/>
            </w:tcBorders>
          </w:tcPr>
          <w:p>
            <w:pP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4,634,100.00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0.99</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231,705.00</w:t>
            </w:r>
          </w:p>
        </w:tc>
      </w:tr>
      <w:tr>
        <w:trPr>
          <w:trHeight w:val="347" w:hRule="exact"/>
        </w:trPr>
        <w:tc>
          <w:tcPr>
            <w:tcW w:w="3150" w:type="dxa"/>
            <w:vMerge/>
            <w:tcBorders>
              <w:left w:val="single" w:sz="6" w:space="0" w:color="000000"/>
              <w:bottom w:val="single" w:sz="6" w:space="0" w:color="000000"/>
              <w:right w:val="single" w:sz="6" w:space="0" w:color="000000"/>
            </w:tcBorders>
          </w:tcPr>
          <w:p>
            <w:pP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4,033,510.94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0.86</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403,351.09</w:t>
            </w:r>
          </w:p>
        </w:tc>
      </w:tr>
      <w:tr>
        <w:trPr>
          <w:trHeight w:val="348" w:hRule="exact"/>
        </w:trPr>
        <w:tc>
          <w:tcPr>
            <w:tcW w:w="315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银川国际交流中心开发有限公司</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12,101,593.20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2.58</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363,047.80</w:t>
            </w:r>
          </w:p>
        </w:tc>
      </w:tr>
      <w:tr>
        <w:trPr>
          <w:trHeight w:val="347" w:hRule="exact"/>
        </w:trPr>
        <w:tc>
          <w:tcPr>
            <w:tcW w:w="3150" w:type="dxa"/>
            <w:vMerge/>
            <w:tcBorders>
              <w:left w:val="single" w:sz="6" w:space="0" w:color="000000"/>
              <w:bottom w:val="single" w:sz="6" w:space="0" w:color="000000"/>
              <w:right w:val="single" w:sz="6" w:space="0" w:color="000000"/>
            </w:tcBorders>
          </w:tcPr>
          <w:p>
            <w:pP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889,891.50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0.19</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44,494.58</w:t>
            </w:r>
          </w:p>
        </w:tc>
      </w:tr>
      <w:tr>
        <w:trPr>
          <w:trHeight w:val="347" w:hRule="exact"/>
        </w:trPr>
        <w:tc>
          <w:tcPr>
            <w:tcW w:w="315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 w:right="0"/>
              <w:jc w:val="left"/>
              <w:rPr>
                <w:rFonts w:ascii="宋体" w:hAnsi="宋体" w:cs="宋体" w:eastAsia="宋体" w:hint="default"/>
                <w:sz w:val="18"/>
                <w:szCs w:val="18"/>
              </w:rPr>
            </w:pPr>
            <w:r>
              <w:rPr>
                <w:rFonts w:ascii="宋体" w:hAnsi="宋体" w:cs="宋体" w:eastAsia="宋体" w:hint="default"/>
                <w:sz w:val="18"/>
                <w:szCs w:val="18"/>
              </w:rPr>
              <w:t>深圳市地铁三号线投资有限公司</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4,832,882.09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144,986.46</w:t>
            </w:r>
          </w:p>
        </w:tc>
      </w:tr>
      <w:tr>
        <w:trPr>
          <w:trHeight w:val="347" w:hRule="exact"/>
        </w:trPr>
        <w:tc>
          <w:tcPr>
            <w:tcW w:w="3150" w:type="dxa"/>
            <w:vMerge/>
            <w:tcBorders>
              <w:left w:val="single" w:sz="6" w:space="0" w:color="000000"/>
              <w:right w:val="single" w:sz="6" w:space="0" w:color="000000"/>
            </w:tcBorders>
          </w:tcPr>
          <w:p>
            <w:pP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163,000.00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8,150.00</w:t>
            </w:r>
          </w:p>
        </w:tc>
      </w:tr>
      <w:tr>
        <w:trPr>
          <w:trHeight w:val="347" w:hRule="exact"/>
        </w:trPr>
        <w:tc>
          <w:tcPr>
            <w:tcW w:w="3150" w:type="dxa"/>
            <w:vMerge/>
            <w:tcBorders>
              <w:left w:val="single" w:sz="6" w:space="0" w:color="000000"/>
              <w:bottom w:val="single" w:sz="6" w:space="0" w:color="000000"/>
              <w:right w:val="single" w:sz="6" w:space="0" w:color="000000"/>
            </w:tcBorders>
          </w:tcPr>
          <w:p>
            <w:pP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4,561,211.72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0.97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456,121.17</w:t>
            </w:r>
          </w:p>
        </w:tc>
      </w:tr>
      <w:tr>
        <w:trPr>
          <w:trHeight w:val="347"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三亚红树林旅游文化地产开发有限公司</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9,255,597.44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277,667.92</w:t>
            </w:r>
          </w:p>
        </w:tc>
      </w:tr>
      <w:tr>
        <w:trPr>
          <w:trHeight w:val="348"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南宁轨道交通集团有限责任公司</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9,004,743.00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270,142.29</w:t>
            </w:r>
          </w:p>
        </w:tc>
      </w:tr>
      <w:tr>
        <w:trPr>
          <w:trHeight w:val="347"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71,897,931.25</w:t>
            </w:r>
          </w:p>
        </w:tc>
        <w:tc>
          <w:tcPr>
            <w:tcW w:w="113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15.32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2,872,308.35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其他应收款" w:id="347"/>
      <w:bookmarkEnd w:id="34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48"/>
      <w:bookmarkEnd w:id="34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172,779,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012.92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2,448,91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170,330,0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97.54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55,746,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719.60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1,427,361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54,319,358.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172,809,</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012.92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2,478,91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1.43%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170,330,0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97.54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55,776,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719.60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1,457,361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54,319,358.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580" w:bottom="7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160,651,268.97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832,538.07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6,537,904.19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326,895.21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3,763,594.45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376,359.45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1,826,245.31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913,122.65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1,028,511.98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514,255.98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777,733.33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388,866.67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172,779,012.92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2,448,915.38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r>
    </w:tbl>
    <w:p>
      <w:pPr>
        <w:spacing w:line="205" w:lineRule="exact"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公司制度规定：一年以内的其他应收款坏账准备计提比列为</w:t>
      </w:r>
      <w:r>
        <w:rPr>
          <w:rFonts w:ascii="宋体" w:hAnsi="宋体" w:cs="宋体" w:eastAsia="宋体" w:hint="default"/>
          <w:sz w:val="18"/>
          <w:szCs w:val="18"/>
        </w:rPr>
        <w:t>3%</w:t>
      </w:r>
      <w:r>
        <w:rPr>
          <w:rFonts w:ascii="宋体" w:hAnsi="宋体" w:cs="宋体" w:eastAsia="宋体" w:hint="default"/>
          <w:sz w:val="18"/>
          <w:szCs w:val="18"/>
        </w:rPr>
        <w:t>，因为本报告期期末余额中有应收控股子公司的款项，公</w:t>
      </w:r>
    </w:p>
    <w:p>
      <w:pPr>
        <w:spacing w:line="439" w:lineRule="auto" w:before="115"/>
        <w:ind w:left="153" w:right="3733" w:firstLine="0"/>
        <w:jc w:val="left"/>
        <w:rPr>
          <w:rFonts w:ascii="宋体" w:hAnsi="宋体" w:cs="宋体" w:eastAsia="宋体" w:hint="default"/>
          <w:sz w:val="18"/>
          <w:szCs w:val="18"/>
        </w:rPr>
      </w:pPr>
      <w:r>
        <w:rPr>
          <w:rFonts w:ascii="宋体" w:hAnsi="宋体" w:cs="宋体" w:eastAsia="宋体" w:hint="default"/>
          <w:sz w:val="18"/>
          <w:szCs w:val="18"/>
        </w:rPr>
        <w:t>司有能力对这部分款项收回与否实施控制，不存在风险，故公司不计提相应的坏账准备。 组合中，采用余额百分比法计提坏账准备的其他应收款：</w:t>
      </w:r>
    </w:p>
    <w:p>
      <w:pPr>
        <w:spacing w:line="216" w:lineRule="exact"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after="0"/>
        <w:jc w:val="left"/>
        <w:rPr>
          <w:rFonts w:ascii="宋体" w:hAnsi="宋体" w:cs="宋体" w:eastAsia="宋体" w:hint="default"/>
          <w:sz w:val="18"/>
          <w:szCs w:val="18"/>
        </w:rPr>
        <w:sectPr>
          <w:type w:val="continuous"/>
          <w:pgSz w:w="11910" w:h="16840"/>
          <w:pgMar w:top="1580" w:bottom="7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349"/>
      <w:bookmarkEnd w:id="34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1,021,554.36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本期无核销的其他应收款" w:id="350"/>
      <w:bookmarkEnd w:id="350"/>
      <w:r>
        <w:rPr>
          <w:b w:val="0"/>
          <w:bCs w:val="0"/>
        </w:rPr>
      </w:r>
      <w:r>
        <w:rPr/>
        <w:t>（</w:t>
      </w:r>
      <w:r>
        <w:rPr>
          <w:rFonts w:ascii="Times New Roman" w:hAnsi="Times New Roman" w:cs="Times New Roman" w:eastAsia="Times New Roman" w:hint="default"/>
        </w:rPr>
        <w:t>3</w:t>
      </w:r>
      <w:r>
        <w:rPr/>
        <w:t>）本期无核销的其他应收款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应收款按款项性质分类情况" w:id="351"/>
      <w:bookmarkEnd w:id="35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7,461,271.18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6,344,247.53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32,075,892.85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19,140,074.75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371,848.89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292,397.32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172,809,012.92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55,776,719.60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352"/>
      <w:bookmarkEnd w:id="35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517"/>
        <w:gridCol w:w="1517"/>
        <w:gridCol w:w="1517"/>
        <w:gridCol w:w="1517"/>
        <w:gridCol w:w="1517"/>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遵义达实绿色智慧发展 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内部往来款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132,900,000.00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76.91%</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深圳市地铁集团有限公 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天津市泛亚工程机电设 备咨询有限公司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5"/>
                <w:sz w:val="18"/>
                <w:szCs w:val="18"/>
              </w:rPr>
              <w:t>中海振兴（成都）物业发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展有限公司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1,200,636.58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120,063.66</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5"/>
                <w:sz w:val="18"/>
                <w:szCs w:val="18"/>
              </w:rPr>
              <w:t>中海振兴（成都）物业发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展有限公司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成都市城乡建设委员会</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139,925,636.58</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80.97%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376,563.66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53"/>
      <w:bookmarkEnd w:id="35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370,604,109.17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370,604,109.17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307,972,144.91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307,972,144.91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370,604,109.17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370,604,109.17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307,972,144.91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307,972,144.91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54"/>
      <w:bookmarkEnd w:id="35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5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上海达实自动化 工程有限公司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2,678,144.91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2,678,144.91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深圳达实信息技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201,144,000.00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3,363,284.00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197,780,716.00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北京达实德润能 源科技有限公司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深圳达实融资租 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52,895,248.26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75,395,248.26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遵义达实绿色智 慧发展有限公司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珠海达实科技发 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307,972,144.91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65,995,248.26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3,363,284.00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370,604,109.17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说明" w:id="355"/>
      <w:bookmarkEnd w:id="355"/>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154" w:right="0" w:firstLine="420"/>
        <w:jc w:val="left"/>
      </w:pPr>
      <w:r>
        <w:rPr>
          <w:spacing w:val="-1"/>
        </w:rPr>
        <w:t>本报告期公司对子公司达实联欣的长期股权投资金额调减是因为：子公司达实联欣未完成收购时承诺</w:t>
      </w:r>
      <w:r>
        <w:rPr/>
        <w:t> 的业绩，按实际未完成比例相应调减应支付的股权收购款。</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营业收入和营业成本" w:id="356"/>
      <w:bookmarkEnd w:id="35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778,865,868.80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582,762,359.01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690,507,121.85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535,869,541.39</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422,048.12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84,369.48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401,950.65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84,369.48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779,287,916.92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582,846,728.49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690,909,072.50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535,953,910.87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投资收益" w:id="357"/>
      <w:bookmarkEnd w:id="35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18,815,032.13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12,280,359.00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18,815,032.13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12,280,359.00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补充资料" w:id="358"/>
      <w:bookmarkEnd w:id="358"/>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59"/>
      <w:bookmarkEnd w:id="35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-107,441.18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10,505,327.01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-232,525.70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1,542,040.78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1,343,348.21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7,279,971.14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3"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360"/>
      <w:bookmarkEnd w:id="36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5"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0.5086</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0.4756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公司主要会计报表项目的异常情况及原因的说明" w:id="361"/>
      <w:bookmarkEnd w:id="361"/>
      <w:r>
        <w:rPr>
          <w:b w:val="0"/>
          <w:bCs w:val="0"/>
        </w:rPr>
      </w:r>
      <w:r>
        <w:rPr>
          <w:rFonts w:ascii="Times New Roman" w:hAnsi="Times New Roman" w:cs="Times New Roman" w:eastAsia="Times New Roman" w:hint="default"/>
        </w:rPr>
        <w:t>3</w:t>
      </w:r>
      <w:r>
        <w:rPr/>
        <w:t>、公司主要会计报表项目的异常情况及原因的说明</w:t>
      </w:r>
      <w:r>
        <w:rPr>
          <w:b w:val="0"/>
          <w:bCs w:val="0"/>
        </w:rPr>
      </w:r>
    </w:p>
    <w:p>
      <w:pPr>
        <w:spacing w:line="240" w:lineRule="auto" w:before="3"/>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b/>
          <w:bCs/>
          <w:w w:val="99"/>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010"/>
        <w:gridCol w:w="1244"/>
        <w:gridCol w:w="1134"/>
        <w:gridCol w:w="4262"/>
      </w:tblGrid>
      <w:tr>
        <w:trPr>
          <w:trHeight w:val="464" w:hRule="exact"/>
        </w:trPr>
        <w:tc>
          <w:tcPr>
            <w:tcW w:w="3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345" w:right="0"/>
              <w:jc w:val="left"/>
              <w:rPr>
                <w:rFonts w:ascii="宋体" w:hAnsi="宋体" w:cs="宋体" w:eastAsia="宋体" w:hint="default"/>
                <w:sz w:val="18"/>
                <w:szCs w:val="18"/>
              </w:rPr>
            </w:pPr>
            <w:r>
              <w:rPr>
                <w:rFonts w:ascii="宋体" w:hAnsi="宋体" w:cs="宋体" w:eastAsia="宋体" w:hint="default"/>
                <w:b/>
                <w:bCs/>
                <w:sz w:val="18"/>
                <w:szCs w:val="18"/>
              </w:rPr>
              <w:t>变动额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200" w:right="0"/>
              <w:jc w:val="left"/>
              <w:rPr>
                <w:rFonts w:ascii="宋体" w:hAnsi="宋体" w:cs="宋体" w:eastAsia="宋体" w:hint="default"/>
                <w:sz w:val="18"/>
                <w:szCs w:val="18"/>
              </w:rPr>
            </w:pPr>
            <w:r>
              <w:rPr>
                <w:rFonts w:ascii="宋体" w:hAnsi="宋体" w:cs="宋体" w:eastAsia="宋体" w:hint="default"/>
                <w:b/>
                <w:bCs/>
                <w:sz w:val="18"/>
                <w:szCs w:val="18"/>
              </w:rPr>
              <w:t>变动比例</w:t>
            </w:r>
            <w:r>
              <w:rPr>
                <w:rFonts w:ascii="宋体" w:hAnsi="宋体" w:cs="宋体" w:eastAsia="宋体" w:hint="default"/>
                <w:sz w:val="18"/>
                <w:szCs w:val="18"/>
              </w:rPr>
            </w:r>
          </w:p>
        </w:tc>
        <w:tc>
          <w:tcPr>
            <w:tcW w:w="4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1" w:right="0"/>
              <w:jc w:val="center"/>
              <w:rPr>
                <w:rFonts w:ascii="宋体" w:hAnsi="宋体" w:cs="宋体" w:eastAsia="宋体" w:hint="default"/>
                <w:sz w:val="18"/>
                <w:szCs w:val="18"/>
              </w:rPr>
            </w:pPr>
            <w:r>
              <w:rPr>
                <w:rFonts w:ascii="宋体" w:hAnsi="宋体" w:cs="宋体" w:eastAsia="宋体" w:hint="default"/>
                <w:b/>
                <w:bCs/>
                <w:sz w:val="18"/>
                <w:szCs w:val="18"/>
              </w:rPr>
              <w:t>原因说明</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83.2pt;height:687.8pt;mso-position-horizontal-relative:page;mso-position-vertical-relative:page;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0"/>
                    <w:gridCol w:w="1244"/>
                    <w:gridCol w:w="1134"/>
                    <w:gridCol w:w="4262"/>
                  </w:tblGrid>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245,696,922.21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109.33%</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主要原因是本报告期公司非公开发行股票募集资金到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账所致。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27,822,862.01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155.30%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主要原因是本报告期客户更多采用承兑汇票支付货款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21,715,920.97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69.80%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主要原因是本报告期投标及实施项目增加导致投标保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证金及履约保证金增加所致。</w:t>
                        </w:r>
                      </w:p>
                    </w:tc>
                  </w:tr>
                  <w:tr>
                    <w:trPr>
                      <w:trHeight w:val="4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65,656,895.07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34.94%</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主要原因是本报告期在建项目持续投入增加所致。</w:t>
                        </w:r>
                      </w:p>
                    </w:tc>
                  </w:tr>
                  <w:tr>
                    <w:trPr>
                      <w:trHeight w:val="73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49,000,000.00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主要原因是本报告期子公司达实租赁预付的融资租赁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款。</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504,183,620.39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296,048.19%</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主要原因是本报告期母公司购买保本型银行理财产品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r>
                    <w:trPr>
                      <w:trHeight w:val="1046"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126,519,994.10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6" w:right="5"/>
                          <w:jc w:val="both"/>
                          <w:rPr>
                            <w:rFonts w:ascii="宋体" w:hAnsi="宋体" w:cs="宋体" w:eastAsia="宋体" w:hint="default"/>
                            <w:sz w:val="18"/>
                            <w:szCs w:val="18"/>
                          </w:rPr>
                        </w:pPr>
                        <w:r>
                          <w:rPr>
                            <w:rFonts w:ascii="宋体" w:hAnsi="宋体" w:cs="宋体" w:eastAsia="宋体" w:hint="default"/>
                            <w:spacing w:val="3"/>
                            <w:sz w:val="18"/>
                            <w:szCs w:val="18"/>
                          </w:rPr>
                          <w:t>主要原因是本报告期母公司带融资性质的分期收款项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目完工结算确认收入、子公司遵义达实支付</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项目工</w:t>
                        </w:r>
                        <w:r>
                          <w:rPr>
                            <w:rFonts w:ascii="宋体" w:hAnsi="宋体" w:cs="宋体" w:eastAsia="宋体" w:hint="default"/>
                            <w:spacing w:val="-88"/>
                            <w:sz w:val="18"/>
                            <w:szCs w:val="18"/>
                          </w:rPr>
                          <w:t> </w:t>
                        </w:r>
                        <w:r>
                          <w:rPr>
                            <w:rFonts w:ascii="宋体" w:hAnsi="宋体" w:cs="宋体" w:eastAsia="宋体" w:hint="default"/>
                            <w:sz w:val="18"/>
                            <w:szCs w:val="18"/>
                          </w:rPr>
                          <w:t>程款及子公司达实租赁租出融资租赁资产所致。</w:t>
                        </w:r>
                      </w:p>
                    </w:tc>
                  </w:tr>
                  <w:tr>
                    <w:trPr>
                      <w:trHeight w:val="104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1,844,841.77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33.04%</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4"/>
                          <w:jc w:val="both"/>
                          <w:rPr>
                            <w:rFonts w:ascii="宋体" w:hAnsi="宋体" w:cs="宋体" w:eastAsia="宋体" w:hint="default"/>
                            <w:sz w:val="18"/>
                            <w:szCs w:val="18"/>
                          </w:rPr>
                        </w:pPr>
                        <w:r>
                          <w:rPr>
                            <w:rFonts w:ascii="宋体" w:hAnsi="宋体" w:cs="宋体" w:eastAsia="宋体" w:hint="default"/>
                            <w:spacing w:val="3"/>
                            <w:sz w:val="18"/>
                            <w:szCs w:val="18"/>
                          </w:rPr>
                          <w:t>主要原因是本报告期母公司计提坏账准备增多以及未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达到收入确认条件的政府补助增加而确认递延所得税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r>
                    <w:trPr>
                      <w:trHeight w:val="4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-23,000,000.00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-46.00%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主要原因是本报告期母公司归还银行短期借款所致。</w:t>
                        </w:r>
                      </w:p>
                    </w:tc>
                  </w:tr>
                  <w:tr>
                    <w:trPr>
                      <w:trHeight w:val="73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23,557,717.37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124.70%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主要原因是本报告期母公司及子公司达实联欣较多使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用银行承兑汇票支付货款所致。</w:t>
                        </w:r>
                      </w:p>
                    </w:tc>
                  </w:tr>
                  <w:tr>
                    <w:trPr>
                      <w:trHeight w:val="73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46,927,541.28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58.73%</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主要原因是本报告期母公司预收未达到收入确认条件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的项目款较多所致。</w:t>
                        </w:r>
                      </w:p>
                    </w:tc>
                  </w:tr>
                  <w:tr>
                    <w:trPr>
                      <w:trHeight w:val="4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4,339,384.06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32.02%</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主要原因是本报告期员工人数及薪酬较上期增加所致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9,892,546.89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42.64%</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3"/>
                          <w:jc w:val="left"/>
                          <w:rPr>
                            <w:rFonts w:ascii="宋体" w:hAnsi="宋体" w:cs="宋体" w:eastAsia="宋体" w:hint="default"/>
                            <w:sz w:val="18"/>
                            <w:szCs w:val="18"/>
                          </w:rPr>
                        </w:pPr>
                        <w:r>
                          <w:rPr>
                            <w:rFonts w:ascii="宋体" w:hAnsi="宋体" w:cs="宋体" w:eastAsia="宋体" w:hint="default"/>
                            <w:spacing w:val="3"/>
                            <w:sz w:val="18"/>
                            <w:szCs w:val="18"/>
                          </w:rPr>
                          <w:t>主要原因是公司利润增加以及增值税进项待抵扣税款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重分类到其他流动资产所致。</w:t>
                        </w:r>
                      </w:p>
                    </w:tc>
                  </w:tr>
                  <w:tr>
                    <w:trPr>
                      <w:trHeight w:val="73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1,462,833.35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主要原因是本报告期子公司达实租赁计提未到支付期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的企业间资金拆借利息所致。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142,500.00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71.43%</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6" w:right="2"/>
                          <w:jc w:val="left"/>
                          <w:rPr>
                            <w:rFonts w:ascii="宋体" w:hAnsi="宋体" w:cs="宋体" w:eastAsia="宋体" w:hint="default"/>
                            <w:sz w:val="18"/>
                            <w:szCs w:val="18"/>
                          </w:rPr>
                        </w:pPr>
                        <w:r>
                          <w:rPr>
                            <w:rFonts w:ascii="宋体" w:hAnsi="宋体" w:cs="宋体" w:eastAsia="宋体" w:hint="default"/>
                            <w:sz w:val="18"/>
                            <w:szCs w:val="18"/>
                          </w:rPr>
                          <w:t>主要原因是公司实施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年度权益分配后，公司代管 的未到解禁期的员工限制性股票分红款增加所致。</w:t>
                        </w:r>
                      </w:p>
                    </w:tc>
                  </w:tr>
                  <w:tr>
                    <w:trPr>
                      <w:trHeight w:val="4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6,493,681.60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30.05%</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主要原因是公司计提已发生但未到票的工程成本所致</w:t>
                        </w:r>
                      </w:p>
                    </w:tc>
                  </w:tr>
                  <w:tr>
                    <w:trPr>
                      <w:trHeight w:val="73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22,724,894.00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pacing w:val="3"/>
                            <w:sz w:val="18"/>
                            <w:szCs w:val="18"/>
                          </w:rPr>
                          <w:t>主要原因是应支付达实联欣的第四期股权收购款将于</w:t>
                        </w:r>
                      </w:p>
                      <w:p>
                        <w:pPr>
                          <w:pStyle w:val="TableParagraph"/>
                          <w:spacing w:line="240" w:lineRule="auto" w:before="77"/>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年内到期重分类所致。</w:t>
                        </w:r>
                      </w:p>
                    </w:tc>
                  </w:tr>
                  <w:tr>
                    <w:trPr>
                      <w:trHeight w:val="73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4,696,535.95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100.93%</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主要原因是母公司收到未达到收入确认条件的政府补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贴较多所致。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54,550,212.00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120.02%</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2"/>
                          <w:ind w:left="6" w:right="5"/>
                          <w:jc w:val="left"/>
                          <w:rPr>
                            <w:rFonts w:ascii="宋体" w:hAnsi="宋体" w:cs="宋体" w:eastAsia="宋体" w:hint="default"/>
                            <w:sz w:val="18"/>
                            <w:szCs w:val="18"/>
                          </w:rPr>
                        </w:pPr>
                        <w:r>
                          <w:rPr>
                            <w:rFonts w:ascii="宋体" w:hAnsi="宋体" w:cs="宋体" w:eastAsia="宋体" w:hint="default"/>
                            <w:sz w:val="18"/>
                            <w:szCs w:val="18"/>
                          </w:rPr>
                          <w:t>主要原因是本报告期子公司达实租赁筹资 </w:t>
                        </w:r>
                        <w:r>
                          <w:rPr>
                            <w:rFonts w:ascii="Arial" w:hAnsi="Arial" w:cs="Arial" w:eastAsia="Arial" w:hint="default"/>
                            <w:sz w:val="18"/>
                            <w:szCs w:val="18"/>
                          </w:rPr>
                          <w:t>1</w:t>
                        </w:r>
                        <w:r>
                          <w:rPr>
                            <w:rFonts w:ascii="Arial" w:hAnsi="Arial" w:cs="Arial" w:eastAsia="Arial" w:hint="default"/>
                            <w:spacing w:val="39"/>
                            <w:sz w:val="18"/>
                            <w:szCs w:val="18"/>
                          </w:rPr>
                          <w:t> </w:t>
                        </w:r>
                        <w:r>
                          <w:rPr>
                            <w:rFonts w:ascii="宋体" w:hAnsi="宋体" w:cs="宋体" w:eastAsia="宋体" w:hint="default"/>
                            <w:sz w:val="18"/>
                            <w:szCs w:val="18"/>
                          </w:rPr>
                          <w:t>亿元及母 公司支付子公司达实联欣第三期股权收购款所致。</w:t>
                        </w:r>
                      </w:p>
                    </w:tc>
                  </w:tr>
                  <w:tr>
                    <w:trPr>
                      <w:trHeight w:val="4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705,535,462.98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244.13%</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主要原因是本报告期公司非公开定向发行股票</w:t>
                        </w:r>
                        <w:r>
                          <w:rPr>
                            <w:rFonts w:ascii="宋体" w:hAnsi="宋体" w:cs="宋体" w:eastAsia="宋体" w:hint="default"/>
                            <w:spacing w:val="-80"/>
                            <w:sz w:val="18"/>
                            <w:szCs w:val="18"/>
                          </w:rPr>
                          <w:t>，</w:t>
                        </w:r>
                        <w:r>
                          <w:rPr>
                            <w:rFonts w:ascii="宋体" w:hAnsi="宋体" w:cs="宋体" w:eastAsia="宋体" w:hint="default"/>
                            <w:sz w:val="18"/>
                            <w:szCs w:val="18"/>
                          </w:rPr>
                          <w:t>股本溢</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spacing w:before="44"/>
        <w:ind w:left="0" w:right="10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0" w:right="10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83.2pt;height:684.25pt;mso-position-horizontal-relative:page;mso-position-vertical-relative:page;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0"/>
                    <w:gridCol w:w="1244"/>
                    <w:gridCol w:w="1134"/>
                    <w:gridCol w:w="4262"/>
                  </w:tblGrid>
                  <w:tr>
                    <w:trPr>
                      <w:trHeight w:val="382" w:hRule="exact"/>
                    </w:trPr>
                    <w:tc>
                      <w:tcPr>
                        <w:tcW w:w="301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46"/>
                            <w:sz w:val="18"/>
                            <w:szCs w:val="18"/>
                          </w:rPr>
                          <w:t> </w:t>
                        </w:r>
                        <w:r>
                          <w:rPr>
                            <w:rFonts w:ascii="Arial" w:hAnsi="Arial" w:cs="Arial" w:eastAsia="Arial" w:hint="default"/>
                            <w:sz w:val="18"/>
                            <w:szCs w:val="18"/>
                          </w:rPr>
                          <w:t>7.04</w:t>
                        </w:r>
                        <w:r>
                          <w:rPr>
                            <w:rFonts w:ascii="Arial" w:hAnsi="Arial" w:cs="Arial" w:eastAsia="Arial" w:hint="default"/>
                            <w:spacing w:val="-6"/>
                            <w:sz w:val="18"/>
                            <w:szCs w:val="18"/>
                          </w:rPr>
                          <w:t> </w:t>
                        </w:r>
                        <w:r>
                          <w:rPr>
                            <w:rFonts w:ascii="宋体" w:hAnsi="宋体" w:cs="宋体" w:eastAsia="宋体" w:hint="default"/>
                            <w:sz w:val="18"/>
                            <w:szCs w:val="18"/>
                          </w:rPr>
                          <w:t>亿元所致。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9,100,716.01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33.99%</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主要原因是本报告期子公司达实联欣营业税收入较上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年同期增加所致。</w:t>
                        </w:r>
                      </w:p>
                    </w:tc>
                  </w:tr>
                  <w:tr>
                    <w:trPr>
                      <w:trHeight w:val="42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6,068,473.11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w w:val="95"/>
                            <w:sz w:val="18"/>
                          </w:rPr>
                          <w:t>-389.65%</w:t>
                        </w:r>
                        <w:r>
                          <w:rPr>
                            <w:rFonts w:ascii="Times New Roman"/>
                            <w:sz w:val="18"/>
                          </w:rPr>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主要原因是本报告期公司支付短期银行借款利息所致</w:t>
                        </w:r>
                      </w:p>
                    </w:tc>
                  </w:tr>
                  <w:tr>
                    <w:trPr>
                      <w:trHeight w:val="77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5,744,598.48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126.61%</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主要原因是本报告期期末应收账款余额较上年期末余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计提的坏账准备增加所致。</w:t>
                        </w:r>
                      </w:p>
                    </w:tc>
                  </w:tr>
                  <w:tr>
                    <w:trPr>
                      <w:trHeight w:val="73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339,591.58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3"/>
                          <w:jc w:val="left"/>
                          <w:rPr>
                            <w:rFonts w:ascii="宋体" w:hAnsi="宋体" w:cs="宋体" w:eastAsia="宋体" w:hint="default"/>
                            <w:sz w:val="18"/>
                            <w:szCs w:val="18"/>
                          </w:rPr>
                        </w:pPr>
                        <w:r>
                          <w:rPr>
                            <w:rFonts w:ascii="宋体" w:hAnsi="宋体" w:cs="宋体" w:eastAsia="宋体" w:hint="default"/>
                            <w:spacing w:val="-4"/>
                            <w:sz w:val="18"/>
                            <w:szCs w:val="18"/>
                          </w:rPr>
                          <w:t>主要原因是上年同期子公司达实联欣所购基金卖出，原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确认的公允价值变动损益转出所致。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5"/>
                            <w:sz w:val="18"/>
                          </w:rPr>
                          <w:t>-340,082.27</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3"/>
                          <w:jc w:val="left"/>
                          <w:rPr>
                            <w:rFonts w:ascii="宋体" w:hAnsi="宋体" w:cs="宋体" w:eastAsia="宋体" w:hint="default"/>
                            <w:sz w:val="18"/>
                            <w:szCs w:val="18"/>
                          </w:rPr>
                        </w:pPr>
                        <w:r>
                          <w:rPr>
                            <w:rFonts w:ascii="宋体" w:hAnsi="宋体" w:cs="宋体" w:eastAsia="宋体" w:hint="default"/>
                            <w:spacing w:val="-4"/>
                            <w:sz w:val="18"/>
                            <w:szCs w:val="18"/>
                          </w:rPr>
                          <w:t>主要原因是上年同期子公司达实联欣所购基金卖出，确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认收益所致。</w:t>
                        </w:r>
                      </w:p>
                    </w:tc>
                  </w:tr>
                  <w:tr>
                    <w:trPr>
                      <w:trHeight w:val="4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337,386.30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308.84%</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主要原因是本报告期母公司报废材料和电脑较多所致</w:t>
                        </w:r>
                      </w:p>
                    </w:tc>
                  </w:tr>
                  <w:tr>
                    <w:trPr>
                      <w:trHeight w:val="421"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7,733,501.45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39.41%</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主要原因是本报告期收入增长，利润总额增加所致。</w:t>
                        </w:r>
                      </w:p>
                    </w:tc>
                  </w:tr>
                  <w:tr>
                    <w:trPr>
                      <w:trHeight w:val="77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1,931,792.58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98.23%</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主要原因是本报告期子公司达实信息收到的软件增值</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税退税较多所致。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42,557,837.65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45.52%</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3"/>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主要原因是本报告期员工人数增加导致薪酬支出增加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所致。</w:t>
                        </w:r>
                      </w:p>
                    </w:tc>
                  </w:tr>
                  <w:tr>
                    <w:trPr>
                      <w:trHeight w:val="1047"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6" w:right="3"/>
                          <w:jc w:val="both"/>
                          <w:rPr>
                            <w:rFonts w:ascii="宋体" w:hAnsi="宋体" w:cs="宋体" w:eastAsia="宋体" w:hint="default"/>
                            <w:sz w:val="18"/>
                            <w:szCs w:val="18"/>
                          </w:rPr>
                        </w:pPr>
                        <w:r>
                          <w:rPr>
                            <w:rFonts w:ascii="宋体" w:hAnsi="宋体" w:cs="宋体" w:eastAsia="宋体" w:hint="default"/>
                            <w:spacing w:val="3"/>
                            <w:sz w:val="18"/>
                            <w:szCs w:val="18"/>
                          </w:rPr>
                          <w:t>主要原因是本报告期子公司遵义达实收回遵义规划馆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亿元工程款以及子公司达实租赁融资租赁合 同结束收回投资所致。</w:t>
                        </w:r>
                      </w:p>
                    </w:tc>
                  </w:tr>
                  <w:tr>
                    <w:trPr>
                      <w:trHeight w:val="104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214,642.27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53.54%</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3"/>
                          <w:jc w:val="both"/>
                          <w:rPr>
                            <w:rFonts w:ascii="宋体" w:hAnsi="宋体" w:cs="宋体" w:eastAsia="宋体" w:hint="default"/>
                            <w:sz w:val="18"/>
                            <w:szCs w:val="18"/>
                          </w:rPr>
                        </w:pPr>
                        <w:r>
                          <w:rPr>
                            <w:rFonts w:ascii="宋体" w:hAnsi="宋体" w:cs="宋体" w:eastAsia="宋体" w:hint="default"/>
                            <w:spacing w:val="3"/>
                            <w:sz w:val="18"/>
                            <w:szCs w:val="18"/>
                          </w:rPr>
                          <w:t>主要原因是本报告期子公司达实租赁收到融资租赁项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目租金以及上年同期子公司达实联欣所购基金卖出，确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认收益所致。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3"/>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处置固定资产、无形资产和其它长期资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产而收到的现金净额</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-25,265.00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-99.08%</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3"/>
                          <w:jc w:val="left"/>
                          <w:rPr>
                            <w:rFonts w:ascii="宋体" w:hAnsi="宋体" w:cs="宋体" w:eastAsia="宋体" w:hint="default"/>
                            <w:sz w:val="18"/>
                            <w:szCs w:val="18"/>
                          </w:rPr>
                        </w:pPr>
                        <w:r>
                          <w:rPr>
                            <w:rFonts w:ascii="宋体" w:hAnsi="宋体" w:cs="宋体" w:eastAsia="宋体" w:hint="default"/>
                            <w:spacing w:val="3"/>
                            <w:sz w:val="18"/>
                            <w:szCs w:val="18"/>
                          </w:rPr>
                          <w:t>主要原因是上年同期母公司处置固定资产残值收入所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3"/>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购建固定资产、无形资产和其它长期投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资所支付的现金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142,155,361.90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2"/>
                            <w:sz w:val="18"/>
                          </w:rPr>
                          <w:t>511.80%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6" w:right="2"/>
                          <w:jc w:val="left"/>
                          <w:rPr>
                            <w:rFonts w:ascii="宋体" w:hAnsi="宋体" w:cs="宋体" w:eastAsia="宋体" w:hint="default"/>
                            <w:sz w:val="18"/>
                            <w:szCs w:val="18"/>
                          </w:rPr>
                        </w:pPr>
                        <w:r>
                          <w:rPr>
                            <w:rFonts w:ascii="宋体" w:hAnsi="宋体" w:cs="宋体" w:eastAsia="宋体" w:hint="default"/>
                            <w:sz w:val="18"/>
                            <w:szCs w:val="18"/>
                          </w:rPr>
                          <w:t>主要原因是本报告期子公司达实租赁支付</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亿元购买 融资租赁资产所致。</w:t>
                        </w:r>
                      </w:p>
                    </w:tc>
                  </w:tr>
                  <w:tr>
                    <w:trPr>
                      <w:trHeight w:val="104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125,693,309.67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829.66%</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6" w:right="3"/>
                          <w:jc w:val="both"/>
                          <w:rPr>
                            <w:rFonts w:ascii="宋体" w:hAnsi="宋体" w:cs="宋体" w:eastAsia="宋体" w:hint="default"/>
                            <w:sz w:val="18"/>
                            <w:szCs w:val="18"/>
                          </w:rPr>
                        </w:pPr>
                        <w:r>
                          <w:rPr>
                            <w:rFonts w:ascii="宋体" w:hAnsi="宋体" w:cs="宋体" w:eastAsia="宋体" w:hint="default"/>
                            <w:spacing w:val="3"/>
                            <w:sz w:val="18"/>
                            <w:szCs w:val="18"/>
                          </w:rPr>
                          <w:t>主要原因是本报告期子公司遵义达实支付遵义规划馆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项目工程款以及子公司达实租赁预付融资租赁款所 致。</w:t>
                        </w:r>
                      </w:p>
                    </w:tc>
                  </w:tr>
                  <w:tr>
                    <w:trPr>
                      <w:trHeight w:val="1046"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4" w:right="5"/>
                          <w:jc w:val="left"/>
                          <w:rPr>
                            <w:rFonts w:ascii="宋体" w:hAnsi="宋体" w:cs="宋体" w:eastAsia="宋体" w:hint="default"/>
                            <w:sz w:val="18"/>
                            <w:szCs w:val="18"/>
                          </w:rPr>
                        </w:pPr>
                        <w:r>
                          <w:rPr>
                            <w:rFonts w:ascii="宋体" w:hAnsi="宋体" w:cs="宋体" w:eastAsia="宋体" w:hint="default"/>
                            <w:spacing w:val="6"/>
                            <w:sz w:val="18"/>
                            <w:szCs w:val="18"/>
                          </w:rPr>
                          <w:t>取得子公司及其他营业单位支付的现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金净额</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10,141,367.47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3"/>
                          <w:jc w:val="both"/>
                          <w:rPr>
                            <w:rFonts w:ascii="宋体" w:hAnsi="宋体" w:cs="宋体" w:eastAsia="宋体" w:hint="default"/>
                            <w:sz w:val="18"/>
                            <w:szCs w:val="18"/>
                          </w:rPr>
                        </w:pPr>
                        <w:r>
                          <w:rPr>
                            <w:rFonts w:ascii="宋体" w:hAnsi="宋体" w:cs="宋体" w:eastAsia="宋体" w:hint="default"/>
                            <w:spacing w:val="3"/>
                            <w:sz w:val="18"/>
                            <w:szCs w:val="18"/>
                          </w:rPr>
                          <w:t>主要原因是本报告期子公司达实联欣收购全资子公司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上海腾隆，支付的收购款与上海腾隆账面货币资金差额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支付的其它与投资活动有关的现金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499,900,000.00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499,900.00%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主要原因是本报告期母公司购买保本型银行理财产品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762,816,815.08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9987.13%</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主要原因是本报告期公司非公开定向发行股票募集资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金到账及子公司达实租赁收到少数股东的投资款所致</w:t>
                        </w:r>
                      </w:p>
                    </w:tc>
                  </w:tr>
                  <w:tr>
                    <w:trPr>
                      <w:trHeight w:val="4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47,000,000.00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94.00%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主要原因是本报告期母公司及子公司达实联欣向银行</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0" w:right="10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44"/>
        <w:ind w:left="0" w:right="10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before="0"/>
        <w:ind w:left="0" w:right="10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0" w:right="1053" w:firstLine="0"/>
        <w:jc w:val="right"/>
        <w:rPr>
          <w:rFonts w:ascii="宋体" w:hAnsi="宋体" w:cs="宋体" w:eastAsia="宋体" w:hint="default"/>
          <w:sz w:val="18"/>
          <w:szCs w:val="18"/>
        </w:rPr>
      </w:pPr>
      <w:r>
        <w:rPr/>
        <w:pict>
          <v:shape style="position:absolute;margin-left:56.459999pt;margin-top:-148.38826pt;width:483.2pt;height:166.4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0"/>
                    <w:gridCol w:w="1244"/>
                    <w:gridCol w:w="1134"/>
                    <w:gridCol w:w="4262"/>
                  </w:tblGrid>
                  <w:tr>
                    <w:trPr>
                      <w:trHeight w:val="382" w:hRule="exact"/>
                    </w:trPr>
                    <w:tc>
                      <w:tcPr>
                        <w:tcW w:w="301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借入短期借款所致。</w:t>
                        </w:r>
                      </w:p>
                    </w:tc>
                  </w:tr>
                  <w:tr>
                    <w:trPr>
                      <w:trHeight w:val="73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收到的其它与筹资活动有关的现金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6" w:right="2"/>
                          <w:jc w:val="left"/>
                          <w:rPr>
                            <w:rFonts w:ascii="宋体" w:hAnsi="宋体" w:cs="宋体" w:eastAsia="宋体" w:hint="default"/>
                            <w:sz w:val="18"/>
                            <w:szCs w:val="18"/>
                          </w:rPr>
                        </w:pPr>
                        <w:r>
                          <w:rPr>
                            <w:rFonts w:ascii="宋体" w:hAnsi="宋体" w:cs="宋体" w:eastAsia="宋体" w:hint="default"/>
                            <w:sz w:val="18"/>
                            <w:szCs w:val="18"/>
                          </w:rPr>
                          <w:t>主要原因是本报告期子公司达实租赁收到筹资款</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亿 元所致。</w:t>
                        </w:r>
                      </w:p>
                    </w:tc>
                  </w:tr>
                  <w:tr>
                    <w:trPr>
                      <w:trHeight w:val="73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 w:right="4"/>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主要原因是本报告期母公司以及子公司达实信息归还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银行短期借款所致。</w:t>
                        </w:r>
                      </w:p>
                    </w:tc>
                  </w:tr>
                  <w:tr>
                    <w:trPr>
                      <w:trHeight w:val="104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pacing w:val="-5"/>
                            <w:sz w:val="18"/>
                            <w:szCs w:val="18"/>
                          </w:rPr>
                          <w:t>分配股利、利润或偿付利息支付的现金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23,161,483.45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103.72%</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主要原因是本报告期母公司实施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年度利润分配支</w:t>
                        </w:r>
                      </w:p>
                      <w:p>
                        <w:pPr>
                          <w:pStyle w:val="TableParagraph"/>
                          <w:spacing w:line="302" w:lineRule="auto" w:before="63"/>
                          <w:ind w:left="6" w:right="2"/>
                          <w:jc w:val="left"/>
                          <w:rPr>
                            <w:rFonts w:ascii="宋体" w:hAnsi="宋体" w:cs="宋体" w:eastAsia="宋体" w:hint="default"/>
                            <w:sz w:val="18"/>
                            <w:szCs w:val="18"/>
                          </w:rPr>
                        </w:pPr>
                        <w:r>
                          <w:rPr>
                            <w:rFonts w:ascii="宋体" w:hAnsi="宋体" w:cs="宋体" w:eastAsia="宋体" w:hint="default"/>
                            <w:sz w:val="18"/>
                            <w:szCs w:val="18"/>
                          </w:rPr>
                          <w:t>付分红款以及子公司达实联欣实施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 支付给少数股东分红款所致。</w:t>
                        </w:r>
                      </w:p>
                    </w:tc>
                  </w:tr>
                  <w:tr>
                    <w:trPr>
                      <w:trHeight w:val="4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支付其它与筹资活动有关的现金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51,990,082.17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64,987.60%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主要原因是本报告期子公司达实租赁归还拆借款所致</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十二节 备查文件目录" w:id="362"/>
      <w:bookmarkEnd w:id="362"/>
      <w:r>
        <w:rPr>
          <w:b w:val="0"/>
          <w:bCs w:val="0"/>
        </w:rPr>
      </w:r>
      <w:bookmarkStart w:name="_bookmark11" w:id="363"/>
      <w:bookmarkEnd w:id="363"/>
      <w:r>
        <w:rPr>
          <w:b w:val="0"/>
          <w:bCs w:val="0"/>
        </w:rPr>
      </w:r>
      <w:r>
        <w:rPr/>
        <w:t>第十二节</w:t>
      </w:r>
      <w:r>
        <w:rPr>
          <w:spacing w:val="-8"/>
        </w:rPr>
        <w:t> </w:t>
      </w:r>
      <w:r>
        <w:rPr/>
        <w:t>备查文件目录</w:t>
      </w:r>
      <w:r>
        <w:rPr>
          <w:b w:val="0"/>
          <w:bCs w:val="0"/>
        </w:rPr>
      </w:r>
    </w:p>
    <w:p>
      <w:pPr>
        <w:spacing w:line="240" w:lineRule="auto" w:before="1"/>
        <w:rPr>
          <w:rFonts w:ascii="宋体" w:hAnsi="宋体" w:cs="宋体" w:eastAsia="宋体" w:hint="default"/>
          <w:b/>
          <w:bCs/>
          <w:sz w:val="39"/>
          <w:szCs w:val="39"/>
        </w:rPr>
      </w:pPr>
    </w:p>
    <w:p>
      <w:pPr>
        <w:pStyle w:val="BodyText"/>
        <w:spacing w:line="343" w:lineRule="auto" w:before="0"/>
        <w:ind w:left="573" w:right="0"/>
        <w:jc w:val="left"/>
      </w:pPr>
      <w:r>
        <w:rPr/>
        <w:t>一、载有董事长刘磅先生签名的</w:t>
      </w:r>
      <w:r>
        <w:rPr>
          <w:rFonts w:ascii="Times New Roman" w:hAnsi="Times New Roman" w:cs="Times New Roman" w:eastAsia="Times New Roman" w:hint="default"/>
        </w:rPr>
        <w:t>2014</w:t>
      </w:r>
      <w:r>
        <w:rPr/>
        <w:t>年度报告全文及摘要。 二、载有公司法定代表人、主管会计工作负责人及会计机构负责人签名并盖章的会计报表。 三、载有会计师事务所、注册会计师任签名并盖章的公司</w:t>
      </w:r>
      <w:r>
        <w:rPr>
          <w:rFonts w:ascii="Times New Roman" w:hAnsi="Times New Roman" w:cs="Times New Roman" w:eastAsia="Times New Roman" w:hint="default"/>
        </w:rPr>
        <w:t>2014</w:t>
      </w:r>
      <w:r>
        <w:rPr/>
        <w:t>年度审计报告原件。 </w:t>
      </w:r>
      <w:r>
        <w:rPr>
          <w:spacing w:val="-1"/>
        </w:rPr>
        <w:t>四、报告期内在中国证监会指定报纸《证券时报》、《中国证券报》上公开披露过的所有公司文件的</w:t>
      </w:r>
    </w:p>
    <w:p>
      <w:pPr>
        <w:pStyle w:val="BodyText"/>
        <w:spacing w:line="355" w:lineRule="auto" w:before="44"/>
        <w:ind w:left="573" w:right="6763" w:hanging="420"/>
        <w:jc w:val="left"/>
      </w:pPr>
      <w:r>
        <w:rPr/>
        <w:t>正本及公告原稿。 五、备查文件备置地点：公司证券部。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0"/>
        <w:ind w:left="0" w:right="1130"/>
        <w:jc w:val="right"/>
      </w:pPr>
      <w:r>
        <w:rPr/>
        <w:t>深圳达实智能股份有限公司</w:t>
      </w:r>
    </w:p>
    <w:p>
      <w:pPr>
        <w:pStyle w:val="BodyText"/>
        <w:spacing w:line="357" w:lineRule="auto" w:before="133"/>
        <w:ind w:left="7305" w:right="1130"/>
        <w:jc w:val="right"/>
      </w:pPr>
      <w:r>
        <w:rPr/>
        <w:t>董事长：刘磅 </w:t>
      </w: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5</w:t>
      </w:r>
      <w:r>
        <w:rPr>
          <w:spacing w:val="-1"/>
        </w:rPr>
        <w:t>日</w:t>
      </w:r>
    </w:p>
    <w:sectPr>
      <w:pgSz w:w="11910" w:h="16840"/>
      <w:pgMar w:header="87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08384"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08312" type="#_x0000_t75" stroked="false">
          <v:imagedata r:id="rId1" o:title=""/>
        </v:shape>
      </w:pict>
    </w:r>
    <w:r>
      <w:rPr/>
      <w:pict>
        <v:shape style="position:absolute;margin-left:291.200012pt;margin-top:781.957947pt;width:13pt;height:11pt;mso-position-horizontal-relative:page;mso-position-vertical-relative:page;z-index:-808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08264" type="#_x0000_t75" stroked="false">
          <v:imagedata r:id="rId1" o:title=""/>
        </v:shape>
      </w:pict>
    </w:r>
    <w:r>
      <w:rPr/>
      <w:pict>
        <v:shape style="position:absolute;margin-left:289.920013pt;margin-top:781.957947pt;width:15.5pt;height:11pt;mso-position-horizontal-relative:page;mso-position-vertical-relative:page;z-index:-808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08216" type="#_x0000_t75" stroked="false">
          <v:imagedata r:id="rId1" o:title=""/>
        </v:shape>
      </w:pict>
    </w:r>
    <w:r>
      <w:rPr/>
      <w:pict>
        <v:shape style="position:absolute;margin-left:288.920013pt;margin-top:781.957947pt;width:17.5pt;height:11pt;mso-position-horizontal-relative:page;mso-position-vertical-relative:page;z-index:-808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80836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220001pt;margin-top:42.865608pt;width:186.5pt;height:11.5pt;mso-position-horizontal-relative:page;mso-position-vertical-relative:page;z-index:-808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53"/>
    </w:pPr>
    <w:rPr>
      <w:rFonts w:ascii="宋体" w:hAnsi="宋体" w:eastAsia="宋体"/>
      <w:sz w:val="21"/>
      <w:szCs w:val="21"/>
    </w:rPr>
  </w:style>
  <w:style w:styleId="BodyText" w:type="paragraph">
    <w:name w:val="Body Text"/>
    <w:basedOn w:val="Normal"/>
    <w:uiPriority w:val="1"/>
    <w:qFormat/>
    <w:pPr>
      <w:spacing w:before="30"/>
      <w:ind w:left="153"/>
    </w:pPr>
    <w:rPr>
      <w:rFonts w:ascii="宋体" w:hAnsi="宋体" w:eastAsia="宋体"/>
      <w:sz w:val="21"/>
      <w:szCs w:val="21"/>
    </w:rPr>
  </w:style>
  <w:style w:styleId="Heading1" w:type="paragraph">
    <w:name w:val="Heading 1"/>
    <w:basedOn w:val="Normal"/>
    <w:uiPriority w:val="1"/>
    <w:qFormat/>
    <w:pPr>
      <w:spacing w:before="1"/>
      <w:ind w:left="375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chn-das.com/" TargetMode="External"/><Relationship Id="rId10" Type="http://schemas.openxmlformats.org/officeDocument/2006/relationships/hyperlink" Target="mailto:das@chn-das.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2020-05-06T17:16:00Z</dcterms:created>
  <dcterms:modified xsi:type="dcterms:W3CDTF">2020-05-06T17:16:00Z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2015-03-11T00:00:00Z</vt:filetime>
  </property>
  <property fmtid="{D5CDD505-2E9C-101B-9397-08002B2CF9AE}" pid="3" name="Creator">
    <vt:lpwstr>Microsoft® Office Word 2007</vt:lpwstr>
  </property>
  <property fmtid="{D5CDD505-2E9C-101B-9397-08002B2CF9AE}" pid="4" name="LastSaved">
    <vt:filetime>2020-05-06T00:00:00Z</vt:filetime>
  </property>
</Properties>
</file>