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76"/>
        <w:ind w:left="93" w:right="1751" w:firstLine="0"/>
        <w:jc w:val="center"/>
        <w:rPr>
          <w:rFonts w:ascii="黑体" w:hAnsi="黑体" w:cs="黑体" w:eastAsia="黑体" w:hint="default"/>
          <w:sz w:val="52"/>
          <w:szCs w:val="52"/>
        </w:rPr>
      </w:pPr>
      <w:r>
        <w:rPr>
          <w:rFonts w:ascii="黑体" w:hAnsi="黑体" w:cs="黑体" w:eastAsia="黑体" w:hint="default"/>
          <w:sz w:val="52"/>
          <w:szCs w:val="52"/>
        </w:rPr>
        <w:t>深圳达实智能股份有限公司</w:t>
      </w:r>
    </w:p>
    <w:p>
      <w:pPr>
        <w:spacing w:before="45"/>
        <w:ind w:left="94" w:right="1751" w:firstLine="0"/>
        <w:jc w:val="center"/>
        <w:rPr>
          <w:rFonts w:ascii="黑体" w:hAnsi="黑体" w:cs="黑体" w:eastAsia="黑体" w:hint="default"/>
          <w:sz w:val="44"/>
          <w:szCs w:val="44"/>
        </w:rPr>
      </w:pPr>
      <w:r>
        <w:rPr>
          <w:rFonts w:ascii="黑体" w:hAnsi="黑体" w:cs="黑体" w:eastAsia="黑体" w:hint="default"/>
          <w:sz w:val="44"/>
          <w:szCs w:val="44"/>
        </w:rPr>
        <w:t>（</w:t>
      </w:r>
      <w:r>
        <w:rPr>
          <w:rFonts w:ascii="黑体" w:hAnsi="黑体" w:cs="黑体" w:eastAsia="黑体" w:hint="default"/>
          <w:sz w:val="44"/>
          <w:szCs w:val="44"/>
        </w:rPr>
        <w:t>SHENZHEN DAS INTELLITECH CO.,</w:t>
      </w:r>
      <w:r>
        <w:rPr>
          <w:rFonts w:ascii="黑体" w:hAnsi="黑体" w:cs="黑体" w:eastAsia="黑体" w:hint="default"/>
          <w:spacing w:val="1"/>
          <w:sz w:val="44"/>
          <w:szCs w:val="44"/>
        </w:rPr>
        <w:t> </w:t>
      </w:r>
      <w:r>
        <w:rPr>
          <w:rFonts w:ascii="黑体" w:hAnsi="黑体" w:cs="黑体" w:eastAsia="黑体" w:hint="default"/>
          <w:sz w:val="44"/>
          <w:szCs w:val="44"/>
        </w:rPr>
        <w:t>LTD.</w:t>
      </w:r>
      <w:r>
        <w:rPr>
          <w:rFonts w:ascii="黑体" w:hAnsi="黑体" w:cs="黑体" w:eastAsia="黑体" w:hint="default"/>
          <w:sz w:val="44"/>
          <w:szCs w:val="44"/>
        </w:rPr>
        <w:t>）</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1"/>
          <w:szCs w:val="21"/>
        </w:rPr>
      </w:pPr>
    </w:p>
    <w:p>
      <w:pPr>
        <w:spacing w:line="1231" w:lineRule="exact"/>
        <w:ind w:left="2229" w:right="0" w:firstLine="0"/>
        <w:rPr>
          <w:rFonts w:ascii="黑体" w:hAnsi="黑体" w:cs="黑体" w:eastAsia="黑体" w:hint="default"/>
          <w:sz w:val="20"/>
          <w:szCs w:val="20"/>
        </w:rPr>
      </w:pPr>
      <w:r>
        <w:rPr>
          <w:rFonts w:ascii="黑体" w:hAnsi="黑体" w:cs="黑体" w:eastAsia="黑体" w:hint="default"/>
          <w:position w:val="-24"/>
          <w:sz w:val="20"/>
          <w:szCs w:val="20"/>
        </w:rPr>
        <w:drawing>
          <wp:inline distT="0" distB="0" distL="0" distR="0">
            <wp:extent cx="2614698" cy="781812"/>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614698" cy="781812"/>
                    </a:xfrm>
                    <a:prstGeom prst="rect">
                      <a:avLst/>
                    </a:prstGeom>
                  </pic:spPr>
                </pic:pic>
              </a:graphicData>
            </a:graphic>
          </wp:inline>
        </w:drawing>
      </w:r>
      <w:r>
        <w:rPr>
          <w:rFonts w:ascii="黑体" w:hAnsi="黑体" w:cs="黑体" w:eastAsia="黑体" w:hint="default"/>
          <w:position w:val="-24"/>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7"/>
          <w:szCs w:val="17"/>
        </w:rPr>
      </w:pPr>
    </w:p>
    <w:p>
      <w:pPr>
        <w:spacing w:line="620" w:lineRule="exact" w:before="0"/>
        <w:ind w:left="93" w:right="1751" w:firstLine="0"/>
        <w:jc w:val="center"/>
        <w:rPr>
          <w:rFonts w:ascii="黑体" w:hAnsi="黑体" w:cs="黑体" w:eastAsia="黑体" w:hint="default"/>
          <w:sz w:val="52"/>
          <w:szCs w:val="52"/>
        </w:rPr>
      </w:pPr>
      <w:r>
        <w:rPr>
          <w:rFonts w:ascii="黑体" w:hAnsi="黑体" w:cs="黑体" w:eastAsia="黑体" w:hint="default"/>
          <w:sz w:val="52"/>
          <w:szCs w:val="52"/>
        </w:rPr>
        <w:t>2015</w:t>
      </w:r>
      <w:r>
        <w:rPr>
          <w:rFonts w:ascii="黑体" w:hAnsi="黑体" w:cs="黑体" w:eastAsia="黑体" w:hint="default"/>
          <w:spacing w:val="-132"/>
          <w:sz w:val="52"/>
          <w:szCs w:val="52"/>
        </w:rPr>
        <w:t> </w:t>
      </w:r>
      <w:r>
        <w:rPr>
          <w:rFonts w:ascii="黑体" w:hAnsi="黑体" w:cs="黑体" w:eastAsia="黑体" w:hint="default"/>
          <w:sz w:val="52"/>
          <w:szCs w:val="52"/>
        </w:rPr>
        <w:t>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8"/>
        <w:rPr>
          <w:rFonts w:ascii="黑体" w:hAnsi="黑体" w:cs="黑体" w:eastAsia="黑体" w:hint="default"/>
          <w:sz w:val="72"/>
          <w:szCs w:val="72"/>
        </w:rPr>
      </w:pPr>
    </w:p>
    <w:p>
      <w:pPr>
        <w:spacing w:before="0"/>
        <w:ind w:left="94" w:right="175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570" w:top="1580" w:bottom="760" w:left="16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2885" w:right="1017"/>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0"/>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公司负责人刘磅、主管会计工作负责人黄天朗及会计机构负责人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张长伟声明：保证年度报告中财务报告的真实、准确、完整。</w:t>
      </w:r>
      <w:r>
        <w:rPr>
          <w:rFonts w:ascii="宋体" w:hAnsi="宋体" w:cs="宋体" w:eastAsia="宋体" w:hint="default"/>
          <w:sz w:val="28"/>
          <w:szCs w:val="28"/>
        </w:rPr>
      </w:r>
    </w:p>
    <w:p>
      <w:pPr>
        <w:spacing w:line="472" w:lineRule="auto" w:before="148"/>
        <w:ind w:left="715" w:right="1017"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风险因素详见本报告第四节管理层讨论与分析九、公司未来发展的展望中</w:t>
      </w:r>
      <w:r>
        <w:rPr>
          <w:rFonts w:ascii="宋体" w:hAnsi="宋体" w:cs="宋体" w:eastAsia="宋体" w:hint="default"/>
          <w:spacing w:val="3"/>
          <w:sz w:val="28"/>
          <w:szCs w:val="28"/>
        </w:rPr>
      </w:r>
    </w:p>
    <w:p>
      <w:pPr>
        <w:spacing w:line="472" w:lineRule="auto" w:before="0"/>
        <w:ind w:left="715" w:right="1017" w:hanging="562"/>
        <w:jc w:val="left"/>
        <w:rPr>
          <w:rFonts w:ascii="宋体" w:hAnsi="宋体" w:cs="宋体" w:eastAsia="宋体" w:hint="default"/>
          <w:sz w:val="28"/>
          <w:szCs w:val="28"/>
        </w:rPr>
      </w:pPr>
      <w:r>
        <w:rPr>
          <w:rFonts w:ascii="宋体" w:hAnsi="宋体" w:cs="宋体" w:eastAsia="宋体" w:hint="default"/>
          <w:b/>
          <w:bCs/>
          <w:sz w:val="28"/>
          <w:szCs w:val="28"/>
        </w:rPr>
        <w:t>关于公司面临的风险因素的相关内容。</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公司经本次董事会审议通过的利润分配预案为：以未来实施分配方案时股</w:t>
      </w:r>
      <w:r>
        <w:rPr>
          <w:rFonts w:ascii="宋体" w:hAnsi="宋体" w:cs="宋体" w:eastAsia="宋体" w:hint="default"/>
          <w:spacing w:val="3"/>
          <w:sz w:val="28"/>
          <w:szCs w:val="28"/>
        </w:rPr>
      </w:r>
    </w:p>
    <w:p>
      <w:pPr>
        <w:spacing w:line="386" w:lineRule="auto" w:before="0"/>
        <w:ind w:left="153" w:right="1017" w:firstLine="0"/>
        <w:jc w:val="left"/>
        <w:rPr>
          <w:rFonts w:ascii="宋体" w:hAnsi="宋体" w:cs="宋体" w:eastAsia="宋体" w:hint="default"/>
          <w:sz w:val="28"/>
          <w:szCs w:val="28"/>
        </w:rPr>
      </w:pPr>
      <w:r>
        <w:rPr>
          <w:rFonts w:ascii="宋体" w:hAnsi="宋体" w:cs="宋体" w:eastAsia="宋体" w:hint="default"/>
          <w:b/>
          <w:bCs/>
          <w:w w:val="99"/>
          <w:sz w:val="28"/>
          <w:szCs w:val="28"/>
        </w:rPr>
        <w:t>权登记</w:t>
      </w:r>
      <w:r>
        <w:rPr>
          <w:rFonts w:ascii="宋体" w:hAnsi="宋体" w:cs="宋体" w:eastAsia="宋体" w:hint="default"/>
          <w:b/>
          <w:bCs/>
          <w:spacing w:val="2"/>
          <w:w w:val="99"/>
          <w:sz w:val="28"/>
          <w:szCs w:val="28"/>
        </w:rPr>
        <w:t>日</w:t>
      </w:r>
      <w:r>
        <w:rPr>
          <w:rFonts w:ascii="宋体" w:hAnsi="宋体" w:cs="宋体" w:eastAsia="宋体" w:hint="default"/>
          <w:b/>
          <w:bCs/>
          <w:w w:val="99"/>
          <w:sz w:val="28"/>
          <w:szCs w:val="28"/>
        </w:rPr>
        <w:t>的总股</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为基</w:t>
      </w:r>
      <w:r>
        <w:rPr>
          <w:rFonts w:ascii="宋体" w:hAnsi="宋体" w:cs="宋体" w:eastAsia="宋体" w:hint="default"/>
          <w:b/>
          <w:bCs/>
          <w:spacing w:val="4"/>
          <w:w w:val="99"/>
          <w:sz w:val="28"/>
          <w:szCs w:val="28"/>
        </w:rPr>
        <w:t>数</w:t>
      </w:r>
      <w:r>
        <w:rPr>
          <w:rFonts w:ascii="宋体" w:hAnsi="宋体" w:cs="宋体" w:eastAsia="宋体" w:hint="default"/>
          <w:b/>
          <w:bCs/>
          <w:spacing w:val="-40"/>
          <w:w w:val="99"/>
          <w:sz w:val="28"/>
          <w:szCs w:val="28"/>
        </w:rPr>
        <w:t>，</w:t>
      </w: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0.5</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41"/>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41"/>
          <w:w w:val="99"/>
          <w:sz w:val="28"/>
          <w:szCs w:val="28"/>
        </w:rPr>
        <w:t>，</w:t>
      </w:r>
      <w:r>
        <w:rPr>
          <w:rFonts w:ascii="宋体" w:hAnsi="宋体" w:cs="宋体" w:eastAsia="宋体" w:hint="default"/>
          <w:b/>
          <w:bCs/>
          <w:w w:val="99"/>
          <w:sz w:val="28"/>
          <w:szCs w:val="28"/>
        </w:rPr>
        <w:t>送</w:t>
      </w:r>
      <w:r>
        <w:rPr>
          <w:rFonts w:ascii="宋体" w:hAnsi="宋体" w:cs="宋体" w:eastAsia="宋体" w:hint="default"/>
          <w:b/>
          <w:bCs/>
          <w:w w:val="99"/>
          <w:sz w:val="28"/>
          <w:szCs w:val="28"/>
        </w:rPr>
        <w:t> </w:t>
      </w:r>
      <w:r>
        <w:rPr>
          <w:rFonts w:ascii="宋体" w:hAnsi="宋体" w:cs="宋体" w:eastAsia="宋体" w:hint="default"/>
          <w:b/>
          <w:bCs/>
          <w:spacing w:val="1"/>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股（含税</w:t>
      </w:r>
      <w:r>
        <w:rPr>
          <w:rFonts w:ascii="宋体" w:hAnsi="宋体" w:cs="宋体" w:eastAsia="宋体" w:hint="default"/>
          <w:b/>
          <w:bCs/>
          <w:spacing w:val="-139"/>
          <w:w w:val="99"/>
          <w:sz w:val="28"/>
          <w:szCs w:val="28"/>
        </w:rPr>
        <w:t>）</w:t>
      </w:r>
      <w:r>
        <w:rPr>
          <w:rFonts w:ascii="宋体" w:hAnsi="宋体" w:cs="宋体" w:eastAsia="宋体" w:hint="default"/>
          <w:b/>
          <w:bCs/>
          <w:w w:val="99"/>
          <w:sz w:val="28"/>
          <w:szCs w:val="28"/>
        </w:rPr>
        <w:t>，不以</w:t>
      </w:r>
      <w:r>
        <w:rPr>
          <w:rFonts w:ascii="宋体" w:hAnsi="宋体" w:cs="宋体" w:eastAsia="宋体" w:hint="default"/>
          <w:b/>
          <w:bCs/>
          <w:spacing w:val="2"/>
          <w:w w:val="99"/>
          <w:sz w:val="28"/>
          <w:szCs w:val="28"/>
        </w:rPr>
        <w:t>公</w:t>
      </w:r>
      <w:r>
        <w:rPr>
          <w:rFonts w:ascii="宋体" w:hAnsi="宋体" w:cs="宋体" w:eastAsia="宋体" w:hint="default"/>
          <w:b/>
          <w:bCs/>
          <w:w w:val="99"/>
          <w:sz w:val="28"/>
          <w:szCs w:val="28"/>
        </w:rPr>
        <w:t>积金转</w:t>
      </w:r>
      <w:r>
        <w:rPr>
          <w:rFonts w:ascii="宋体" w:hAnsi="宋体" w:cs="宋体" w:eastAsia="宋体" w:hint="default"/>
          <w:b/>
          <w:bCs/>
          <w:spacing w:val="2"/>
          <w:w w:val="99"/>
          <w:sz w:val="28"/>
          <w:szCs w:val="28"/>
        </w:rPr>
        <w:t>增</w:t>
      </w:r>
      <w:r>
        <w:rPr>
          <w:rFonts w:ascii="宋体" w:hAnsi="宋体" w:cs="宋体" w:eastAsia="宋体" w:hint="default"/>
          <w:b/>
          <w:bCs/>
          <w:w w:val="99"/>
          <w:sz w:val="28"/>
          <w:szCs w:val="28"/>
        </w:rPr>
        <w:t>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headerReference w:type="default" r:id="rId7"/>
          <w:footerReference w:type="default" r:id="rId8"/>
          <w:pgSz w:w="11910" w:h="16840"/>
          <w:pgMar w:header="877" w:footer="1019" w:top="1100" w:bottom="1200" w:left="980" w:right="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spacing w:line="460" w:lineRule="exact" w:before="0"/>
        <w:ind w:left="134" w:right="111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82" w:val="right" w:leader="dot"/>
            </w:tabs>
            <w:spacing w:line="240" w:lineRule="auto" w:before="693"/>
            <w:ind w:right="0"/>
            <w:jc w:val="left"/>
            <w:rPr>
              <w:rFonts w:ascii="宋体" w:hAnsi="宋体" w:cs="宋体" w:eastAsia="宋体" w:hint="default"/>
            </w:rPr>
          </w:pPr>
          <w:r>
            <w:fldChar w:fldCharType="begin"/>
          </w:r>
          <w:r>
            <w:instrText>TOC \o "1-1" \h \z \u </w:instrText>
          </w:r>
          <w:r>
            <w:fldChar w:fldCharType="separate"/>
          </w:r>
          <w:hyperlink w:history="true" w:anchor="_bookmark0">
            <w:r>
              <w:rPr/>
              <w:t>第一节 重要提示、目录和释义</w:t>
            </w:r>
            <w:r>
              <w:rPr>
                <w:rFonts w:ascii="宋体" w:hAnsi="宋体" w:cs="宋体" w:eastAsia="宋体" w:hint="default"/>
              </w:rPr>
              <w:tab/>
              <w:t>1</w:t>
            </w:r>
          </w:hyperlink>
        </w:p>
        <w:p>
          <w:pPr>
            <w:pStyle w:val="TOC1"/>
            <w:tabs>
              <w:tab w:pos="9782" w:val="right" w:leader="dot"/>
            </w:tabs>
            <w:spacing w:line="240" w:lineRule="auto"/>
            <w:ind w:right="0"/>
            <w:jc w:val="left"/>
            <w:rPr>
              <w:rFonts w:ascii="宋体" w:hAnsi="宋体" w:cs="宋体" w:eastAsia="宋体" w:hint="default"/>
            </w:rPr>
          </w:pPr>
          <w:hyperlink w:history="true" w:anchor="_bookmark1">
            <w:r>
              <w:rPr/>
              <w:t>第二节 公司简介和主要财务指标</w:t>
            </w:r>
            <w:r>
              <w:rPr>
                <w:rFonts w:ascii="宋体" w:hAnsi="宋体" w:cs="宋体" w:eastAsia="宋体" w:hint="default"/>
              </w:rPr>
              <w:tab/>
              <w:t>4</w:t>
            </w:r>
          </w:hyperlink>
        </w:p>
        <w:p>
          <w:pPr>
            <w:pStyle w:val="TOC1"/>
            <w:tabs>
              <w:tab w:pos="9782" w:val="right" w:leader="dot"/>
            </w:tabs>
            <w:spacing w:line="240" w:lineRule="auto"/>
            <w:ind w:right="0"/>
            <w:jc w:val="left"/>
            <w:rPr>
              <w:rFonts w:ascii="宋体" w:hAnsi="宋体" w:cs="宋体" w:eastAsia="宋体" w:hint="default"/>
            </w:rPr>
          </w:pPr>
          <w:hyperlink w:history="true" w:anchor="_bookmark2">
            <w:r>
              <w:rPr/>
              <w:t>第三节 公司业务概要</w:t>
            </w:r>
            <w:r>
              <w:rPr>
                <w:rFonts w:ascii="宋体" w:hAnsi="宋体" w:cs="宋体" w:eastAsia="宋体" w:hint="default"/>
              </w:rPr>
              <w:tab/>
              <w:t>8</w:t>
            </w:r>
          </w:hyperlink>
        </w:p>
        <w:p>
          <w:pPr>
            <w:pStyle w:val="TOC1"/>
            <w:tabs>
              <w:tab w:pos="9782" w:val="right" w:leader="dot"/>
            </w:tabs>
            <w:spacing w:line="240" w:lineRule="auto"/>
            <w:ind w:right="0"/>
            <w:jc w:val="left"/>
            <w:rPr>
              <w:rFonts w:ascii="宋体" w:hAnsi="宋体" w:cs="宋体" w:eastAsia="宋体" w:hint="default"/>
            </w:rPr>
          </w:pPr>
          <w:hyperlink w:history="true" w:anchor="_bookmark3">
            <w:r>
              <w:rPr/>
              <w:t>第四节 管理层讨论与分析</w:t>
            </w:r>
            <w:r>
              <w:rPr>
                <w:rFonts w:ascii="宋体" w:hAnsi="宋体" w:cs="宋体" w:eastAsia="宋体" w:hint="default"/>
              </w:rPr>
              <w:tab/>
              <w:t>10</w:t>
            </w:r>
          </w:hyperlink>
        </w:p>
        <w:p>
          <w:pPr>
            <w:pStyle w:val="TOC1"/>
            <w:tabs>
              <w:tab w:pos="9782" w:val="right" w:leader="dot"/>
            </w:tabs>
            <w:spacing w:line="240" w:lineRule="auto"/>
            <w:ind w:right="0"/>
            <w:jc w:val="left"/>
            <w:rPr>
              <w:rFonts w:ascii="宋体" w:hAnsi="宋体" w:cs="宋体" w:eastAsia="宋体" w:hint="default"/>
            </w:rPr>
          </w:pPr>
          <w:hyperlink w:history="true" w:anchor="_bookmark4">
            <w:r>
              <w:rPr/>
              <w:t>第五节 重要事项</w:t>
            </w:r>
            <w:r>
              <w:rPr>
                <w:rFonts w:ascii="宋体" w:hAnsi="宋体" w:cs="宋体" w:eastAsia="宋体" w:hint="default"/>
              </w:rPr>
              <w:tab/>
              <w:t>25</w:t>
            </w:r>
          </w:hyperlink>
        </w:p>
        <w:p>
          <w:pPr>
            <w:pStyle w:val="TOC1"/>
            <w:tabs>
              <w:tab w:pos="9782" w:val="right" w:leader="dot"/>
            </w:tabs>
            <w:spacing w:line="240" w:lineRule="auto"/>
            <w:ind w:right="0"/>
            <w:jc w:val="left"/>
            <w:rPr>
              <w:rFonts w:ascii="宋体" w:hAnsi="宋体" w:cs="宋体" w:eastAsia="宋体" w:hint="default"/>
            </w:rPr>
          </w:pPr>
          <w:hyperlink w:history="true" w:anchor="_bookmark5">
            <w:r>
              <w:rPr/>
              <w:t>第六节 股份变动及股东情况</w:t>
            </w:r>
            <w:r>
              <w:rPr>
                <w:rFonts w:ascii="宋体" w:hAnsi="宋体" w:cs="宋体" w:eastAsia="宋体" w:hint="default"/>
              </w:rPr>
              <w:tab/>
              <w:t>38</w:t>
            </w:r>
          </w:hyperlink>
        </w:p>
        <w:p>
          <w:pPr>
            <w:pStyle w:val="TOC1"/>
            <w:tabs>
              <w:tab w:pos="9782" w:val="right" w:leader="dot"/>
            </w:tabs>
            <w:spacing w:line="240" w:lineRule="auto"/>
            <w:ind w:right="0"/>
            <w:jc w:val="left"/>
            <w:rPr>
              <w:rFonts w:ascii="宋体" w:hAnsi="宋体" w:cs="宋体" w:eastAsia="宋体" w:hint="default"/>
            </w:rPr>
          </w:pPr>
          <w:hyperlink w:history="true" w:anchor="_bookmark6">
            <w:r>
              <w:rPr/>
              <w:t>第七节 优先股相关情况</w:t>
            </w:r>
            <w:r>
              <w:rPr>
                <w:rFonts w:ascii="宋体" w:hAnsi="宋体" w:cs="宋体" w:eastAsia="宋体" w:hint="default"/>
              </w:rPr>
              <w:tab/>
              <w:t>45</w:t>
            </w:r>
          </w:hyperlink>
        </w:p>
        <w:p>
          <w:pPr>
            <w:pStyle w:val="TOC1"/>
            <w:tabs>
              <w:tab w:pos="9782" w:val="right" w:leader="dot"/>
            </w:tabs>
            <w:spacing w:line="240" w:lineRule="auto"/>
            <w:ind w:right="0"/>
            <w:jc w:val="left"/>
            <w:rPr>
              <w:rFonts w:ascii="宋体" w:hAnsi="宋体" w:cs="宋体" w:eastAsia="宋体" w:hint="default"/>
            </w:rPr>
          </w:pPr>
          <w:hyperlink w:history="true" w:anchor="_bookmark7">
            <w:r>
              <w:rPr/>
              <w:t>第八节 董事、监事、高级管理人员和员工情况</w:t>
            </w:r>
            <w:r>
              <w:rPr>
                <w:rFonts w:ascii="宋体" w:hAnsi="宋体" w:cs="宋体" w:eastAsia="宋体" w:hint="default"/>
              </w:rPr>
              <w:tab/>
              <w:t>46</w:t>
            </w:r>
          </w:hyperlink>
        </w:p>
        <w:p>
          <w:pPr>
            <w:pStyle w:val="TOC1"/>
            <w:tabs>
              <w:tab w:pos="9782" w:val="right" w:leader="dot"/>
            </w:tabs>
            <w:spacing w:line="240" w:lineRule="auto"/>
            <w:ind w:right="0"/>
            <w:jc w:val="left"/>
            <w:rPr>
              <w:rFonts w:ascii="宋体" w:hAnsi="宋体" w:cs="宋体" w:eastAsia="宋体" w:hint="default"/>
            </w:rPr>
          </w:pPr>
          <w:hyperlink w:history="true" w:anchor="_bookmark8">
            <w:r>
              <w:rPr/>
              <w:t>第九节 公司治理</w:t>
            </w:r>
            <w:r>
              <w:rPr>
                <w:rFonts w:ascii="宋体" w:hAnsi="宋体" w:cs="宋体" w:eastAsia="宋体" w:hint="default"/>
              </w:rPr>
              <w:tab/>
              <w:t>54</w:t>
            </w:r>
          </w:hyperlink>
        </w:p>
        <w:p>
          <w:pPr>
            <w:pStyle w:val="TOC1"/>
            <w:tabs>
              <w:tab w:pos="9782" w:val="right" w:leader="dot"/>
            </w:tabs>
            <w:spacing w:line="240" w:lineRule="auto"/>
            <w:ind w:right="0"/>
            <w:jc w:val="left"/>
            <w:rPr>
              <w:rFonts w:ascii="宋体" w:hAnsi="宋体" w:cs="宋体" w:eastAsia="宋体" w:hint="default"/>
            </w:rPr>
          </w:pPr>
          <w:hyperlink w:history="true" w:anchor="_bookmark9">
            <w:r>
              <w:rPr/>
              <w:t>第十节 财务报告</w:t>
            </w:r>
            <w:r>
              <w:rPr>
                <w:rFonts w:ascii="宋体" w:hAnsi="宋体" w:cs="宋体" w:eastAsia="宋体" w:hint="default"/>
              </w:rPr>
              <w:tab/>
              <w:t>63</w:t>
            </w:r>
          </w:hyperlink>
        </w:p>
        <w:p>
          <w:pPr>
            <w:pStyle w:val="TOC1"/>
            <w:tabs>
              <w:tab w:pos="9782" w:val="right" w:leader="dot"/>
            </w:tabs>
            <w:spacing w:line="240" w:lineRule="auto"/>
            <w:ind w:right="0"/>
            <w:jc w:val="left"/>
            <w:rPr>
              <w:rFonts w:ascii="宋体" w:hAnsi="宋体" w:cs="宋体" w:eastAsia="宋体" w:hint="default"/>
            </w:rPr>
          </w:pPr>
          <w:hyperlink w:history="true" w:anchor="_bookmark10">
            <w:r>
              <w:rPr/>
              <w:t>第十一节 备查文件目录</w:t>
            </w:r>
            <w:r>
              <w:rPr>
                <w:rFonts w:ascii="宋体" w:hAnsi="宋体" w:cs="宋体" w:eastAsia="宋体" w:hint="default"/>
              </w:rPr>
              <w:tab/>
              <w:t>164</w:t>
            </w:r>
          </w:hyperlink>
        </w:p>
        <w:p>
          <w:pPr/>
          <w:r>
            <w:fldChar w:fldCharType="end"/>
          </w:r>
        </w:p>
      </w:sdtContent>
    </w:sdt>
    <w:p>
      <w:pPr>
        <w:spacing w:after="0"/>
        <w:sectPr>
          <w:pgSz w:w="11910" w:h="16840"/>
          <w:pgMar w:header="877" w:footer="1019" w:top="1100" w:bottom="1200" w:left="980" w:right="0"/>
        </w:sect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before="236"/>
        <w:ind w:left="134" w:right="111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0"/>
        <w:gridCol w:w="686"/>
        <w:gridCol w:w="6604"/>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达实信息</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深圳达实信息技术有限公司</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达实德润</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北京达实德润能源科技有限公司</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达实联欣</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联欣金山</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上海联欣金山建筑科技发展有限公司</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达实自动化</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上海达实自动化工程有限公司</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昌都达实</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昌都市达实投资咨询有限公司</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深圳达实融资租赁有限公司</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久信医疗</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江苏久信医疗科技股份有限公司，现已更名为江苏久信医疗科技有限公司</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上海腾隆</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上海腾隆变配电设备管理有限公司</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融智节能</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融智节能环保（深圳）有限公司</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淮南达实</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淮南达实智慧城市投资发展有限公司</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珠海达实</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珠海达实科技发展有限公司</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达实投资</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深圳市达实投资发展有限公司，现更名为拉萨市达实投资发展有限公司</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常州瑞信</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常州瑞信投资中心（有限合伙</w:t>
            </w:r>
            <w:r>
              <w:rPr>
                <w:rFonts w:ascii="宋体" w:hAnsi="宋体" w:cs="宋体" w:eastAsia="宋体" w:hint="default"/>
                <w:spacing w:val="-90"/>
                <w:sz w:val="18"/>
                <w:szCs w:val="18"/>
              </w:rPr>
              <w:t>）</w:t>
            </w:r>
            <w:r>
              <w:rPr>
                <w:rFonts w:ascii="宋体" w:hAnsi="宋体" w:cs="宋体" w:eastAsia="宋体" w:hint="default"/>
                <w:sz w:val="18"/>
                <w:szCs w:val="18"/>
              </w:rPr>
              <w:t>，久信医疗员工持股公司</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常州臻信</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常州臻信投资中心（有限合伙</w:t>
            </w:r>
            <w:r>
              <w:rPr>
                <w:rFonts w:ascii="宋体" w:hAnsi="宋体" w:cs="宋体" w:eastAsia="宋体" w:hint="default"/>
                <w:spacing w:val="-90"/>
                <w:sz w:val="18"/>
                <w:szCs w:val="18"/>
              </w:rPr>
              <w:t>）</w:t>
            </w:r>
            <w:r>
              <w:rPr>
                <w:rFonts w:ascii="宋体" w:hAnsi="宋体" w:cs="宋体" w:eastAsia="宋体" w:hint="default"/>
                <w:sz w:val="18"/>
                <w:szCs w:val="18"/>
              </w:rPr>
              <w:t>，久信医疗员工持股公司</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上海玖势</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上海玖势股权投资中心（有限合伙）</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南京优势</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南京优势股权投资基金（有限合伙）</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佛山优势</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佛山优势资本创业投资合伙企业（有限合伙）</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扬州经信</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扬州经信新兴产业创业投资中心（有限合伙）</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常州金茂</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常州金茂新兴产业创业投资合伙企业（有限合伙）</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南通康成亨</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南通康成亨重点成长型企业股权投资合伙企业（有限合伙）</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956320"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2644" w:right="1017"/>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17"/>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达实智能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002421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达实智能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DAS INTELLITECH CO.,</w:t>
            </w:r>
            <w:r>
              <w:rPr>
                <w:rFonts w:ascii="Times New Roman"/>
                <w:spacing w:val="-2"/>
                <w:sz w:val="18"/>
              </w:rPr>
              <w:t> </w:t>
            </w:r>
            <w:r>
              <w:rPr>
                <w:rFonts w:ascii="Times New Roman"/>
                <w:spacing w:val="-5"/>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DAS</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刘磅</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深圳市南山区高新技术村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座五楼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深圳市南山区高新技术产业园达实智能大厦</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www.chn-das.com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das@chn-das.com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17"/>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46"/>
        <w:gridCol w:w="3662"/>
        <w:gridCol w:w="3651"/>
      </w:tblGrid>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6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张红萍</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6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深圳市南山区高新技术产业园达实智能大厦</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深圳市南山区高新技术产业园达实智能大厦</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6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0755-26525166</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0755-26525166</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6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0755-26639599</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0755-26639599</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6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das@chn-das.com</w:t>
              </w:r>
            </w:hyperlink>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das@chn-das.com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17"/>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9"/>
        <w:rPr>
          <w:rFonts w:ascii="宋体" w:hAnsi="宋体" w:cs="宋体" w:eastAsia="宋体" w:hint="default"/>
          <w:b/>
          <w:bCs/>
          <w:sz w:val="19"/>
          <w:szCs w:val="19"/>
        </w:rPr>
      </w:pPr>
    </w:p>
    <w:p>
      <w:pPr>
        <w:pStyle w:val="Heading2"/>
        <w:spacing w:line="240" w:lineRule="auto" w:before="26"/>
        <w:ind w:left="154" w:right="1017"/>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58"/>
        <w:gridCol w:w="5610"/>
      </w:tblGrid>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914403006188861815</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17"/>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58"/>
        <w:gridCol w:w="5610"/>
      </w:tblGrid>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北京西直门外大街</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号中糖大厦</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潘忠民、黄建军</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8"/>
        <w:gridCol w:w="2268"/>
        <w:gridCol w:w="1843"/>
        <w:gridCol w:w="3189"/>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广州市天河区天河北路</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183-187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号大都会广场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郭国、胡军</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8"/>
        <w:gridCol w:w="2268"/>
        <w:gridCol w:w="1843"/>
        <w:gridCol w:w="3189"/>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8"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7"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广州市天河区天河北路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183-187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号大都会广场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孙朋远、杨华川、郭国</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54" w:right="1017"/>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6"/>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1,711,308,669.07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1,263,062,267.04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1,011,892,653.89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152,633,303.67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112,167,858.11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82,294,209.87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142,092,394.07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104,887,886.97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76,919,640.57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137,004,657.66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114,107,771.58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4,520,823.16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0.3941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0.3941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45" w:right="0"/>
              <w:jc w:val="left"/>
              <w:rPr>
                <w:rFonts w:ascii="Times New Roman" w:hAnsi="Times New Roman" w:cs="Times New Roman" w:eastAsia="Times New Roman" w:hint="default"/>
                <w:sz w:val="18"/>
                <w:szCs w:val="18"/>
              </w:rPr>
            </w:pPr>
            <w:r>
              <w:rPr>
                <w:rFonts w:ascii="Times New Roman"/>
                <w:sz w:val="18"/>
              </w:rPr>
              <w:t>4,843,555,495.12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2,600,385,358.72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1,470,609,407.44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2,536,792,874.78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1,617,669,537.17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773,846,216.08</w:t>
            </w:r>
          </w:p>
        </w:tc>
      </w:tr>
    </w:tbl>
    <w:p>
      <w:pPr>
        <w:spacing w:line="240" w:lineRule="auto" w:before="2"/>
        <w:rPr>
          <w:rFonts w:ascii="宋体" w:hAnsi="宋体" w:cs="宋体" w:eastAsia="宋体" w:hint="default"/>
          <w:sz w:val="18"/>
          <w:szCs w:val="18"/>
        </w:rPr>
      </w:pPr>
    </w:p>
    <w:p>
      <w:pPr>
        <w:pStyle w:val="Heading2"/>
        <w:spacing w:line="240" w:lineRule="auto" w:before="26"/>
        <w:ind w:left="154" w:right="1017"/>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17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left="153" w:right="1017"/>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017"/>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274,859,348.12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339,127,844.25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418,934,850.82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678,386,625.88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17,448,523.25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26,546,004.80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53,278,072.38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55,360,703.24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15,952,954.40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23,953,725.68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47,453,584.44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54,732,129.55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-102,010,579.49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22,099,278.68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2,560,969.09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214,354,989.38</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1017"/>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175,357.22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-107,441.18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10,440.91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14,914,406.04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10,505,327.01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8,289,137.21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00" w:lineRule="auto"/>
              <w:ind w:left="23" w:right="154"/>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 入</w:t>
            </w:r>
            <w:r>
              <w:rPr>
                <w:rFonts w:ascii="Times New Roman" w:hAnsi="Times New Roman" w:cs="Times New Roman" w:eastAsia="Times New Roman" w:hint="default"/>
                <w:sz w:val="18"/>
                <w:szCs w:val="18"/>
              </w:rPr>
              <w:t>”</w:t>
            </w: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490.69</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1298"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-135,830.41</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-232,525.70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123,125.72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2,263,674.54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1,542,040.78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1,276,003.27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2,149,348.71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1,343,348.21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1,772,621.96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10,540,909.60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7,279,971.14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5,374,569.30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447" w:right="1017"/>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4"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right="1017" w:firstLine="421"/>
        <w:jc w:val="left"/>
      </w:pPr>
      <w:r>
        <w:rPr>
          <w:spacing w:val="-3"/>
        </w:rPr>
        <w:t>公司以“让城市更智慧，让建筑更节能”为经营宗旨，聚焦智慧交通、智慧医疗和智慧建筑三大领域，</w:t>
      </w:r>
      <w:r>
        <w:rPr/>
        <w:t> 以“技术</w:t>
      </w:r>
      <w:r>
        <w:rPr>
          <w:rFonts w:ascii="宋体" w:hAnsi="宋体" w:cs="宋体" w:eastAsia="宋体" w:hint="default"/>
        </w:rPr>
        <w:t>+</w:t>
      </w:r>
      <w:r>
        <w:rPr/>
        <w:t>金融”的商业模式驱动，提供智慧城市领域的解决方案与运营服务。</w:t>
      </w:r>
    </w:p>
    <w:p>
      <w:pPr>
        <w:pStyle w:val="BodyText"/>
        <w:spacing w:line="357" w:lineRule="auto"/>
        <w:ind w:left="574" w:right="1017"/>
        <w:jc w:val="left"/>
      </w:pPr>
      <w:r>
        <w:rPr/>
        <w:t>（一）智慧交通领域 </w:t>
      </w:r>
      <w:r>
        <w:rPr>
          <w:spacing w:val="-1"/>
        </w:rPr>
        <w:t>公司提供城市轨道交通的智能化整体解决方案，包括轨道交通综合监控系统、自动售检票系统、综合</w:t>
      </w:r>
    </w:p>
    <w:p>
      <w:pPr>
        <w:pStyle w:val="BodyText"/>
        <w:spacing w:line="355" w:lineRule="auto"/>
        <w:ind w:left="574" w:right="1017" w:hanging="420"/>
        <w:jc w:val="left"/>
      </w:pPr>
      <w:r>
        <w:rPr/>
        <w:t>安防系统、乘客资讯系统以及门禁出入口管理系统的解决方案。 </w:t>
      </w:r>
      <w:r>
        <w:rPr>
          <w:spacing w:val="-1"/>
        </w:rPr>
        <w:t>凭借多年的技术积累，公司已形成较为齐全的产品线，为深圳、成都、长沙、广州等九个城市的轨道</w:t>
      </w:r>
    </w:p>
    <w:p>
      <w:pPr>
        <w:pStyle w:val="BodyText"/>
        <w:spacing w:line="357" w:lineRule="auto" w:before="33"/>
        <w:ind w:left="154" w:right="1131"/>
        <w:jc w:val="both"/>
      </w:pPr>
      <w:r>
        <w:rPr/>
        <w:t>交通系统提供了解决方案，同时借助上市公司的平台优势，寻求以</w:t>
      </w:r>
      <w:r>
        <w:rPr>
          <w:spacing w:val="-64"/>
        </w:rPr>
        <w:t> </w:t>
      </w:r>
      <w:r>
        <w:rPr>
          <w:rFonts w:ascii="宋体" w:hAnsi="宋体" w:cs="宋体" w:eastAsia="宋体" w:hint="default"/>
        </w:rPr>
        <w:t>PPP</w:t>
      </w:r>
      <w:r>
        <w:rPr>
          <w:rFonts w:ascii="宋体" w:hAnsi="宋体" w:cs="宋体" w:eastAsia="宋体" w:hint="default"/>
          <w:spacing w:val="-64"/>
        </w:rPr>
        <w:t> </w:t>
      </w:r>
      <w:r>
        <w:rPr/>
        <w:t>的模式参与政府轨道交通建设，与 </w:t>
      </w:r>
      <w:r>
        <w:rPr>
          <w:spacing w:val="-1"/>
        </w:rPr>
        <w:t>国内优秀的轨道交通企业进行多层次、多形式的战略合作，抓住轨道交通黄金发展机遇，践行公司智慧交</w:t>
      </w:r>
      <w:r>
        <w:rPr>
          <w:spacing w:val="-83"/>
        </w:rPr>
        <w:t> </w:t>
      </w:r>
      <w:r>
        <w:rPr>
          <w:spacing w:val="-83"/>
        </w:rPr>
      </w:r>
      <w:r>
        <w:rPr/>
        <w:t>通战略思路。</w:t>
      </w:r>
    </w:p>
    <w:p>
      <w:pPr>
        <w:pStyle w:val="BodyText"/>
        <w:spacing w:line="357" w:lineRule="auto"/>
        <w:ind w:left="574" w:right="1017"/>
        <w:jc w:val="left"/>
      </w:pPr>
      <w:r>
        <w:rPr/>
        <w:t>（二）智慧医疗领域 </w:t>
      </w:r>
      <w:r>
        <w:rPr>
          <w:spacing w:val="-1"/>
        </w:rPr>
        <w:t>公司定位于向医院客户提供“智慧医院”解决方案，通过智能化、医疗净化、机电三大系统解决方案</w:t>
      </w:r>
    </w:p>
    <w:p>
      <w:pPr>
        <w:pStyle w:val="BodyText"/>
        <w:spacing w:line="357" w:lineRule="auto"/>
        <w:ind w:right="1131"/>
        <w:jc w:val="both"/>
      </w:pPr>
      <w:r>
        <w:rPr>
          <w:spacing w:val="-1"/>
        </w:rPr>
        <w:t>提供医院基础设施与环境建设专业集成与服务，通过整合内外部资源，向医院提供信息化与互联网云医院</w:t>
      </w:r>
      <w:r>
        <w:rPr>
          <w:spacing w:val="-81"/>
        </w:rPr>
        <w:t> </w:t>
      </w:r>
      <w:r>
        <w:rPr>
          <w:spacing w:val="-81"/>
        </w:rPr>
      </w:r>
      <w:r>
        <w:rPr/>
        <w:t>服务。同时以区域医疗信息化为基础，探索数据及平台运营模式。</w:t>
      </w:r>
    </w:p>
    <w:p>
      <w:pPr>
        <w:pStyle w:val="BodyText"/>
        <w:spacing w:line="355" w:lineRule="auto" w:before="31"/>
        <w:ind w:left="573" w:right="1723"/>
        <w:jc w:val="left"/>
      </w:pPr>
      <w:r>
        <w:rPr/>
        <w:t>（三）智慧建筑领域 公司在住宅、五星级酒店、大型商业综合体以及政府公建等领域提供智能化及节能解决方案。</w:t>
      </w:r>
    </w:p>
    <w:p>
      <w:pPr>
        <w:spacing w:line="240" w:lineRule="auto" w:before="4"/>
        <w:rPr>
          <w:rFonts w:ascii="宋体" w:hAnsi="宋体" w:cs="宋体" w:eastAsia="宋体" w:hint="default"/>
          <w:sz w:val="25"/>
          <w:szCs w:val="25"/>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407"/>
        <w:gridCol w:w="8150"/>
      </w:tblGrid>
      <w:tr>
        <w:trPr>
          <w:trHeight w:val="186" w:hRule="exact"/>
        </w:trPr>
        <w:tc>
          <w:tcPr>
            <w:tcW w:w="1407" w:type="dxa"/>
            <w:tcBorders>
              <w:top w:val="single" w:sz="4" w:space="0" w:color="000000"/>
              <w:left w:val="single" w:sz="4" w:space="0" w:color="000000"/>
              <w:bottom w:val="nil" w:sz="6" w:space="0" w:color="auto"/>
              <w:right w:val="single" w:sz="4" w:space="0" w:color="000000"/>
            </w:tcBorders>
            <w:shd w:val="clear" w:color="auto" w:fill="D9D9D9"/>
          </w:tcPr>
          <w:p>
            <w:pPr/>
          </w:p>
        </w:tc>
        <w:tc>
          <w:tcPr>
            <w:tcW w:w="8150" w:type="dxa"/>
            <w:tcBorders>
              <w:top w:val="single" w:sz="4" w:space="0" w:color="000000"/>
              <w:left w:val="single" w:sz="4" w:space="0" w:color="000000"/>
              <w:bottom w:val="nil" w:sz="6" w:space="0" w:color="auto"/>
              <w:right w:val="single" w:sz="4" w:space="0" w:color="000000"/>
            </w:tcBorders>
            <w:shd w:val="clear" w:color="auto" w:fill="D9D9D9"/>
          </w:tcPr>
          <w:p>
            <w:pPr/>
          </w:p>
        </w:tc>
      </w:tr>
      <w:tr>
        <w:trPr>
          <w:trHeight w:val="392" w:hRule="exact"/>
        </w:trPr>
        <w:tc>
          <w:tcPr>
            <w:tcW w:w="140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15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1407" w:type="dxa"/>
            <w:tcBorders>
              <w:top w:val="nil" w:sz="6" w:space="0" w:color="auto"/>
              <w:left w:val="single" w:sz="4" w:space="0" w:color="000000"/>
              <w:bottom w:val="single" w:sz="4" w:space="0" w:color="000000"/>
              <w:right w:val="single" w:sz="4" w:space="0" w:color="000000"/>
            </w:tcBorders>
            <w:shd w:val="clear" w:color="auto" w:fill="D9D9D9"/>
          </w:tcPr>
          <w:p>
            <w:pPr/>
          </w:p>
        </w:tc>
        <w:tc>
          <w:tcPr>
            <w:tcW w:w="8150" w:type="dxa"/>
            <w:tcBorders>
              <w:top w:val="nil" w:sz="6" w:space="0" w:color="auto"/>
              <w:left w:val="single" w:sz="4" w:space="0" w:color="000000"/>
              <w:bottom w:val="single" w:sz="4" w:space="0" w:color="000000"/>
              <w:right w:val="single" w:sz="4" w:space="0" w:color="000000"/>
            </w:tcBorders>
            <w:shd w:val="clear" w:color="auto" w:fill="D9D9D9"/>
          </w:tcPr>
          <w:p>
            <w:pPr/>
          </w:p>
        </w:tc>
      </w:tr>
      <w:tr>
        <w:trPr>
          <w:trHeight w:val="317" w:hRule="exact"/>
        </w:trPr>
        <w:tc>
          <w:tcPr>
            <w:tcW w:w="1407" w:type="dxa"/>
            <w:tcBorders>
              <w:top w:val="single" w:sz="4" w:space="0" w:color="000000"/>
              <w:left w:val="single" w:sz="4" w:space="0" w:color="000000"/>
              <w:bottom w:val="nil" w:sz="6" w:space="0" w:color="auto"/>
              <w:right w:val="single" w:sz="4" w:space="0" w:color="000000"/>
            </w:tcBorders>
            <w:shd w:val="clear" w:color="auto" w:fill="D9D9D9"/>
          </w:tcPr>
          <w:p>
            <w:pPr/>
          </w:p>
        </w:tc>
        <w:tc>
          <w:tcPr>
            <w:tcW w:w="8150" w:type="dxa"/>
            <w:vMerge w:val="restart"/>
            <w:tcBorders>
              <w:top w:val="single" w:sz="4" w:space="0" w:color="000000"/>
              <w:left w:val="single" w:sz="9" w:space="0" w:color="D9D9D9"/>
              <w:right w:val="single" w:sz="4" w:space="0" w:color="000000"/>
            </w:tcBorders>
          </w:tcPr>
          <w:p>
            <w:pPr>
              <w:pStyle w:val="TableParagraph"/>
              <w:spacing w:line="309"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经中国证监会《关于核准深圳达实智能股份有限公司向房志刚等发行股份购买资产并募集配套资金的批 </w:t>
            </w:r>
            <w:r>
              <w:rPr>
                <w:rFonts w:ascii="宋体" w:hAnsi="宋体" w:cs="宋体" w:eastAsia="宋体" w:hint="default"/>
                <w:spacing w:val="-6"/>
                <w:sz w:val="18"/>
                <w:szCs w:val="18"/>
              </w:rPr>
              <w:t>复》（证监许可【</w:t>
            </w:r>
            <w:r>
              <w:rPr>
                <w:rFonts w:ascii="Times New Roman" w:hAnsi="Times New Roman" w:cs="Times New Roman" w:eastAsia="Times New Roman" w:hint="default"/>
                <w:spacing w:val="-6"/>
                <w:sz w:val="18"/>
                <w:szCs w:val="18"/>
              </w:rPr>
              <w:t>2015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2471</w:t>
            </w:r>
            <w:r>
              <w:rPr>
                <w:rFonts w:ascii="Times New Roman" w:hAnsi="Times New Roman" w:cs="Times New Roman" w:eastAsia="Times New Roman" w:hint="default"/>
                <w:spacing w:val="24"/>
                <w:sz w:val="18"/>
                <w:szCs w:val="18"/>
              </w:rPr>
              <w:t> </w:t>
            </w:r>
            <w:r>
              <w:rPr>
                <w:rFonts w:ascii="宋体" w:hAnsi="宋体" w:cs="宋体" w:eastAsia="宋体" w:hint="default"/>
                <w:spacing w:val="-1"/>
                <w:sz w:val="18"/>
                <w:szCs w:val="18"/>
              </w:rPr>
              <w:t>号）的核准，公司采取发行股份及支付现金的方式，购买了江苏久信医疗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tc>
      </w:tr>
      <w:tr>
        <w:trPr>
          <w:trHeight w:val="392" w:hRule="exact"/>
        </w:trPr>
        <w:tc>
          <w:tcPr>
            <w:tcW w:w="140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150" w:type="dxa"/>
            <w:vMerge/>
            <w:tcBorders>
              <w:left w:val="single" w:sz="9" w:space="0" w:color="D9D9D9"/>
              <w:right w:val="single" w:sz="4" w:space="0" w:color="000000"/>
            </w:tcBorders>
          </w:tcPr>
          <w:p>
            <w:pPr/>
          </w:p>
        </w:tc>
      </w:tr>
      <w:tr>
        <w:trPr>
          <w:trHeight w:val="317" w:hRule="exact"/>
        </w:trPr>
        <w:tc>
          <w:tcPr>
            <w:tcW w:w="1407" w:type="dxa"/>
            <w:tcBorders>
              <w:top w:val="nil" w:sz="6" w:space="0" w:color="auto"/>
              <w:left w:val="single" w:sz="4" w:space="0" w:color="000000"/>
              <w:bottom w:val="single" w:sz="4" w:space="0" w:color="000000"/>
              <w:right w:val="single" w:sz="4" w:space="0" w:color="000000"/>
            </w:tcBorders>
            <w:shd w:val="clear" w:color="auto" w:fill="D9D9D9"/>
          </w:tcPr>
          <w:p>
            <w:pPr/>
          </w:p>
        </w:tc>
        <w:tc>
          <w:tcPr>
            <w:tcW w:w="8150" w:type="dxa"/>
            <w:vMerge/>
            <w:tcBorders>
              <w:left w:val="single" w:sz="9" w:space="0" w:color="D9D9D9"/>
              <w:bottom w:val="single" w:sz="4" w:space="0" w:color="000000"/>
              <w:right w:val="single" w:sz="4" w:space="0" w:color="000000"/>
            </w:tcBorders>
          </w:tcPr>
          <w:p>
            <w:pP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150"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本报告期新收购的全资子公司久信医疗纳入合并报表，较上年同期增长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45.31%</w:t>
            </w:r>
            <w:r>
              <w:rPr>
                <w:rFonts w:ascii="宋体" w:hAnsi="宋体" w:cs="宋体" w:eastAsia="宋体" w:hint="default"/>
                <w:sz w:val="18"/>
                <w:szCs w:val="18"/>
              </w:rPr>
              <w:t>。</w:t>
            </w: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150"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本报告期新收购的全资子公司久信医疗纳入合并报表，较上年同期增长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1,879.90%</w:t>
            </w:r>
            <w:r>
              <w:rPr>
                <w:rFonts w:ascii="宋体" w:hAnsi="宋体" w:cs="宋体" w:eastAsia="宋体" w:hint="default"/>
                <w:sz w:val="18"/>
                <w:szCs w:val="18"/>
              </w:rPr>
              <w:t>。</w:t>
            </w:r>
          </w:p>
        </w:tc>
      </w:tr>
      <w:tr>
        <w:trPr>
          <w:trHeight w:val="161" w:hRule="exact"/>
        </w:trPr>
        <w:tc>
          <w:tcPr>
            <w:tcW w:w="1407" w:type="dxa"/>
            <w:tcBorders>
              <w:top w:val="single" w:sz="4" w:space="0" w:color="000000"/>
              <w:left w:val="single" w:sz="4" w:space="0" w:color="000000"/>
              <w:bottom w:val="nil" w:sz="6" w:space="0" w:color="auto"/>
              <w:right w:val="single" w:sz="4" w:space="0" w:color="000000"/>
            </w:tcBorders>
            <w:shd w:val="clear" w:color="auto" w:fill="D9D9D9"/>
          </w:tcPr>
          <w:p>
            <w:pPr/>
          </w:p>
        </w:tc>
        <w:tc>
          <w:tcPr>
            <w:tcW w:w="8150" w:type="dxa"/>
            <w:vMerge w:val="restart"/>
            <w:tcBorders>
              <w:top w:val="single" w:sz="4" w:space="0" w:color="000000"/>
              <w:left w:val="single" w:sz="9" w:space="0" w:color="D9D9D9"/>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本报告期母公司在建节能项目投资增加以及子公司达实信息物业改扩建投入增加，较上年同期增长</w:t>
            </w:r>
          </w:p>
          <w:p>
            <w:pPr>
              <w:pStyle w:val="TableParagraph"/>
              <w:spacing w:line="240" w:lineRule="auto" w:before="7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1,604.39%</w:t>
            </w:r>
            <w:r>
              <w:rPr>
                <w:rFonts w:ascii="宋体" w:hAnsi="宋体" w:cs="宋体" w:eastAsia="宋体" w:hint="default"/>
                <w:sz w:val="18"/>
                <w:szCs w:val="18"/>
              </w:rPr>
              <w:t>。</w:t>
            </w:r>
          </w:p>
        </w:tc>
      </w:tr>
      <w:tr>
        <w:trPr>
          <w:trHeight w:val="392" w:hRule="exact"/>
        </w:trPr>
        <w:tc>
          <w:tcPr>
            <w:tcW w:w="140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150" w:type="dxa"/>
            <w:vMerge/>
            <w:tcBorders>
              <w:left w:val="single" w:sz="9" w:space="0" w:color="D9D9D9"/>
              <w:right w:val="single" w:sz="4" w:space="0" w:color="000000"/>
            </w:tcBorders>
          </w:tcPr>
          <w:p>
            <w:pPr/>
          </w:p>
        </w:tc>
      </w:tr>
      <w:tr>
        <w:trPr>
          <w:trHeight w:val="161" w:hRule="exact"/>
        </w:trPr>
        <w:tc>
          <w:tcPr>
            <w:tcW w:w="1407" w:type="dxa"/>
            <w:tcBorders>
              <w:top w:val="nil" w:sz="6" w:space="0" w:color="auto"/>
              <w:left w:val="single" w:sz="4" w:space="0" w:color="000000"/>
              <w:bottom w:val="single" w:sz="4" w:space="0" w:color="000000"/>
              <w:right w:val="single" w:sz="4" w:space="0" w:color="000000"/>
            </w:tcBorders>
            <w:shd w:val="clear" w:color="auto" w:fill="D9D9D9"/>
          </w:tcPr>
          <w:p>
            <w:pPr/>
          </w:p>
        </w:tc>
        <w:tc>
          <w:tcPr>
            <w:tcW w:w="8150" w:type="dxa"/>
            <w:vMerge/>
            <w:tcBorders>
              <w:left w:val="single" w:sz="9" w:space="0" w:color="D9D9D9"/>
              <w:bottom w:val="single" w:sz="4" w:space="0" w:color="000000"/>
              <w:right w:val="single" w:sz="4" w:space="0" w:color="000000"/>
            </w:tcBorders>
          </w:tcPr>
          <w:p>
            <w:pPr/>
          </w:p>
        </w:tc>
      </w:tr>
      <w:tr>
        <w:trPr>
          <w:trHeight w:val="403"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8150"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本报告期子公司达实租赁融资租赁业务增加，较上年同期增长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426.43%</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1017"/>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1017"/>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left="489" w:right="1017"/>
        <w:jc w:val="left"/>
      </w:pPr>
      <w:r>
        <w:rPr>
          <w:rFonts w:ascii="宋体" w:hAnsi="宋体" w:cs="宋体" w:eastAsia="宋体" w:hint="default"/>
        </w:rPr>
        <w:t>1</w:t>
      </w:r>
      <w:r>
        <w:rPr/>
        <w:t>、牢固的团队凝聚力</w:t>
      </w:r>
    </w:p>
    <w:p>
      <w:pPr>
        <w:pStyle w:val="BodyText"/>
        <w:spacing w:line="240" w:lineRule="auto" w:before="134"/>
        <w:ind w:left="575" w:right="1017"/>
        <w:jc w:val="left"/>
        <w:rPr>
          <w:rFonts w:ascii="宋体" w:hAnsi="宋体" w:cs="宋体" w:eastAsia="宋体" w:hint="default"/>
        </w:rPr>
      </w:pPr>
      <w:r>
        <w:rPr/>
        <w:t>公司现有员工</w:t>
      </w:r>
      <w:r>
        <w:rPr>
          <w:spacing w:val="-53"/>
        </w:rPr>
        <w:t> </w:t>
      </w:r>
      <w:r>
        <w:rPr>
          <w:rFonts w:ascii="宋体" w:hAnsi="宋体" w:cs="宋体" w:eastAsia="宋体" w:hint="default"/>
        </w:rPr>
        <w:t>2110</w:t>
      </w:r>
      <w:r>
        <w:rPr>
          <w:rFonts w:ascii="宋体" w:hAnsi="宋体" w:cs="宋体" w:eastAsia="宋体" w:hint="default"/>
          <w:spacing w:val="-55"/>
        </w:rPr>
        <w:t> </w:t>
      </w:r>
      <w:r>
        <w:rPr/>
        <w:t>人，团队人员素质高，具有丰富的行业从业经历。公司自成立以来，已实施了</w:t>
      </w:r>
      <w:r>
        <w:rPr>
          <w:spacing w:val="-53"/>
        </w:rPr>
        <w:t> </w:t>
      </w:r>
      <w:r>
        <w:rPr>
          <w:rFonts w:ascii="宋体" w:hAnsi="宋体" w:cs="宋体" w:eastAsia="宋体" w:hint="default"/>
        </w:rPr>
        <w:t>2</w:t>
      </w:r>
    </w:p>
    <w:p>
      <w:pPr>
        <w:pStyle w:val="BodyText"/>
        <w:spacing w:line="357" w:lineRule="auto" w:before="133"/>
        <w:ind w:right="1024"/>
        <w:jc w:val="left"/>
      </w:pPr>
      <w:r>
        <w:rPr/>
        <w:t>次股权激励计划和</w:t>
      </w:r>
      <w:r>
        <w:rPr>
          <w:spacing w:val="-53"/>
        </w:rPr>
        <w:t> </w:t>
      </w:r>
      <w:r>
        <w:rPr>
          <w:rFonts w:ascii="宋体" w:hAnsi="宋体" w:cs="宋体" w:eastAsia="宋体" w:hint="default"/>
        </w:rPr>
        <w:t>7</w:t>
      </w:r>
      <w:r>
        <w:rPr>
          <w:rFonts w:ascii="宋体" w:hAnsi="宋体" w:cs="宋体" w:eastAsia="宋体" w:hint="default"/>
          <w:spacing w:val="-53"/>
        </w:rPr>
        <w:t> </w:t>
      </w:r>
      <w:r>
        <w:rPr/>
        <w:t>次员工持股计划，是深圳员工股权激励最为广泛的上市公司之一。“达则兼善天下， 实则恒心如一”的企业文化，有效规划了员工个人需求，使个人利益与公司的远景目标相一致，增强了管 </w:t>
      </w:r>
      <w:r>
        <w:rPr>
          <w:spacing w:val="-3"/>
        </w:rPr>
        <w:t>理层和核心人员的归属感，营造出牢固的团队凝聚力。报告期内，公司实施了第二次限制性股票激励计划，</w:t>
      </w:r>
      <w:r>
        <w:rPr>
          <w:spacing w:val="-90"/>
        </w:rPr>
        <w:t> </w:t>
      </w:r>
      <w:r>
        <w:rPr>
          <w:spacing w:val="-90"/>
        </w:rPr>
      </w:r>
      <w:r>
        <w:rPr/>
        <w:t>向</w:t>
      </w:r>
      <w:r>
        <w:rPr>
          <w:spacing w:val="-55"/>
        </w:rPr>
        <w:t> </w:t>
      </w:r>
      <w:r>
        <w:rPr>
          <w:rFonts w:ascii="宋体" w:hAnsi="宋体" w:cs="宋体" w:eastAsia="宋体" w:hint="default"/>
        </w:rPr>
        <w:t>193</w:t>
      </w:r>
      <w:r>
        <w:rPr>
          <w:rFonts w:ascii="宋体" w:hAnsi="宋体" w:cs="宋体" w:eastAsia="宋体" w:hint="default"/>
          <w:spacing w:val="-54"/>
        </w:rPr>
        <w:t> </w:t>
      </w:r>
      <w:r>
        <w:rPr/>
        <w:t>名激励对象授予了</w:t>
      </w:r>
      <w:r>
        <w:rPr>
          <w:spacing w:val="-55"/>
        </w:rPr>
        <w:t> </w:t>
      </w:r>
      <w:r>
        <w:rPr>
          <w:rFonts w:ascii="宋体" w:hAnsi="宋体" w:cs="宋体" w:eastAsia="宋体" w:hint="default"/>
        </w:rPr>
        <w:t>580</w:t>
      </w:r>
      <w:r>
        <w:rPr>
          <w:rFonts w:ascii="宋体" w:hAnsi="宋体" w:cs="宋体" w:eastAsia="宋体" w:hint="default"/>
          <w:spacing w:val="-54"/>
        </w:rPr>
        <w:t> </w:t>
      </w:r>
      <w:r>
        <w:rPr/>
        <w:t>万股股票，并实施了上市后的第一期员工持股计划，</w:t>
      </w:r>
      <w:r>
        <w:rPr>
          <w:rFonts w:ascii="宋体" w:hAnsi="宋体" w:cs="宋体" w:eastAsia="宋体" w:hint="default"/>
        </w:rPr>
        <w:t>383</w:t>
      </w:r>
      <w:r>
        <w:rPr>
          <w:rFonts w:ascii="宋体" w:hAnsi="宋体" w:cs="宋体" w:eastAsia="宋体" w:hint="default"/>
          <w:spacing w:val="-54"/>
        </w:rPr>
        <w:t> </w:t>
      </w:r>
      <w:r>
        <w:rPr/>
        <w:t>人参与。</w:t>
      </w:r>
    </w:p>
    <w:p>
      <w:pPr>
        <w:pStyle w:val="BodyText"/>
        <w:spacing w:line="355" w:lineRule="auto" w:before="31"/>
        <w:ind w:left="575" w:right="1017" w:hanging="2"/>
        <w:jc w:val="left"/>
      </w:pPr>
      <w:r>
        <w:rPr>
          <w:rFonts w:ascii="宋体" w:hAnsi="宋体" w:cs="宋体" w:eastAsia="宋体" w:hint="default"/>
        </w:rPr>
        <w:t>2</w:t>
      </w:r>
      <w:r>
        <w:rPr/>
        <w:t>、优秀的自主创新能力 </w:t>
      </w:r>
      <w:r>
        <w:rPr>
          <w:spacing w:val="-1"/>
        </w:rPr>
        <w:t>公司是国家高新技术企业，内设国家博士后科研工作站、深圳市自动化工程技术研究开发中心、深圳</w:t>
      </w:r>
    </w:p>
    <w:p>
      <w:pPr>
        <w:pStyle w:val="BodyText"/>
        <w:spacing w:line="357" w:lineRule="auto" w:before="33"/>
        <w:ind w:left="154" w:right="1092"/>
        <w:jc w:val="left"/>
      </w:pPr>
      <w:r>
        <w:rPr>
          <w:spacing w:val="-1"/>
        </w:rPr>
        <w:t>集中式空调能效管控技术工程实验室，获得数十项国家发明专利和软件著作权，并主持起草了《合同能源</w:t>
      </w:r>
      <w:r>
        <w:rPr>
          <w:spacing w:val="-83"/>
        </w:rPr>
        <w:t> </w:t>
      </w:r>
      <w:r>
        <w:rPr>
          <w:spacing w:val="-83"/>
        </w:rPr>
      </w:r>
      <w:r>
        <w:rPr/>
        <w:t>管理技术通则》等四项国家重要节能标准。公司强大的自主创新能力、快速研发能力和产业化推广能力， 使公司在技术创新和应用创新上均实现了新突破。报告期内，自主研发的</w:t>
      </w:r>
      <w:r>
        <w:rPr>
          <w:spacing w:val="-53"/>
        </w:rPr>
        <w:t> </w:t>
      </w:r>
      <w:r>
        <w:rPr>
          <w:rFonts w:ascii="宋体" w:hAnsi="宋体" w:cs="宋体" w:eastAsia="宋体" w:hint="default"/>
        </w:rPr>
        <w:t>IBMS</w:t>
      </w:r>
      <w:r>
        <w:rPr>
          <w:rFonts w:ascii="宋体" w:hAnsi="宋体" w:cs="宋体" w:eastAsia="宋体" w:hint="default"/>
          <w:spacing w:val="-53"/>
        </w:rPr>
        <w:t> </w:t>
      </w:r>
      <w:r>
        <w:rPr/>
        <w:t>平台成功应用于济南国际 机场、三亚红树湾酒店、中广核大厦等众多公共及商业项目。</w:t>
      </w:r>
    </w:p>
    <w:p>
      <w:pPr>
        <w:pStyle w:val="BodyText"/>
        <w:spacing w:line="357" w:lineRule="auto"/>
        <w:ind w:left="575" w:right="1016" w:hanging="2"/>
        <w:jc w:val="left"/>
      </w:pPr>
      <w:r>
        <w:rPr>
          <w:rFonts w:ascii="宋体" w:hAnsi="宋体" w:cs="宋体" w:eastAsia="宋体" w:hint="default"/>
        </w:rPr>
        <w:t>3</w:t>
      </w:r>
      <w:r>
        <w:rPr/>
        <w:t>、创新的商业模式整合能力 </w:t>
      </w:r>
      <w:r>
        <w:rPr>
          <w:spacing w:val="-3"/>
        </w:rPr>
        <w:t>公司充分利用上市公司资本平台的优势，以客户和项目的融资需求为出发点，将业务与金融创新结合，</w:t>
      </w:r>
    </w:p>
    <w:p>
      <w:pPr>
        <w:pStyle w:val="BodyText"/>
        <w:spacing w:line="357" w:lineRule="auto"/>
        <w:ind w:right="1044"/>
        <w:jc w:val="left"/>
      </w:pPr>
      <w:r>
        <w:rPr/>
        <w:t>在智慧城市运营及服务中辅以合同能源管理、买方信贷、</w:t>
      </w:r>
      <w:r>
        <w:rPr>
          <w:rFonts w:ascii="宋体" w:hAnsi="宋体" w:cs="宋体" w:eastAsia="宋体" w:hint="default"/>
        </w:rPr>
        <w:t>BT</w:t>
      </w:r>
      <w:r>
        <w:rPr/>
        <w:t>、融资租赁、</w:t>
      </w:r>
      <w:r>
        <w:rPr>
          <w:rFonts w:ascii="宋体" w:hAnsi="宋体" w:cs="宋体" w:eastAsia="宋体" w:hint="default"/>
        </w:rPr>
        <w:t>PPP</w:t>
      </w:r>
      <w:r>
        <w:rPr>
          <w:rFonts w:ascii="宋体" w:hAnsi="宋体" w:cs="宋体" w:eastAsia="宋体" w:hint="default"/>
          <w:spacing w:val="-56"/>
        </w:rPr>
        <w:t> </w:t>
      </w:r>
      <w:r>
        <w:rPr/>
        <w:t>等方式，形成“技术</w:t>
      </w:r>
      <w:r>
        <w:rPr>
          <w:rFonts w:ascii="宋体" w:hAnsi="宋体" w:cs="宋体" w:eastAsia="宋体" w:hint="default"/>
        </w:rPr>
        <w:t>+</w:t>
      </w:r>
      <w:r>
        <w:rPr/>
        <w:t>金融” 的商业模式，提高服务大客户、大项目的能力。报告期内，公司与信利（惠州）智能显示有限公司签定了 中央空调能源站及水蓄冷系统节能服务项目，金额</w:t>
      </w:r>
      <w:r>
        <w:rPr>
          <w:spacing w:val="-53"/>
        </w:rPr>
        <w:t> </w:t>
      </w:r>
      <w:r>
        <w:rPr>
          <w:rFonts w:ascii="宋体" w:hAnsi="宋体" w:cs="宋体" w:eastAsia="宋体" w:hint="default"/>
        </w:rPr>
        <w:t>1.27</w:t>
      </w:r>
      <w:r>
        <w:rPr>
          <w:rFonts w:ascii="宋体" w:hAnsi="宋体" w:cs="宋体" w:eastAsia="宋体" w:hint="default"/>
          <w:spacing w:val="-54"/>
        </w:rPr>
        <w:t> </w:t>
      </w:r>
      <w:r>
        <w:rPr/>
        <w:t>亿元，与仁怀市人民医院签订了</w:t>
      </w:r>
      <w:r>
        <w:rPr>
          <w:spacing w:val="-53"/>
        </w:rPr>
        <w:t> </w:t>
      </w:r>
      <w:r>
        <w:rPr>
          <w:rFonts w:ascii="宋体" w:hAnsi="宋体" w:cs="宋体" w:eastAsia="宋体" w:hint="default"/>
        </w:rPr>
        <w:t>PPP</w:t>
      </w:r>
      <w:r>
        <w:rPr>
          <w:rFonts w:ascii="宋体" w:hAnsi="宋体" w:cs="宋体" w:eastAsia="宋体" w:hint="default"/>
          <w:spacing w:val="-54"/>
        </w:rPr>
        <w:t> </w:t>
      </w:r>
      <w:r>
        <w:rPr/>
        <w:t>合作项目， 金额</w:t>
      </w:r>
      <w:r>
        <w:rPr>
          <w:spacing w:val="-54"/>
        </w:rPr>
        <w:t> </w:t>
      </w:r>
      <w:r>
        <w:rPr>
          <w:rFonts w:ascii="宋体" w:hAnsi="宋体" w:cs="宋体" w:eastAsia="宋体" w:hint="default"/>
        </w:rPr>
        <w:t>2.5</w:t>
      </w:r>
      <w:r>
        <w:rPr>
          <w:rFonts w:ascii="宋体" w:hAnsi="宋体" w:cs="宋体" w:eastAsia="宋体" w:hint="default"/>
          <w:spacing w:val="-53"/>
        </w:rPr>
        <w:t> </w:t>
      </w:r>
      <w:r>
        <w:rPr/>
        <w:t>亿元。</w:t>
      </w:r>
    </w:p>
    <w:p>
      <w:pPr>
        <w:pStyle w:val="BodyText"/>
        <w:spacing w:line="355" w:lineRule="auto" w:before="31"/>
        <w:ind w:left="575" w:right="1017" w:hanging="2"/>
        <w:jc w:val="left"/>
      </w:pPr>
      <w:r>
        <w:rPr>
          <w:rFonts w:ascii="宋体" w:hAnsi="宋体" w:cs="宋体" w:eastAsia="宋体" w:hint="default"/>
        </w:rPr>
        <w:t>4</w:t>
      </w:r>
      <w:r>
        <w:rPr/>
        <w:t>、良好的项目管理能力 </w:t>
      </w:r>
      <w:r>
        <w:rPr>
          <w:spacing w:val="-1"/>
        </w:rPr>
        <w:t>公司利用自主开发的项目管理系统，在项目立项阶段开始做好严格的项目质量策划，确保设计过程的</w:t>
      </w:r>
    </w:p>
    <w:p>
      <w:pPr>
        <w:pStyle w:val="BodyText"/>
        <w:spacing w:line="357" w:lineRule="auto" w:before="33"/>
        <w:ind w:right="1017"/>
        <w:jc w:val="left"/>
      </w:pPr>
      <w:r>
        <w:rPr/>
        <w:t>有序、规范；严格挑选供应商，确保采购产品和分包工程质量的可靠；谨慎编制和签订采购、工程施工合 同，加强项目施工现场的监督审核，确保工程项目按进度实施；认真进行系统调试，严格遵守项目竣工验 收标准，从项目立项、合同管理、项目执行、项目采购管理、项目监控等环节实行全面监控，从而保证项 </w:t>
      </w:r>
      <w:r>
        <w:rPr>
          <w:spacing w:val="-5"/>
        </w:rPr>
        <w:t>目有序进行。公司承建的“东莞名气通联合金融数据中心项目”荣获 </w:t>
      </w:r>
      <w:r>
        <w:rPr>
          <w:rFonts w:ascii="宋体" w:hAnsi="宋体" w:cs="宋体" w:eastAsia="宋体" w:hint="default"/>
        </w:rPr>
        <w:t>2015</w:t>
      </w:r>
      <w:r>
        <w:rPr>
          <w:rFonts w:ascii="宋体" w:hAnsi="宋体" w:cs="宋体" w:eastAsia="宋体" w:hint="default"/>
          <w:spacing w:val="-84"/>
        </w:rPr>
        <w:t> </w:t>
      </w:r>
      <w:r>
        <w:rPr>
          <w:spacing w:val="-7"/>
        </w:rPr>
        <w:t>年“中国数据中心施工质量奖”，</w:t>
      </w:r>
      <w:r>
        <w:rPr/>
        <w:t> 公司在数据中心的服务能力得到充分肯定。</w:t>
      </w:r>
    </w:p>
    <w:p>
      <w:pPr>
        <w:spacing w:after="0" w:line="357" w:lineRule="auto"/>
        <w:jc w:val="left"/>
        <w:sectPr>
          <w:pgSz w:w="11910" w:h="16840"/>
          <w:pgMar w:header="87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126" w:right="1017"/>
        <w:jc w:val="left"/>
        <w:rPr>
          <w:b w:val="0"/>
          <w:bCs w:val="0"/>
        </w:rPr>
      </w:pPr>
      <w:bookmarkStart w:name="第四节 管理层讨论与分析" w:id="23"/>
      <w:bookmarkEnd w:id="23"/>
      <w:r>
        <w:rPr>
          <w:b w:val="0"/>
          <w:bCs w:val="0"/>
        </w:rPr>
      </w:r>
      <w:bookmarkStart w:name="_bookmark3" w:id="24"/>
      <w:bookmarkEnd w:id="24"/>
      <w:r>
        <w:rPr>
          <w:b w:val="0"/>
          <w:bCs w:val="0"/>
        </w:rPr>
      </w:r>
      <w:r>
        <w:rPr/>
        <w:t>第四节</w:t>
      </w:r>
      <w:r>
        <w:rPr>
          <w:spacing w:val="-7"/>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4" w:right="1017"/>
        <w:jc w:val="left"/>
        <w:rPr>
          <w:b w:val="0"/>
          <w:bCs w:val="0"/>
        </w:rPr>
      </w:pPr>
      <w:bookmarkStart w:name="一、概述" w:id="25"/>
      <w:bookmarkEnd w:id="25"/>
      <w:r>
        <w:rPr>
          <w:b w:val="0"/>
          <w:bCs w:val="0"/>
        </w:rPr>
      </w:r>
      <w:r>
        <w:rPr/>
        <w:t>一、概述</w:t>
      </w:r>
      <w:r>
        <w:rPr>
          <w:b w:val="0"/>
          <w:bCs w:val="0"/>
        </w:rPr>
      </w:r>
    </w:p>
    <w:p>
      <w:pPr>
        <w:spacing w:line="240" w:lineRule="auto" w:before="2"/>
        <w:rPr>
          <w:rFonts w:ascii="宋体" w:hAnsi="宋体" w:cs="宋体" w:eastAsia="宋体" w:hint="default"/>
          <w:b/>
          <w:bCs/>
          <w:sz w:val="23"/>
          <w:szCs w:val="23"/>
        </w:rPr>
      </w:pPr>
    </w:p>
    <w:p>
      <w:pPr>
        <w:pStyle w:val="BodyText"/>
        <w:spacing w:line="357" w:lineRule="auto" w:before="0"/>
        <w:ind w:right="1016" w:firstLine="360"/>
        <w:jc w:val="left"/>
      </w:pPr>
      <w:r>
        <w:rPr>
          <w:rFonts w:ascii="宋体" w:hAnsi="宋体" w:cs="宋体" w:eastAsia="宋体" w:hint="default"/>
        </w:rPr>
        <w:t>2015</w:t>
      </w:r>
      <w:r>
        <w:rPr>
          <w:rFonts w:ascii="宋体" w:hAnsi="宋体" w:cs="宋体" w:eastAsia="宋体" w:hint="default"/>
          <w:spacing w:val="-49"/>
        </w:rPr>
        <w:t> </w:t>
      </w:r>
      <w:r>
        <w:rPr>
          <w:spacing w:val="-3"/>
        </w:rPr>
        <w:t>年度，中国经济增速继续回调，投资增长乏力，下行压力明显，实体企业面临了较大的发展压力。</w:t>
      </w:r>
      <w:r>
        <w:rPr/>
        <w:t> 但在产业结构不断调整、持续优化的的过程中，公司顺应“新常态”和“互联网化”带来的结构性调整机 会，内外兼修、迎接挑战，在智慧交通、智慧医疗及智慧建筑领域综合筹划产业布局，深入贯彻“让城市 更智慧，让建筑更节能”的经营宗旨，重点突出“技术</w:t>
      </w:r>
      <w:r>
        <w:rPr>
          <w:rFonts w:ascii="宋体" w:hAnsi="宋体" w:cs="宋体" w:eastAsia="宋体" w:hint="default"/>
        </w:rPr>
        <w:t>+</w:t>
      </w:r>
      <w:r>
        <w:rPr/>
        <w:t>金融”的商业模式，精耕细作传统业务，积极抢 占新兴市场，实现了内生式发展的快速增长。同时，借助资本的力量，构建了智慧医疗产业链，开始战略 的升级转型。</w:t>
      </w:r>
    </w:p>
    <w:p>
      <w:pPr>
        <w:spacing w:line="357" w:lineRule="auto" w:before="30"/>
        <w:ind w:left="679" w:right="1197" w:hanging="105"/>
        <w:jc w:val="left"/>
        <w:rPr>
          <w:rFonts w:ascii="宋体" w:hAnsi="宋体" w:cs="宋体" w:eastAsia="宋体" w:hint="default"/>
          <w:sz w:val="21"/>
          <w:szCs w:val="21"/>
        </w:rPr>
      </w:pPr>
      <w:r>
        <w:rPr>
          <w:rFonts w:ascii="宋体" w:hAnsi="宋体" w:cs="宋体" w:eastAsia="宋体" w:hint="default"/>
          <w:b/>
          <w:bCs/>
          <w:sz w:val="21"/>
          <w:szCs w:val="21"/>
        </w:rPr>
        <w:t>（一）报告期内经营情况回顾</w:t>
      </w:r>
      <w:r>
        <w:rPr>
          <w:rFonts w:ascii="宋体" w:hAnsi="宋体" w:cs="宋体" w:eastAsia="宋体" w:hint="default"/>
          <w:b/>
          <w:bCs/>
          <w:w w:val="99"/>
          <w:sz w:val="21"/>
          <w:szCs w:val="21"/>
        </w:rPr>
        <w:t> </w:t>
      </w:r>
      <w:r>
        <w:rPr>
          <w:rFonts w:ascii="宋体" w:hAnsi="宋体" w:cs="宋体" w:eastAsia="宋体" w:hint="default"/>
          <w:sz w:val="21"/>
          <w:szCs w:val="21"/>
        </w:rPr>
        <w:t>凭借董事会的正确决策和全体员工的不懈努力，公司营业收入、净利润等指标再创历史新高，行业</w:t>
      </w:r>
    </w:p>
    <w:p>
      <w:pPr>
        <w:pStyle w:val="BodyText"/>
        <w:spacing w:line="355" w:lineRule="auto"/>
        <w:ind w:right="1260"/>
        <w:jc w:val="left"/>
      </w:pPr>
      <w:r>
        <w:rPr/>
        <w:t>地位和综合竞争实力进一步提升。</w:t>
      </w:r>
      <w:r>
        <w:rPr>
          <w:rFonts w:ascii="宋体" w:hAnsi="宋体" w:cs="宋体" w:eastAsia="宋体" w:hint="default"/>
        </w:rPr>
        <w:t>2015</w:t>
      </w:r>
      <w:r>
        <w:rPr>
          <w:rFonts w:ascii="宋体" w:hAnsi="宋体" w:cs="宋体" w:eastAsia="宋体" w:hint="default"/>
          <w:spacing w:val="-54"/>
        </w:rPr>
        <w:t> </w:t>
      </w:r>
      <w:r>
        <w:rPr/>
        <w:t>年度，公司实现营业总收入</w:t>
      </w:r>
      <w:r>
        <w:rPr>
          <w:spacing w:val="-53"/>
        </w:rPr>
        <w:t> </w:t>
      </w:r>
      <w:r>
        <w:rPr>
          <w:rFonts w:ascii="宋体" w:hAnsi="宋体" w:cs="宋体" w:eastAsia="宋体" w:hint="default"/>
        </w:rPr>
        <w:t>171,130.87</w:t>
      </w:r>
      <w:r>
        <w:rPr>
          <w:rFonts w:ascii="宋体" w:hAnsi="宋体" w:cs="宋体" w:eastAsia="宋体" w:hint="default"/>
          <w:spacing w:val="-53"/>
        </w:rPr>
        <w:t> </w:t>
      </w:r>
      <w:r>
        <w:rPr/>
        <w:t>万元，较上年同期增长 </w:t>
      </w:r>
      <w:r>
        <w:rPr>
          <w:rFonts w:ascii="宋体" w:hAnsi="宋体" w:cs="宋体" w:eastAsia="宋体" w:hint="default"/>
        </w:rPr>
        <w:t>35.49%</w:t>
      </w:r>
      <w:r>
        <w:rPr/>
        <w:t>；营业利润</w:t>
      </w:r>
      <w:r>
        <w:rPr>
          <w:spacing w:val="-55"/>
        </w:rPr>
        <w:t> </w:t>
      </w:r>
      <w:r>
        <w:rPr>
          <w:rFonts w:ascii="宋体" w:hAnsi="宋体" w:cs="宋体" w:eastAsia="宋体" w:hint="default"/>
        </w:rPr>
        <w:t>17,644.89</w:t>
      </w:r>
      <w:r>
        <w:rPr>
          <w:rFonts w:ascii="宋体" w:hAnsi="宋体" w:cs="宋体" w:eastAsia="宋体" w:hint="default"/>
          <w:spacing w:val="-54"/>
        </w:rPr>
        <w:t> </w:t>
      </w:r>
      <w:r>
        <w:rPr/>
        <w:t>万元，较上年同期增长</w:t>
      </w:r>
      <w:r>
        <w:rPr>
          <w:spacing w:val="-54"/>
        </w:rPr>
        <w:t> </w:t>
      </w:r>
      <w:r>
        <w:rPr>
          <w:rFonts w:ascii="宋体" w:hAnsi="宋体" w:cs="宋体" w:eastAsia="宋体" w:hint="default"/>
        </w:rPr>
        <w:t>6.98%</w:t>
      </w:r>
      <w:r>
        <w:rPr/>
        <w:t>；利润总额</w:t>
      </w:r>
      <w:r>
        <w:rPr>
          <w:spacing w:val="-55"/>
        </w:rPr>
        <w:t> </w:t>
      </w:r>
      <w:r>
        <w:rPr>
          <w:rFonts w:ascii="宋体" w:hAnsi="宋体" w:cs="宋体" w:eastAsia="宋体" w:hint="default"/>
        </w:rPr>
        <w:t>19,140.28</w:t>
      </w:r>
      <w:r>
        <w:rPr>
          <w:rFonts w:ascii="宋体" w:hAnsi="宋体" w:cs="宋体" w:eastAsia="宋体" w:hint="default"/>
          <w:spacing w:val="-54"/>
        </w:rPr>
        <w:t> </w:t>
      </w:r>
      <w:r>
        <w:rPr/>
        <w:t>万元</w:t>
      </w:r>
      <w:r>
        <w:rPr>
          <w:rFonts w:ascii="宋体" w:hAnsi="宋体" w:cs="宋体" w:eastAsia="宋体" w:hint="default"/>
        </w:rPr>
        <w:t>,</w:t>
      </w:r>
      <w:r>
        <w:rPr/>
        <w:t>较上年同期增长</w:t>
      </w:r>
    </w:p>
    <w:p>
      <w:pPr>
        <w:pStyle w:val="BodyText"/>
        <w:spacing w:line="240" w:lineRule="auto" w:before="33"/>
        <w:ind w:right="1017"/>
        <w:jc w:val="left"/>
      </w:pPr>
      <w:r>
        <w:rPr>
          <w:rFonts w:ascii="宋体" w:hAnsi="宋体" w:cs="宋体" w:eastAsia="宋体" w:hint="default"/>
        </w:rPr>
        <w:t>9.31%</w:t>
      </w:r>
      <w:r>
        <w:rPr/>
        <w:t>；归属于上市公司股东的净利润</w:t>
      </w:r>
      <w:r>
        <w:rPr>
          <w:spacing w:val="-54"/>
        </w:rPr>
        <w:t> </w:t>
      </w:r>
      <w:r>
        <w:rPr>
          <w:rFonts w:ascii="宋体" w:hAnsi="宋体" w:cs="宋体" w:eastAsia="宋体" w:hint="default"/>
        </w:rPr>
        <w:t>15,263.33</w:t>
      </w:r>
      <w:r>
        <w:rPr>
          <w:rFonts w:ascii="宋体" w:hAnsi="宋体" w:cs="宋体" w:eastAsia="宋体" w:hint="default"/>
          <w:spacing w:val="-53"/>
        </w:rPr>
        <w:t> </w:t>
      </w:r>
      <w:r>
        <w:rPr/>
        <w:t>万元，较上年同期增长</w:t>
      </w:r>
      <w:r>
        <w:rPr>
          <w:spacing w:val="-54"/>
        </w:rPr>
        <w:t> </w:t>
      </w:r>
      <w:r>
        <w:rPr>
          <w:rFonts w:ascii="宋体" w:hAnsi="宋体" w:cs="宋体" w:eastAsia="宋体" w:hint="default"/>
        </w:rPr>
        <w:t>36.08%</w:t>
      </w:r>
      <w:r>
        <w:rPr/>
        <w:t>。</w:t>
      </w:r>
    </w:p>
    <w:p>
      <w:pPr>
        <w:pStyle w:val="BodyText"/>
        <w:spacing w:line="357" w:lineRule="auto" w:before="133"/>
        <w:ind w:left="575" w:right="1017"/>
        <w:jc w:val="left"/>
      </w:pPr>
      <w:r>
        <w:rPr/>
        <w:t>（</w:t>
      </w:r>
      <w:r>
        <w:rPr>
          <w:rFonts w:ascii="宋体" w:hAnsi="宋体" w:cs="宋体" w:eastAsia="宋体" w:hint="default"/>
        </w:rPr>
        <w:t>1</w:t>
      </w:r>
      <w:r>
        <w:rPr/>
        <w:t>）精耕细作智慧交通、智慧建筑业务 </w:t>
      </w:r>
      <w:r>
        <w:rPr>
          <w:spacing w:val="-1"/>
        </w:rPr>
        <w:t>在智慧交通领域，公司抓住轨道交通发展的黄金期，公司服务对象报告期内新增广州、石家庄两个城</w:t>
      </w:r>
    </w:p>
    <w:p>
      <w:pPr>
        <w:pStyle w:val="BodyText"/>
        <w:spacing w:line="357" w:lineRule="auto"/>
        <w:ind w:right="1016"/>
        <w:jc w:val="left"/>
      </w:pPr>
      <w:r>
        <w:rPr>
          <w:spacing w:val="-5"/>
        </w:rPr>
        <w:t>市，并持续巩固了原有市场，先后签约广州地铁</w:t>
      </w:r>
      <w:r>
        <w:rPr>
          <w:spacing w:val="-48"/>
        </w:rPr>
        <w:t> </w:t>
      </w:r>
      <w:r>
        <w:rPr>
          <w:rFonts w:ascii="宋体" w:hAnsi="宋体" w:cs="宋体" w:eastAsia="宋体" w:hint="default"/>
        </w:rPr>
        <w:t>7</w:t>
      </w:r>
      <w:r>
        <w:rPr>
          <w:rFonts w:ascii="宋体" w:hAnsi="宋体" w:cs="宋体" w:eastAsia="宋体" w:hint="default"/>
          <w:spacing w:val="-49"/>
        </w:rPr>
        <w:t> </w:t>
      </w:r>
      <w:r>
        <w:rPr>
          <w:spacing w:val="-10"/>
        </w:rPr>
        <w:t>号线、</w:t>
      </w:r>
      <w:r>
        <w:rPr>
          <w:rFonts w:ascii="宋体" w:hAnsi="宋体" w:cs="宋体" w:eastAsia="宋体" w:hint="default"/>
          <w:spacing w:val="-10"/>
        </w:rPr>
        <w:t>13</w:t>
      </w:r>
      <w:r>
        <w:rPr>
          <w:rFonts w:ascii="宋体" w:hAnsi="宋体" w:cs="宋体" w:eastAsia="宋体" w:hint="default"/>
          <w:spacing w:val="-48"/>
        </w:rPr>
        <w:t> </w:t>
      </w:r>
      <w:r>
        <w:rPr>
          <w:spacing w:val="-4"/>
        </w:rPr>
        <w:t>号线综合监控项目，深圳地铁</w:t>
      </w:r>
      <w:r>
        <w:rPr>
          <w:spacing w:val="-48"/>
        </w:rPr>
        <w:t> </w:t>
      </w:r>
      <w:r>
        <w:rPr>
          <w:rFonts w:ascii="宋体" w:hAnsi="宋体" w:cs="宋体" w:eastAsia="宋体" w:hint="default"/>
        </w:rPr>
        <w:t>7</w:t>
      </w:r>
      <w:r>
        <w:rPr>
          <w:rFonts w:ascii="宋体" w:hAnsi="宋体" w:cs="宋体" w:eastAsia="宋体" w:hint="default"/>
          <w:spacing w:val="-48"/>
        </w:rPr>
        <w:t> </w:t>
      </w:r>
      <w:r>
        <w:rPr/>
        <w:t>号线综合安防、 综合监控及</w:t>
      </w:r>
      <w:r>
        <w:rPr>
          <w:spacing w:val="-53"/>
        </w:rPr>
        <w:t> </w:t>
      </w:r>
      <w:r>
        <w:rPr>
          <w:rFonts w:ascii="宋体" w:hAnsi="宋体" w:cs="宋体" w:eastAsia="宋体" w:hint="default"/>
        </w:rPr>
        <w:t>MCC</w:t>
      </w:r>
      <w:r>
        <w:rPr>
          <w:rFonts w:ascii="宋体" w:hAnsi="宋体" w:cs="宋体" w:eastAsia="宋体" w:hint="default"/>
          <w:spacing w:val="-53"/>
        </w:rPr>
        <w:t> </w:t>
      </w:r>
      <w:r>
        <w:rPr/>
        <w:t>项目，深圳地铁</w:t>
      </w:r>
      <w:r>
        <w:rPr>
          <w:spacing w:val="-54"/>
        </w:rPr>
        <w:t> </w:t>
      </w:r>
      <w:r>
        <w:rPr>
          <w:rFonts w:ascii="宋体" w:hAnsi="宋体" w:cs="宋体" w:eastAsia="宋体" w:hint="default"/>
        </w:rPr>
        <w:t>9</w:t>
      </w:r>
      <w:r>
        <w:rPr>
          <w:rFonts w:ascii="宋体" w:hAnsi="宋体" w:cs="宋体" w:eastAsia="宋体" w:hint="default"/>
          <w:spacing w:val="-53"/>
        </w:rPr>
        <w:t> </w:t>
      </w:r>
      <w:r>
        <w:rPr/>
        <w:t>号线、</w:t>
      </w:r>
      <w:r>
        <w:rPr>
          <w:rFonts w:ascii="宋体" w:hAnsi="宋体" w:cs="宋体" w:eastAsia="宋体" w:hint="default"/>
        </w:rPr>
        <w:t>11</w:t>
      </w:r>
      <w:r>
        <w:rPr>
          <w:rFonts w:ascii="宋体" w:hAnsi="宋体" w:cs="宋体" w:eastAsia="宋体" w:hint="default"/>
          <w:spacing w:val="-53"/>
        </w:rPr>
        <w:t> </w:t>
      </w:r>
      <w:r>
        <w:rPr/>
        <w:t>号线车场智能化系统及</w:t>
      </w:r>
      <w:r>
        <w:rPr>
          <w:spacing w:val="-54"/>
        </w:rPr>
        <w:t> </w:t>
      </w:r>
      <w:r>
        <w:rPr>
          <w:rFonts w:ascii="宋体" w:hAnsi="宋体" w:cs="宋体" w:eastAsia="宋体" w:hint="default"/>
        </w:rPr>
        <w:t>AFC</w:t>
      </w:r>
      <w:r>
        <w:rPr>
          <w:rFonts w:ascii="宋体" w:hAnsi="宋体" w:cs="宋体" w:eastAsia="宋体" w:hint="default"/>
          <w:spacing w:val="-1"/>
        </w:rPr>
        <w:t> </w:t>
      </w:r>
      <w:r>
        <w:rPr/>
        <w:t>系统项目，石家庄地铁</w:t>
      </w:r>
      <w:r>
        <w:rPr>
          <w:spacing w:val="-53"/>
        </w:rPr>
        <w:t> </w:t>
      </w:r>
      <w:r>
        <w:rPr>
          <w:rFonts w:ascii="宋体" w:hAnsi="宋体" w:cs="宋体" w:eastAsia="宋体" w:hint="default"/>
        </w:rPr>
        <w:t>3</w:t>
      </w:r>
      <w:r>
        <w:rPr>
          <w:rFonts w:ascii="宋体" w:hAnsi="宋体" w:cs="宋体" w:eastAsia="宋体" w:hint="default"/>
          <w:spacing w:val="-53"/>
        </w:rPr>
        <w:t> </w:t>
      </w:r>
      <w:r>
        <w:rPr/>
        <w:t>号线一 期综合监控项目，业务遍布深圳、成都、长沙、大连、福州、广州、石家庄、南宁、重庆</w:t>
      </w:r>
      <w:r>
        <w:rPr>
          <w:spacing w:val="-59"/>
        </w:rPr>
        <w:t> </w:t>
      </w:r>
      <w:r>
        <w:rPr>
          <w:rFonts w:ascii="宋体" w:hAnsi="宋体" w:cs="宋体" w:eastAsia="宋体" w:hint="default"/>
        </w:rPr>
        <w:t>9</w:t>
      </w:r>
      <w:r>
        <w:rPr>
          <w:rFonts w:ascii="宋体" w:hAnsi="宋体" w:cs="宋体" w:eastAsia="宋体" w:hint="default"/>
          <w:spacing w:val="-60"/>
        </w:rPr>
        <w:t> </w:t>
      </w:r>
      <w:r>
        <w:rPr/>
        <w:t>个城市，产品 线从单一产品延伸到涵盖轨道交通综合监控系统、自动售检票系统（</w:t>
      </w:r>
      <w:r>
        <w:rPr>
          <w:rFonts w:ascii="宋体" w:hAnsi="宋体" w:cs="宋体" w:eastAsia="宋体" w:hint="default"/>
        </w:rPr>
        <w:t>AFC</w:t>
      </w:r>
      <w:r>
        <w:rPr/>
        <w:t>）、综合安防系统、门禁出入口 管理系统的轨道交通智能化整体解决方案，签约创历史最好成绩。</w:t>
      </w:r>
    </w:p>
    <w:p>
      <w:pPr>
        <w:pStyle w:val="BodyText"/>
        <w:spacing w:line="357" w:lineRule="auto"/>
        <w:ind w:right="1131" w:firstLine="421"/>
        <w:jc w:val="both"/>
      </w:pPr>
      <w:r>
        <w:rPr>
          <w:spacing w:val="-1"/>
        </w:rPr>
        <w:t>在智慧建筑领域，公司继续坚持“精耕细作”的业务理念，提供专业化的智能化及节能解决方案。报</w:t>
      </w:r>
      <w:r>
        <w:rPr/>
        <w:t> </w:t>
      </w:r>
      <w:r>
        <w:rPr>
          <w:spacing w:val="-1"/>
        </w:rPr>
        <w:t>告期内，公司蝉联中国酒店业最具含金量的亚洲酒店论坛星光奖之“最佳酒店智能化供应商”奖项；中标</w:t>
      </w:r>
      <w:r>
        <w:rPr>
          <w:spacing w:val="-86"/>
        </w:rPr>
        <w:t> </w:t>
      </w:r>
      <w:r>
        <w:rPr>
          <w:spacing w:val="-86"/>
        </w:rPr>
      </w:r>
      <w:r>
        <w:rPr>
          <w:spacing w:val="-1"/>
        </w:rPr>
        <w:t>金额过亿的招商证券数据中心项目，实现公司在自用型数据中心项目上零的突破；实施的汕尾信利能源站</w:t>
      </w:r>
      <w:r>
        <w:rPr>
          <w:spacing w:val="-81"/>
        </w:rPr>
        <w:t> </w:t>
      </w:r>
      <w:r>
        <w:rPr>
          <w:spacing w:val="-81"/>
        </w:rPr>
      </w:r>
      <w:r>
        <w:rPr>
          <w:spacing w:val="-1"/>
        </w:rPr>
        <w:t>及水蓄冷项目荣获“中美合同能源管理优秀示范项目”称号，实施效果获得用户高度认可后，又签约了首</w:t>
      </w:r>
      <w:r>
        <w:rPr>
          <w:spacing w:val="-85"/>
        </w:rPr>
        <w:t> </w:t>
      </w:r>
      <w:r>
        <w:rPr>
          <w:spacing w:val="-85"/>
        </w:rPr>
      </w:r>
      <w:r>
        <w:rPr>
          <w:spacing w:val="-1"/>
        </w:rPr>
        <w:t>个金额过亿的合同能源管理项目惠州信利中央空调能源站及水蓄冷系统节能服务项目，验证了公司专业化</w:t>
      </w:r>
      <w:r>
        <w:rPr>
          <w:spacing w:val="-81"/>
        </w:rPr>
        <w:t> </w:t>
      </w:r>
      <w:r>
        <w:rPr>
          <w:spacing w:val="-81"/>
        </w:rPr>
      </w:r>
      <w:r>
        <w:rPr/>
        <w:t>及可复制性的业务发展思路。</w:t>
      </w:r>
    </w:p>
    <w:p>
      <w:pPr>
        <w:pStyle w:val="BodyText"/>
        <w:spacing w:line="240" w:lineRule="auto" w:before="31"/>
        <w:ind w:left="575" w:right="1017"/>
        <w:jc w:val="left"/>
      </w:pPr>
      <w:r>
        <w:rPr/>
        <w:t>（</w:t>
      </w:r>
      <w:r>
        <w:rPr>
          <w:rFonts w:ascii="宋体" w:hAnsi="宋体" w:cs="宋体" w:eastAsia="宋体" w:hint="default"/>
        </w:rPr>
        <w:t>2</w:t>
      </w:r>
      <w:r>
        <w:rPr/>
        <w:t>）积极抢占智慧医疗新兴市场</w:t>
      </w:r>
    </w:p>
    <w:p>
      <w:pPr>
        <w:pStyle w:val="BodyText"/>
        <w:spacing w:line="352" w:lineRule="auto" w:before="133"/>
        <w:ind w:right="1121" w:firstLine="526"/>
        <w:jc w:val="left"/>
        <w:rPr>
          <w:rFonts w:ascii="宋体" w:hAnsi="宋体" w:cs="宋体" w:eastAsia="宋体" w:hint="default"/>
        </w:rPr>
      </w:pPr>
      <w:r>
        <w:rPr/>
        <w:t>在智慧医疗</w:t>
      </w:r>
      <w:r>
        <w:rPr>
          <w:spacing w:val="-60"/>
        </w:rPr>
        <w:t> </w:t>
      </w:r>
      <w:r>
        <w:rPr>
          <w:rFonts w:ascii="宋体" w:hAnsi="宋体" w:cs="宋体" w:eastAsia="宋体" w:hint="default"/>
        </w:rPr>
        <w:t>B2H2C(</w:t>
      </w:r>
      <w:r>
        <w:rPr>
          <w:rFonts w:ascii="Arial" w:hAnsi="Arial" w:cs="Arial" w:eastAsia="Arial" w:hint="default"/>
          <w:color w:val="333333"/>
          <w:sz w:val="18"/>
          <w:szCs w:val="18"/>
        </w:rPr>
        <w:t>Business-to-hospital-to-Customer)</w:t>
      </w:r>
      <w:r>
        <w:rPr/>
        <w:t>的战略实践上，公司通过整合久信医疗及小鹿暖暖</w:t>
      </w:r>
      <w:r>
        <w:rPr>
          <w:w w:val="99"/>
        </w:rPr>
        <w:t> </w:t>
      </w:r>
      <w:r>
        <w:rPr>
          <w:spacing w:val="-1"/>
        </w:rPr>
        <w:t>资源，协同作战，全面参与绿色智慧医院项目。从提供外围环境建设和机电总包开始，进入到医疗专业工</w:t>
      </w:r>
      <w:r>
        <w:rPr>
          <w:spacing w:val="-87"/>
        </w:rPr>
        <w:t> </w:t>
      </w:r>
      <w:r>
        <w:rPr>
          <w:spacing w:val="-87"/>
        </w:rPr>
      </w:r>
      <w:r>
        <w:rPr/>
        <w:t>程和云医院服务，在“技术</w:t>
      </w:r>
      <w:r>
        <w:rPr>
          <w:rFonts w:ascii="宋体" w:hAnsi="宋体" w:cs="宋体" w:eastAsia="宋体" w:hint="default"/>
        </w:rPr>
        <w:t>+</w:t>
      </w:r>
      <w:r>
        <w:rPr/>
        <w:t>金融”商业模式的推动下，产品线日趋齐全、合同金额快速放大，成功收获</w:t>
      </w:r>
      <w:r>
        <w:rPr>
          <w:w w:val="99"/>
        </w:rPr>
        <w:t> 仁怀市人民医院</w:t>
      </w:r>
      <w:r>
        <w:rPr>
          <w:spacing w:val="-42"/>
          <w:w w:val="99"/>
        </w:rPr>
        <w:t> </w:t>
      </w:r>
      <w:r>
        <w:rPr>
          <w:rFonts w:ascii="宋体" w:hAnsi="宋体" w:cs="宋体" w:eastAsia="宋体" w:hint="default"/>
          <w:w w:val="99"/>
        </w:rPr>
        <w:t>PPP</w:t>
      </w:r>
      <w:r>
        <w:rPr>
          <w:rFonts w:ascii="宋体" w:hAnsi="宋体" w:cs="宋体" w:eastAsia="宋体" w:hint="default"/>
          <w:spacing w:val="-42"/>
          <w:w w:val="99"/>
        </w:rPr>
        <w:t> </w:t>
      </w:r>
      <w:r>
        <w:rPr>
          <w:spacing w:val="-6"/>
          <w:w w:val="99"/>
        </w:rPr>
        <w:t>项目、中煤矿建总医院机电系统与互联网医院项目、遵义医学院附属医院新蒲分院</w:t>
      </w:r>
      <w:r>
        <w:rPr>
          <w:spacing w:val="-42"/>
          <w:w w:val="99"/>
        </w:rPr>
        <w:t> </w:t>
      </w:r>
      <w:r>
        <w:rPr>
          <w:rFonts w:ascii="宋体" w:hAnsi="宋体" w:cs="宋体" w:eastAsia="宋体" w:hint="default"/>
          <w:w w:val="99"/>
        </w:rPr>
        <w:t>BOT</w:t>
      </w:r>
      <w:r>
        <w:rPr>
          <w:rFonts w:ascii="宋体" w:hAnsi="宋体" w:cs="宋体" w:eastAsia="宋体" w:hint="default"/>
        </w:rPr>
      </w:r>
    </w:p>
    <w:p>
      <w:pPr>
        <w:spacing w:after="0" w:line="352" w:lineRule="auto"/>
        <w:jc w:val="left"/>
        <w:rPr>
          <w:rFonts w:ascii="宋体" w:hAnsi="宋体" w:cs="宋体" w:eastAsia="宋体" w:hint="default"/>
        </w:rPr>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240" w:lineRule="auto" w:before="35"/>
        <w:ind w:right="0"/>
        <w:jc w:val="both"/>
      </w:pPr>
      <w:r>
        <w:rPr/>
        <w:t>项目，签约合同金额</w:t>
      </w:r>
      <w:r>
        <w:rPr>
          <w:spacing w:val="-53"/>
        </w:rPr>
        <w:t> </w:t>
      </w:r>
      <w:r>
        <w:rPr>
          <w:rFonts w:ascii="宋体" w:hAnsi="宋体" w:cs="宋体" w:eastAsia="宋体" w:hint="default"/>
        </w:rPr>
        <w:t>4.5</w:t>
      </w:r>
      <w:r>
        <w:rPr>
          <w:rFonts w:ascii="宋体" w:hAnsi="宋体" w:cs="宋体" w:eastAsia="宋体" w:hint="default"/>
          <w:spacing w:val="-53"/>
        </w:rPr>
        <w:t> </w:t>
      </w:r>
      <w:r>
        <w:rPr/>
        <w:t>亿元，实现了智慧医院集成服务的全面落地。</w:t>
      </w:r>
    </w:p>
    <w:p>
      <w:pPr>
        <w:pStyle w:val="BodyText"/>
        <w:spacing w:line="355" w:lineRule="auto" w:before="133"/>
        <w:ind w:right="1109" w:firstLine="421"/>
        <w:jc w:val="both"/>
      </w:pPr>
      <w:r>
        <w:rPr/>
        <w:t>在智慧医疗</w:t>
      </w:r>
      <w:r>
        <w:rPr>
          <w:spacing w:val="-56"/>
        </w:rPr>
        <w:t> </w:t>
      </w:r>
      <w:r>
        <w:rPr>
          <w:rFonts w:ascii="宋体" w:hAnsi="宋体" w:cs="宋体" w:eastAsia="宋体" w:hint="default"/>
        </w:rPr>
        <w:t>B2C2C(</w:t>
      </w:r>
      <w:r>
        <w:rPr>
          <w:rFonts w:ascii="Arial" w:hAnsi="Arial" w:cs="Arial" w:eastAsia="Arial" w:hint="default"/>
          <w:color w:val="333333"/>
          <w:sz w:val="18"/>
          <w:szCs w:val="18"/>
        </w:rPr>
        <w:t>Business-to-city-to-Customer)</w:t>
      </w:r>
      <w:r>
        <w:rPr/>
        <w:t>的战略实践上，公司积极探索在区域医疗平台的业务机</w:t>
      </w:r>
      <w:r>
        <w:rPr>
          <w:w w:val="99"/>
        </w:rPr>
        <w:t> </w:t>
      </w:r>
      <w:r>
        <w:rPr>
          <w:spacing w:val="-1"/>
        </w:rPr>
        <w:t>会，解决区域内医疗卫生机构信息化的互联互通、数据共享和医疗资源配置问题。通过公司现有的医院客</w:t>
      </w:r>
      <w:r>
        <w:rPr>
          <w:spacing w:val="-84"/>
        </w:rPr>
        <w:t> </w:t>
      </w:r>
      <w:r>
        <w:rPr>
          <w:spacing w:val="-84"/>
        </w:rPr>
      </w:r>
      <w:r>
        <w:rPr/>
        <w:t>户资源以及区域医疗平台，将基于互联网的新型医疗健康服务向</w:t>
      </w:r>
      <w:r>
        <w:rPr>
          <w:spacing w:val="-63"/>
        </w:rPr>
        <w:t> </w:t>
      </w:r>
      <w:r>
        <w:rPr>
          <w:rFonts w:ascii="宋体" w:hAnsi="宋体" w:cs="宋体" w:eastAsia="宋体" w:hint="default"/>
        </w:rPr>
        <w:t>C</w:t>
      </w:r>
      <w:r>
        <w:rPr>
          <w:rFonts w:ascii="宋体" w:hAnsi="宋体" w:cs="宋体" w:eastAsia="宋体" w:hint="default"/>
          <w:spacing w:val="-63"/>
        </w:rPr>
        <w:t> </w:t>
      </w:r>
      <w:r>
        <w:rPr/>
        <w:t>端用户延伸。报告期内，公司中标了目</w:t>
      </w:r>
      <w:r>
        <w:rPr>
          <w:w w:val="99"/>
        </w:rPr>
        <w:t> </w:t>
      </w:r>
      <w:r>
        <w:rPr/>
        <w:t>前国内规模最大、最完整的淮南市区域医疗</w:t>
      </w:r>
      <w:r>
        <w:rPr>
          <w:spacing w:val="-54"/>
        </w:rPr>
        <w:t> </w:t>
      </w:r>
      <w:r>
        <w:rPr>
          <w:rFonts w:ascii="宋体" w:hAnsi="宋体" w:cs="宋体" w:eastAsia="宋体" w:hint="default"/>
        </w:rPr>
        <w:t>PPP</w:t>
      </w:r>
      <w:r>
        <w:rPr>
          <w:rFonts w:ascii="宋体" w:hAnsi="宋体" w:cs="宋体" w:eastAsia="宋体" w:hint="default"/>
          <w:spacing w:val="-54"/>
        </w:rPr>
        <w:t> </w:t>
      </w:r>
      <w:r>
        <w:rPr/>
        <w:t>平台项目，合同金额</w:t>
      </w:r>
      <w:r>
        <w:rPr>
          <w:spacing w:val="-55"/>
        </w:rPr>
        <w:t> </w:t>
      </w:r>
      <w:r>
        <w:rPr>
          <w:rFonts w:ascii="宋体" w:hAnsi="宋体" w:cs="宋体" w:eastAsia="宋体" w:hint="default"/>
        </w:rPr>
        <w:t>2.385</w:t>
      </w:r>
      <w:r>
        <w:rPr>
          <w:rFonts w:ascii="宋体" w:hAnsi="宋体" w:cs="宋体" w:eastAsia="宋体" w:hint="default"/>
          <w:spacing w:val="-54"/>
        </w:rPr>
        <w:t> </w:t>
      </w:r>
      <w:r>
        <w:rPr/>
        <w:t>亿元。同时，基于平台数据，</w:t>
      </w:r>
      <w:r>
        <w:rPr>
          <w:w w:val="99"/>
        </w:rPr>
        <w:t> </w:t>
      </w:r>
      <w:r>
        <w:rPr>
          <w:spacing w:val="-1"/>
        </w:rPr>
        <w:t>公司将尝试针对居民和第三方机构的运营项目，积极探索并推动淮南市与周边智慧医疗应用与服务的链接</w:t>
      </w:r>
      <w:r>
        <w:rPr>
          <w:spacing w:val="-82"/>
        </w:rPr>
        <w:t> </w:t>
      </w:r>
      <w:r>
        <w:rPr>
          <w:spacing w:val="-82"/>
        </w:rPr>
      </w:r>
      <w:r>
        <w:rPr/>
        <w:t>与协同，并将淮南模式向国内其他地区推广。</w:t>
      </w:r>
    </w:p>
    <w:p>
      <w:pPr>
        <w:spacing w:line="355" w:lineRule="auto" w:before="32"/>
        <w:ind w:left="574" w:right="8127" w:firstLine="1"/>
        <w:jc w:val="left"/>
        <w:rPr>
          <w:rFonts w:ascii="宋体" w:hAnsi="宋体" w:cs="宋体" w:eastAsia="宋体" w:hint="default"/>
          <w:sz w:val="21"/>
          <w:szCs w:val="21"/>
        </w:rPr>
      </w:pPr>
      <w:r>
        <w:rPr>
          <w:rFonts w:ascii="宋体" w:hAnsi="宋体" w:cs="宋体" w:eastAsia="宋体" w:hint="default"/>
          <w:b/>
          <w:bCs/>
          <w:sz w:val="21"/>
          <w:szCs w:val="21"/>
        </w:rPr>
        <w:t>（二）资本运作情况</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、构建智慧医疗产业链</w:t>
      </w:r>
    </w:p>
    <w:p>
      <w:pPr>
        <w:pStyle w:val="BodyText"/>
        <w:spacing w:line="240" w:lineRule="auto" w:before="33"/>
        <w:ind w:left="575" w:right="1017"/>
        <w:jc w:val="left"/>
        <w:rPr>
          <w:rFonts w:ascii="宋体" w:hAnsi="宋体" w:cs="宋体" w:eastAsia="宋体" w:hint="default"/>
        </w:rPr>
      </w:pPr>
      <w:r>
        <w:rPr/>
        <w:t>成功收购久信医疗</w:t>
      </w:r>
      <w:r>
        <w:rPr>
          <w:spacing w:val="-54"/>
        </w:rPr>
        <w:t> </w:t>
      </w:r>
      <w:r>
        <w:rPr>
          <w:rFonts w:ascii="宋体" w:hAnsi="宋体" w:cs="宋体" w:eastAsia="宋体" w:hint="default"/>
        </w:rPr>
        <w:t>100%</w:t>
      </w:r>
      <w:r>
        <w:rPr/>
        <w:t>的股权。报告期内，公司采取发行股份及支付现金的方式购买久信医疗</w:t>
      </w:r>
      <w:r>
        <w:rPr>
          <w:spacing w:val="-54"/>
        </w:rPr>
        <w:t> </w:t>
      </w:r>
      <w:r>
        <w:rPr>
          <w:rFonts w:ascii="宋体" w:hAnsi="宋体" w:cs="宋体" w:eastAsia="宋体" w:hint="default"/>
        </w:rPr>
        <w:t>100%</w:t>
      </w:r>
    </w:p>
    <w:p>
      <w:pPr>
        <w:pStyle w:val="BodyText"/>
        <w:spacing w:line="357" w:lineRule="auto" w:before="133"/>
        <w:ind w:left="154" w:right="1131"/>
        <w:jc w:val="both"/>
      </w:pPr>
      <w:r>
        <w:rPr/>
        <w:t>的股权</w:t>
      </w:r>
      <w:r>
        <w:rPr>
          <w:rFonts w:ascii="宋体" w:hAnsi="宋体" w:cs="宋体" w:eastAsia="宋体" w:hint="default"/>
        </w:rPr>
        <w:t>,</w:t>
      </w:r>
      <w:r>
        <w:rPr/>
        <w:t>交易金额为 </w:t>
      </w:r>
      <w:r>
        <w:rPr>
          <w:rFonts w:ascii="宋体" w:hAnsi="宋体" w:cs="宋体" w:eastAsia="宋体" w:hint="default"/>
        </w:rPr>
        <w:t>87,197.50</w:t>
      </w:r>
      <w:r>
        <w:rPr>
          <w:rFonts w:ascii="宋体" w:hAnsi="宋体" w:cs="宋体" w:eastAsia="宋体" w:hint="default"/>
          <w:spacing w:val="-57"/>
        </w:rPr>
        <w:t> </w:t>
      </w:r>
      <w:r>
        <w:rPr/>
        <w:t>万元。久信医疗是国内医院洁净用房整体解决方案专家，业务规模和行业 </w:t>
      </w:r>
      <w:r>
        <w:rPr>
          <w:spacing w:val="-1"/>
        </w:rPr>
        <w:t>地位突出，合作能够实现双方在医院行业产品服务的深度捆绑，形成的规模优势有利于提高产品和服务的</w:t>
      </w:r>
      <w:r>
        <w:rPr>
          <w:spacing w:val="-81"/>
        </w:rPr>
        <w:t> </w:t>
      </w:r>
      <w:r>
        <w:rPr>
          <w:spacing w:val="-81"/>
        </w:rPr>
      </w:r>
      <w:r>
        <w:rPr>
          <w:spacing w:val="-1"/>
        </w:rPr>
        <w:t>议价能力，协同效应显著。同时，公司能够借助久信医疗覆盖全国的营销网络实现智慧医疗战略的迅速落</w:t>
      </w:r>
      <w:r>
        <w:rPr>
          <w:spacing w:val="-83"/>
        </w:rPr>
        <w:t> </w:t>
      </w:r>
      <w:r>
        <w:rPr>
          <w:spacing w:val="-83"/>
        </w:rPr>
      </w:r>
      <w:r>
        <w:rPr/>
        <w:t>地。</w:t>
      </w:r>
    </w:p>
    <w:p>
      <w:pPr>
        <w:pStyle w:val="BodyText"/>
        <w:spacing w:line="357" w:lineRule="auto"/>
        <w:ind w:right="1132" w:firstLine="421"/>
        <w:jc w:val="both"/>
      </w:pPr>
      <w:r>
        <w:rPr/>
        <w:t>参股小鹿暖暖。报告期内，公司采取现金增资的方式获得小鹿暖暖</w:t>
      </w:r>
      <w:r>
        <w:rPr>
          <w:spacing w:val="-54"/>
        </w:rPr>
        <w:t> </w:t>
      </w:r>
      <w:r>
        <w:rPr>
          <w:rFonts w:ascii="宋体" w:hAnsi="宋体" w:cs="宋体" w:eastAsia="宋体" w:hint="default"/>
        </w:rPr>
        <w:t>40%</w:t>
      </w:r>
      <w:r>
        <w:rPr/>
        <w:t>的股权。小鹿暖暖的核心业务 是打造 “互联网云医院”，</w:t>
      </w:r>
      <w:r>
        <w:rPr>
          <w:spacing w:val="-26"/>
        </w:rPr>
        <w:t> </w:t>
      </w:r>
      <w:r>
        <w:rPr/>
        <w:t>参股小鹿暖暖将推动公司现有智慧医疗业务向以互联网云医院为基础的互联</w:t>
      </w:r>
      <w:r>
        <w:rPr/>
        <w:t> 网医疗生态系统的深度延伸，完善公司在智慧医疗业务领域的战略布局。</w:t>
      </w:r>
    </w:p>
    <w:p>
      <w:pPr>
        <w:pStyle w:val="BodyText"/>
        <w:spacing w:line="357" w:lineRule="auto"/>
        <w:ind w:right="1131" w:firstLine="421"/>
        <w:jc w:val="both"/>
      </w:pPr>
      <w:r>
        <w:rPr>
          <w:spacing w:val="-1"/>
        </w:rPr>
        <w:t>公司通过上述两笔收购，不断完善医疗全产业链的布局，围绕用户粘性及平台，将业务持续延伸至具</w:t>
      </w:r>
      <w:r>
        <w:rPr/>
        <w:t> </w:t>
      </w:r>
      <w:r>
        <w:rPr>
          <w:spacing w:val="-1"/>
        </w:rPr>
        <w:t>备消费属性的产品及医院托管服务、节能服务，获取持续性收益，逐步实现订单型业务向服务运营类业务</w:t>
      </w:r>
      <w:r>
        <w:rPr>
          <w:spacing w:val="-83"/>
        </w:rPr>
        <w:t> </w:t>
      </w:r>
      <w:r>
        <w:rPr>
          <w:spacing w:val="-83"/>
        </w:rPr>
      </w:r>
      <w:r>
        <w:rPr/>
        <w:t>的升级转型。</w:t>
      </w:r>
    </w:p>
    <w:p>
      <w:pPr>
        <w:pStyle w:val="BodyText"/>
        <w:spacing w:line="240" w:lineRule="auto" w:before="31"/>
        <w:ind w:left="574" w:right="1017"/>
        <w:jc w:val="left"/>
      </w:pPr>
      <w:r>
        <w:rPr>
          <w:rFonts w:ascii="宋体" w:hAnsi="宋体" w:cs="宋体" w:eastAsia="宋体" w:hint="default"/>
        </w:rPr>
        <w:t>2</w:t>
      </w:r>
      <w:r>
        <w:rPr/>
        <w:t>、国际化合作拓展节能业务</w:t>
      </w:r>
    </w:p>
    <w:p>
      <w:pPr>
        <w:pStyle w:val="BodyText"/>
        <w:spacing w:line="357" w:lineRule="auto" w:before="133"/>
        <w:ind w:left="154" w:right="1092" w:firstLine="421"/>
        <w:jc w:val="left"/>
      </w:pPr>
      <w:r>
        <w:rPr/>
        <w:t>公司使用自有资金</w:t>
      </w:r>
      <w:r>
        <w:rPr>
          <w:spacing w:val="-54"/>
        </w:rPr>
        <w:t> </w:t>
      </w:r>
      <w:r>
        <w:rPr>
          <w:rFonts w:ascii="宋体" w:hAnsi="宋体" w:cs="宋体" w:eastAsia="宋体" w:hint="default"/>
        </w:rPr>
        <w:t>2,000</w:t>
      </w:r>
      <w:r>
        <w:rPr>
          <w:rFonts w:ascii="宋体" w:hAnsi="宋体" w:cs="宋体" w:eastAsia="宋体" w:hint="default"/>
          <w:spacing w:val="-54"/>
        </w:rPr>
        <w:t> </w:t>
      </w:r>
      <w:r>
        <w:rPr/>
        <w:t>万元人民币与三菱日联融资租赁株式会社（</w:t>
      </w:r>
      <w:r>
        <w:rPr>
          <w:rFonts w:ascii="宋体" w:hAnsi="宋体" w:cs="宋体" w:eastAsia="宋体" w:hint="default"/>
        </w:rPr>
        <w:t>MUL</w:t>
      </w:r>
      <w:r>
        <w:rPr/>
        <w:t>）及仲利国际租赁有限公司 合资组建融智节能环保（深圳）有限公司，合资公司将充分发挥达实智能的技术优势和本地化服务优势， 结合</w:t>
      </w:r>
      <w:r>
        <w:rPr>
          <w:spacing w:val="-54"/>
        </w:rPr>
        <w:t> </w:t>
      </w:r>
      <w:r>
        <w:rPr>
          <w:rFonts w:ascii="宋体" w:hAnsi="宋体" w:cs="宋体" w:eastAsia="宋体" w:hint="default"/>
        </w:rPr>
        <w:t>MUL</w:t>
      </w:r>
      <w:r>
        <w:rPr/>
        <w:t>、仲利国际两大国际金融机构的资金优势和客户资源优势，为中国大陆地区的日资和台资企业提 供优质的节能环保服务，为公司的节能环保业务带来更多的市场机会。</w:t>
      </w:r>
    </w:p>
    <w:p>
      <w:pPr>
        <w:spacing w:line="240" w:lineRule="auto" w:before="2"/>
        <w:rPr>
          <w:rFonts w:ascii="宋体" w:hAnsi="宋体" w:cs="宋体" w:eastAsia="宋体" w:hint="default"/>
          <w:sz w:val="25"/>
          <w:szCs w:val="25"/>
        </w:rPr>
      </w:pPr>
    </w:p>
    <w:p>
      <w:pPr>
        <w:pStyle w:val="Heading2"/>
        <w:spacing w:line="240" w:lineRule="auto"/>
        <w:ind w:left="154" w:right="1017"/>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BodyText"/>
        <w:spacing w:line="489" w:lineRule="auto" w:before="0"/>
        <w:ind w:right="5503"/>
        <w:jc w:val="left"/>
      </w:pPr>
      <w:bookmarkStart w:name="1、概述" w:id="27"/>
      <w:bookmarkEnd w:id="27"/>
      <w:r>
        <w:rPr/>
      </w:r>
      <w:r>
        <w:rPr>
          <w:rFonts w:ascii="Times New Roman" w:hAnsi="Times New Roman" w:cs="Times New Roman" w:eastAsia="Times New Roman" w:hint="default"/>
          <w:b/>
          <w:bCs/>
        </w:rPr>
        <w:t>1</w:t>
      </w:r>
      <w:r>
        <w:rPr>
          <w:rFonts w:ascii="宋体" w:hAnsi="宋体" w:cs="宋体" w:eastAsia="宋体" w:hint="default"/>
          <w:b/>
          <w:bCs/>
        </w:rPr>
        <w:t>、概述</w:t>
      </w:r>
      <w:r>
        <w:rPr>
          <w:rFonts w:ascii="宋体" w:hAnsi="宋体" w:cs="宋体" w:eastAsia="宋体" w:hint="default"/>
          <w:b/>
          <w:bCs/>
          <w:spacing w:val="1"/>
          <w:w w:val="99"/>
        </w:rPr>
        <w:t> </w:t>
      </w:r>
      <w:r>
        <w:rPr/>
        <w:t>参见“管理层讨论与分析”中的“一、概述”相关内容。</w:t>
      </w:r>
    </w:p>
    <w:p>
      <w:pPr>
        <w:spacing w:line="240" w:lineRule="auto" w:before="0"/>
        <w:rPr>
          <w:rFonts w:ascii="宋体" w:hAnsi="宋体" w:cs="宋体" w:eastAsia="宋体" w:hint="default"/>
          <w:sz w:val="18"/>
          <w:szCs w:val="18"/>
        </w:rPr>
      </w:pPr>
    </w:p>
    <w:p>
      <w:pPr>
        <w:pStyle w:val="Heading3"/>
        <w:spacing w:line="240" w:lineRule="auto"/>
        <w:ind w:left="153" w:right="1017"/>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1,711,308,669.07</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1,263,062,267.04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35.49%</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1,711,308,669.07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1,263,062,267.04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智慧建筑及节能</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1,192,006,029.68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1,094,115,921.87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271,344,958.60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100,190,820.43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170.83%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149,604,028.98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37,074,636.29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4,846,347.24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61,279,015.52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63,909,177.50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735,789,921.50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436,643,980.29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34.57%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459,516,742.64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491,426,154.60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38.91%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86,480,771.77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47,709,670.20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79,548,190.44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53,150,131.59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121,373,526.25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66,632,518.97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82.15%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191,632,714.16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148,798,610.69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11.78%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36,966,802.31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18,701,200.70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97.67%</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before="44"/>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1,711,308,669.07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1,219,609,059.92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智慧建筑及节能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1,192,006,029.68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878,702,608.76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271,344,958.60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212,287,805.67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149,604,028.98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83,140,167.44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37,074,636.29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6,420,542.61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61,279,015.52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39,057,935.44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735,789,921.50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553,320,491.20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459,516,742.64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311,275,780.27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86,480,771.77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53,723,838.09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79,548,190.44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61,531,063.06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121,373,526.25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95,754,922.32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118.86%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191,632,714.16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116,472,369.56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36,966,802.31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27,530,595.42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1017"/>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left="153" w:right="1017"/>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1017"/>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before="44"/>
        <w:ind w:left="154" w:right="1017"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1,219,609,059.92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863,544,244.30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41.23%</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智慧建筑及节能</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878,702,608.76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757,305,562.00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212,287,805.67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66,384,500.85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219.79%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83,140,167.44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6,420,542.61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2,252,007.64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185.10%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39,057,935.44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37,602,173.81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7"/>
        <w:rPr>
          <w:rFonts w:ascii="宋体" w:hAnsi="宋体" w:cs="宋体" w:eastAsia="宋体" w:hint="default"/>
          <w:b/>
          <w:bCs/>
          <w:sz w:val="23"/>
          <w:szCs w:val="23"/>
        </w:rPr>
      </w:pPr>
    </w:p>
    <w:p>
      <w:pPr>
        <w:spacing w:before="0"/>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135"/>
        <w:ind w:left="575" w:right="1017"/>
        <w:jc w:val="left"/>
      </w:pPr>
      <w:r>
        <w:rPr/>
        <w:t>报告期内，公司新设立了淮南达实、仁怀达实，本期纳入合并报告；</w:t>
      </w:r>
    </w:p>
    <w:p>
      <w:pPr>
        <w:spacing w:after="0" w:line="240" w:lineRule="auto"/>
        <w:jc w:val="left"/>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240" w:lineRule="auto" w:before="35"/>
        <w:ind w:left="575" w:right="1017"/>
        <w:jc w:val="left"/>
      </w:pPr>
      <w:r>
        <w:rPr/>
        <w:t>报告期内，公司收购久信医疗</w:t>
      </w:r>
      <w:r>
        <w:rPr>
          <w:spacing w:val="-53"/>
        </w:rPr>
        <w:t> </w:t>
      </w:r>
      <w:r>
        <w:rPr>
          <w:rFonts w:ascii="宋体" w:hAnsi="宋体" w:cs="宋体" w:eastAsia="宋体" w:hint="default"/>
        </w:rPr>
        <w:t>100%</w:t>
      </w:r>
      <w:r>
        <w:rPr/>
        <w:t>股权，该公司于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t>日完成了工商登记变更，报告期</w:t>
      </w:r>
    </w:p>
    <w:p>
      <w:pPr>
        <w:pStyle w:val="BodyText"/>
        <w:spacing w:line="240" w:lineRule="auto" w:before="133"/>
        <w:ind w:right="1017"/>
        <w:jc w:val="left"/>
      </w:pPr>
      <w:r>
        <w:rPr/>
        <w:t>内本公司对该公司合并期间为</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left="153" w:right="1017"/>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3"/>
          <w:szCs w:val="23"/>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5"/>
        <w:ind w:right="1017" w:firstLine="360"/>
        <w:jc w:val="left"/>
      </w:pPr>
      <w:r>
        <w:rPr/>
        <w:t>报告期内，公司把握住轨道交通市场的战略机遇，将业务范围从轨道交通综合监控系统延伸至自动售 </w:t>
      </w:r>
      <w:r>
        <w:rPr>
          <w:spacing w:val="-1"/>
        </w:rPr>
        <w:t>检票系统（</w:t>
      </w:r>
      <w:r>
        <w:rPr>
          <w:rFonts w:ascii="宋体" w:hAnsi="宋体" w:cs="宋体" w:eastAsia="宋体" w:hint="default"/>
          <w:spacing w:val="-1"/>
        </w:rPr>
        <w:t>AFC</w:t>
      </w:r>
      <w:r>
        <w:rPr>
          <w:spacing w:val="-1"/>
        </w:rPr>
        <w:t>）、综合安防系统、乘客资讯系统、门禁出入口管理系统的轨道交通智能化整体解决方案，</w:t>
      </w:r>
      <w:r>
        <w:rPr>
          <w:spacing w:val="-82"/>
        </w:rPr>
        <w:t> </w:t>
      </w:r>
      <w:r>
        <w:rPr>
          <w:spacing w:val="-82"/>
        </w:rPr>
      </w:r>
      <w:r>
        <w:rPr/>
        <w:t>签约实现了快速增长；</w:t>
      </w:r>
    </w:p>
    <w:p>
      <w:pPr>
        <w:pStyle w:val="BodyText"/>
        <w:spacing w:line="357" w:lineRule="auto"/>
        <w:ind w:right="1017" w:firstLine="421"/>
        <w:jc w:val="left"/>
      </w:pPr>
      <w:r>
        <w:rPr>
          <w:spacing w:val="-1"/>
        </w:rPr>
        <w:t>同时，公司积极在智慧医疗领域进行布局，通过外延发展收购了久信医疗、参股了小鹿暖暖，原有业</w:t>
      </w:r>
      <w:r>
        <w:rPr/>
        <w:t> 务与净化手术室业务及互联网医院业务整合后，协同效应显著，订单快速放大；</w:t>
      </w:r>
    </w:p>
    <w:p>
      <w:pPr>
        <w:pStyle w:val="BodyText"/>
        <w:spacing w:line="357" w:lineRule="auto"/>
        <w:ind w:right="1017" w:firstLine="421"/>
        <w:jc w:val="left"/>
      </w:pPr>
      <w:r>
        <w:rPr>
          <w:spacing w:val="-1"/>
        </w:rPr>
        <w:t>在智慧建筑及节能领域，公司继续坚持专业化的发展路线，在高端酒店、数据中心、工业建筑、自有</w:t>
      </w:r>
      <w:r>
        <w:rPr/>
        <w:t> 高端建筑等领域保持了良好的发展趋势。</w:t>
      </w:r>
    </w:p>
    <w:p>
      <w:pPr>
        <w:spacing w:line="240" w:lineRule="auto" w:before="10"/>
        <w:rPr>
          <w:rFonts w:ascii="宋体" w:hAnsi="宋体" w:cs="宋体" w:eastAsia="宋体" w:hint="default"/>
          <w:sz w:val="26"/>
          <w:szCs w:val="26"/>
        </w:rPr>
      </w:pPr>
    </w:p>
    <w:p>
      <w:pPr>
        <w:pStyle w:val="Heading3"/>
        <w:spacing w:line="240" w:lineRule="auto"/>
        <w:ind w:right="1017"/>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spacing w:before="0"/>
        <w:ind w:left="154" w:right="1017"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265,662,014.05</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15.52%</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125,743,435.99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中铁成都投资发展有限公司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37,204,458.93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洛阳市中心医院</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36,172,280.78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珠海长隆投资发展有限公司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36,163,030.76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世纪互联数据中心有限公司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30,378,807.59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265,662,014.05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15.52%</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327,379,434.80</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22.10%</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深圳大宇精雕科技有限公司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230,959,411.00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深圳市感通机电工程有限公司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嘉轩至诚科技有限公司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24,027,559.02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江苏银佳企业集团有限公司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23,174,339.32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江西雄宇（集团）有限公司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18,418,125.46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327,379,434.80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22.10%</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358"/>
        <w:gridCol w:w="1275"/>
        <w:gridCol w:w="994"/>
        <w:gridCol w:w="403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7"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123,421,155.91</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92,787,515.45</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33.01%</w:t>
            </w:r>
          </w:p>
        </w:tc>
        <w:tc>
          <w:tcPr>
            <w:tcW w:w="4038" w:type="dxa"/>
            <w:vMerge w:val="restart"/>
            <w:tcBorders>
              <w:top w:val="single" w:sz="4" w:space="0" w:color="000000"/>
              <w:left w:val="single" w:sz="4" w:space="0" w:color="000000"/>
              <w:right w:val="single" w:sz="4" w:space="0" w:color="000000"/>
            </w:tcBorders>
          </w:tcPr>
          <w:p>
            <w:pPr>
              <w:pStyle w:val="TableParagraph"/>
              <w:spacing w:line="285" w:lineRule="auto" w:before="35"/>
              <w:ind w:left="22" w:right="20"/>
              <w:jc w:val="left"/>
              <w:rPr>
                <w:rFonts w:ascii="宋体" w:hAnsi="宋体" w:cs="宋体" w:eastAsia="宋体" w:hint="default"/>
                <w:sz w:val="20"/>
                <w:szCs w:val="20"/>
              </w:rPr>
            </w:pPr>
            <w:r>
              <w:rPr>
                <w:rFonts w:ascii="宋体" w:hAnsi="宋体" w:cs="宋体" w:eastAsia="宋体" w:hint="default"/>
                <w:spacing w:val="-2"/>
                <w:sz w:val="20"/>
                <w:szCs w:val="20"/>
              </w:rPr>
              <w:t>主要原因是本报告期薪酬增加、第二期限制性</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股票激励费用摊销及子公司久信医疗纳入合</w:t>
            </w:r>
            <w:r>
              <w:rPr>
                <w:rFonts w:ascii="宋体" w:hAnsi="宋体" w:cs="宋体" w:eastAsia="宋体" w:hint="default"/>
                <w:w w:val="100"/>
                <w:sz w:val="20"/>
                <w:szCs w:val="20"/>
              </w:rPr>
              <w:t> </w:t>
            </w:r>
            <w:r>
              <w:rPr>
                <w:rFonts w:ascii="宋体" w:hAnsi="宋体" w:cs="宋体" w:eastAsia="宋体" w:hint="default"/>
                <w:sz w:val="20"/>
                <w:szCs w:val="20"/>
              </w:rPr>
              <w:t>并报表所致。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358" w:type="dxa"/>
            <w:vMerge/>
            <w:tcBorders>
              <w:left w:val="single" w:sz="10" w:space="0" w:color="D2D2D2"/>
              <w:right w:val="single" w:sz="4" w:space="0" w:color="000000"/>
            </w:tcBorders>
          </w:tcPr>
          <w:p>
            <w:pPr/>
          </w:p>
        </w:tc>
        <w:tc>
          <w:tcPr>
            <w:tcW w:w="127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038" w:type="dxa"/>
            <w:vMerge/>
            <w:tcBorders>
              <w:left w:val="single" w:sz="4" w:space="0" w:color="000000"/>
              <w:right w:val="single" w:sz="4" w:space="0" w:color="000000"/>
            </w:tcBorders>
          </w:tcPr>
          <w:p>
            <w:pPr/>
          </w:p>
        </w:tc>
      </w:tr>
      <w:tr>
        <w:trPr>
          <w:trHeight w:val="317"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8" w:type="dxa"/>
            <w:vMerge/>
            <w:tcBorders>
              <w:left w:val="single" w:sz="10" w:space="0" w:color="D2D2D2"/>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038" w:type="dxa"/>
            <w:vMerge/>
            <w:tcBorders>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129,194,710.24</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91,129,317.19</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41.77%</w:t>
            </w:r>
          </w:p>
        </w:tc>
        <w:tc>
          <w:tcPr>
            <w:tcW w:w="4038" w:type="dxa"/>
            <w:vMerge w:val="restart"/>
            <w:tcBorders>
              <w:top w:val="single" w:sz="4" w:space="0" w:color="000000"/>
              <w:left w:val="single" w:sz="4" w:space="0" w:color="000000"/>
              <w:right w:val="single" w:sz="4" w:space="0" w:color="000000"/>
            </w:tcBorders>
          </w:tcPr>
          <w:p>
            <w:pPr>
              <w:pStyle w:val="TableParagraph"/>
              <w:spacing w:line="285" w:lineRule="auto" w:before="35"/>
              <w:ind w:left="22" w:right="203"/>
              <w:jc w:val="left"/>
              <w:rPr>
                <w:rFonts w:ascii="宋体" w:hAnsi="宋体" w:cs="宋体" w:eastAsia="宋体" w:hint="default"/>
                <w:sz w:val="20"/>
                <w:szCs w:val="20"/>
              </w:rPr>
            </w:pPr>
            <w:r>
              <w:rPr>
                <w:rFonts w:ascii="宋体" w:hAnsi="宋体" w:cs="宋体" w:eastAsia="宋体" w:hint="default"/>
                <w:spacing w:val="-1"/>
                <w:sz w:val="20"/>
                <w:szCs w:val="20"/>
              </w:rPr>
              <w:t>主要原因是本报告期薪酬增加及子公司久信</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医疗纳入合并报表所致。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58" w:type="dxa"/>
            <w:vMerge/>
            <w:tcBorders>
              <w:left w:val="single" w:sz="10" w:space="0" w:color="D2D2D2"/>
              <w:right w:val="single" w:sz="4" w:space="0" w:color="000000"/>
            </w:tcBorders>
          </w:tcPr>
          <w:p>
            <w:pPr/>
          </w:p>
        </w:tc>
        <w:tc>
          <w:tcPr>
            <w:tcW w:w="127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03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8" w:type="dxa"/>
            <w:vMerge/>
            <w:tcBorders>
              <w:left w:val="single" w:sz="10" w:space="0" w:color="D2D2D2"/>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038" w:type="dxa"/>
            <w:vMerge/>
            <w:tcBorders>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-16,497,231.81</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4,511,042.52</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-465.71%</w:t>
            </w:r>
          </w:p>
        </w:tc>
        <w:tc>
          <w:tcPr>
            <w:tcW w:w="4038" w:type="dxa"/>
            <w:vMerge w:val="restart"/>
            <w:tcBorders>
              <w:top w:val="single" w:sz="4" w:space="0" w:color="000000"/>
              <w:left w:val="single" w:sz="4" w:space="0" w:color="000000"/>
              <w:right w:val="single" w:sz="4" w:space="0" w:color="000000"/>
            </w:tcBorders>
          </w:tcPr>
          <w:p>
            <w:pPr>
              <w:pStyle w:val="TableParagraph"/>
              <w:spacing w:line="285" w:lineRule="auto" w:before="35"/>
              <w:ind w:left="22" w:right="203"/>
              <w:jc w:val="left"/>
              <w:rPr>
                <w:rFonts w:ascii="宋体" w:hAnsi="宋体" w:cs="宋体" w:eastAsia="宋体" w:hint="default"/>
                <w:sz w:val="20"/>
                <w:szCs w:val="20"/>
              </w:rPr>
            </w:pPr>
            <w:r>
              <w:rPr>
                <w:rFonts w:ascii="宋体" w:hAnsi="宋体" w:cs="宋体" w:eastAsia="宋体" w:hint="default"/>
                <w:spacing w:val="-1"/>
                <w:sz w:val="20"/>
                <w:szCs w:val="20"/>
              </w:rPr>
              <w:t>本报告期母公司结构性存款利息收入较多所</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58" w:type="dxa"/>
            <w:vMerge/>
            <w:tcBorders>
              <w:left w:val="single" w:sz="10" w:space="0" w:color="D2D2D2"/>
              <w:right w:val="single" w:sz="4" w:space="0" w:color="000000"/>
            </w:tcBorders>
          </w:tcPr>
          <w:p>
            <w:pPr/>
          </w:p>
        </w:tc>
        <w:tc>
          <w:tcPr>
            <w:tcW w:w="127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03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8" w:type="dxa"/>
            <w:vMerge/>
            <w:tcBorders>
              <w:left w:val="single" w:sz="10" w:space="0" w:color="D2D2D2"/>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03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56"/>
        <w:ind w:right="1130" w:firstLine="360"/>
        <w:jc w:val="both"/>
      </w:pPr>
      <w:r>
        <w:rPr/>
        <w:t>报告期内，公司取得</w:t>
      </w:r>
      <w:r>
        <w:rPr>
          <w:spacing w:val="-64"/>
        </w:rPr>
        <w:t> </w:t>
      </w:r>
      <w:r>
        <w:rPr>
          <w:rFonts w:ascii="宋体" w:hAnsi="宋体" w:cs="宋体" w:eastAsia="宋体" w:hint="default"/>
        </w:rPr>
        <w:t>6</w:t>
      </w:r>
      <w:r>
        <w:rPr>
          <w:rFonts w:ascii="宋体" w:hAnsi="宋体" w:cs="宋体" w:eastAsia="宋体" w:hint="default"/>
          <w:spacing w:val="-64"/>
        </w:rPr>
        <w:t> </w:t>
      </w:r>
      <w:r>
        <w:rPr/>
        <w:t>项发明专利证书、</w:t>
      </w:r>
      <w:r>
        <w:rPr>
          <w:rFonts w:ascii="宋体" w:hAnsi="宋体" w:cs="宋体" w:eastAsia="宋体" w:hint="default"/>
        </w:rPr>
        <w:t>11</w:t>
      </w:r>
      <w:r>
        <w:rPr>
          <w:rFonts w:ascii="宋体" w:hAnsi="宋体" w:cs="宋体" w:eastAsia="宋体" w:hint="default"/>
          <w:spacing w:val="-64"/>
        </w:rPr>
        <w:t> </w:t>
      </w:r>
      <w:r>
        <w:rPr/>
        <w:t>项实用新型专利证书、</w:t>
      </w:r>
      <w:r>
        <w:rPr>
          <w:rFonts w:ascii="宋体" w:hAnsi="宋体" w:cs="宋体" w:eastAsia="宋体" w:hint="default"/>
        </w:rPr>
        <w:t>8</w:t>
      </w:r>
      <w:r>
        <w:rPr>
          <w:rFonts w:ascii="宋体" w:hAnsi="宋体" w:cs="宋体" w:eastAsia="宋体" w:hint="default"/>
          <w:spacing w:val="-64"/>
        </w:rPr>
        <w:t> </w:t>
      </w:r>
      <w:r>
        <w:rPr/>
        <w:t>项软件著作权，新申请</w:t>
      </w:r>
      <w:r>
        <w:rPr>
          <w:spacing w:val="-64"/>
        </w:rPr>
        <w:t> </w:t>
      </w:r>
      <w:r>
        <w:rPr>
          <w:rFonts w:ascii="宋体" w:hAnsi="宋体" w:cs="宋体" w:eastAsia="宋体" w:hint="default"/>
        </w:rPr>
        <w:t>44</w:t>
      </w:r>
      <w:r>
        <w:rPr>
          <w:rFonts w:ascii="宋体" w:hAnsi="宋体" w:cs="宋体" w:eastAsia="宋体" w:hint="default"/>
          <w:spacing w:val="-65"/>
        </w:rPr>
        <w:t> </w:t>
      </w:r>
      <w:r>
        <w:rPr/>
        <w:t>项专利 </w:t>
      </w:r>
      <w:r>
        <w:rPr>
          <w:rFonts w:ascii="宋体" w:hAnsi="宋体" w:cs="宋体" w:eastAsia="宋体" w:hint="default"/>
        </w:rPr>
        <w:t>(</w:t>
      </w:r>
      <w:r>
        <w:rPr/>
        <w:t>其中发明</w:t>
      </w:r>
      <w:r>
        <w:rPr>
          <w:spacing w:val="-54"/>
        </w:rPr>
        <w:t> </w:t>
      </w:r>
      <w:r>
        <w:rPr>
          <w:rFonts w:ascii="宋体" w:hAnsi="宋体" w:cs="宋体" w:eastAsia="宋体" w:hint="default"/>
        </w:rPr>
        <w:t>22</w:t>
      </w:r>
      <w:r>
        <w:rPr>
          <w:rFonts w:ascii="宋体" w:hAnsi="宋体" w:cs="宋体" w:eastAsia="宋体" w:hint="default"/>
          <w:spacing w:val="-54"/>
        </w:rPr>
        <w:t> </w:t>
      </w:r>
      <w:r>
        <w:rPr>
          <w:spacing w:val="-4"/>
        </w:rPr>
        <w:t>项、实用新型</w:t>
      </w:r>
      <w:r>
        <w:rPr>
          <w:spacing w:val="-55"/>
        </w:rPr>
        <w:t> </w:t>
      </w:r>
      <w:r>
        <w:rPr>
          <w:rFonts w:ascii="宋体" w:hAnsi="宋体" w:cs="宋体" w:eastAsia="宋体" w:hint="default"/>
        </w:rPr>
        <w:t>17</w:t>
      </w:r>
      <w:r>
        <w:rPr>
          <w:rFonts w:ascii="宋体" w:hAnsi="宋体" w:cs="宋体" w:eastAsia="宋体" w:hint="default"/>
          <w:spacing w:val="-54"/>
        </w:rPr>
        <w:t> </w:t>
      </w:r>
      <w:r>
        <w:rPr>
          <w:spacing w:val="-4"/>
        </w:rPr>
        <w:t>项、外观专利</w:t>
      </w:r>
      <w:r>
        <w:rPr>
          <w:spacing w:val="-54"/>
        </w:rPr>
        <w:t> </w:t>
      </w:r>
      <w:r>
        <w:rPr>
          <w:rFonts w:ascii="宋体" w:hAnsi="宋体" w:cs="宋体" w:eastAsia="宋体" w:hint="default"/>
        </w:rPr>
        <w:t>5</w:t>
      </w:r>
      <w:r>
        <w:rPr>
          <w:rFonts w:ascii="宋体" w:hAnsi="宋体" w:cs="宋体" w:eastAsia="宋体" w:hint="default"/>
          <w:spacing w:val="-54"/>
        </w:rPr>
        <w:t> </w:t>
      </w:r>
      <w:r>
        <w:rPr>
          <w:spacing w:val="-5"/>
        </w:rPr>
        <w:t>项</w:t>
      </w:r>
      <w:r>
        <w:rPr>
          <w:rFonts w:ascii="宋体" w:hAnsi="宋体" w:cs="宋体" w:eastAsia="宋体" w:hint="default"/>
          <w:spacing w:val="-5"/>
        </w:rPr>
        <w:t>)</w:t>
      </w:r>
      <w:r>
        <w:rPr>
          <w:spacing w:val="-5"/>
        </w:rPr>
        <w:t>、</w:t>
      </w:r>
      <w:r>
        <w:rPr>
          <w:rFonts w:ascii="宋体" w:hAnsi="宋体" w:cs="宋体" w:eastAsia="宋体" w:hint="default"/>
          <w:spacing w:val="-5"/>
        </w:rPr>
        <w:t>29</w:t>
      </w:r>
      <w:r>
        <w:rPr>
          <w:rFonts w:ascii="宋体" w:hAnsi="宋体" w:cs="宋体" w:eastAsia="宋体" w:hint="default"/>
          <w:spacing w:val="-54"/>
        </w:rPr>
        <w:t> </w:t>
      </w:r>
      <w:r>
        <w:rPr/>
        <w:t>项计算机软件著作权登记证书，公司研发实力进一 步增强；</w:t>
      </w:r>
    </w:p>
    <w:p>
      <w:pPr>
        <w:pStyle w:val="BodyText"/>
        <w:spacing w:line="355" w:lineRule="auto" w:before="31"/>
        <w:ind w:right="1215" w:firstLine="421"/>
        <w:jc w:val="both"/>
      </w:pPr>
      <w:r>
        <w:rPr/>
        <w:t>自主研发的</w:t>
      </w:r>
      <w:r>
        <w:rPr>
          <w:spacing w:val="-54"/>
        </w:rPr>
        <w:t> </w:t>
      </w:r>
      <w:r>
        <w:rPr>
          <w:rFonts w:ascii="宋体" w:hAnsi="宋体" w:cs="宋体" w:eastAsia="宋体" w:hint="default"/>
        </w:rPr>
        <w:t>IBMS</w:t>
      </w:r>
      <w:r>
        <w:rPr>
          <w:rFonts w:ascii="宋体" w:hAnsi="宋体" w:cs="宋体" w:eastAsia="宋体" w:hint="default"/>
          <w:spacing w:val="-55"/>
        </w:rPr>
        <w:t> </w:t>
      </w:r>
      <w:r>
        <w:rPr/>
        <w:t>系统成功应用于济南国际机场、三亚红树湾酒店、中广核大厦等众多公共及商业项 目，直接降低公司软件采购成本逾千万元；</w:t>
      </w:r>
    </w:p>
    <w:p>
      <w:pPr>
        <w:pStyle w:val="BodyText"/>
        <w:spacing w:line="355" w:lineRule="auto" w:before="33"/>
        <w:ind w:left="154" w:right="1131" w:firstLine="421"/>
        <w:jc w:val="both"/>
      </w:pPr>
      <w:r>
        <w:rPr>
          <w:spacing w:val="-1"/>
        </w:rPr>
        <w:t>获批组建“深圳集中式空调能效管控技术工程实验室”和“南山区建筑节能技术工程技术研究开发中</w:t>
      </w:r>
      <w:r>
        <w:rPr/>
        <w:t> 心”，公司整体研发实力得到政府充分认可。</w:t>
      </w:r>
    </w:p>
    <w:p>
      <w:pPr>
        <w:spacing w:line="240" w:lineRule="auto" w:before="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63,629,156.15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44,572,646.02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42.75%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8,120,949.52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155,611.93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5,118.72%</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12.41%</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153" w:right="1017"/>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96"/>
        <w:gridCol w:w="2161"/>
        <w:gridCol w:w="2151"/>
        <w:gridCol w:w="2149"/>
      </w:tblGrid>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1,435,007,523.03</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1,165,084,950.68</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23.17%</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1,298,002,865.37</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1,050,977,179.10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23.50%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137,004,657.66</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114,107,771.58</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20.07%</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1,500,956,325.79</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150,615,759.54</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896.55%</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1,540,466,156.31</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820,915,304.47</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87.65%</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-39,509,830.52</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-670,299,544.93</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94.11%</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624,542,247.53</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1,017,454,813.76</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-38.62%</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229,841,785.54</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217,561,859.96</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5.64%</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394,700,461.99</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799,892,953.80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-50.66%</w:t>
            </w:r>
          </w:p>
        </w:tc>
      </w:tr>
      <w:tr>
        <w:trPr>
          <w:trHeight w:val="403"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492,195,289.13</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243,701,180.45</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101.97%</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2"/>
        <w:ind w:left="153" w:right="1169" w:firstLine="0"/>
        <w:jc w:val="both"/>
        <w:rPr>
          <w:rFonts w:ascii="宋体" w:hAnsi="宋体" w:cs="宋体" w:eastAsia="宋体" w:hint="default"/>
          <w:sz w:val="18"/>
          <w:szCs w:val="18"/>
        </w:rPr>
      </w:pPr>
      <w:r>
        <w:rPr>
          <w:rFonts w:ascii="宋体" w:hAnsi="宋体" w:cs="宋体" w:eastAsia="宋体" w:hint="default"/>
          <w:sz w:val="18"/>
          <w:szCs w:val="18"/>
        </w:rPr>
        <w:t>投资活动产生的现金流量净额较上年同期增长</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94.11%</w:t>
      </w:r>
      <w:r>
        <w:rPr>
          <w:rFonts w:ascii="宋体" w:hAnsi="宋体" w:cs="宋体" w:eastAsia="宋体" w:hint="default"/>
          <w:sz w:val="18"/>
          <w:szCs w:val="18"/>
        </w:rPr>
        <w:t>，主要原因是本报告期母公司前期购买的结构性存款本金收回所致。 筹资活动产生的现金流量净额较上年同期减少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50.66%</w:t>
      </w:r>
      <w:r>
        <w:rPr>
          <w:rFonts w:ascii="宋体" w:hAnsi="宋体" w:cs="宋体" w:eastAsia="宋体" w:hint="default"/>
          <w:sz w:val="18"/>
          <w:szCs w:val="18"/>
        </w:rPr>
        <w:t>，主要原因是上年同期公司非公开发行股票较本报告期非公开发行股 票募集资金多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亿元所致。</w:t>
      </w:r>
    </w:p>
    <w:p>
      <w:pPr>
        <w:spacing w:before="50"/>
        <w:ind w:left="154" w:right="0" w:firstLine="0"/>
        <w:jc w:val="both"/>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6"/>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非主营业务分析" w:id="40"/>
      <w:bookmarkEnd w:id="40"/>
      <w:r>
        <w:rPr>
          <w:b w:val="0"/>
          <w:bCs w:val="0"/>
        </w:rPr>
      </w:r>
      <w:r>
        <w:rPr/>
        <w:t>三、非主营业务分析</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both"/>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48"/>
        <w:gridCol w:w="882"/>
        <w:gridCol w:w="1359"/>
        <w:gridCol w:w="898"/>
        <w:gridCol w:w="810"/>
        <w:gridCol w:w="2906"/>
      </w:tblGrid>
      <w:tr>
        <w:trPr>
          <w:trHeight w:val="38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22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10" w:type="dxa"/>
            <w:tcBorders>
              <w:top w:val="single" w:sz="4" w:space="0" w:color="000000"/>
              <w:left w:val="single" w:sz="4" w:space="0" w:color="000000"/>
              <w:bottom w:val="nil" w:sz="6" w:space="0" w:color="auto"/>
              <w:right w:val="single" w:sz="4" w:space="0" w:color="000000"/>
            </w:tcBorders>
            <w:shd w:val="clear" w:color="auto" w:fill="D2D2D2"/>
          </w:tcPr>
          <w:p>
            <w:pPr/>
          </w:p>
        </w:tc>
        <w:tc>
          <w:tcPr>
            <w:tcW w:w="29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34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8"/>
              <w:ind w:left="256" w:right="7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59"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8"/>
              <w:ind w:left="262" w:right="8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0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82" w:type="dxa"/>
            <w:vMerge/>
            <w:tcBorders>
              <w:left w:val="single" w:sz="4" w:space="0" w:color="000000"/>
              <w:right w:val="single" w:sz="4" w:space="0" w:color="000000"/>
            </w:tcBorders>
            <w:shd w:val="clear" w:color="auto" w:fill="D2D2D2"/>
          </w:tcPr>
          <w:p>
            <w:pPr/>
          </w:p>
        </w:tc>
        <w:tc>
          <w:tcPr>
            <w:tcW w:w="13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8" w:type="dxa"/>
            <w:vMerge/>
            <w:tcBorders>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290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348"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right w:val="single" w:sz="4" w:space="0" w:color="000000"/>
            </w:tcBorders>
            <w:shd w:val="clear" w:color="auto" w:fill="D2D2D2"/>
          </w:tcPr>
          <w:p>
            <w:pPr/>
          </w:p>
        </w:tc>
        <w:tc>
          <w:tcPr>
            <w:tcW w:w="1359" w:type="dxa"/>
            <w:vMerge/>
            <w:tcBorders>
              <w:left w:val="single" w:sz="4" w:space="0" w:color="000000"/>
              <w:bottom w:val="nil" w:sz="6" w:space="0" w:color="auto"/>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290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34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2" w:type="dxa"/>
            <w:vMerge/>
            <w:tcBorders>
              <w:left w:val="single" w:sz="4" w:space="0" w:color="000000"/>
              <w:bottom w:val="single" w:sz="4" w:space="0" w:color="000000"/>
              <w:right w:val="single" w:sz="4" w:space="0" w:color="000000"/>
            </w:tcBorders>
            <w:shd w:val="clear" w:color="auto" w:fill="D2D2D2"/>
          </w:tcPr>
          <w:p>
            <w:pPr/>
          </w:p>
        </w:tc>
        <w:tc>
          <w:tcPr>
            <w:tcW w:w="1359"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2906"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1,090,179,000.77</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22.51%</w:t>
            </w:r>
          </w:p>
        </w:tc>
        <w:tc>
          <w:tcPr>
            <w:tcW w:w="13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470,419,138.75</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18.09%</w:t>
            </w:r>
          </w:p>
        </w:tc>
        <w:tc>
          <w:tcPr>
            <w:tcW w:w="8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4.42%</w:t>
            </w:r>
          </w:p>
        </w:tc>
        <w:tc>
          <w:tcPr>
            <w:tcW w:w="2906" w:type="dxa"/>
            <w:vMerge w:val="restart"/>
            <w:tcBorders>
              <w:top w:val="single" w:sz="4" w:space="0" w:color="000000"/>
              <w:left w:val="single" w:sz="4" w:space="0" w:color="000000"/>
              <w:right w:val="single" w:sz="4" w:space="0" w:color="000000"/>
            </w:tcBorders>
          </w:tcPr>
          <w:p>
            <w:pPr>
              <w:pStyle w:val="TableParagraph"/>
              <w:spacing w:line="285" w:lineRule="auto" w:before="35"/>
              <w:ind w:left="22" w:right="19"/>
              <w:jc w:val="both"/>
              <w:rPr>
                <w:rFonts w:ascii="宋体" w:hAnsi="宋体" w:cs="宋体" w:eastAsia="宋体" w:hint="default"/>
                <w:sz w:val="20"/>
                <w:szCs w:val="20"/>
              </w:rPr>
            </w:pPr>
            <w:r>
              <w:rPr>
                <w:rFonts w:ascii="宋体" w:hAnsi="宋体" w:cs="宋体" w:eastAsia="宋体" w:hint="default"/>
                <w:spacing w:val="-1"/>
                <w:w w:val="100"/>
                <w:sz w:val="20"/>
                <w:szCs w:val="20"/>
              </w:rPr>
              <w:t>较期初增加</w:t>
            </w:r>
            <w:r>
              <w:rPr>
                <w:rFonts w:ascii="宋体" w:hAnsi="宋体" w:cs="宋体" w:eastAsia="宋体" w:hint="default"/>
                <w:spacing w:val="-40"/>
                <w:w w:val="100"/>
                <w:sz w:val="20"/>
                <w:szCs w:val="20"/>
              </w:rPr>
              <w:t> </w:t>
            </w:r>
            <w:r>
              <w:rPr>
                <w:rFonts w:ascii="宋体" w:hAnsi="宋体" w:cs="宋体" w:eastAsia="宋体" w:hint="default"/>
                <w:spacing w:val="-9"/>
                <w:w w:val="100"/>
                <w:sz w:val="20"/>
                <w:szCs w:val="20"/>
              </w:rPr>
              <w:t>131.75%</w:t>
            </w:r>
            <w:r>
              <w:rPr>
                <w:rFonts w:ascii="宋体" w:hAnsi="宋体" w:cs="宋体" w:eastAsia="宋体" w:hint="default"/>
                <w:spacing w:val="-9"/>
                <w:w w:val="100"/>
                <w:sz w:val="20"/>
                <w:szCs w:val="20"/>
              </w:rPr>
              <w:t>，主要原因是</w:t>
            </w:r>
            <w:r>
              <w:rPr>
                <w:rFonts w:ascii="宋体" w:hAnsi="宋体" w:cs="宋体" w:eastAsia="宋体" w:hint="default"/>
                <w:spacing w:val="-97"/>
                <w:w w:val="100"/>
                <w:sz w:val="20"/>
                <w:szCs w:val="20"/>
              </w:rPr>
              <w:t> </w:t>
            </w:r>
            <w:r>
              <w:rPr>
                <w:rFonts w:ascii="宋体" w:hAnsi="宋体" w:cs="宋体" w:eastAsia="宋体" w:hint="default"/>
                <w:spacing w:val="-97"/>
                <w:w w:val="100"/>
                <w:sz w:val="20"/>
                <w:szCs w:val="20"/>
              </w:rPr>
            </w:r>
            <w:r>
              <w:rPr>
                <w:rFonts w:ascii="宋体" w:hAnsi="宋体" w:cs="宋体" w:eastAsia="宋体" w:hint="default"/>
                <w:sz w:val="20"/>
                <w:szCs w:val="20"/>
              </w:rPr>
              <w:t>期初母公司购买的保本型银行理</w:t>
            </w:r>
            <w:r>
              <w:rPr>
                <w:rFonts w:ascii="宋体" w:hAnsi="宋体" w:cs="宋体" w:eastAsia="宋体" w:hint="default"/>
                <w:w w:val="100"/>
                <w:sz w:val="20"/>
                <w:szCs w:val="20"/>
              </w:rPr>
              <w:t> </w:t>
            </w:r>
            <w:r>
              <w:rPr>
                <w:rFonts w:ascii="宋体" w:hAnsi="宋体" w:cs="宋体" w:eastAsia="宋体" w:hint="default"/>
                <w:sz w:val="20"/>
                <w:szCs w:val="20"/>
              </w:rPr>
              <w:t>财产品合计</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2"/>
                <w:sz w:val="20"/>
                <w:szCs w:val="20"/>
              </w:rPr>
              <w:t> </w:t>
            </w:r>
            <w:r>
              <w:rPr>
                <w:rFonts w:ascii="宋体" w:hAnsi="宋体" w:cs="宋体" w:eastAsia="宋体" w:hint="default"/>
                <w:sz w:val="20"/>
                <w:szCs w:val="20"/>
              </w:rPr>
              <w:t>亿元重分类到其他</w:t>
            </w:r>
            <w:r>
              <w:rPr>
                <w:rFonts w:ascii="宋体" w:hAnsi="宋体" w:cs="宋体" w:eastAsia="宋体" w:hint="default"/>
                <w:w w:val="100"/>
                <w:sz w:val="20"/>
                <w:szCs w:val="20"/>
              </w:rPr>
              <w:t> </w:t>
            </w:r>
            <w:r>
              <w:rPr>
                <w:rFonts w:ascii="宋体" w:hAnsi="宋体" w:cs="宋体" w:eastAsia="宋体" w:hint="default"/>
                <w:sz w:val="20"/>
                <w:szCs w:val="20"/>
              </w:rPr>
              <w:t>流动资产，基数减少所致。</w:t>
            </w:r>
          </w:p>
        </w:tc>
      </w:tr>
      <w:tr>
        <w:trPr>
          <w:trHeight w:val="39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48" w:type="dxa"/>
            <w:vMerge/>
            <w:tcBorders>
              <w:left w:val="single" w:sz="9" w:space="0" w:color="D2D2D2"/>
              <w:right w:val="single" w:sz="4" w:space="0" w:color="000000"/>
            </w:tcBorders>
          </w:tcPr>
          <w:p>
            <w:pPr/>
          </w:p>
        </w:tc>
        <w:tc>
          <w:tcPr>
            <w:tcW w:w="882" w:type="dxa"/>
            <w:vMerge/>
            <w:tcBorders>
              <w:left w:val="single" w:sz="4" w:space="0" w:color="000000"/>
              <w:right w:val="single" w:sz="4" w:space="0" w:color="000000"/>
            </w:tcBorders>
          </w:tcPr>
          <w:p>
            <w:pPr/>
          </w:p>
        </w:tc>
        <w:tc>
          <w:tcPr>
            <w:tcW w:w="1359"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810" w:type="dxa"/>
            <w:vMerge/>
            <w:tcBorders>
              <w:left w:val="single" w:sz="4" w:space="0" w:color="000000"/>
              <w:right w:val="single" w:sz="4" w:space="0" w:color="000000"/>
            </w:tcBorders>
          </w:tcPr>
          <w:p>
            <w:pPr/>
          </w:p>
        </w:tc>
        <w:tc>
          <w:tcPr>
            <w:tcW w:w="2906"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8" w:type="dxa"/>
            <w:vMerge/>
            <w:tcBorders>
              <w:left w:val="single" w:sz="9" w:space="0" w:color="D2D2D2"/>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c>
          <w:tcPr>
            <w:tcW w:w="1359"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810" w:type="dxa"/>
            <w:vMerge/>
            <w:tcBorders>
              <w:left w:val="single" w:sz="4" w:space="0" w:color="000000"/>
              <w:bottom w:val="single" w:sz="4" w:space="0" w:color="000000"/>
              <w:right w:val="single" w:sz="4" w:space="0" w:color="000000"/>
            </w:tcBorders>
          </w:tcPr>
          <w:p>
            <w:pPr/>
          </w:p>
        </w:tc>
        <w:tc>
          <w:tcPr>
            <w:tcW w:w="2906"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1,229,460,544.51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25.38%</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632,771,644.49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24.33%</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z w:val="18"/>
              </w:rPr>
              <w:t>1.05%</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20"/>
                <w:szCs w:val="20"/>
              </w:rPr>
            </w:pPr>
            <w:r>
              <w:rPr>
                <w:rFonts w:ascii="宋体" w:hAnsi="宋体" w:cs="宋体" w:eastAsia="宋体" w:hint="default"/>
                <w:sz w:val="20"/>
                <w:szCs w:val="20"/>
              </w:rPr>
              <w:t>较期初增加</w:t>
            </w:r>
            <w:r>
              <w:rPr>
                <w:rFonts w:ascii="宋体" w:hAnsi="宋体" w:cs="宋体" w:eastAsia="宋体" w:hint="default"/>
                <w:spacing w:val="-52"/>
                <w:sz w:val="20"/>
                <w:szCs w:val="20"/>
              </w:rPr>
              <w:t> </w:t>
            </w:r>
            <w:r>
              <w:rPr>
                <w:rFonts w:ascii="宋体" w:hAnsi="宋体" w:cs="宋体" w:eastAsia="宋体" w:hint="default"/>
                <w:sz w:val="20"/>
                <w:szCs w:val="20"/>
              </w:rPr>
              <w:t>94.30%</w:t>
            </w:r>
            <w:r>
              <w:rPr>
                <w:rFonts w:ascii="宋体" w:hAnsi="宋体" w:cs="宋体" w:eastAsia="宋体" w:hint="default"/>
                <w:sz w:val="20"/>
                <w:szCs w:val="20"/>
              </w:rPr>
              <w:t>，主要原因是</w:t>
            </w:r>
          </w:p>
        </w:tc>
      </w:tr>
    </w:tbl>
    <w:p>
      <w:pPr>
        <w:spacing w:after="0" w:line="240" w:lineRule="auto"/>
        <w:jc w:val="left"/>
        <w:rPr>
          <w:rFonts w:ascii="宋体" w:hAnsi="宋体" w:cs="宋体" w:eastAsia="宋体" w:hint="default"/>
          <w:sz w:val="20"/>
          <w:szCs w:val="20"/>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48"/>
        <w:gridCol w:w="882"/>
        <w:gridCol w:w="1359"/>
        <w:gridCol w:w="898"/>
        <w:gridCol w:w="810"/>
        <w:gridCol w:w="2906"/>
      </w:tblGrid>
      <w:tr>
        <w:trPr>
          <w:trHeight w:val="98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70"/>
              <w:jc w:val="both"/>
              <w:rPr>
                <w:rFonts w:ascii="宋体" w:hAnsi="宋体" w:cs="宋体" w:eastAsia="宋体" w:hint="default"/>
                <w:sz w:val="20"/>
                <w:szCs w:val="20"/>
              </w:rPr>
            </w:pPr>
            <w:r>
              <w:rPr>
                <w:rFonts w:ascii="宋体" w:hAnsi="宋体" w:cs="宋体" w:eastAsia="宋体" w:hint="default"/>
                <w:sz w:val="20"/>
                <w:szCs w:val="20"/>
              </w:rPr>
              <w:t>报告期内母公司收入较快增长以</w:t>
            </w:r>
            <w:r>
              <w:rPr>
                <w:rFonts w:ascii="宋体" w:hAnsi="宋体" w:cs="宋体" w:eastAsia="宋体" w:hint="default"/>
                <w:w w:val="100"/>
                <w:sz w:val="20"/>
                <w:szCs w:val="20"/>
              </w:rPr>
              <w:t> </w:t>
            </w:r>
            <w:r>
              <w:rPr>
                <w:rFonts w:ascii="宋体" w:hAnsi="宋体" w:cs="宋体" w:eastAsia="宋体" w:hint="default"/>
                <w:sz w:val="20"/>
                <w:szCs w:val="20"/>
              </w:rPr>
              <w:t>及子公司久信医疗纳入合并报表</w:t>
            </w:r>
            <w:r>
              <w:rPr>
                <w:rFonts w:ascii="宋体" w:hAnsi="宋体" w:cs="宋体" w:eastAsia="宋体" w:hint="default"/>
                <w:w w:val="100"/>
                <w:sz w:val="20"/>
                <w:szCs w:val="20"/>
              </w:rPr>
              <w:t> </w:t>
            </w:r>
            <w:r>
              <w:rPr>
                <w:rFonts w:ascii="宋体" w:hAnsi="宋体" w:cs="宋体" w:eastAsia="宋体" w:hint="default"/>
                <w:sz w:val="20"/>
                <w:szCs w:val="20"/>
              </w:rPr>
              <w:t>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294,496,369.83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253,564,231.34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w:t>
            </w:r>
          </w:p>
        </w:tc>
        <w:tc>
          <w:tcPr>
            <w:tcW w:w="29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113,013,845.20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129,985,581.31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w:t>
            </w:r>
          </w:p>
        </w:tc>
        <w:tc>
          <w:tcPr>
            <w:tcW w:w="29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19,403,292.95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70"/>
              <w:jc w:val="left"/>
              <w:rPr>
                <w:rFonts w:ascii="宋体" w:hAnsi="宋体" w:cs="宋体" w:eastAsia="宋体" w:hint="default"/>
                <w:sz w:val="20"/>
                <w:szCs w:val="20"/>
              </w:rPr>
            </w:pPr>
            <w:r>
              <w:rPr>
                <w:rFonts w:ascii="宋体" w:hAnsi="宋体" w:cs="宋体" w:eastAsia="宋体" w:hint="default"/>
                <w:sz w:val="20"/>
                <w:szCs w:val="20"/>
              </w:rPr>
              <w:t>主要原因是报告期内母公司参股</w:t>
            </w:r>
            <w:r>
              <w:rPr>
                <w:rFonts w:ascii="宋体" w:hAnsi="宋体" w:cs="宋体" w:eastAsia="宋体" w:hint="default"/>
                <w:w w:val="100"/>
                <w:sz w:val="20"/>
                <w:szCs w:val="20"/>
              </w:rPr>
              <w:t> </w:t>
            </w:r>
            <w:r>
              <w:rPr>
                <w:rFonts w:ascii="宋体" w:hAnsi="宋体" w:cs="宋体" w:eastAsia="宋体" w:hint="default"/>
                <w:sz w:val="20"/>
                <w:szCs w:val="20"/>
              </w:rPr>
              <w:t>小鹿暖暖、融智节能所致。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135,375,799.64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2.79%</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93,165,816.14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-0.79%</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9"/>
              <w:jc w:val="both"/>
              <w:rPr>
                <w:rFonts w:ascii="宋体" w:hAnsi="宋体" w:cs="宋体" w:eastAsia="宋体" w:hint="default"/>
                <w:sz w:val="20"/>
                <w:szCs w:val="20"/>
              </w:rPr>
            </w:pPr>
            <w:r>
              <w:rPr>
                <w:rFonts w:ascii="宋体" w:hAnsi="宋体" w:cs="宋体" w:eastAsia="宋体" w:hint="default"/>
                <w:sz w:val="20"/>
                <w:szCs w:val="20"/>
              </w:rPr>
              <w:t>较期初增加</w:t>
            </w:r>
            <w:r>
              <w:rPr>
                <w:rFonts w:ascii="宋体" w:hAnsi="宋体" w:cs="宋体" w:eastAsia="宋体" w:hint="default"/>
                <w:spacing w:val="-52"/>
                <w:sz w:val="20"/>
                <w:szCs w:val="20"/>
              </w:rPr>
              <w:t> </w:t>
            </w:r>
            <w:r>
              <w:rPr>
                <w:rFonts w:ascii="宋体" w:hAnsi="宋体" w:cs="宋体" w:eastAsia="宋体" w:hint="default"/>
                <w:sz w:val="20"/>
                <w:szCs w:val="20"/>
              </w:rPr>
              <w:t>45.31%</w:t>
            </w:r>
            <w:r>
              <w:rPr>
                <w:rFonts w:ascii="宋体" w:hAnsi="宋体" w:cs="宋体" w:eastAsia="宋体" w:hint="default"/>
                <w:sz w:val="20"/>
                <w:szCs w:val="20"/>
              </w:rPr>
              <w:t>，主要原因是</w:t>
            </w:r>
            <w:r>
              <w:rPr>
                <w:rFonts w:ascii="宋体" w:hAnsi="宋体" w:cs="宋体" w:eastAsia="宋体" w:hint="default"/>
                <w:w w:val="100"/>
                <w:sz w:val="20"/>
                <w:szCs w:val="20"/>
              </w:rPr>
              <w:t> </w:t>
            </w:r>
            <w:r>
              <w:rPr>
                <w:rFonts w:ascii="宋体" w:hAnsi="宋体" w:cs="宋体" w:eastAsia="宋体" w:hint="default"/>
                <w:sz w:val="20"/>
                <w:szCs w:val="20"/>
              </w:rPr>
              <w:t>报告期内子公司久信医疗纳入合</w:t>
            </w:r>
            <w:r>
              <w:rPr>
                <w:rFonts w:ascii="宋体" w:hAnsi="宋体" w:cs="宋体" w:eastAsia="宋体" w:hint="default"/>
                <w:w w:val="100"/>
                <w:sz w:val="20"/>
                <w:szCs w:val="20"/>
              </w:rPr>
              <w:t> </w:t>
            </w:r>
            <w:r>
              <w:rPr>
                <w:rFonts w:ascii="宋体" w:hAnsi="宋体" w:cs="宋体" w:eastAsia="宋体" w:hint="default"/>
                <w:sz w:val="20"/>
                <w:szCs w:val="20"/>
              </w:rPr>
              <w:t>并报表所致。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161,348,936.17</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9,466,668.89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0.36%</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9"/>
              <w:jc w:val="both"/>
              <w:rPr>
                <w:rFonts w:ascii="宋体" w:hAnsi="宋体" w:cs="宋体" w:eastAsia="宋体" w:hint="default"/>
                <w:sz w:val="20"/>
                <w:szCs w:val="20"/>
              </w:rPr>
            </w:pPr>
            <w:r>
              <w:rPr>
                <w:rFonts w:ascii="宋体" w:hAnsi="宋体" w:cs="宋体" w:eastAsia="宋体" w:hint="default"/>
                <w:sz w:val="20"/>
                <w:szCs w:val="20"/>
              </w:rPr>
              <w:t>较期初增加</w:t>
            </w:r>
            <w:r>
              <w:rPr>
                <w:rFonts w:ascii="宋体" w:hAnsi="宋体" w:cs="宋体" w:eastAsia="宋体" w:hint="default"/>
                <w:spacing w:val="-53"/>
                <w:sz w:val="20"/>
                <w:szCs w:val="20"/>
              </w:rPr>
              <w:t> </w:t>
            </w:r>
            <w:r>
              <w:rPr>
                <w:rFonts w:ascii="宋体" w:hAnsi="宋体" w:cs="宋体" w:eastAsia="宋体" w:hint="default"/>
                <w:sz w:val="20"/>
                <w:szCs w:val="20"/>
              </w:rPr>
              <w:t>1604.39%</w:t>
            </w:r>
            <w:r>
              <w:rPr>
                <w:rFonts w:ascii="宋体" w:hAnsi="宋体" w:cs="宋体" w:eastAsia="宋体" w:hint="default"/>
                <w:sz w:val="20"/>
                <w:szCs w:val="20"/>
              </w:rPr>
              <w:t>，主要原因</w:t>
            </w:r>
            <w:r>
              <w:rPr>
                <w:rFonts w:ascii="宋体" w:hAnsi="宋体" w:cs="宋体" w:eastAsia="宋体" w:hint="default"/>
                <w:w w:val="100"/>
                <w:sz w:val="20"/>
                <w:szCs w:val="20"/>
              </w:rPr>
              <w:t> </w:t>
            </w:r>
            <w:r>
              <w:rPr>
                <w:rFonts w:ascii="宋体" w:hAnsi="宋体" w:cs="宋体" w:eastAsia="宋体" w:hint="default"/>
                <w:sz w:val="20"/>
                <w:szCs w:val="20"/>
              </w:rPr>
              <w:t>是报告期内母公司建筑节能在建</w:t>
            </w:r>
            <w:r>
              <w:rPr>
                <w:rFonts w:ascii="宋体" w:hAnsi="宋体" w:cs="宋体" w:eastAsia="宋体" w:hint="default"/>
                <w:w w:val="100"/>
                <w:sz w:val="20"/>
                <w:szCs w:val="20"/>
              </w:rPr>
              <w:t> </w:t>
            </w:r>
            <w:r>
              <w:rPr>
                <w:rFonts w:ascii="宋体" w:hAnsi="宋体" w:cs="宋体" w:eastAsia="宋体" w:hint="default"/>
                <w:sz w:val="20"/>
                <w:szCs w:val="20"/>
              </w:rPr>
              <w:t>项目及子公司达实大厦改扩建持</w:t>
            </w:r>
            <w:r>
              <w:rPr>
                <w:rFonts w:ascii="宋体" w:hAnsi="宋体" w:cs="宋体" w:eastAsia="宋体" w:hint="default"/>
                <w:w w:val="100"/>
                <w:sz w:val="20"/>
                <w:szCs w:val="20"/>
              </w:rPr>
              <w:t> </w:t>
            </w:r>
            <w:r>
              <w:rPr>
                <w:rFonts w:ascii="宋体" w:hAnsi="宋体" w:cs="宋体" w:eastAsia="宋体" w:hint="default"/>
                <w:sz w:val="20"/>
                <w:szCs w:val="20"/>
              </w:rPr>
              <w:t>续投入所致。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224,310,105.05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4.63%</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9"/>
              <w:jc w:val="both"/>
              <w:rPr>
                <w:rFonts w:ascii="宋体" w:hAnsi="宋体" w:cs="宋体" w:eastAsia="宋体" w:hint="default"/>
                <w:sz w:val="20"/>
                <w:szCs w:val="20"/>
              </w:rPr>
            </w:pPr>
            <w:r>
              <w:rPr>
                <w:rFonts w:ascii="宋体" w:hAnsi="宋体" w:cs="宋体" w:eastAsia="宋体" w:hint="default"/>
                <w:sz w:val="20"/>
                <w:szCs w:val="20"/>
              </w:rPr>
              <w:t>较期初增加</w:t>
            </w:r>
            <w:r>
              <w:rPr>
                <w:rFonts w:ascii="宋体" w:hAnsi="宋体" w:cs="宋体" w:eastAsia="宋体" w:hint="default"/>
                <w:spacing w:val="-52"/>
                <w:sz w:val="20"/>
                <w:szCs w:val="20"/>
              </w:rPr>
              <w:t> </w:t>
            </w:r>
            <w:r>
              <w:rPr>
                <w:rFonts w:ascii="宋体" w:hAnsi="宋体" w:cs="宋体" w:eastAsia="宋体" w:hint="default"/>
                <w:sz w:val="20"/>
                <w:szCs w:val="20"/>
              </w:rPr>
              <w:t>453%</w:t>
            </w:r>
            <w:r>
              <w:rPr>
                <w:rFonts w:ascii="宋体" w:hAnsi="宋体" w:cs="宋体" w:eastAsia="宋体" w:hint="default"/>
                <w:sz w:val="20"/>
                <w:szCs w:val="20"/>
              </w:rPr>
              <w:t>，主要原因是报</w:t>
            </w:r>
            <w:r>
              <w:rPr>
                <w:rFonts w:ascii="宋体" w:hAnsi="宋体" w:cs="宋体" w:eastAsia="宋体" w:hint="default"/>
                <w:w w:val="100"/>
                <w:sz w:val="20"/>
                <w:szCs w:val="20"/>
              </w:rPr>
              <w:t> </w:t>
            </w:r>
            <w:r>
              <w:rPr>
                <w:rFonts w:ascii="宋体" w:hAnsi="宋体" w:cs="宋体" w:eastAsia="宋体" w:hint="default"/>
                <w:sz w:val="20"/>
                <w:szCs w:val="20"/>
              </w:rPr>
              <w:t>告期内子公司达实租赁银行短期</w:t>
            </w:r>
            <w:r>
              <w:rPr>
                <w:rFonts w:ascii="宋体" w:hAnsi="宋体" w:cs="宋体" w:eastAsia="宋体" w:hint="default"/>
                <w:w w:val="100"/>
                <w:sz w:val="20"/>
                <w:szCs w:val="20"/>
              </w:rPr>
              <w:t> </w:t>
            </w:r>
            <w:r>
              <w:rPr>
                <w:rFonts w:ascii="宋体" w:hAnsi="宋体" w:cs="宋体" w:eastAsia="宋体" w:hint="default"/>
                <w:sz w:val="20"/>
                <w:szCs w:val="20"/>
              </w:rPr>
              <w:t>借款增加及子公司久信医疗纳入</w:t>
            </w:r>
            <w:r>
              <w:rPr>
                <w:rFonts w:ascii="宋体" w:hAnsi="宋体" w:cs="宋体" w:eastAsia="宋体" w:hint="default"/>
                <w:w w:val="100"/>
                <w:sz w:val="20"/>
                <w:szCs w:val="20"/>
              </w:rPr>
              <w:t> </w:t>
            </w:r>
            <w:r>
              <w:rPr>
                <w:rFonts w:ascii="宋体" w:hAnsi="宋体" w:cs="宋体" w:eastAsia="宋体" w:hint="default"/>
                <w:sz w:val="20"/>
                <w:szCs w:val="20"/>
              </w:rPr>
              <w:t>合并报表所致。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70"/>
              <w:jc w:val="left"/>
              <w:rPr>
                <w:rFonts w:ascii="宋体" w:hAnsi="宋体" w:cs="宋体" w:eastAsia="宋体" w:hint="default"/>
                <w:sz w:val="20"/>
                <w:szCs w:val="20"/>
              </w:rPr>
            </w:pPr>
            <w:r>
              <w:rPr>
                <w:rFonts w:ascii="宋体" w:hAnsi="宋体" w:cs="宋体" w:eastAsia="宋体" w:hint="default"/>
                <w:sz w:val="20"/>
                <w:szCs w:val="20"/>
              </w:rPr>
              <w:t>主要原因是报告期内子公司达实</w:t>
            </w:r>
            <w:r>
              <w:rPr>
                <w:rFonts w:ascii="宋体" w:hAnsi="宋体" w:cs="宋体" w:eastAsia="宋体" w:hint="default"/>
                <w:w w:val="100"/>
                <w:sz w:val="20"/>
                <w:szCs w:val="20"/>
              </w:rPr>
              <w:t> </w:t>
            </w:r>
            <w:r>
              <w:rPr>
                <w:rFonts w:ascii="宋体" w:hAnsi="宋体" w:cs="宋体" w:eastAsia="宋体" w:hint="default"/>
                <w:sz w:val="20"/>
                <w:szCs w:val="20"/>
              </w:rPr>
              <w:t>租赁取得银行</w:t>
            </w:r>
            <w:r>
              <w:rPr>
                <w:rFonts w:ascii="宋体" w:hAnsi="宋体" w:cs="宋体" w:eastAsia="宋体" w:hint="default"/>
                <w:spacing w:val="-53"/>
                <w:sz w:val="20"/>
                <w:szCs w:val="20"/>
              </w:rPr>
              <w:t> </w:t>
            </w: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年期借款所致。</w:t>
            </w:r>
          </w:p>
        </w:tc>
      </w:tr>
    </w:tbl>
    <w:p>
      <w:pPr>
        <w:spacing w:line="240" w:lineRule="auto" w:before="3"/>
        <w:rPr>
          <w:rFonts w:ascii="宋体" w:hAnsi="宋体" w:cs="宋体" w:eastAsia="宋体" w:hint="default"/>
          <w:sz w:val="19"/>
          <w:szCs w:val="19"/>
        </w:rPr>
      </w:pPr>
    </w:p>
    <w:p>
      <w:pPr>
        <w:pStyle w:val="Heading3"/>
        <w:spacing w:line="240" w:lineRule="auto" w:before="35"/>
        <w:ind w:right="1017"/>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017"/>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017"/>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5" w:right="0"/>
              <w:jc w:val="left"/>
              <w:rPr>
                <w:rFonts w:ascii="Times New Roman" w:hAnsi="Times New Roman" w:cs="Times New Roman" w:eastAsia="Times New Roman" w:hint="default"/>
                <w:sz w:val="18"/>
                <w:szCs w:val="18"/>
              </w:rPr>
            </w:pPr>
            <w:r>
              <w:rPr>
                <w:rFonts w:ascii="Times New Roman"/>
                <w:sz w:val="18"/>
              </w:rPr>
              <w:t>1,167,975,000.00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105,200,000.00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1,010.24%</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682"/>
        <w:gridCol w:w="686"/>
        <w:gridCol w:w="714"/>
        <w:gridCol w:w="486"/>
        <w:gridCol w:w="690"/>
        <w:gridCol w:w="668"/>
      </w:tblGrid>
      <w:tr>
        <w:trPr>
          <w:trHeight w:val="1298"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4" w:right="65"/>
              <w:jc w:val="both"/>
              <w:rPr>
                <w:rFonts w:ascii="宋体" w:hAnsi="宋体" w:cs="宋体" w:eastAsia="宋体" w:hint="default"/>
                <w:sz w:val="18"/>
                <w:szCs w:val="18"/>
              </w:rPr>
            </w:pPr>
            <w:r>
              <w:rPr>
                <w:rFonts w:ascii="宋体" w:hAnsi="宋体" w:cs="宋体" w:eastAsia="宋体" w:hint="default"/>
                <w:sz w:val="18"/>
                <w:szCs w:val="18"/>
              </w:rPr>
              <w:t>截至资 产负债 表日的 进展情</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357" w:lineRule="auto"/>
              <w:ind w:left="157" w:right="15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81" w:right="8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57" w:right="5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bl>
    <w:p>
      <w:pPr>
        <w:spacing w:after="0" w:line="319" w:lineRule="auto"/>
        <w:jc w:val="both"/>
        <w:rPr>
          <w:rFonts w:ascii="宋体" w:hAnsi="宋体" w:cs="宋体" w:eastAsia="宋体"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682"/>
        <w:gridCol w:w="686"/>
        <w:gridCol w:w="714"/>
        <w:gridCol w:w="486"/>
        <w:gridCol w:w="690"/>
        <w:gridCol w:w="668"/>
      </w:tblGrid>
      <w:tr>
        <w:trPr>
          <w:trHeight w:val="362"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况</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22"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达实信 息</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2" w:lineRule="auto"/>
              <w:ind w:left="22"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卡读</w:t>
            </w:r>
            <w:r>
              <w:rPr>
                <w:rFonts w:ascii="宋体" w:hAnsi="宋体" w:cs="宋体" w:eastAsia="宋体" w:hint="default"/>
                <w:w w:val="99"/>
                <w:sz w:val="18"/>
                <w:szCs w:val="18"/>
              </w:rPr>
              <w:t> </w:t>
            </w:r>
            <w:r>
              <w:rPr>
                <w:rFonts w:ascii="宋体" w:hAnsi="宋体" w:cs="宋体" w:eastAsia="宋体" w:hint="default"/>
                <w:sz w:val="18"/>
                <w:szCs w:val="18"/>
              </w:rPr>
              <w:t>卡设备</w:t>
            </w:r>
            <w:r>
              <w:rPr>
                <w:rFonts w:ascii="宋体" w:hAnsi="宋体" w:cs="宋体" w:eastAsia="宋体" w:hint="default"/>
                <w:w w:val="99"/>
                <w:sz w:val="18"/>
                <w:szCs w:val="18"/>
              </w:rPr>
              <w:t> </w:t>
            </w:r>
            <w:r>
              <w:rPr>
                <w:rFonts w:ascii="宋体" w:hAnsi="宋体" w:cs="宋体" w:eastAsia="宋体" w:hint="default"/>
                <w:sz w:val="18"/>
                <w:szCs w:val="18"/>
              </w:rPr>
              <w:t>与终端</w:t>
            </w:r>
            <w:r>
              <w:rPr>
                <w:rFonts w:ascii="宋体" w:hAnsi="宋体" w:cs="宋体" w:eastAsia="宋体" w:hint="default"/>
                <w:w w:val="99"/>
                <w:sz w:val="18"/>
                <w:szCs w:val="18"/>
              </w:rPr>
              <w:t> </w:t>
            </w:r>
            <w:r>
              <w:rPr>
                <w:rFonts w:ascii="宋体" w:hAnsi="宋体" w:cs="宋体" w:eastAsia="宋体" w:hint="default"/>
                <w:sz w:val="18"/>
                <w:szCs w:val="18"/>
              </w:rPr>
              <w:t>产品</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9"/>
              <w:jc w:val="righ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2" w:lineRule="auto"/>
              <w:ind w:left="22"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r>
              <w:rPr>
                <w:rFonts w:ascii="宋体" w:hAnsi="宋体" w:cs="宋体" w:eastAsia="宋体" w:hint="default"/>
                <w:w w:val="99"/>
                <w:sz w:val="18"/>
                <w:szCs w:val="18"/>
              </w:rPr>
              <w:t> </w:t>
            </w:r>
            <w:r>
              <w:rPr>
                <w:rFonts w:ascii="宋体" w:hAnsi="宋体" w:cs="宋体" w:eastAsia="宋体" w:hint="default"/>
                <w:sz w:val="18"/>
                <w:szCs w:val="18"/>
              </w:rPr>
              <w:t>读卡设</w:t>
            </w:r>
            <w:r>
              <w:rPr>
                <w:rFonts w:ascii="宋体" w:hAnsi="宋体" w:cs="宋体" w:eastAsia="宋体" w:hint="default"/>
                <w:w w:val="99"/>
                <w:sz w:val="18"/>
                <w:szCs w:val="18"/>
              </w:rPr>
              <w:t> </w:t>
            </w:r>
            <w:r>
              <w:rPr>
                <w:rFonts w:ascii="宋体" w:hAnsi="宋体" w:cs="宋体" w:eastAsia="宋体" w:hint="default"/>
                <w:sz w:val="18"/>
                <w:szCs w:val="18"/>
              </w:rPr>
              <w:t>备与终</w:t>
            </w:r>
            <w:r>
              <w:rPr>
                <w:rFonts w:ascii="宋体" w:hAnsi="宋体" w:cs="宋体" w:eastAsia="宋体" w:hint="default"/>
                <w:w w:val="99"/>
                <w:sz w:val="18"/>
                <w:szCs w:val="18"/>
              </w:rPr>
              <w:t> </w:t>
            </w:r>
            <w:r>
              <w:rPr>
                <w:rFonts w:ascii="宋体" w:hAnsi="宋体" w:cs="宋体" w:eastAsia="宋体" w:hint="default"/>
                <w:sz w:val="18"/>
                <w:szCs w:val="18"/>
              </w:rPr>
              <w:t>端产品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both"/>
              <w:rPr>
                <w:rFonts w:ascii="Times New Roman" w:hAnsi="Times New Roman" w:cs="Times New Roman" w:eastAsia="Times New Roman" w:hint="default"/>
                <w:sz w:val="18"/>
                <w:szCs w:val="18"/>
              </w:rPr>
            </w:pPr>
            <w:r>
              <w:rPr>
                <w:rFonts w:ascii="宋体" w:hAnsi="宋体" w:cs="宋体" w:eastAsia="宋体" w:hint="default"/>
                <w:sz w:val="18"/>
                <w:szCs w:val="18"/>
              </w:rPr>
              <w:t>已增加 注册资 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万元， 并于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319" w:lineRule="auto" w:before="63"/>
              <w:ind w:left="22" w:right="107"/>
              <w:jc w:val="both"/>
              <w:rPr>
                <w:rFonts w:ascii="宋体" w:hAnsi="宋体" w:cs="宋体" w:eastAsia="宋体" w:hint="default"/>
                <w:sz w:val="18"/>
                <w:szCs w:val="18"/>
              </w:rPr>
            </w:pPr>
            <w:r>
              <w:rPr>
                <w:rFonts w:ascii="宋体" w:hAnsi="宋体" w:cs="宋体" w:eastAsia="宋体" w:hint="default"/>
                <w:sz w:val="18"/>
                <w:szCs w:val="18"/>
              </w:rPr>
              <w:t>日办理 了工商 信息变 更</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《关于 对全资 子公司 增资的 公告》</w:t>
            </w:r>
          </w:p>
        </w:tc>
      </w:tr>
      <w:tr>
        <w:trPr>
          <w:trHeight w:val="6954"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久信医 疗</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77"/>
              <w:jc w:val="both"/>
              <w:rPr>
                <w:rFonts w:ascii="宋体" w:hAnsi="宋体" w:cs="宋体" w:eastAsia="宋体" w:hint="default"/>
                <w:sz w:val="18"/>
                <w:szCs w:val="18"/>
              </w:rPr>
            </w:pPr>
            <w:r>
              <w:rPr>
                <w:rFonts w:ascii="宋体" w:hAnsi="宋体" w:cs="宋体" w:eastAsia="宋体" w:hint="default"/>
                <w:sz w:val="18"/>
                <w:szCs w:val="18"/>
              </w:rPr>
              <w:t>提供医 疗洁净 用房、 数字化 手术平 台、手 术临床 信息化 软件等 整体解 决方案</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871,97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配套募 集资金</w:t>
            </w:r>
          </w:p>
          <w:p>
            <w:pPr>
              <w:pStyle w:val="TableParagraph"/>
              <w:spacing w:line="302" w:lineRule="auto" w:before="19"/>
              <w:ind w:left="2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自有 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房志 刚、孙 绍朋、 周鸿 坚、储 元明、 常州瑞 信、常 州臻 信、上 海玖 势、南 京优 势、扬 州经 信、佛 山优 势、常 州金 茂、南 通康成 亨</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解决方 案</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已于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319" w:lineRule="auto" w:before="63"/>
              <w:ind w:left="22" w:right="107"/>
              <w:jc w:val="both"/>
              <w:rPr>
                <w:rFonts w:ascii="宋体" w:hAnsi="宋体" w:cs="宋体" w:eastAsia="宋体" w:hint="default"/>
                <w:sz w:val="18"/>
                <w:szCs w:val="18"/>
              </w:rPr>
            </w:pPr>
            <w:r>
              <w:rPr>
                <w:rFonts w:ascii="宋体" w:hAnsi="宋体" w:cs="宋体" w:eastAsia="宋体" w:hint="default"/>
                <w:sz w:val="18"/>
                <w:szCs w:val="18"/>
              </w:rPr>
              <w:t>日完成 了工商 信息变 更</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50" w:right="0"/>
              <w:jc w:val="left"/>
              <w:rPr>
                <w:rFonts w:ascii="Times New Roman" w:hAnsi="Times New Roman" w:cs="Times New Roman" w:eastAsia="Times New Roman" w:hint="default"/>
                <w:sz w:val="18"/>
                <w:szCs w:val="18"/>
              </w:rPr>
            </w:pPr>
            <w:r>
              <w:rPr>
                <w:rFonts w:ascii="Times New Roman"/>
                <w:sz w:val="18"/>
              </w:rPr>
              <w:t>24,824,4</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80.69</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《发行 股份及 支付现 金购买 资产并 募集配 套资金 暨关联 交易报 告书</w:t>
            </w:r>
          </w:p>
          <w:p>
            <w:pPr>
              <w:pStyle w:val="TableParagraph"/>
              <w:spacing w:line="319" w:lineRule="auto" w:before="19"/>
              <w:ind w:left="22" w:right="185"/>
              <w:jc w:val="both"/>
              <w:rPr>
                <w:rFonts w:ascii="宋体" w:hAnsi="宋体" w:cs="宋体" w:eastAsia="宋体" w:hint="default"/>
                <w:sz w:val="18"/>
                <w:szCs w:val="18"/>
              </w:rPr>
            </w:pPr>
            <w:r>
              <w:rPr>
                <w:rFonts w:ascii="宋体" w:hAnsi="宋体" w:cs="宋体" w:eastAsia="宋体" w:hint="default"/>
                <w:sz w:val="18"/>
                <w:szCs w:val="18"/>
              </w:rPr>
              <w:t>（草 </w:t>
            </w:r>
            <w:r>
              <w:rPr>
                <w:rFonts w:ascii="宋体" w:hAnsi="宋体" w:cs="宋体" w:eastAsia="宋体" w:hint="default"/>
                <w:spacing w:val="-30"/>
                <w:sz w:val="18"/>
                <w:szCs w:val="18"/>
              </w:rPr>
              <w:t>案）》</w:t>
            </w: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5"/>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1,021,9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1"/>
              <w:jc w:val="right"/>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24,824,4</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80.69</w:t>
            </w:r>
          </w:p>
        </w:tc>
        <w:tc>
          <w:tcPr>
            <w:tcW w:w="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24"/>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项目名</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投资方</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是否为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投资项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本报告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截至报</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资金来</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项目进</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预计收</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截止报</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未达到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披露日</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披露索</w:t>
            </w:r>
          </w:p>
        </w:tc>
      </w:tr>
    </w:tbl>
    <w:p>
      <w:pPr>
        <w:spacing w:after="0" w:line="240"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29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70"/>
              <w:jc w:val="right"/>
              <w:rPr>
                <w:rFonts w:ascii="宋体" w:hAnsi="宋体" w:cs="宋体" w:eastAsia="宋体" w:hint="default"/>
                <w:sz w:val="18"/>
                <w:szCs w:val="18"/>
              </w:rPr>
            </w:pPr>
            <w:r>
              <w:rPr>
                <w:rFonts w:ascii="宋体" w:hAnsi="宋体" w:cs="宋体" w:eastAsia="宋体" w:hint="default"/>
                <w:sz w:val="18"/>
                <w:szCs w:val="18"/>
              </w:rPr>
              <w:t>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71"/>
              <w:jc w:val="right"/>
              <w:rPr>
                <w:rFonts w:ascii="宋体" w:hAnsi="宋体" w:cs="宋体" w:eastAsia="宋体" w:hint="default"/>
                <w:sz w:val="18"/>
                <w:szCs w:val="18"/>
              </w:rPr>
            </w:pPr>
            <w:r>
              <w:rPr>
                <w:rFonts w:ascii="宋体" w:hAnsi="宋体" w:cs="宋体" w:eastAsia="宋体" w:hint="default"/>
                <w:sz w:val="18"/>
                <w:szCs w:val="18"/>
              </w:rPr>
              <w:t>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1"/>
              <w:jc w:val="left"/>
              <w:rPr>
                <w:rFonts w:ascii="宋体" w:hAnsi="宋体" w:cs="宋体" w:eastAsia="宋体" w:hint="default"/>
                <w:sz w:val="18"/>
                <w:szCs w:val="18"/>
              </w:rPr>
            </w:pPr>
            <w:r>
              <w:rPr>
                <w:rFonts w:ascii="宋体" w:hAnsi="宋体" w:cs="宋体" w:eastAsia="宋体" w:hint="default"/>
                <w:sz w:val="18"/>
                <w:szCs w:val="18"/>
              </w:rPr>
              <w:t>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2" w:right="91" w:hanging="90"/>
              <w:jc w:val="left"/>
              <w:rPr>
                <w:rFonts w:ascii="宋体" w:hAnsi="宋体" w:cs="宋体" w:eastAsia="宋体" w:hint="default"/>
                <w:sz w:val="18"/>
                <w:szCs w:val="18"/>
              </w:rPr>
            </w:pPr>
            <w:r>
              <w:rPr>
                <w:rFonts w:ascii="宋体" w:hAnsi="宋体" w:cs="宋体" w:eastAsia="宋体" w:hint="default"/>
                <w:sz w:val="18"/>
                <w:szCs w:val="18"/>
              </w:rPr>
              <w:t>目涉及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2" w:right="91" w:hanging="90"/>
              <w:jc w:val="left"/>
              <w:rPr>
                <w:rFonts w:ascii="宋体" w:hAnsi="宋体" w:cs="宋体" w:eastAsia="宋体" w:hint="default"/>
                <w:sz w:val="18"/>
                <w:szCs w:val="18"/>
              </w:rPr>
            </w:pPr>
            <w:r>
              <w:rPr>
                <w:rFonts w:ascii="宋体" w:hAnsi="宋体" w:cs="宋体" w:eastAsia="宋体" w:hint="default"/>
                <w:sz w:val="18"/>
                <w:szCs w:val="18"/>
              </w:rPr>
              <w:t>期投入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1"/>
              <w:jc w:val="both"/>
              <w:rPr>
                <w:rFonts w:ascii="宋体" w:hAnsi="宋体" w:cs="宋体" w:eastAsia="宋体" w:hint="default"/>
                <w:sz w:val="18"/>
                <w:szCs w:val="18"/>
              </w:rPr>
            </w:pPr>
            <w:r>
              <w:rPr>
                <w:rFonts w:ascii="宋体" w:hAnsi="宋体" w:cs="宋体" w:eastAsia="宋体" w:hint="default"/>
                <w:sz w:val="18"/>
                <w:szCs w:val="18"/>
              </w:rPr>
              <w:t>告期末 累计实 际投入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3"/>
              <w:jc w:val="center"/>
              <w:rPr>
                <w:rFonts w:ascii="宋体" w:hAnsi="宋体" w:cs="宋体" w:eastAsia="宋体" w:hint="default"/>
                <w:sz w:val="18"/>
                <w:szCs w:val="18"/>
              </w:rPr>
            </w:pPr>
            <w:r>
              <w:rPr>
                <w:rFonts w:ascii="宋体" w:hAnsi="宋体" w:cs="宋体" w:eastAsia="宋体" w:hint="default"/>
                <w:sz w:val="18"/>
                <w:szCs w:val="18"/>
              </w:rPr>
              <w:t>告期末 累计实 现的收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计划进 度和预 计收益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3" w:right="91" w:hanging="90"/>
              <w:jc w:val="left"/>
              <w:rPr>
                <w:rFonts w:ascii="宋体" w:hAnsi="宋体" w:cs="宋体" w:eastAsia="宋体" w:hint="default"/>
                <w:sz w:val="18"/>
                <w:szCs w:val="18"/>
              </w:rPr>
            </w:pPr>
            <w:r>
              <w:rPr>
                <w:rFonts w:ascii="宋体" w:hAnsi="宋体" w:cs="宋体" w:eastAsia="宋体" w:hint="default"/>
                <w:sz w:val="18"/>
                <w:szCs w:val="18"/>
              </w:rPr>
              <w:t>期（如 有）</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2" w:right="91" w:hanging="90"/>
              <w:jc w:val="left"/>
              <w:rPr>
                <w:rFonts w:ascii="宋体" w:hAnsi="宋体" w:cs="宋体" w:eastAsia="宋体" w:hint="default"/>
                <w:sz w:val="18"/>
                <w:szCs w:val="18"/>
              </w:rPr>
            </w:pPr>
            <w:r>
              <w:rPr>
                <w:rFonts w:ascii="宋体" w:hAnsi="宋体" w:cs="宋体" w:eastAsia="宋体" w:hint="default"/>
                <w:sz w:val="18"/>
                <w:szCs w:val="18"/>
              </w:rPr>
              <w:t>引（如 有）</w:t>
            </w:r>
          </w:p>
        </w:tc>
      </w:tr>
      <w:tr>
        <w:trPr>
          <w:trHeight w:val="414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达实大 厦改扩 建项目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73" w:right="0"/>
              <w:jc w:val="left"/>
              <w:rPr>
                <w:rFonts w:ascii="Times New Roman" w:hAnsi="Times New Roman" w:cs="Times New Roman" w:eastAsia="Times New Roman" w:hint="default"/>
                <w:sz w:val="18"/>
                <w:szCs w:val="18"/>
              </w:rPr>
            </w:pPr>
            <w:r>
              <w:rPr>
                <w:rFonts w:ascii="Times New Roman"/>
                <w:sz w:val="18"/>
              </w:rPr>
              <w:t>85,071,5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14.91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74" w:right="0"/>
              <w:jc w:val="left"/>
              <w:rPr>
                <w:rFonts w:ascii="Times New Roman" w:hAnsi="Times New Roman" w:cs="Times New Roman" w:eastAsia="Times New Roman" w:hint="default"/>
                <w:sz w:val="18"/>
                <w:szCs w:val="18"/>
              </w:rPr>
            </w:pPr>
            <w:r>
              <w:rPr>
                <w:rFonts w:ascii="Times New Roman"/>
                <w:sz w:val="18"/>
              </w:rPr>
              <w:t>89,797,7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53.05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31" w:right="0"/>
              <w:jc w:val="center"/>
              <w:rPr>
                <w:rFonts w:ascii="Times New Roman" w:hAnsi="Times New Roman" w:cs="Times New Roman" w:eastAsia="Times New Roman" w:hint="default"/>
                <w:sz w:val="18"/>
                <w:szCs w:val="18"/>
              </w:rPr>
            </w:pPr>
            <w:r>
              <w:rPr>
                <w:rFonts w:ascii="Times New Roman"/>
                <w:sz w:val="18"/>
              </w:rPr>
              <w:t>11.97%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161"/>
              <w:jc w:val="left"/>
              <w:rPr>
                <w:rFonts w:ascii="宋体" w:hAnsi="宋体" w:cs="宋体" w:eastAsia="宋体" w:hint="default"/>
                <w:sz w:val="18"/>
                <w:szCs w:val="18"/>
              </w:rPr>
            </w:pPr>
            <w:r>
              <w:rPr>
                <w:rFonts w:ascii="宋体" w:hAnsi="宋体" w:cs="宋体" w:eastAsia="宋体" w:hint="default"/>
                <w:sz w:val="18"/>
                <w:szCs w:val="18"/>
              </w:rPr>
              <w:t>正常进 行中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《关于 全资子 公司物 业改扩 建的公 告》 ， 刊登于</w:t>
            </w:r>
          </w:p>
          <w:p>
            <w:pPr>
              <w:pStyle w:val="TableParagraph"/>
              <w:spacing w:line="316" w:lineRule="auto" w:before="19"/>
              <w:ind w:left="22" w:right="71"/>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9" w:lineRule="auto" w:before="19"/>
              <w:ind w:left="22" w:right="-17"/>
              <w:jc w:val="left"/>
              <w:rPr>
                <w:rFonts w:ascii="宋体" w:hAnsi="宋体" w:cs="宋体" w:eastAsia="宋体" w:hint="default"/>
                <w:sz w:val="18"/>
                <w:szCs w:val="18"/>
              </w:rPr>
            </w:pPr>
            <w:r>
              <w:rPr>
                <w:rFonts w:ascii="宋体" w:hAnsi="宋体" w:cs="宋体" w:eastAsia="宋体" w:hint="default"/>
                <w:sz w:val="18"/>
                <w:szCs w:val="18"/>
              </w:rPr>
              <w:t>《中国 证券报》 及巨潮 资讯网。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9"/>
              <w:jc w:val="righ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85,071,5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14.91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89,797,7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53.05</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spacing w:before="0"/>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1017"/>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1017"/>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75,130.47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38,612.42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60,812.42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14,318.05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存放于经 批准的银 行募集资 金账户中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重大资产 重组募集 配套资金</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23,168.85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23,168.85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5"/>
              <w:jc w:val="both"/>
              <w:rPr>
                <w:rFonts w:ascii="宋体" w:hAnsi="宋体" w:cs="宋体" w:eastAsia="宋体" w:hint="default"/>
                <w:sz w:val="18"/>
                <w:szCs w:val="18"/>
              </w:rPr>
            </w:pPr>
            <w:r>
              <w:rPr>
                <w:rFonts w:ascii="宋体" w:hAnsi="宋体" w:cs="宋体" w:eastAsia="宋体" w:hint="default"/>
                <w:sz w:val="18"/>
                <w:szCs w:val="18"/>
              </w:rPr>
              <w:t>存放于经 批准的银 行募集资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362" w:hRule="exact"/>
        </w:trPr>
        <w:tc>
          <w:tcPr>
            <w:tcW w:w="867"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2"/>
              <w:jc w:val="center"/>
              <w:rPr>
                <w:rFonts w:ascii="宋体" w:hAnsi="宋体" w:cs="宋体" w:eastAsia="宋体" w:hint="default"/>
                <w:sz w:val="18"/>
                <w:szCs w:val="18"/>
              </w:rPr>
            </w:pPr>
            <w:r>
              <w:rPr>
                <w:rFonts w:ascii="宋体" w:hAnsi="宋体" w:cs="宋体" w:eastAsia="宋体" w:hint="default"/>
                <w:sz w:val="18"/>
                <w:szCs w:val="18"/>
              </w:rPr>
              <w:t>金账户中</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98,299.32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38,612.42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60,812.42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37,486.9</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250"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 w:firstLine="360"/>
              <w:jc w:val="left"/>
              <w:rPr>
                <w:rFonts w:ascii="宋体" w:hAnsi="宋体" w:cs="宋体" w:eastAsia="宋体" w:hint="default"/>
                <w:sz w:val="18"/>
                <w:szCs w:val="18"/>
              </w:rPr>
            </w:pPr>
            <w:r>
              <w:rPr>
                <w:rFonts w:ascii="宋体" w:hAnsi="宋体" w:cs="宋体" w:eastAsia="宋体" w:hint="default"/>
                <w:spacing w:val="-2"/>
                <w:sz w:val="18"/>
                <w:szCs w:val="18"/>
              </w:rPr>
              <w:t>经中国证券监督管理委员会《关于核准深圳达实智能股份有限公司非公开发行股票的批复》（证监许可</w:t>
            </w:r>
            <w:r>
              <w:rPr>
                <w:rFonts w:ascii="Times New Roman" w:hAnsi="Times New Roman" w:cs="Times New Roman" w:eastAsia="Times New Roman" w:hint="default"/>
                <w:spacing w:val="-2"/>
                <w:sz w:val="18"/>
                <w:szCs w:val="18"/>
              </w:rPr>
              <w:t>[2014]846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 核准，公司向董事长刘磅先生、董事贾虹女士非公开发行人民币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4,700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万股普通股股票，发行价格为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16.23</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股，募集资</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金总额为人民币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762,810,000.00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元，扣除相关费用后，实际募集资金净额为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751,304,731.77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元，全部用于补充流动资金。</w:t>
            </w:r>
          </w:p>
          <w:p>
            <w:pPr>
              <w:pStyle w:val="TableParagraph"/>
              <w:spacing w:line="338" w:lineRule="auto" w:before="64"/>
              <w:ind w:left="382" w:right="22" w:hanging="360"/>
              <w:jc w:val="left"/>
              <w:rPr>
                <w:rFonts w:ascii="宋体" w:hAnsi="宋体" w:cs="宋体" w:eastAsia="宋体" w:hint="default"/>
                <w:sz w:val="18"/>
                <w:szCs w:val="18"/>
              </w:rPr>
            </w:pPr>
            <w:r>
              <w:rPr>
                <w:rFonts w:ascii="宋体" w:hAnsi="宋体" w:cs="宋体" w:eastAsia="宋体" w:hint="default"/>
                <w:sz w:val="18"/>
                <w:szCs w:val="18"/>
              </w:rPr>
              <w:t>截止至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日，募集资金账户余额为</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157,263,834.55</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元（含扣除手续费后的累计利息收入）。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经中国证券监督管理委员会《关于核准深圳达实智能股份有限公司向房志刚等发行股份购买资产并募集配套资金的批</w:t>
            </w:r>
          </w:p>
          <w:p>
            <w:pPr>
              <w:pStyle w:val="TableParagraph"/>
              <w:spacing w:line="300" w:lineRule="auto" w:before="2"/>
              <w:ind w:left="22" w:right="-9"/>
              <w:jc w:val="left"/>
              <w:rPr>
                <w:rFonts w:ascii="宋体" w:hAnsi="宋体" w:cs="宋体" w:eastAsia="宋体" w:hint="default"/>
                <w:sz w:val="18"/>
                <w:szCs w:val="18"/>
              </w:rPr>
            </w:pPr>
            <w:r>
              <w:rPr>
                <w:rFonts w:ascii="宋体" w:hAnsi="宋体" w:cs="宋体" w:eastAsia="宋体" w:hint="default"/>
                <w:spacing w:val="-7"/>
                <w:sz w:val="18"/>
                <w:szCs w:val="18"/>
              </w:rPr>
              <w:t>复》（证监许可</w:t>
            </w:r>
            <w:r>
              <w:rPr>
                <w:rFonts w:ascii="Times New Roman" w:hAnsi="Times New Roman" w:cs="Times New Roman" w:eastAsia="Times New Roman" w:hint="default"/>
                <w:spacing w:val="-7"/>
                <w:sz w:val="18"/>
                <w:szCs w:val="18"/>
              </w:rPr>
              <w:t>[2015]2471</w:t>
            </w:r>
            <w:r>
              <w:rPr>
                <w:rFonts w:ascii="Times New Roman" w:hAnsi="Times New Roman" w:cs="Times New Roman" w:eastAsia="Times New Roman" w:hint="default"/>
                <w:spacing w:val="21"/>
                <w:sz w:val="18"/>
                <w:szCs w:val="18"/>
              </w:rPr>
              <w:t> </w:t>
            </w:r>
            <w:r>
              <w:rPr>
                <w:rFonts w:ascii="宋体" w:hAnsi="宋体" w:cs="宋体" w:eastAsia="宋体" w:hint="default"/>
                <w:spacing w:val="-2"/>
                <w:sz w:val="18"/>
                <w:szCs w:val="18"/>
              </w:rPr>
              <w:t>号）核准，公司采取发行股份及支付现金的方式收购江苏久信医疗股份有限公司</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时向实际控制人刘磅以及高级管理人员程朋胜、苏俊锋、吕枫、林雨斌、黄天朗非公开发行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20,867,932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股募集配套资金，</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发行价格为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11.86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股，募集配套资金总额为人民币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247,493,673.52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元，扣除相关费用后，实际募集资金净额为人民币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231,688,467.40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元，用于支付本次交易的现金对价及对久信医疗的增资补充流动资金。截止至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日，募集资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金账户余额为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231,709,80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.77 </w:t>
            </w:r>
            <w:r>
              <w:rPr>
                <w:rFonts w:ascii="宋体" w:hAnsi="宋体" w:cs="宋体" w:eastAsia="宋体" w:hint="default"/>
                <w:sz w:val="18"/>
                <w:szCs w:val="18"/>
              </w:rPr>
              <w:t>元（含扣除手续费后的累计利息收入</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一、</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年度非公开发行股份的募集资金使用情况</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75,130.47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75,130.47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38,612.42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60,812.42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75,130.47</w:t>
            </w:r>
          </w:p>
        </w:tc>
        <w:tc>
          <w:tcPr>
            <w:tcW w:w="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75,130.47</w:t>
            </w:r>
          </w:p>
        </w:tc>
        <w:tc>
          <w:tcPr>
            <w:tcW w:w="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38,612.42</w:t>
            </w:r>
          </w:p>
        </w:tc>
        <w:tc>
          <w:tcPr>
            <w:tcW w:w="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60,812.42</w:t>
            </w:r>
          </w:p>
        </w:tc>
        <w:tc>
          <w:tcPr>
            <w:tcW w:w="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80.94%</w:t>
            </w:r>
          </w:p>
        </w:tc>
        <w:tc>
          <w:tcPr>
            <w:tcW w:w="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年度发行股份及支付现金购买资产配套资金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对久信医疗增资</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支付重组现金对价</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12,949.37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13,168.85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2,482.45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1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22,949.37</w:t>
            </w:r>
          </w:p>
        </w:tc>
        <w:tc>
          <w:tcPr>
            <w:tcW w:w="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23,168.85</w:t>
            </w:r>
          </w:p>
        </w:tc>
        <w:tc>
          <w:tcPr>
            <w:tcW w:w="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2,482.45</w:t>
            </w:r>
          </w:p>
        </w:tc>
        <w:tc>
          <w:tcPr>
            <w:tcW w:w="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98,079.84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98,299.32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38,612.42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60,812.42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7" w:right="0"/>
              <w:jc w:val="left"/>
              <w:rPr>
                <w:rFonts w:ascii="Times New Roman" w:hAnsi="Times New Roman" w:cs="Times New Roman" w:eastAsia="Times New Roman" w:hint="default"/>
                <w:sz w:val="18"/>
                <w:szCs w:val="18"/>
              </w:rPr>
            </w:pPr>
            <w:r>
              <w:rPr>
                <w:rFonts w:ascii="Times New Roman"/>
                <w:sz w:val="18"/>
              </w:rPr>
              <w:t>2,482.45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项目可行性发生重大</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before="44"/>
        <w:ind w:left="0" w:right="1141" w:firstLine="0"/>
        <w:jc w:val="right"/>
        <w:rPr>
          <w:rFonts w:ascii="宋体" w:hAnsi="宋体" w:cs="宋体" w:eastAsia="宋体" w:hint="default"/>
          <w:sz w:val="18"/>
          <w:szCs w:val="18"/>
        </w:rPr>
      </w:pPr>
      <w:r>
        <w:rPr/>
        <w:pict>
          <v:shape style="position:absolute;margin-left:56.459999pt;margin-top:-321.628296pt;width:479.2pt;height:364.8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362"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变化的情况说明</w:t>
                        </w: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804" w:hRule="exact"/>
                    </w:trPr>
                    <w:tc>
                      <w:tcPr>
                        <w:tcW w:w="177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10" w:hRule="exact"/>
                    </w:trPr>
                    <w:tc>
                      <w:tcPr>
                        <w:tcW w:w="177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319" w:lineRule="auto" w:before="99"/>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45" w:hRule="exact"/>
                    </w:trPr>
                    <w:tc>
                      <w:tcPr>
                        <w:tcW w:w="177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316" w:lineRule="auto" w:before="117"/>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4" w:hRule="exact"/>
                    </w:trPr>
                    <w:tc>
                      <w:tcPr>
                        <w:tcW w:w="177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4" w:hRule="exact"/>
                    </w:trPr>
                    <w:tc>
                      <w:tcPr>
                        <w:tcW w:w="177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4" w:hRule="exact"/>
                    </w:trPr>
                    <w:tc>
                      <w:tcPr>
                        <w:tcW w:w="177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pacing w:val="-3"/>
                            <w:sz w:val="18"/>
                            <w:szCs w:val="18"/>
                          </w:rPr>
                          <w:t>存放于经批准的银行募集资金账户中。</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年度非公开发行股份的剩余募集资金将用于补充流动资</w:t>
                        </w:r>
                        <w:r>
                          <w:rPr>
                            <w:rFonts w:ascii="宋体" w:hAnsi="宋体" w:cs="宋体" w:eastAsia="宋体" w:hint="default"/>
                            <w:spacing w:val="-85"/>
                            <w:sz w:val="18"/>
                            <w:szCs w:val="18"/>
                          </w:rPr>
                          <w:t> </w:t>
                        </w:r>
                        <w:r>
                          <w:rPr>
                            <w:rFonts w:ascii="宋体" w:hAnsi="宋体" w:cs="宋体" w:eastAsia="宋体" w:hint="default"/>
                            <w:spacing w:val="-11"/>
                            <w:sz w:val="18"/>
                            <w:szCs w:val="18"/>
                          </w:rPr>
                          <w:t>金；</w:t>
                        </w:r>
                        <w:r>
                          <w:rPr>
                            <w:rFonts w:ascii="Times New Roman" w:hAnsi="Times New Roman" w:cs="Times New Roman" w:eastAsia="Times New Roman" w:hint="default"/>
                            <w:spacing w:val="-11"/>
                            <w:sz w:val="18"/>
                            <w:szCs w:val="18"/>
                          </w:rPr>
                          <w:t>2015 </w:t>
                        </w:r>
                        <w:r>
                          <w:rPr>
                            <w:rFonts w:ascii="宋体" w:hAnsi="宋体" w:cs="宋体" w:eastAsia="宋体" w:hint="default"/>
                            <w:sz w:val="18"/>
                            <w:szCs w:val="18"/>
                          </w:rPr>
                          <w:t>年度发行股份及支付现金购买资产配套资金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1"/>
                            <w:sz w:val="18"/>
                            <w:szCs w:val="18"/>
                          </w:rPr>
                          <w:t> </w:t>
                        </w:r>
                        <w:r>
                          <w:rPr>
                            <w:rFonts w:ascii="宋体" w:hAnsi="宋体" w:cs="宋体" w:eastAsia="宋体" w:hint="default"/>
                            <w:spacing w:val="-4"/>
                            <w:sz w:val="18"/>
                            <w:szCs w:val="18"/>
                          </w:rPr>
                          <w:t>万元用于对久信医疗增资，</w:t>
                        </w:r>
                        <w:r>
                          <w:rPr>
                            <w:rFonts w:ascii="Times New Roman" w:hAnsi="Times New Roman" w:cs="Times New Roman" w:eastAsia="Times New Roman" w:hint="default"/>
                            <w:spacing w:val="-4"/>
                            <w:sz w:val="18"/>
                            <w:szCs w:val="18"/>
                          </w:rPr>
                          <w:t>13,168.85</w:t>
                        </w:r>
                        <w:r>
                          <w:rPr>
                            <w:rFonts w:ascii="Times New Roman" w:hAnsi="Times New Roman" w:cs="Times New Roman" w:eastAsia="Times New Roman" w:hint="default"/>
                            <w:sz w:val="18"/>
                            <w:szCs w:val="18"/>
                          </w:rPr>
                          <w:t> </w:t>
                        </w:r>
                        <w:r>
                          <w:rPr>
                            <w:rFonts w:ascii="宋体" w:hAnsi="宋体" w:cs="宋体" w:eastAsia="宋体" w:hint="default"/>
                            <w:sz w:val="18"/>
                            <w:szCs w:val="18"/>
                          </w:rPr>
                          <w:t>万元用于支付本次重组现金对价。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支付重组现金对价较计划增加</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219.48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万元，是由于公司重组报告书中预算的中介费用为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经验资会计师认定的金额为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1580.52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万元，调减部分用于支付交易现金对价。</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3"/>
        <w:spacing w:line="240" w:lineRule="auto" w:before="35"/>
        <w:ind w:right="1017"/>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1017"/>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017"/>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left="153" w:right="1017"/>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1017"/>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3" w:right="1017"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after="0"/>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13"/>
        <w:rPr>
          <w:rFonts w:ascii="宋体" w:hAnsi="宋体" w:cs="宋体" w:eastAsia="宋体" w:hint="default"/>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931"/>
        <w:gridCol w:w="1310"/>
        <w:gridCol w:w="1046"/>
        <w:gridCol w:w="1045"/>
        <w:gridCol w:w="1045"/>
        <w:gridCol w:w="1046"/>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达实信息</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卡读写设备</w:t>
            </w:r>
            <w:r>
              <w:rPr>
                <w:rFonts w:ascii="宋体" w:hAnsi="宋体" w:cs="宋体" w:eastAsia="宋体" w:hint="default"/>
                <w:w w:val="99"/>
                <w:sz w:val="18"/>
                <w:szCs w:val="18"/>
              </w:rPr>
              <w:t> </w:t>
            </w:r>
            <w:r>
              <w:rPr>
                <w:rFonts w:ascii="宋体" w:hAnsi="宋体" w:cs="宋体" w:eastAsia="宋体" w:hint="default"/>
                <w:sz w:val="18"/>
                <w:szCs w:val="18"/>
              </w:rPr>
              <w:t>与终端产品。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243,916,014.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199,795,852.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103,729,462.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34,841,511.6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32,645,580.0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达实德润</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绿色建筑咨询 认证服务。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18,301,678.5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14,670,037.0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11,174,656.9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273,541.97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178,034.00</w:t>
            </w:r>
          </w:p>
        </w:tc>
      </w:tr>
      <w:tr>
        <w:trPr>
          <w:trHeight w:val="258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达实联欣</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绿色建筑供电</w:t>
            </w:r>
          </w:p>
          <w:p>
            <w:pPr>
              <w:pStyle w:val="TableParagraph"/>
              <w:spacing w:line="319" w:lineRule="auto" w:before="75"/>
              <w:ind w:left="22" w:right="21"/>
              <w:jc w:val="left"/>
              <w:rPr>
                <w:rFonts w:ascii="宋体" w:hAnsi="宋体" w:cs="宋体" w:eastAsia="宋体" w:hint="default"/>
                <w:sz w:val="18"/>
                <w:szCs w:val="18"/>
              </w:rPr>
            </w:pPr>
            <w:r>
              <w:rPr>
                <w:rFonts w:ascii="宋体" w:hAnsi="宋体" w:cs="宋体" w:eastAsia="宋体" w:hint="default"/>
                <w:sz w:val="18"/>
                <w:szCs w:val="18"/>
              </w:rPr>
              <w:t>（强电）系统优 化咨询、工程及 节能服务、建筑 智能化集成及 服务、建筑节能 工程及节能服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313,951,305.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126,203,620.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212,234,740.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3,521,476.62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6,641,743.26</w:t>
            </w:r>
          </w:p>
        </w:tc>
      </w:tr>
      <w:tr>
        <w:trPr>
          <w:trHeight w:val="22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
              <w:jc w:val="left"/>
              <w:rPr>
                <w:rFonts w:ascii="宋体" w:hAnsi="宋体" w:cs="宋体" w:eastAsia="宋体" w:hint="default"/>
                <w:sz w:val="18"/>
                <w:szCs w:val="18"/>
              </w:rPr>
            </w:pPr>
            <w:r>
              <w:rPr>
                <w:rFonts w:ascii="宋体" w:hAnsi="宋体" w:cs="宋体" w:eastAsia="宋体" w:hint="default"/>
                <w:sz w:val="18"/>
                <w:szCs w:val="18"/>
              </w:rPr>
              <w:t>融资租赁业务； 租赁业务；向国 内外购买租赁 资产；租赁资产 的残值处理及 维修；租赁交易 咨询和担保。</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823,784,568.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220,210,749.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37,463,126.8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23,195,269.2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19,822,934.0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久信医疗</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医院洁净用房 解决方案</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548,937,552.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225,392,523.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506,668,347.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71,410,829.5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73,470,620.6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6"/>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8"/>
        <w:gridCol w:w="3119"/>
        <w:gridCol w:w="4182"/>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4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昌都达实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业务向西部地区延伸、享受地方税收优惠政策</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淮南达实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加强公司在安徽地区的业务开拓及项目实施力度</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仁怀达实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加强公司在贵州地区的业务开拓及项目实施力度</w:t>
            </w:r>
          </w:p>
        </w:tc>
      </w:tr>
    </w:tbl>
    <w:p>
      <w:pPr>
        <w:pStyle w:val="BodyText"/>
        <w:spacing w:line="241" w:lineRule="exact" w:before="0"/>
        <w:ind w:left="154" w:right="1017"/>
        <w:jc w:val="left"/>
      </w:pPr>
      <w:r>
        <w:rPr/>
        <w:t>主要控股参股公司情况说明</w:t>
      </w:r>
    </w:p>
    <w:p>
      <w:pPr>
        <w:pStyle w:val="BodyText"/>
        <w:spacing w:line="357" w:lineRule="auto" w:before="133"/>
        <w:ind w:right="1122" w:firstLine="420"/>
        <w:jc w:val="left"/>
      </w:pPr>
      <w:r>
        <w:rPr>
          <w:rFonts w:ascii="宋体" w:hAnsi="宋体" w:cs="宋体" w:eastAsia="宋体" w:hint="default"/>
          <w:spacing w:val="-8"/>
        </w:rPr>
        <w:t>1</w:t>
      </w:r>
      <w:r>
        <w:rPr>
          <w:spacing w:val="-8"/>
        </w:rPr>
        <w:t>、报告期内，公司使用自有资金</w:t>
      </w:r>
      <w:r>
        <w:rPr>
          <w:spacing w:val="-45"/>
        </w:rPr>
        <w:t> </w:t>
      </w:r>
      <w:r>
        <w:rPr>
          <w:rFonts w:ascii="宋体" w:hAnsi="宋体" w:cs="宋体" w:eastAsia="宋体" w:hint="default"/>
        </w:rPr>
        <w:t>2,000</w:t>
      </w:r>
      <w:r>
        <w:rPr>
          <w:rFonts w:ascii="宋体" w:hAnsi="宋体" w:cs="宋体" w:eastAsia="宋体" w:hint="default"/>
          <w:spacing w:val="-45"/>
        </w:rPr>
        <w:t> </w:t>
      </w:r>
      <w:r>
        <w:rPr>
          <w:spacing w:val="-6"/>
        </w:rPr>
        <w:t>万元人民币（持股比例</w:t>
      </w:r>
      <w:r>
        <w:rPr>
          <w:spacing w:val="-46"/>
        </w:rPr>
        <w:t> </w:t>
      </w:r>
      <w:r>
        <w:rPr>
          <w:rFonts w:ascii="宋体" w:hAnsi="宋体" w:cs="宋体" w:eastAsia="宋体" w:hint="default"/>
          <w:spacing w:val="-7"/>
        </w:rPr>
        <w:t>40%</w:t>
      </w:r>
      <w:r>
        <w:rPr>
          <w:spacing w:val="-7"/>
        </w:rPr>
        <w:t>）与三菱日联融资租赁株式会社（持</w:t>
      </w:r>
      <w:r>
        <w:rPr/>
        <w:t> 股比例</w:t>
      </w:r>
      <w:r>
        <w:rPr>
          <w:spacing w:val="-54"/>
        </w:rPr>
        <w:t> </w:t>
      </w:r>
      <w:r>
        <w:rPr>
          <w:rFonts w:ascii="宋体" w:hAnsi="宋体" w:cs="宋体" w:eastAsia="宋体" w:hint="default"/>
        </w:rPr>
        <w:t>40%</w:t>
      </w:r>
      <w:r>
        <w:rPr/>
        <w:t>）及仲利国际租赁有限公司（持股比例</w:t>
      </w:r>
      <w:r>
        <w:rPr>
          <w:spacing w:val="-54"/>
        </w:rPr>
        <w:t> </w:t>
      </w:r>
      <w:r>
        <w:rPr>
          <w:rFonts w:ascii="宋体" w:hAnsi="宋体" w:cs="宋体" w:eastAsia="宋体" w:hint="default"/>
        </w:rPr>
        <w:t>20%</w:t>
      </w:r>
      <w:r>
        <w:rPr/>
        <w:t>）合资组建融智节能环保（深圳）有限公司；</w:t>
      </w:r>
    </w:p>
    <w:p>
      <w:pPr>
        <w:pStyle w:val="BodyText"/>
        <w:spacing w:line="240" w:lineRule="auto"/>
        <w:ind w:left="574" w:right="1017"/>
        <w:jc w:val="left"/>
      </w:pPr>
      <w:r>
        <w:rPr>
          <w:rFonts w:ascii="宋体" w:hAnsi="宋体" w:cs="宋体" w:eastAsia="宋体" w:hint="default"/>
        </w:rPr>
        <w:t>2</w:t>
      </w:r>
      <w:r>
        <w:rPr/>
        <w:t>、报告期内，公司使用自有资金</w:t>
      </w:r>
      <w:r>
        <w:rPr>
          <w:spacing w:val="-55"/>
        </w:rPr>
        <w:t> </w:t>
      </w:r>
      <w:r>
        <w:rPr>
          <w:rFonts w:ascii="宋体" w:hAnsi="宋体" w:cs="宋体" w:eastAsia="宋体" w:hint="default"/>
        </w:rPr>
        <w:t>1600</w:t>
      </w:r>
      <w:r>
        <w:rPr>
          <w:rFonts w:ascii="宋体" w:hAnsi="宋体" w:cs="宋体" w:eastAsia="宋体" w:hint="default"/>
          <w:spacing w:val="-54"/>
        </w:rPr>
        <w:t> </w:t>
      </w:r>
      <w:r>
        <w:rPr/>
        <w:t>万元，采取现金增资的方式获得小鹿暖暖</w:t>
      </w:r>
      <w:r>
        <w:rPr>
          <w:spacing w:val="-54"/>
        </w:rPr>
        <w:t> </w:t>
      </w:r>
      <w:r>
        <w:rPr>
          <w:rFonts w:ascii="宋体" w:hAnsi="宋体" w:cs="宋体" w:eastAsia="宋体" w:hint="default"/>
        </w:rPr>
        <w:t>40%</w:t>
      </w:r>
      <w:r>
        <w:rPr/>
        <w:t>的股权。</w:t>
      </w:r>
    </w:p>
    <w:p>
      <w:pPr>
        <w:spacing w:line="240" w:lineRule="auto" w:before="0"/>
        <w:rPr>
          <w:rFonts w:ascii="宋体" w:hAnsi="宋体" w:cs="宋体" w:eastAsia="宋体" w:hint="default"/>
          <w:sz w:val="20"/>
          <w:szCs w:val="20"/>
        </w:rPr>
      </w:pPr>
    </w:p>
    <w:p>
      <w:pPr>
        <w:pStyle w:val="Heading2"/>
        <w:spacing w:line="240" w:lineRule="auto" w:before="170"/>
        <w:ind w:right="1017"/>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8"/>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8"/>
        <w:rPr>
          <w:rFonts w:ascii="宋体" w:hAnsi="宋体" w:cs="宋体" w:eastAsia="宋体" w:hint="default"/>
          <w:sz w:val="19"/>
          <w:szCs w:val="19"/>
        </w:rPr>
      </w:pPr>
    </w:p>
    <w:p>
      <w:pPr>
        <w:pStyle w:val="Heading2"/>
        <w:spacing w:line="240" w:lineRule="auto" w:before="26"/>
        <w:ind w:left="134" w:right="8102"/>
        <w:jc w:val="center"/>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2"/>
        <w:rPr>
          <w:rFonts w:ascii="宋体" w:hAnsi="宋体" w:cs="宋体" w:eastAsia="宋体" w:hint="default"/>
          <w:b/>
          <w:bCs/>
          <w:sz w:val="23"/>
          <w:szCs w:val="23"/>
        </w:rPr>
      </w:pPr>
    </w:p>
    <w:p>
      <w:pPr>
        <w:spacing w:line="357" w:lineRule="auto" w:before="0"/>
        <w:ind w:left="574" w:right="8093" w:hanging="131"/>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z w:val="21"/>
          <w:szCs w:val="21"/>
        </w:rPr>
        <w:t>2016</w:t>
      </w:r>
      <w:r>
        <w:rPr>
          <w:rFonts w:ascii="宋体" w:hAnsi="宋体" w:cs="宋体" w:eastAsia="宋体" w:hint="default"/>
          <w:b/>
          <w:bCs/>
          <w:spacing w:val="-57"/>
          <w:sz w:val="21"/>
          <w:szCs w:val="21"/>
        </w:rPr>
        <w:t> </w:t>
      </w:r>
      <w:r>
        <w:rPr>
          <w:rFonts w:ascii="宋体" w:hAnsi="宋体" w:cs="宋体" w:eastAsia="宋体" w:hint="default"/>
          <w:b/>
          <w:bCs/>
          <w:sz w:val="21"/>
          <w:szCs w:val="21"/>
        </w:rPr>
        <w:t>年度经营计划</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、内生式发展规划</w:t>
      </w:r>
    </w:p>
    <w:p>
      <w:pPr>
        <w:pStyle w:val="BodyText"/>
        <w:spacing w:line="357" w:lineRule="auto"/>
        <w:ind w:left="154" w:right="1110" w:firstLine="421"/>
        <w:jc w:val="both"/>
      </w:pPr>
      <w:r>
        <w:rPr/>
        <w:t>公司将继续聚焦主业，以系统集成业务快速做大规模和市场份额，尝试“项目→资产、客户→资源” </w:t>
      </w:r>
      <w:r>
        <w:rPr>
          <w:spacing w:val="-1"/>
        </w:rPr>
        <w:t>的转化，将公司的市场优势转化为资源优势，智能化叠加信息化，逐步提高客户业务粘性，加大运营服务</w:t>
      </w:r>
      <w:r>
        <w:rPr>
          <w:spacing w:val="-86"/>
        </w:rPr>
        <w:t> </w:t>
      </w:r>
      <w:r>
        <w:rPr>
          <w:spacing w:val="-86"/>
        </w:rPr>
      </w:r>
      <w:r>
        <w:rPr/>
        <w:t>业务。同时关注智能化新技术的应用趋势。具体上：</w:t>
      </w:r>
    </w:p>
    <w:p>
      <w:pPr>
        <w:pStyle w:val="BodyText"/>
        <w:spacing w:line="357" w:lineRule="auto"/>
        <w:ind w:right="1130" w:firstLine="420"/>
        <w:jc w:val="both"/>
      </w:pPr>
      <w:r>
        <w:rPr>
          <w:spacing w:val="-1"/>
        </w:rPr>
        <w:t>持续落实“做精智慧建筑业务、做强智慧交通业务、做大智慧医疗业务”的工作目标，精耕细作，以</w:t>
      </w:r>
      <w:r>
        <w:rPr/>
        <w:t> “技术</w:t>
      </w:r>
      <w:r>
        <w:rPr>
          <w:rFonts w:ascii="宋体" w:hAnsi="宋体" w:cs="宋体" w:eastAsia="宋体" w:hint="default"/>
        </w:rPr>
        <w:t>+</w:t>
      </w:r>
      <w:r>
        <w:rPr/>
        <w:t>金融”促进主业发展。</w:t>
      </w:r>
    </w:p>
    <w:p>
      <w:pPr>
        <w:pStyle w:val="BodyText"/>
        <w:spacing w:line="357" w:lineRule="auto"/>
        <w:ind w:right="1133" w:firstLine="421"/>
        <w:jc w:val="both"/>
      </w:pPr>
      <w:r>
        <w:rPr>
          <w:spacing w:val="-1"/>
        </w:rPr>
        <w:t>智慧建筑领域：做精商业建筑市场，锁定高价值用户，提供精细化服务，加大公司在养老建筑、金融</w:t>
      </w:r>
      <w:r>
        <w:rPr/>
        <w:t> 建筑、自有建筑等非商业建筑市场领域发展的力度。</w:t>
      </w:r>
    </w:p>
    <w:p>
      <w:pPr>
        <w:pStyle w:val="BodyText"/>
        <w:spacing w:line="355" w:lineRule="auto"/>
        <w:ind w:right="1130" w:firstLine="421"/>
        <w:jc w:val="both"/>
      </w:pPr>
      <w:r>
        <w:rPr>
          <w:spacing w:val="-1"/>
        </w:rPr>
        <w:t>智慧交通领域：充分借助资本市场平台，加大地铁用户市场拓展的力度，借助战略合作伙伴与金融的</w:t>
      </w:r>
      <w:r>
        <w:rPr/>
        <w:t> 力量来探索轨道交通智能化总包业务发展。</w:t>
      </w:r>
    </w:p>
    <w:p>
      <w:pPr>
        <w:pStyle w:val="BodyText"/>
        <w:spacing w:line="357" w:lineRule="auto" w:before="33"/>
        <w:ind w:left="154" w:right="1130" w:firstLine="421"/>
        <w:jc w:val="both"/>
      </w:pPr>
      <w:r>
        <w:rPr>
          <w:spacing w:val="-1"/>
        </w:rPr>
        <w:t>智慧医疗领域：加大智慧医院建设市场布局，借助智慧医院和区域医疗项目资源和整合能力，与子公</w:t>
      </w:r>
      <w:r>
        <w:rPr/>
        <w:t> 司久信医疗及小鹿暖暖形成产业协同效应，积极拓展</w:t>
      </w:r>
      <w:r>
        <w:rPr>
          <w:spacing w:val="-63"/>
        </w:rPr>
        <w:t> </w:t>
      </w:r>
      <w:r>
        <w:rPr>
          <w:rFonts w:ascii="宋体" w:hAnsi="宋体" w:cs="宋体" w:eastAsia="宋体" w:hint="default"/>
        </w:rPr>
        <w:t>PPP</w:t>
      </w:r>
      <w:r>
        <w:rPr>
          <w:rFonts w:ascii="宋体" w:hAnsi="宋体" w:cs="宋体" w:eastAsia="宋体" w:hint="default"/>
          <w:spacing w:val="-64"/>
        </w:rPr>
        <w:t> </w:t>
      </w:r>
      <w:r>
        <w:rPr/>
        <w:t>模式下的智慧医院和区域医疗业务市场，以战略 合作和资本布局智慧医疗与移动医疗生态圈。</w:t>
      </w:r>
    </w:p>
    <w:p>
      <w:pPr>
        <w:pStyle w:val="BodyText"/>
        <w:spacing w:line="240" w:lineRule="auto"/>
        <w:ind w:left="574" w:right="1017"/>
        <w:jc w:val="left"/>
      </w:pPr>
      <w:r>
        <w:rPr>
          <w:rFonts w:ascii="宋体" w:hAnsi="宋体" w:cs="宋体" w:eastAsia="宋体" w:hint="default"/>
        </w:rPr>
        <w:t>2</w:t>
      </w:r>
      <w:r>
        <w:rPr/>
        <w:t>、外延式发展规划</w:t>
      </w:r>
    </w:p>
    <w:p>
      <w:pPr>
        <w:pStyle w:val="BodyText"/>
        <w:spacing w:line="357" w:lineRule="auto" w:before="134"/>
        <w:ind w:right="1130" w:firstLine="421"/>
        <w:jc w:val="both"/>
      </w:pPr>
      <w:r>
        <w:rPr>
          <w:spacing w:val="-1"/>
        </w:rPr>
        <w:t>（</w:t>
      </w:r>
      <w:r>
        <w:rPr>
          <w:rFonts w:ascii="宋体" w:hAnsi="宋体" w:cs="宋体" w:eastAsia="宋体" w:hint="default"/>
          <w:spacing w:val="-1"/>
        </w:rPr>
        <w:t>1</w:t>
      </w:r>
      <w:r>
        <w:rPr>
          <w:spacing w:val="-1"/>
        </w:rPr>
        <w:t>）依托公司现有资源及业务优势，充分利用资本手段积极布局，完善互联网医疗产业链</w:t>
      </w:r>
      <w:r>
        <w:rPr>
          <w:rFonts w:ascii="宋体" w:hAnsi="宋体" w:cs="宋体" w:eastAsia="宋体" w:hint="default"/>
          <w:spacing w:val="-1"/>
        </w:rPr>
        <w:t>,</w:t>
      </w:r>
      <w:r>
        <w:rPr>
          <w:spacing w:val="-1"/>
        </w:rPr>
        <w:t>并探索互</w:t>
      </w:r>
      <w:r>
        <w:rPr/>
        <w:t> 联网医疗业务的创新模式，为公司转型奠定长远基础。</w:t>
      </w:r>
    </w:p>
    <w:p>
      <w:pPr>
        <w:pStyle w:val="BodyText"/>
        <w:spacing w:line="357" w:lineRule="auto"/>
        <w:ind w:left="154" w:right="1131" w:firstLine="421"/>
        <w:jc w:val="both"/>
      </w:pPr>
      <w:r>
        <w:rPr/>
        <w:t>（</w:t>
      </w:r>
      <w:r>
        <w:rPr>
          <w:rFonts w:ascii="宋体" w:hAnsi="宋体" w:cs="宋体" w:eastAsia="宋体" w:hint="default"/>
        </w:rPr>
        <w:t>2</w:t>
      </w:r>
      <w:r>
        <w:rPr/>
        <w:t>）</w:t>
      </w:r>
      <w:r>
        <w:rPr>
          <w:spacing w:val="-26"/>
        </w:rPr>
        <w:t> </w:t>
      </w:r>
      <w:r>
        <w:rPr/>
        <w:t>组建并购基金，形成专业团队的管理经验与投资管理机制，对孵化期企业进行培育，由并购基</w:t>
      </w:r>
      <w:r>
        <w:rPr/>
        <w:t> </w:t>
      </w:r>
      <w:r>
        <w:rPr>
          <w:spacing w:val="-1"/>
        </w:rPr>
        <w:t>金承担项目初创期风险，防止收购后的不确定性给上市公司短期业绩带来负面影响，更好地保护股东的利</w:t>
      </w:r>
      <w:r>
        <w:rPr>
          <w:spacing w:val="-81"/>
        </w:rPr>
        <w:t> </w:t>
      </w:r>
      <w:r>
        <w:rPr>
          <w:spacing w:val="-81"/>
        </w:rPr>
      </w:r>
      <w:r>
        <w:rPr/>
        <w:t>益。</w:t>
      </w:r>
    </w:p>
    <w:p>
      <w:pPr>
        <w:spacing w:line="355" w:lineRule="auto" w:before="31"/>
        <w:ind w:left="574" w:right="7707" w:firstLine="1"/>
        <w:jc w:val="left"/>
        <w:rPr>
          <w:rFonts w:ascii="宋体" w:hAnsi="宋体" w:cs="宋体" w:eastAsia="宋体" w:hint="default"/>
          <w:sz w:val="21"/>
          <w:szCs w:val="21"/>
        </w:rPr>
      </w:pPr>
      <w:r>
        <w:rPr>
          <w:rFonts w:ascii="宋体" w:hAnsi="宋体" w:cs="宋体" w:eastAsia="宋体" w:hint="default"/>
          <w:b/>
          <w:bCs/>
          <w:sz w:val="21"/>
          <w:szCs w:val="21"/>
        </w:rPr>
        <w:t>（二）面临的风险</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、创新商业模式的管理风险</w:t>
      </w:r>
    </w:p>
    <w:p>
      <w:pPr>
        <w:pStyle w:val="BodyText"/>
        <w:spacing w:line="357" w:lineRule="auto" w:before="33"/>
        <w:ind w:left="154" w:right="1017" w:firstLine="421"/>
        <w:jc w:val="left"/>
      </w:pPr>
      <w:r>
        <w:rPr>
          <w:spacing w:val="-1"/>
        </w:rPr>
        <w:t>为提高服务客户的能力，公司已将融资租赁、买方信贷等金融要素成功引入到智慧城市建设及运营服</w:t>
      </w:r>
      <w:r>
        <w:rPr/>
        <w:t> 务业务中，报告期内，又新增加</w:t>
      </w:r>
      <w:r>
        <w:rPr>
          <w:spacing w:val="-54"/>
        </w:rPr>
        <w:t> </w:t>
      </w:r>
      <w:r>
        <w:rPr>
          <w:rFonts w:ascii="宋体" w:hAnsi="宋体" w:cs="宋体" w:eastAsia="宋体" w:hint="default"/>
        </w:rPr>
        <w:t>PPP</w:t>
      </w:r>
      <w:r>
        <w:rPr>
          <w:rFonts w:ascii="宋体" w:hAnsi="宋体" w:cs="宋体" w:eastAsia="宋体" w:hint="default"/>
          <w:spacing w:val="-54"/>
        </w:rPr>
        <w:t> </w:t>
      </w:r>
      <w:r>
        <w:rPr/>
        <w:t>商业模式。虽然公司已经针对“技术</w:t>
      </w:r>
      <w:r>
        <w:rPr>
          <w:rFonts w:ascii="宋体" w:hAnsi="宋体" w:cs="宋体" w:eastAsia="宋体" w:hint="default"/>
        </w:rPr>
        <w:t>+</w:t>
      </w:r>
      <w:r>
        <w:rPr/>
        <w:t>金融”的创新型业务建立了严 </w:t>
      </w:r>
      <w:r>
        <w:rPr>
          <w:spacing w:val="-1"/>
        </w:rPr>
        <w:t>格的风险评估程序，但项目实施过程中涉及的金融、法律问题，目前仍是公司管理的短板，对项目推进和</w:t>
      </w:r>
      <w:r>
        <w:rPr>
          <w:spacing w:val="-86"/>
        </w:rPr>
        <w:t> </w:t>
      </w:r>
      <w:r>
        <w:rPr>
          <w:spacing w:val="-86"/>
        </w:rPr>
      </w:r>
      <w:r>
        <w:rPr>
          <w:spacing w:val="-1"/>
        </w:rPr>
        <w:t>经营带来一定的管理风险。公司将通过引入专业人才、与地方国资平台以及大集团进行合作的方式，实现</w:t>
      </w:r>
      <w:r>
        <w:rPr>
          <w:spacing w:val="-83"/>
        </w:rPr>
        <w:t> </w:t>
      </w:r>
      <w:r>
        <w:rPr>
          <w:spacing w:val="-83"/>
        </w:rPr>
      </w:r>
      <w:r>
        <w:rPr/>
        <w:t>项目收益共享并降低项目投资和执行风险。</w:t>
      </w:r>
    </w:p>
    <w:p>
      <w:pPr>
        <w:pStyle w:val="BodyText"/>
        <w:spacing w:line="240" w:lineRule="auto" w:before="31"/>
        <w:ind w:left="574" w:right="1017"/>
        <w:jc w:val="left"/>
      </w:pPr>
      <w:r>
        <w:rPr>
          <w:rFonts w:ascii="宋体" w:hAnsi="宋体" w:cs="宋体" w:eastAsia="宋体" w:hint="default"/>
        </w:rPr>
        <w:t>2</w:t>
      </w:r>
      <w:r>
        <w:rPr/>
        <w:t>、公司快速发展带来的管理风险</w:t>
      </w:r>
    </w:p>
    <w:p>
      <w:pPr>
        <w:pStyle w:val="BodyText"/>
        <w:spacing w:line="357" w:lineRule="auto" w:before="133"/>
        <w:ind w:right="1110" w:firstLine="421"/>
        <w:jc w:val="both"/>
      </w:pPr>
      <w:r>
        <w:rPr/>
        <w:t>公司自上市以来，先后进行了</w:t>
      </w:r>
      <w:r>
        <w:rPr>
          <w:spacing w:val="-54"/>
        </w:rPr>
        <w:t> </w:t>
      </w:r>
      <w:r>
        <w:rPr>
          <w:rFonts w:ascii="宋体" w:hAnsi="宋体" w:cs="宋体" w:eastAsia="宋体" w:hint="default"/>
        </w:rPr>
        <w:t>6</w:t>
      </w:r>
      <w:r>
        <w:rPr>
          <w:rFonts w:ascii="宋体" w:hAnsi="宋体" w:cs="宋体" w:eastAsia="宋体" w:hint="default"/>
          <w:spacing w:val="-54"/>
        </w:rPr>
        <w:t> </w:t>
      </w:r>
      <w:r>
        <w:rPr/>
        <w:t>次投资收购，分支机构已遍布全国，销售规模、员工人数快速提升。 </w:t>
      </w:r>
      <w:r>
        <w:rPr>
          <w:spacing w:val="-1"/>
        </w:rPr>
        <w:t>与被并购方企业文化的差异性、人员管理的复杂性以及能否达到预期整合效果，对公司的运营管理提出了</w:t>
      </w:r>
      <w:r>
        <w:rPr>
          <w:spacing w:val="-81"/>
        </w:rPr>
        <w:t> </w:t>
      </w:r>
      <w:r>
        <w:rPr>
          <w:spacing w:val="-81"/>
        </w:rPr>
      </w:r>
      <w:r>
        <w:rPr>
          <w:spacing w:val="-1"/>
        </w:rPr>
        <w:t>挑战。如果不能做好对各分支机构的监督和管控以满足规模增长产生的人员增加和业务整合的需要，将给</w:t>
      </w:r>
      <w:r>
        <w:rPr>
          <w:spacing w:val="-80"/>
        </w:rPr>
        <w:t> </w:t>
      </w:r>
      <w:r>
        <w:rPr>
          <w:spacing w:val="-80"/>
        </w:rPr>
      </w:r>
      <w:r>
        <w:rPr>
          <w:spacing w:val="-1"/>
        </w:rPr>
        <w:t>公司经营带来一定的管理风险。公司将通过实施股权激励及健全内部管理机制的方式加强对子公司、分公</w:t>
      </w:r>
    </w:p>
    <w:p>
      <w:pPr>
        <w:spacing w:after="0" w:line="357" w:lineRule="auto"/>
        <w:jc w:val="both"/>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5" w:lineRule="auto" w:before="35"/>
        <w:ind w:left="574" w:right="4662" w:hanging="420"/>
        <w:jc w:val="left"/>
      </w:pPr>
      <w:r>
        <w:rPr/>
        <w:t>司及各部门的管理，尽量消除由于规模快速扩大带来的管理风险。 </w:t>
      </w:r>
      <w:r>
        <w:rPr>
          <w:rFonts w:ascii="宋体" w:hAnsi="宋体" w:cs="宋体" w:eastAsia="宋体" w:hint="default"/>
        </w:rPr>
        <w:t>3</w:t>
      </w:r>
      <w:r>
        <w:rPr/>
        <w:t>、应收账款发生坏账的风险</w:t>
      </w:r>
    </w:p>
    <w:p>
      <w:pPr>
        <w:pStyle w:val="BodyText"/>
        <w:spacing w:line="357" w:lineRule="auto" w:before="33"/>
        <w:ind w:right="1025" w:firstLine="421"/>
        <w:jc w:val="left"/>
      </w:pPr>
      <w:r>
        <w:rPr/>
        <w:t>截止</w:t>
      </w:r>
      <w:r>
        <w:rPr>
          <w:spacing w:val="-56"/>
        </w:rPr>
        <w:t> </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日，公司应收账款净额为</w:t>
      </w:r>
      <w:r>
        <w:rPr>
          <w:spacing w:val="-5"/>
        </w:rPr>
        <w:t> </w:t>
      </w:r>
      <w:r>
        <w:rPr>
          <w:rFonts w:ascii="宋体" w:hAnsi="宋体" w:cs="宋体" w:eastAsia="宋体" w:hint="default"/>
        </w:rPr>
        <w:t>122946.05</w:t>
      </w:r>
      <w:r>
        <w:rPr>
          <w:rFonts w:ascii="宋体" w:hAnsi="宋体" w:cs="宋体" w:eastAsia="宋体" w:hint="default"/>
          <w:spacing w:val="-55"/>
        </w:rPr>
        <w:t> </w:t>
      </w:r>
      <w:r>
        <w:rPr/>
        <w:t>万元，较上年增长</w:t>
      </w:r>
      <w:r>
        <w:rPr>
          <w:spacing w:val="-55"/>
        </w:rPr>
        <w:t> </w:t>
      </w:r>
      <w:r>
        <w:rPr>
          <w:rFonts w:ascii="宋体" w:hAnsi="宋体" w:cs="宋体" w:eastAsia="宋体" w:hint="default"/>
        </w:rPr>
        <w:t>94.30%</w:t>
      </w:r>
      <w:r>
        <w:rPr/>
        <w:t>，主要原因是报 </w:t>
      </w:r>
      <w:r>
        <w:rPr>
          <w:spacing w:val="-12"/>
        </w:rPr>
        <w:t>告期内久信医疗纳入报表所致。其中，</w:t>
      </w:r>
      <w:r>
        <w:rPr>
          <w:rFonts w:ascii="宋体" w:hAnsi="宋体" w:cs="宋体" w:eastAsia="宋体" w:hint="default"/>
          <w:spacing w:val="-12"/>
        </w:rPr>
        <w:t>1</w:t>
      </w:r>
      <w:r>
        <w:rPr>
          <w:rFonts w:ascii="宋体" w:hAnsi="宋体" w:cs="宋体" w:eastAsia="宋体" w:hint="default"/>
          <w:spacing w:val="-52"/>
        </w:rPr>
        <w:t> </w:t>
      </w:r>
      <w:r>
        <w:rPr>
          <w:spacing w:val="-1"/>
        </w:rPr>
        <w:t>年期内的应收账款所占比例为</w:t>
      </w:r>
      <w:r>
        <w:rPr>
          <w:spacing w:val="-52"/>
        </w:rPr>
        <w:t> </w:t>
      </w:r>
      <w:r>
        <w:rPr>
          <w:rFonts w:ascii="宋体" w:hAnsi="宋体" w:cs="宋体" w:eastAsia="宋体" w:hint="default"/>
          <w:spacing w:val="-11"/>
        </w:rPr>
        <w:t>73.77%</w:t>
      </w:r>
      <w:r>
        <w:rPr>
          <w:spacing w:val="-11"/>
        </w:rPr>
        <w:t>，</w:t>
      </w:r>
      <w:r>
        <w:rPr>
          <w:rFonts w:ascii="宋体" w:hAnsi="宋体" w:cs="宋体" w:eastAsia="宋体" w:hint="default"/>
          <w:spacing w:val="-11"/>
        </w:rPr>
        <w:t>1-2</w:t>
      </w:r>
      <w:r>
        <w:rPr>
          <w:rFonts w:ascii="宋体" w:hAnsi="宋体" w:cs="宋体" w:eastAsia="宋体" w:hint="default"/>
          <w:spacing w:val="-52"/>
        </w:rPr>
        <w:t> </w:t>
      </w:r>
      <w:r>
        <w:rPr>
          <w:spacing w:val="-1"/>
        </w:rPr>
        <w:t>年期内的比例为</w:t>
      </w:r>
      <w:r>
        <w:rPr>
          <w:spacing w:val="-53"/>
        </w:rPr>
        <w:t> </w:t>
      </w:r>
      <w:r>
        <w:rPr>
          <w:rFonts w:ascii="宋体" w:hAnsi="宋体" w:cs="宋体" w:eastAsia="宋体" w:hint="default"/>
        </w:rPr>
        <w:t>17.48%</w:t>
      </w:r>
      <w:r>
        <w:rPr/>
        <w:t>， </w:t>
      </w:r>
      <w:r>
        <w:rPr>
          <w:rFonts w:ascii="宋体" w:hAnsi="宋体" w:cs="宋体" w:eastAsia="宋体" w:hint="default"/>
        </w:rPr>
        <w:t>2-3</w:t>
      </w:r>
      <w:r>
        <w:rPr>
          <w:rFonts w:ascii="宋体" w:hAnsi="宋体" w:cs="宋体" w:eastAsia="宋体" w:hint="default"/>
          <w:spacing w:val="-58"/>
        </w:rPr>
        <w:t> </w:t>
      </w:r>
      <w:r>
        <w:rPr/>
        <w:t>年期内的比例为</w:t>
      </w:r>
      <w:r>
        <w:rPr>
          <w:spacing w:val="-58"/>
        </w:rPr>
        <w:t> </w:t>
      </w:r>
      <w:r>
        <w:rPr>
          <w:rFonts w:ascii="宋体" w:hAnsi="宋体" w:cs="宋体" w:eastAsia="宋体" w:hint="default"/>
        </w:rPr>
        <w:t>6.39%</w:t>
      </w:r>
      <w:r>
        <w:rPr/>
        <w:t>，</w:t>
      </w:r>
      <w:r>
        <w:rPr>
          <w:rFonts w:ascii="宋体" w:hAnsi="宋体" w:cs="宋体" w:eastAsia="宋体" w:hint="default"/>
        </w:rPr>
        <w:t>3</w:t>
      </w:r>
      <w:r>
        <w:rPr>
          <w:rFonts w:ascii="宋体" w:hAnsi="宋体" w:cs="宋体" w:eastAsia="宋体" w:hint="default"/>
          <w:spacing w:val="-58"/>
        </w:rPr>
        <w:t> </w:t>
      </w:r>
      <w:r>
        <w:rPr/>
        <w:t>年期以上的比例为</w:t>
      </w:r>
      <w:r>
        <w:rPr>
          <w:spacing w:val="-58"/>
        </w:rPr>
        <w:t> </w:t>
      </w:r>
      <w:r>
        <w:rPr>
          <w:rFonts w:ascii="宋体" w:hAnsi="宋体" w:cs="宋体" w:eastAsia="宋体" w:hint="default"/>
        </w:rPr>
        <w:t>2.36%</w:t>
      </w:r>
      <w:r>
        <w:rPr/>
        <w:t>。虽然一年期内的应收账款占比较大，且主要客户 的资信状况良好，但若宏观经济环境、客户经营状况等发生重大不利变化，将导致公司面临坏账的风险。 公司对外将加强客户的选择和应收账款的催收，对内实行事业部虚拟账户，实行自收、自用的方式保证本 部门的顺利运转，降低应收账款发生坏账的风险。</w:t>
      </w:r>
    </w:p>
    <w:p>
      <w:pPr>
        <w:spacing w:line="240" w:lineRule="auto" w:before="1"/>
        <w:rPr>
          <w:rFonts w:ascii="宋体" w:hAnsi="宋体" w:cs="宋体" w:eastAsia="宋体" w:hint="default"/>
          <w:sz w:val="25"/>
          <w:szCs w:val="25"/>
        </w:rPr>
      </w:pPr>
    </w:p>
    <w:p>
      <w:pPr>
        <w:pStyle w:val="Heading2"/>
        <w:spacing w:line="240" w:lineRule="auto"/>
        <w:ind w:left="154" w:right="1017"/>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7"/>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02"/>
        <w:gridCol w:w="1134"/>
        <w:gridCol w:w="1276"/>
        <w:gridCol w:w="5458"/>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5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 </w:t>
            </w:r>
            <w:r>
              <w:rPr>
                <w:rFonts w:ascii="宋体" w:hAnsi="宋体" w:cs="宋体" w:eastAsia="宋体" w:hint="default"/>
                <w:spacing w:val="-90"/>
                <w:sz w:val="18"/>
                <w:szCs w:val="18"/>
              </w:rPr>
              <w:t>》</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2015-001</w:t>
            </w:r>
            <w:r>
              <w:rPr>
                <w:rFonts w:ascii="宋体" w:hAnsi="宋体" w:cs="宋体" w:eastAsia="宋体" w:hint="default"/>
                <w:spacing w:val="-90"/>
                <w:sz w:val="18"/>
                <w:szCs w:val="18"/>
              </w:rPr>
              <w:t>）</w:t>
            </w:r>
            <w:r>
              <w:rPr>
                <w:rFonts w:ascii="宋体" w:hAnsi="宋体" w:cs="宋体" w:eastAsia="宋体" w:hint="default"/>
                <w:sz w:val="18"/>
                <w:szCs w:val="18"/>
              </w:rPr>
              <w:t>，刊</w:t>
            </w:r>
            <w:r>
              <w:rPr>
                <w:rFonts w:ascii="宋体" w:hAnsi="宋体" w:cs="宋体" w:eastAsia="宋体" w:hint="default"/>
                <w:sz w:val="18"/>
                <w:szCs w:val="18"/>
              </w:rPr>
              <w:t> 登于深圳证券交易所互动易平台（</w:t>
            </w:r>
            <w:hyperlink r:id="rId12">
              <w:r>
                <w:rPr>
                  <w:rFonts w:ascii="Times New Roman" w:hAnsi="Times New Roman" w:cs="Times New Roman" w:eastAsia="Times New Roman" w:hint="default"/>
                  <w:sz w:val="18"/>
                  <w:szCs w:val="18"/>
                </w:rPr>
                <w:t>http://ir</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.cninf</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z w:val="18"/>
                  <w:szCs w:val="18"/>
                </w:rPr>
                <w:t>.com.cn</w:t>
              </w:r>
            </w:hyperlink>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 </w:t>
            </w:r>
            <w:r>
              <w:rPr>
                <w:rFonts w:ascii="宋体" w:hAnsi="宋体" w:cs="宋体" w:eastAsia="宋体" w:hint="default"/>
                <w:spacing w:val="-95"/>
                <w:sz w:val="18"/>
                <w:szCs w:val="18"/>
              </w:rPr>
              <w:t>》</w:t>
            </w:r>
            <w:r>
              <w:rPr>
                <w:rFonts w:ascii="宋体" w:hAnsi="宋体" w:cs="宋体" w:eastAsia="宋体" w:hint="default"/>
                <w:sz w:val="18"/>
                <w:szCs w:val="18"/>
              </w:rPr>
              <w:t>（编号</w:t>
            </w:r>
            <w:r>
              <w:rPr>
                <w:rFonts w:ascii="宋体" w:hAnsi="宋体" w:cs="宋体" w:eastAsia="宋体" w:hint="default"/>
                <w:spacing w:val="-5"/>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002</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刊</w:t>
            </w:r>
            <w:r>
              <w:rPr>
                <w:rFonts w:ascii="宋体" w:hAnsi="宋体" w:cs="宋体" w:eastAsia="宋体" w:hint="default"/>
                <w:sz w:val="18"/>
                <w:szCs w:val="18"/>
              </w:rPr>
              <w:t> 登于深圳证券交易所互动易平台（</w:t>
            </w:r>
            <w:hyperlink r:id="rId12">
              <w:r>
                <w:rPr>
                  <w:rFonts w:ascii="Times New Roman" w:hAnsi="Times New Roman" w:cs="Times New Roman" w:eastAsia="Times New Roman" w:hint="default"/>
                  <w:sz w:val="18"/>
                  <w:szCs w:val="18"/>
                </w:rPr>
                <w:t>http://ir</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.cninf</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z w:val="18"/>
                  <w:szCs w:val="18"/>
                </w:rPr>
                <w:t>.com.cn</w:t>
              </w:r>
            </w:hyperlink>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 </w:t>
            </w:r>
            <w:r>
              <w:rPr>
                <w:rFonts w:ascii="宋体" w:hAnsi="宋体" w:cs="宋体" w:eastAsia="宋体" w:hint="default"/>
                <w:spacing w:val="-95"/>
                <w:sz w:val="18"/>
                <w:szCs w:val="18"/>
              </w:rPr>
              <w:t>》</w:t>
            </w:r>
            <w:r>
              <w:rPr>
                <w:rFonts w:ascii="宋体" w:hAnsi="宋体" w:cs="宋体" w:eastAsia="宋体" w:hint="default"/>
                <w:sz w:val="18"/>
                <w:szCs w:val="18"/>
              </w:rPr>
              <w:t>（编号</w:t>
            </w:r>
            <w:r>
              <w:rPr>
                <w:rFonts w:ascii="宋体" w:hAnsi="宋体" w:cs="宋体" w:eastAsia="宋体" w:hint="default"/>
                <w:spacing w:val="-5"/>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003</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刊</w:t>
            </w:r>
            <w:r>
              <w:rPr>
                <w:rFonts w:ascii="宋体" w:hAnsi="宋体" w:cs="宋体" w:eastAsia="宋体" w:hint="default"/>
                <w:sz w:val="18"/>
                <w:szCs w:val="18"/>
              </w:rPr>
              <w:t> 登于深圳证券交易所互动易平台（</w:t>
            </w:r>
            <w:hyperlink r:id="rId12">
              <w:r>
                <w:rPr>
                  <w:rFonts w:ascii="Times New Roman" w:hAnsi="Times New Roman" w:cs="Times New Roman" w:eastAsia="Times New Roman" w:hint="default"/>
                  <w:sz w:val="18"/>
                  <w:szCs w:val="18"/>
                </w:rPr>
                <w:t>http://ir</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.cninf</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z w:val="18"/>
                  <w:szCs w:val="18"/>
                </w:rPr>
                <w:t>.com.cn</w:t>
              </w:r>
            </w:hyperlink>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 </w:t>
            </w:r>
            <w:r>
              <w:rPr>
                <w:rFonts w:ascii="宋体" w:hAnsi="宋体" w:cs="宋体" w:eastAsia="宋体" w:hint="default"/>
                <w:spacing w:val="-95"/>
                <w:sz w:val="18"/>
                <w:szCs w:val="18"/>
              </w:rPr>
              <w:t>》</w:t>
            </w:r>
            <w:r>
              <w:rPr>
                <w:rFonts w:ascii="宋体" w:hAnsi="宋体" w:cs="宋体" w:eastAsia="宋体" w:hint="default"/>
                <w:sz w:val="18"/>
                <w:szCs w:val="18"/>
              </w:rPr>
              <w:t>（编号</w:t>
            </w:r>
            <w:r>
              <w:rPr>
                <w:rFonts w:ascii="宋体" w:hAnsi="宋体" w:cs="宋体" w:eastAsia="宋体" w:hint="default"/>
                <w:spacing w:val="-5"/>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004</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刊</w:t>
            </w:r>
            <w:r>
              <w:rPr>
                <w:rFonts w:ascii="宋体" w:hAnsi="宋体" w:cs="宋体" w:eastAsia="宋体" w:hint="default"/>
                <w:sz w:val="18"/>
                <w:szCs w:val="18"/>
              </w:rPr>
              <w:t> 登于深圳证券交易所互动易平台（</w:t>
            </w:r>
            <w:hyperlink r:id="rId12">
              <w:r>
                <w:rPr>
                  <w:rFonts w:ascii="Times New Roman" w:hAnsi="Times New Roman" w:cs="Times New Roman" w:eastAsia="Times New Roman" w:hint="default"/>
                  <w:sz w:val="18"/>
                  <w:szCs w:val="18"/>
                </w:rPr>
                <w:t>http://ir</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.cninf</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z w:val="18"/>
                  <w:szCs w:val="18"/>
                </w:rPr>
                <w:t>.com.cn</w:t>
              </w:r>
            </w:hyperlink>
            <w:r>
              <w:rPr>
                <w:rFonts w:ascii="宋体" w:hAnsi="宋体" w:cs="宋体" w:eastAsia="宋体" w:hint="default"/>
                <w:spacing w:val="-92"/>
                <w:sz w:val="18"/>
                <w:szCs w:val="18"/>
              </w:rPr>
              <w:t>）。</w:t>
            </w:r>
            <w:r>
              <w:rPr>
                <w:rFonts w:ascii="宋体" w:hAnsi="宋体" w:cs="宋体" w:eastAsia="宋体" w:hint="default"/>
                <w:sz w:val="18"/>
                <w:szCs w:val="18"/>
              </w:rPr>
            </w:r>
          </w:p>
        </w:tc>
      </w:tr>
    </w:tbl>
    <w:p>
      <w:pPr>
        <w:spacing w:after="0" w:line="302"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12"/>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17"/>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1017"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pStyle w:val="BodyText"/>
        <w:spacing w:line="240" w:lineRule="auto" w:before="56"/>
        <w:ind w:left="573" w:right="1017"/>
        <w:jc w:val="left"/>
        <w:rPr>
          <w:rFonts w:ascii="宋体" w:hAnsi="宋体" w:cs="宋体" w:eastAsia="宋体" w:hint="default"/>
        </w:rPr>
      </w:pPr>
      <w:r>
        <w:rPr>
          <w:rFonts w:ascii="宋体" w:hAnsi="宋体" w:cs="宋体" w:eastAsia="宋体" w:hint="default"/>
        </w:rPr>
        <w:t>2013</w:t>
      </w:r>
      <w:r>
        <w:rPr>
          <w:rFonts w:ascii="宋体" w:hAnsi="宋体" w:cs="宋体" w:eastAsia="宋体" w:hint="default"/>
          <w:spacing w:val="-54"/>
        </w:rPr>
        <w:t> </w:t>
      </w:r>
      <w:r>
        <w:rPr/>
        <w:t>年度的分派方案为：以公司</w:t>
      </w:r>
      <w:r>
        <w:rPr>
          <w:spacing w:val="-56"/>
        </w:rPr>
        <w:t> </w:t>
      </w:r>
      <w:r>
        <w:rPr>
          <w:rFonts w:ascii="宋体" w:hAnsi="宋体" w:cs="宋体" w:eastAsia="宋体" w:hint="default"/>
        </w:rPr>
        <w:t>2013</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31</w:t>
      </w:r>
      <w:r>
        <w:rPr>
          <w:rFonts w:ascii="宋体" w:hAnsi="宋体" w:cs="宋体" w:eastAsia="宋体" w:hint="default"/>
          <w:spacing w:val="-55"/>
        </w:rPr>
        <w:t> </w:t>
      </w:r>
      <w:r>
        <w:rPr/>
        <w:t>日总股本</w:t>
      </w:r>
      <w:r>
        <w:rPr>
          <w:spacing w:val="-56"/>
        </w:rPr>
        <w:t> </w:t>
      </w:r>
      <w:r>
        <w:rPr>
          <w:rFonts w:ascii="宋体" w:hAnsi="宋体" w:cs="宋体" w:eastAsia="宋体" w:hint="default"/>
        </w:rPr>
        <w:t>208,800,000</w:t>
      </w:r>
      <w:r>
        <w:rPr>
          <w:rFonts w:ascii="宋体" w:hAnsi="宋体" w:cs="宋体" w:eastAsia="宋体" w:hint="default"/>
          <w:spacing w:val="-55"/>
        </w:rPr>
        <w:t> </w:t>
      </w:r>
      <w:r>
        <w:rPr/>
        <w:t>股为基数，向全体股东每</w:t>
      </w:r>
      <w:r>
        <w:rPr>
          <w:spacing w:val="-56"/>
        </w:rPr>
        <w:t> </w:t>
      </w:r>
      <w:r>
        <w:rPr>
          <w:rFonts w:ascii="宋体" w:hAnsi="宋体" w:cs="宋体" w:eastAsia="宋体" w:hint="default"/>
        </w:rPr>
        <w:t>10</w:t>
      </w:r>
    </w:p>
    <w:p>
      <w:pPr>
        <w:pStyle w:val="BodyText"/>
        <w:spacing w:line="240" w:lineRule="auto" w:before="134"/>
        <w:ind w:right="1017"/>
        <w:jc w:val="left"/>
      </w:pPr>
      <w:r>
        <w:rPr/>
        <w:t>股派</w:t>
      </w:r>
      <w:r>
        <w:rPr>
          <w:spacing w:val="-54"/>
        </w:rPr>
        <w:t> </w:t>
      </w:r>
      <w:r>
        <w:rPr>
          <w:rFonts w:ascii="宋体" w:hAnsi="宋体" w:cs="宋体" w:eastAsia="宋体" w:hint="default"/>
        </w:rPr>
        <w:t>1</w:t>
      </w:r>
      <w:r>
        <w:rPr>
          <w:rFonts w:ascii="宋体" w:hAnsi="宋体" w:cs="宋体" w:eastAsia="宋体" w:hint="default"/>
          <w:spacing w:val="-53"/>
        </w:rPr>
        <w:t> </w:t>
      </w:r>
      <w:r>
        <w:rPr/>
        <w:t>元人民币现金（含税），共计派发现金</w:t>
      </w:r>
      <w:r>
        <w:rPr>
          <w:spacing w:val="-53"/>
        </w:rPr>
        <w:t> </w:t>
      </w:r>
      <w:r>
        <w:rPr>
          <w:rFonts w:ascii="宋体" w:hAnsi="宋体" w:cs="宋体" w:eastAsia="宋体" w:hint="default"/>
        </w:rPr>
        <w:t>20,880,000</w:t>
      </w:r>
      <w:r>
        <w:rPr>
          <w:rFonts w:ascii="宋体" w:hAnsi="宋体" w:cs="宋体" w:eastAsia="宋体" w:hint="default"/>
          <w:spacing w:val="-54"/>
        </w:rPr>
        <w:t> </w:t>
      </w:r>
      <w:r>
        <w:rPr/>
        <w:t>元，剩余未分配利润结转以后年度进行分配。</w:t>
      </w:r>
    </w:p>
    <w:p>
      <w:pPr>
        <w:pStyle w:val="BodyText"/>
        <w:spacing w:line="240" w:lineRule="auto" w:before="133"/>
        <w:ind w:right="1017"/>
        <w:jc w:val="left"/>
      </w:pP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5</w:t>
      </w:r>
      <w:r>
        <w:rPr>
          <w:rFonts w:ascii="宋体" w:hAnsi="宋体" w:cs="宋体" w:eastAsia="宋体" w:hint="default"/>
          <w:spacing w:val="-54"/>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日，该方案得以实施。</w:t>
      </w:r>
    </w:p>
    <w:p>
      <w:pPr>
        <w:pStyle w:val="BodyText"/>
        <w:spacing w:line="240" w:lineRule="auto" w:before="134"/>
        <w:ind w:left="574" w:right="1017"/>
        <w:jc w:val="left"/>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54"/>
        </w:rPr>
        <w:t> </w:t>
      </w:r>
      <w:r>
        <w:rPr/>
        <w:t>年度的分配方案为：以公司</w:t>
      </w:r>
      <w:r>
        <w:rPr>
          <w:spacing w:val="-56"/>
        </w:rPr>
        <w:t> </w:t>
      </w:r>
      <w:r>
        <w:rPr>
          <w:rFonts w:ascii="宋体" w:hAnsi="宋体" w:cs="宋体" w:eastAsia="宋体" w:hint="default"/>
        </w:rPr>
        <w:t>2015</w:t>
      </w:r>
      <w:r>
        <w:rPr>
          <w:rFonts w:ascii="宋体" w:hAnsi="宋体" w:cs="宋体" w:eastAsia="宋体" w:hint="default"/>
          <w:spacing w:val="-55"/>
        </w:rPr>
        <w:t> </w:t>
      </w:r>
      <w:r>
        <w:rPr/>
        <w:t>年</w:t>
      </w:r>
      <w:r>
        <w:rPr>
          <w:spacing w:val="-56"/>
        </w:rPr>
        <w:t> </w:t>
      </w:r>
      <w:r>
        <w:rPr>
          <w:rFonts w:ascii="宋体" w:hAnsi="宋体" w:cs="宋体" w:eastAsia="宋体" w:hint="default"/>
        </w:rPr>
        <w:t>03</w:t>
      </w:r>
      <w:r>
        <w:rPr>
          <w:rFonts w:ascii="宋体" w:hAnsi="宋体" w:cs="宋体" w:eastAsia="宋体" w:hint="default"/>
          <w:spacing w:val="-55"/>
        </w:rPr>
        <w:t> </w:t>
      </w:r>
      <w:r>
        <w:rPr/>
        <w:t>月</w:t>
      </w:r>
      <w:r>
        <w:rPr>
          <w:spacing w:val="-57"/>
        </w:rPr>
        <w:t> </w:t>
      </w:r>
      <w:r>
        <w:rPr>
          <w:rFonts w:ascii="宋体" w:hAnsi="宋体" w:cs="宋体" w:eastAsia="宋体" w:hint="default"/>
        </w:rPr>
        <w:t>05</w:t>
      </w:r>
      <w:r>
        <w:rPr>
          <w:rFonts w:ascii="宋体" w:hAnsi="宋体" w:cs="宋体" w:eastAsia="宋体" w:hint="default"/>
          <w:spacing w:val="-55"/>
        </w:rPr>
        <w:t> </w:t>
      </w:r>
      <w:r>
        <w:rPr/>
        <w:t>日总股本</w:t>
      </w:r>
      <w:r>
        <w:rPr>
          <w:spacing w:val="-56"/>
        </w:rPr>
        <w:t> </w:t>
      </w:r>
      <w:r>
        <w:rPr>
          <w:rFonts w:ascii="宋体" w:hAnsi="宋体" w:cs="宋体" w:eastAsia="宋体" w:hint="default"/>
        </w:rPr>
        <w:t>261,600,000</w:t>
      </w:r>
      <w:r>
        <w:rPr>
          <w:rFonts w:ascii="宋体" w:hAnsi="宋体" w:cs="宋体" w:eastAsia="宋体" w:hint="default"/>
          <w:spacing w:val="-55"/>
        </w:rPr>
        <w:t> </w:t>
      </w:r>
      <w:r>
        <w:rPr/>
        <w:t>股为基数，向全体股东每</w:t>
      </w:r>
      <w:r>
        <w:rPr>
          <w:spacing w:val="-56"/>
        </w:rPr>
        <w:t> </w:t>
      </w:r>
      <w:r>
        <w:rPr>
          <w:rFonts w:ascii="宋体" w:hAnsi="宋体" w:cs="宋体" w:eastAsia="宋体" w:hint="default"/>
        </w:rPr>
        <w:t>10</w:t>
      </w:r>
    </w:p>
    <w:p>
      <w:pPr>
        <w:pStyle w:val="BodyText"/>
        <w:spacing w:line="240" w:lineRule="auto" w:before="133"/>
        <w:ind w:right="1017"/>
        <w:jc w:val="left"/>
      </w:pPr>
      <w:r>
        <w:rPr/>
        <w:t>股派</w:t>
      </w:r>
      <w:r>
        <w:rPr>
          <w:spacing w:val="-59"/>
        </w:rPr>
        <w:t> </w:t>
      </w:r>
      <w:r>
        <w:rPr>
          <w:rFonts w:ascii="宋体" w:hAnsi="宋体" w:cs="宋体" w:eastAsia="宋体" w:hint="default"/>
        </w:rPr>
        <w:t>1</w:t>
      </w:r>
      <w:r>
        <w:rPr>
          <w:rFonts w:ascii="宋体" w:hAnsi="宋体" w:cs="宋体" w:eastAsia="宋体" w:hint="default"/>
          <w:spacing w:val="-58"/>
        </w:rPr>
        <w:t> </w:t>
      </w:r>
      <w:r>
        <w:rPr/>
        <w:t>元人民币现金（含税），共计派发现金</w:t>
      </w:r>
      <w:r>
        <w:rPr>
          <w:spacing w:val="-58"/>
        </w:rPr>
        <w:t> </w:t>
      </w:r>
      <w:r>
        <w:rPr>
          <w:rFonts w:ascii="宋体" w:hAnsi="宋体" w:cs="宋体" w:eastAsia="宋体" w:hint="default"/>
        </w:rPr>
        <w:t>26,160,000</w:t>
      </w:r>
      <w:r>
        <w:rPr>
          <w:rFonts w:ascii="宋体" w:hAnsi="宋体" w:cs="宋体" w:eastAsia="宋体" w:hint="default"/>
          <w:spacing w:val="-59"/>
        </w:rPr>
        <w:t> </w:t>
      </w:r>
      <w:r>
        <w:rPr/>
        <w:t>元。同时以资本公积金向全体股东每</w:t>
      </w:r>
      <w:r>
        <w:rPr>
          <w:spacing w:val="-58"/>
        </w:rPr>
        <w:t> </w:t>
      </w:r>
      <w:r>
        <w:rPr>
          <w:rFonts w:ascii="宋体" w:hAnsi="宋体" w:cs="宋体" w:eastAsia="宋体" w:hint="default"/>
        </w:rPr>
        <w:t>10</w:t>
      </w:r>
      <w:r>
        <w:rPr>
          <w:rFonts w:ascii="宋体" w:hAnsi="宋体" w:cs="宋体" w:eastAsia="宋体" w:hint="default"/>
          <w:spacing w:val="-58"/>
        </w:rPr>
        <w:t> </w:t>
      </w:r>
      <w:r>
        <w:rPr/>
        <w:t>股转增</w:t>
      </w:r>
    </w:p>
    <w:p>
      <w:pPr>
        <w:pStyle w:val="BodyText"/>
        <w:spacing w:line="240" w:lineRule="auto" w:before="133"/>
        <w:ind w:right="1017"/>
        <w:jc w:val="left"/>
      </w:pPr>
      <w:r>
        <w:rPr>
          <w:rFonts w:ascii="宋体" w:hAnsi="宋体" w:cs="宋体" w:eastAsia="宋体" w:hint="default"/>
        </w:rPr>
        <w:t>12</w:t>
      </w:r>
      <w:r>
        <w:rPr>
          <w:rFonts w:ascii="宋体" w:hAnsi="宋体" w:cs="宋体" w:eastAsia="宋体" w:hint="default"/>
          <w:spacing w:val="-53"/>
        </w:rPr>
        <w:t> </w:t>
      </w:r>
      <w:r>
        <w:rPr/>
        <w:t>股。剩余未分配利润结转以后年度进行分配。</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12</w:t>
      </w:r>
      <w:r>
        <w:rPr>
          <w:rFonts w:ascii="宋体" w:hAnsi="宋体" w:cs="宋体" w:eastAsia="宋体" w:hint="default"/>
          <w:spacing w:val="-53"/>
        </w:rPr>
        <w:t> </w:t>
      </w:r>
      <w:r>
        <w:rPr/>
        <w:t>日，该方案得以实施。</w:t>
      </w:r>
    </w:p>
    <w:p>
      <w:pPr>
        <w:pStyle w:val="BodyText"/>
        <w:spacing w:line="240" w:lineRule="auto" w:before="134"/>
        <w:ind w:left="574" w:right="1017"/>
        <w:jc w:val="left"/>
      </w:pPr>
      <w:r>
        <w:rPr>
          <w:rFonts w:ascii="宋体" w:hAnsi="宋体" w:cs="宋体" w:eastAsia="宋体" w:hint="default"/>
        </w:rPr>
        <w:t>2015</w:t>
      </w:r>
      <w:r>
        <w:rPr>
          <w:rFonts w:ascii="宋体" w:hAnsi="宋体" w:cs="宋体" w:eastAsia="宋体" w:hint="default"/>
          <w:spacing w:val="-52"/>
        </w:rPr>
        <w:t> </w:t>
      </w:r>
      <w:r>
        <w:rPr/>
        <w:t>年度的分配预案为：以未来实施分配方案时股权登记日的总股本为基数，向全体股东每</w:t>
      </w:r>
      <w:r>
        <w:rPr>
          <w:spacing w:val="-54"/>
        </w:rPr>
        <w:t> </w:t>
      </w:r>
      <w:r>
        <w:rPr>
          <w:rFonts w:ascii="宋体" w:hAnsi="宋体" w:cs="宋体" w:eastAsia="宋体" w:hint="default"/>
        </w:rPr>
        <w:t>10</w:t>
      </w:r>
      <w:r>
        <w:rPr>
          <w:rFonts w:ascii="宋体" w:hAnsi="宋体" w:cs="宋体" w:eastAsia="宋体" w:hint="default"/>
          <w:spacing w:val="-53"/>
        </w:rPr>
        <w:t> </w:t>
      </w:r>
      <w:r>
        <w:rPr/>
        <w:t>股派</w:t>
      </w:r>
    </w:p>
    <w:p>
      <w:pPr>
        <w:pStyle w:val="BodyText"/>
        <w:spacing w:line="357" w:lineRule="auto" w:before="133"/>
        <w:ind w:left="154" w:right="1147"/>
        <w:jc w:val="left"/>
      </w:pPr>
      <w:r>
        <w:rPr>
          <w:rFonts w:ascii="宋体" w:hAnsi="宋体" w:cs="宋体" w:eastAsia="宋体" w:hint="default"/>
        </w:rPr>
        <w:t>0.5</w:t>
      </w:r>
      <w:r>
        <w:rPr>
          <w:rFonts w:ascii="宋体" w:hAnsi="宋体" w:cs="宋体" w:eastAsia="宋体" w:hint="default"/>
          <w:spacing w:val="-55"/>
        </w:rPr>
        <w:t> </w:t>
      </w:r>
      <w:r>
        <w:rPr/>
        <w:t>元人民币现金（含税），本年度不转增，不送红股，剩余未分配利润结转以后年度进行分配。该预案 尚需股东大会批准。</w:t>
      </w:r>
    </w:p>
    <w:p>
      <w:pPr>
        <w:spacing w:before="34"/>
        <w:ind w:left="154" w:right="1017"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line="240" w:lineRule="auto" w:before="1"/>
        <w:rPr>
          <w:rFonts w:ascii="宋体" w:hAnsi="宋体" w:cs="宋体" w:eastAsia="宋体" w:hint="default"/>
          <w:sz w:val="15"/>
          <w:szCs w:val="1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23"/>
        <w:gridCol w:w="1984"/>
        <w:gridCol w:w="1986"/>
        <w:gridCol w:w="1985"/>
        <w:gridCol w:w="1276"/>
        <w:gridCol w:w="1202"/>
      </w:tblGrid>
      <w:tr>
        <w:trPr>
          <w:trHeight w:val="161" w:hRule="exact"/>
        </w:trPr>
        <w:tc>
          <w:tcPr>
            <w:tcW w:w="1123" w:type="dxa"/>
            <w:vMerge w:val="restart"/>
            <w:tcBorders>
              <w:top w:val="single" w:sz="4" w:space="0" w:color="000000"/>
              <w:left w:val="single" w:sz="4" w:space="0" w:color="000000"/>
              <w:right w:val="single" w:sz="4" w:space="0" w:color="000000"/>
            </w:tcBorders>
            <w:shd w:val="clear" w:color="auto" w:fill="D2D2D2"/>
          </w:tcPr>
          <w:p>
            <w:pPr/>
          </w:p>
        </w:tc>
        <w:tc>
          <w:tcPr>
            <w:tcW w:w="1984" w:type="dxa"/>
            <w:vMerge w:val="restart"/>
            <w:tcBorders>
              <w:top w:val="single" w:sz="4" w:space="0" w:color="000000"/>
              <w:left w:val="single" w:sz="4" w:space="0" w:color="000000"/>
              <w:right w:val="single" w:sz="4" w:space="0" w:color="000000"/>
            </w:tcBorders>
            <w:shd w:val="clear" w:color="auto" w:fill="D2D2D2"/>
          </w:tcPr>
          <w:p>
            <w:pPr/>
          </w:p>
        </w:tc>
        <w:tc>
          <w:tcPr>
            <w:tcW w:w="19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87" w:right="87"/>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属于上市公司普通股股 东的净利润</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86" w:right="87"/>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市公司普通股股东的净 利润的比率</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123" w:type="dxa"/>
            <w:vMerge/>
            <w:tcBorders>
              <w:left w:val="single" w:sz="4" w:space="0" w:color="000000"/>
              <w:bottom w:val="nil" w:sz="6" w:space="0" w:color="auto"/>
              <w:right w:val="single" w:sz="4" w:space="0" w:color="000000"/>
            </w:tcBorders>
            <w:shd w:val="clear" w:color="auto" w:fill="D2D2D2"/>
          </w:tcPr>
          <w:p>
            <w:pPr/>
          </w:p>
        </w:tc>
        <w:tc>
          <w:tcPr>
            <w:tcW w:w="1984" w:type="dxa"/>
            <w:vMerge/>
            <w:tcBorders>
              <w:left w:val="single" w:sz="4" w:space="0" w:color="000000"/>
              <w:bottom w:val="nil" w:sz="6" w:space="0" w:color="auto"/>
              <w:right w:val="single" w:sz="4" w:space="0" w:color="000000"/>
            </w:tcBorders>
            <w:shd w:val="clear" w:color="auto" w:fill="D2D2D2"/>
          </w:tcPr>
          <w:p>
            <w:pPr/>
          </w:p>
        </w:tc>
        <w:tc>
          <w:tcPr>
            <w:tcW w:w="1986" w:type="dxa"/>
            <w:vMerge/>
            <w:tcBorders>
              <w:left w:val="single" w:sz="4" w:space="0" w:color="000000"/>
              <w:right w:val="single" w:sz="4" w:space="0" w:color="000000"/>
            </w:tcBorders>
            <w:shd w:val="clear" w:color="auto" w:fill="D2D2D2"/>
          </w:tcPr>
          <w:p>
            <w:pPr/>
          </w:p>
        </w:tc>
        <w:tc>
          <w:tcPr>
            <w:tcW w:w="1985"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2" w:right="91"/>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5" w:right="55"/>
              <w:jc w:val="left"/>
              <w:rPr>
                <w:rFonts w:ascii="宋体" w:hAnsi="宋体" w:cs="宋体" w:eastAsia="宋体" w:hint="default"/>
                <w:sz w:val="18"/>
                <w:szCs w:val="18"/>
              </w:rPr>
            </w:pPr>
            <w:r>
              <w:rPr>
                <w:rFonts w:ascii="宋体" w:hAnsi="宋体" w:cs="宋体" w:eastAsia="宋体" w:hint="default"/>
                <w:sz w:val="18"/>
                <w:szCs w:val="18"/>
              </w:rPr>
              <w:t>以其他方式现 金分红的比例</w:t>
            </w:r>
          </w:p>
        </w:tc>
      </w:tr>
      <w:tr>
        <w:trPr>
          <w:trHeight w:val="392" w:hRule="exact"/>
        </w:trPr>
        <w:tc>
          <w:tcPr>
            <w:tcW w:w="11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9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1986" w:type="dxa"/>
            <w:vMerge/>
            <w:tcBorders>
              <w:left w:val="single" w:sz="4" w:space="0" w:color="000000"/>
              <w:right w:val="single" w:sz="4" w:space="0" w:color="000000"/>
            </w:tcBorders>
            <w:shd w:val="clear" w:color="auto" w:fill="D2D2D2"/>
          </w:tcPr>
          <w:p>
            <w:pPr/>
          </w:p>
        </w:tc>
        <w:tc>
          <w:tcPr>
            <w:tcW w:w="1985"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r>
      <w:tr>
        <w:trPr>
          <w:trHeight w:val="156" w:hRule="exact"/>
        </w:trPr>
        <w:tc>
          <w:tcPr>
            <w:tcW w:w="1123" w:type="dxa"/>
            <w:vMerge w:val="restart"/>
            <w:tcBorders>
              <w:top w:val="nil" w:sz="6" w:space="0" w:color="auto"/>
              <w:left w:val="single" w:sz="4" w:space="0" w:color="000000"/>
              <w:right w:val="single" w:sz="4" w:space="0" w:color="000000"/>
            </w:tcBorders>
            <w:shd w:val="clear" w:color="auto" w:fill="D2D2D2"/>
          </w:tcPr>
          <w:p>
            <w:pPr/>
          </w:p>
        </w:tc>
        <w:tc>
          <w:tcPr>
            <w:tcW w:w="1984" w:type="dxa"/>
            <w:vMerge w:val="restart"/>
            <w:tcBorders>
              <w:top w:val="nil" w:sz="6" w:space="0" w:color="auto"/>
              <w:left w:val="single" w:sz="4" w:space="0" w:color="000000"/>
              <w:right w:val="single" w:sz="4" w:space="0" w:color="000000"/>
            </w:tcBorders>
            <w:shd w:val="clear" w:color="auto" w:fill="D2D2D2"/>
          </w:tcPr>
          <w:p>
            <w:pPr/>
          </w:p>
        </w:tc>
        <w:tc>
          <w:tcPr>
            <w:tcW w:w="1986" w:type="dxa"/>
            <w:vMerge/>
            <w:tcBorders>
              <w:left w:val="single" w:sz="4" w:space="0" w:color="000000"/>
              <w:right w:val="single" w:sz="4" w:space="0" w:color="000000"/>
            </w:tcBorders>
            <w:shd w:val="clear" w:color="auto" w:fill="D2D2D2"/>
          </w:tcPr>
          <w:p>
            <w:pPr/>
          </w:p>
        </w:tc>
        <w:tc>
          <w:tcPr>
            <w:tcW w:w="1985"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123" w:type="dxa"/>
            <w:vMerge/>
            <w:tcBorders>
              <w:left w:val="single" w:sz="4" w:space="0" w:color="000000"/>
              <w:bottom w:val="single" w:sz="4" w:space="0" w:color="000000"/>
              <w:right w:val="single" w:sz="4" w:space="0" w:color="000000"/>
            </w:tcBorders>
            <w:shd w:val="clear" w:color="auto" w:fill="D2D2D2"/>
          </w:tcPr>
          <w:p>
            <w:pPr/>
          </w:p>
        </w:tc>
        <w:tc>
          <w:tcPr>
            <w:tcW w:w="1984" w:type="dxa"/>
            <w:vMerge/>
            <w:tcBorders>
              <w:left w:val="single" w:sz="4" w:space="0" w:color="000000"/>
              <w:bottom w:val="single" w:sz="4" w:space="0" w:color="000000"/>
              <w:right w:val="single" w:sz="4" w:space="0" w:color="000000"/>
            </w:tcBorders>
            <w:shd w:val="clear" w:color="auto" w:fill="D2D2D2"/>
          </w:tcPr>
          <w:p>
            <w:pPr/>
          </w:p>
        </w:tc>
        <w:tc>
          <w:tcPr>
            <w:tcW w:w="1986"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32,161,439.60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152,633,303.67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26,160,000.00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112,167,858.11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20,880,000.00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82,294,209.87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017"/>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643,228,792</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32,161,439.60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r>
        <w:rPr/>
        <w:pict>
          <v:group style="position:absolute;margin-left:216.559998pt;margin-top:492.819977pt;width:59.7pt;height:33.25pt;mso-position-horizontal-relative:page;mso-position-vertical-relative:page;z-index:-956224" coordorigin="4331,9856" coordsize="1194,665">
            <v:group style="position:absolute;left:4331;top:9856;width:1194;height:312" coordorigin="4331,9856" coordsize="1194,312">
              <v:shape style="position:absolute;left:4331;top:9856;width:1194;height:312" coordorigin="4331,9856" coordsize="1194,312" path="m4331,10168l5524,10168,5524,9856,4331,9856,4331,10168xe" filled="true" fillcolor="#ffffff" stroked="false">
                <v:path arrowok="t"/>
                <v:fill type="solid"/>
              </v:shape>
            </v:group>
            <v:group style="position:absolute;left:4354;top:10168;width:1148;height:353" coordorigin="4354,10168" coordsize="1148,353">
              <v:shape style="position:absolute;left:4354;top:10168;width:1148;height:353" coordorigin="4354,10168" coordsize="1148,353" path="m4354,10521l5502,10521,5502,10168,4354,10168,4354,1052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294,356,061.07</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年度的分配预案为：以未来实施分配方案时股权登记日的总股本为基数，向全体股东每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元人民币现 </w:t>
            </w:r>
            <w:r>
              <w:rPr>
                <w:rFonts w:ascii="宋体" w:hAnsi="宋体" w:cs="宋体" w:eastAsia="宋体" w:hint="default"/>
                <w:spacing w:val="-2"/>
                <w:sz w:val="18"/>
                <w:szCs w:val="18"/>
              </w:rPr>
              <w:t>金（含税），本年度不转增，不送红股，剩余未分配利润结转以后年度进行分配。该预案尚需股东大会批准。</w:t>
            </w:r>
          </w:p>
        </w:tc>
      </w:tr>
    </w:tbl>
    <w:p>
      <w:pPr>
        <w:spacing w:line="240" w:lineRule="auto" w:before="2"/>
        <w:rPr>
          <w:rFonts w:ascii="宋体" w:hAnsi="宋体" w:cs="宋体" w:eastAsia="宋体" w:hint="default"/>
          <w:sz w:val="18"/>
          <w:szCs w:val="18"/>
        </w:rPr>
      </w:pPr>
    </w:p>
    <w:p>
      <w:pPr>
        <w:pStyle w:val="Heading2"/>
        <w:spacing w:line="240" w:lineRule="auto" w:before="26"/>
        <w:ind w:left="154" w:right="1017"/>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left="153" w:right="1017"/>
        <w:jc w:val="left"/>
        <w:rPr>
          <w:b w:val="0"/>
          <w:bCs w:val="0"/>
        </w:rPr>
      </w:pPr>
      <w:bookmarkStart w:name="1、公司、股东、实际控制人、收购人、董事、监事、高级管理人员或其他关联方在报告期" w:id="66"/>
      <w:bookmarkEnd w:id="66"/>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8"/>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pict>
          <v:shape style="position:absolute;margin-left:183.434006pt;margin-top:57.671738pt;width:92.8pt;height:31.2pt;mso-position-horizontal-relative:page;mso-position-vertical-relative:paragraph;z-index:-95624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周鸿坚、</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34"/>
        <w:gridCol w:w="2058"/>
        <w:gridCol w:w="1204"/>
        <w:gridCol w:w="2100"/>
        <w:gridCol w:w="1036"/>
        <w:gridCol w:w="1116"/>
        <w:gridCol w:w="920"/>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2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2058" w:type="dxa"/>
            <w:tcBorders>
              <w:top w:val="single" w:sz="4" w:space="0" w:color="000000"/>
              <w:left w:val="single" w:sz="13" w:space="0" w:color="D2D2D2"/>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pacing w:val="-5"/>
                <w:sz w:val="18"/>
                <w:szCs w:val="18"/>
              </w:rPr>
              <w:t>房志刚、孙绍朋、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储元明、常州瑞信、常州 臻信、刘磅、程朋胜、苏 俊锋、吕枫、林雨斌、黄 天朗</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0"/>
              <w:jc w:val="left"/>
              <w:rPr>
                <w:rFonts w:ascii="宋体" w:hAnsi="宋体" w:cs="宋体" w:eastAsia="宋体" w:hint="default"/>
                <w:sz w:val="20"/>
                <w:szCs w:val="20"/>
              </w:rPr>
            </w:pPr>
            <w:r>
              <w:rPr>
                <w:rFonts w:ascii="宋体" w:hAnsi="宋体" w:cs="宋体" w:eastAsia="宋体" w:hint="default"/>
                <w:position w:val="-11"/>
                <w:sz w:val="20"/>
                <w:szCs w:val="20"/>
              </w:rPr>
              <w:pict>
                <v:group style="width:59.7pt;height:31.2pt;mso-position-horizontal-relative:char;mso-position-vertical-relative:line" coordorigin="0,0" coordsize="1194,624">
                  <v:group style="position:absolute;left:0;top:0;width:1194;height:624" coordorigin="0,0" coordsize="1194,624">
                    <v:shape style="position:absolute;left:0;top:0;width:1194;height:624" coordorigin="0,0" coordsize="1194,624" path="m0,624l1193,624,1193,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right="66"/>
              <w:jc w:val="center"/>
              <w:rPr>
                <w:rFonts w:ascii="宋体" w:hAnsi="宋体" w:cs="宋体" w:eastAsia="宋体" w:hint="default"/>
                <w:sz w:val="18"/>
                <w:szCs w:val="18"/>
              </w:rPr>
            </w:pPr>
            <w:r>
              <w:rPr>
                <w:rFonts w:ascii="宋体" w:hAnsi="宋体" w:cs="宋体" w:eastAsia="宋体" w:hint="default"/>
                <w:sz w:val="18"/>
                <w:szCs w:val="18"/>
              </w:rPr>
              <w:t>股份限售承诺</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85"/>
              <w:jc w:val="both"/>
              <w:rPr>
                <w:rFonts w:ascii="宋体" w:hAnsi="宋体" w:cs="宋体" w:eastAsia="宋体" w:hint="default"/>
                <w:sz w:val="18"/>
                <w:szCs w:val="18"/>
              </w:rPr>
            </w:pPr>
            <w:r>
              <w:rPr>
                <w:rFonts w:ascii="宋体" w:hAnsi="宋体" w:cs="宋体" w:eastAsia="宋体" w:hint="default"/>
                <w:sz w:val="18"/>
                <w:szCs w:val="18"/>
              </w:rPr>
              <w:t>公司向其发行的股份自股 份发行结束之日起三十六 个月内不得转让。</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026" w:hRule="exact"/>
        </w:trPr>
        <w:tc>
          <w:tcPr>
            <w:tcW w:w="1134" w:type="dxa"/>
            <w:vMerge/>
            <w:tcBorders>
              <w:left w:val="single" w:sz="4" w:space="0" w:color="000000"/>
              <w:right w:val="single" w:sz="4" w:space="0" w:color="000000"/>
            </w:tcBorders>
            <w:shd w:val="clear" w:color="auto" w:fill="D2D2D2"/>
          </w:tcPr>
          <w:p>
            <w:pP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上海玖势、南京优势、扬 州经信、佛山优势、常州 金茂、南通康成亨</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6"/>
              <w:jc w:val="center"/>
              <w:rPr>
                <w:rFonts w:ascii="宋体" w:hAnsi="宋体" w:cs="宋体" w:eastAsia="宋体" w:hint="default"/>
                <w:sz w:val="18"/>
                <w:szCs w:val="18"/>
              </w:rPr>
            </w:pPr>
            <w:r>
              <w:rPr>
                <w:rFonts w:ascii="宋体" w:hAnsi="宋体" w:cs="宋体" w:eastAsia="宋体" w:hint="default"/>
                <w:sz w:val="18"/>
                <w:szCs w:val="18"/>
              </w:rPr>
              <w:t>股份限售承诺</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公司向其发行的股份自股 份发行结束之日起十二个 月内不得转让。</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720" w:hRule="exact"/>
        </w:trPr>
        <w:tc>
          <w:tcPr>
            <w:tcW w:w="1134" w:type="dxa"/>
            <w:vMerge/>
            <w:tcBorders>
              <w:left w:val="single" w:sz="4" w:space="0" w:color="000000"/>
              <w:bottom w:val="nil" w:sz="6" w:space="0" w:color="auto"/>
              <w:right w:val="single" w:sz="4" w:space="0" w:color="000000"/>
            </w:tcBorders>
            <w:shd w:val="clear" w:color="auto" w:fill="D2D2D2"/>
          </w:tcPr>
          <w:p>
            <w:pPr/>
          </w:p>
        </w:tc>
        <w:tc>
          <w:tcPr>
            <w:tcW w:w="2058" w:type="dxa"/>
            <w:vMerge w:val="restart"/>
            <w:tcBorders>
              <w:top w:val="single" w:sz="4" w:space="0" w:color="000000"/>
              <w:left w:val="single" w:sz="9" w:space="0" w:color="D2D2D2"/>
              <w:right w:val="single" w:sz="9"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 w:right="38"/>
              <w:jc w:val="left"/>
              <w:rPr>
                <w:rFonts w:ascii="宋体" w:hAnsi="宋体" w:cs="宋体" w:eastAsia="宋体" w:hint="default"/>
                <w:sz w:val="18"/>
                <w:szCs w:val="18"/>
              </w:rPr>
            </w:pPr>
            <w:r>
              <w:rPr>
                <w:rFonts w:ascii="宋体" w:hAnsi="宋体" w:cs="宋体" w:eastAsia="宋体" w:hint="default"/>
                <w:spacing w:val="-7"/>
                <w:sz w:val="18"/>
                <w:szCs w:val="18"/>
              </w:rPr>
              <w:t>房志刚、孙绍朋、周鸿坚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储元明、常州瑞信、常州 臻信</w:t>
            </w:r>
          </w:p>
        </w:tc>
        <w:tc>
          <w:tcPr>
            <w:tcW w:w="1204" w:type="dxa"/>
            <w:vMerge w:val="restart"/>
            <w:tcBorders>
              <w:top w:val="single" w:sz="4" w:space="0" w:color="000000"/>
              <w:left w:val="single" w:sz="9"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19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业绩承诺及补</w:t>
            </w:r>
          </w:p>
          <w:p>
            <w:pPr>
              <w:pStyle w:val="TableParagraph"/>
              <w:spacing w:line="240" w:lineRule="auto" w:before="77"/>
              <w:ind w:left="16" w:right="0"/>
              <w:jc w:val="left"/>
              <w:rPr>
                <w:rFonts w:ascii="宋体" w:hAnsi="宋体" w:cs="宋体" w:eastAsia="宋体" w:hint="default"/>
                <w:sz w:val="18"/>
                <w:szCs w:val="18"/>
              </w:rPr>
            </w:pPr>
            <w:r>
              <w:rPr>
                <w:rFonts w:ascii="宋体" w:hAnsi="宋体" w:cs="宋体" w:eastAsia="宋体" w:hint="default"/>
                <w:sz w:val="18"/>
                <w:szCs w:val="18"/>
              </w:rPr>
              <w:t>偿安排</w:t>
            </w:r>
          </w:p>
        </w:tc>
        <w:tc>
          <w:tcPr>
            <w:tcW w:w="210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久信医疗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年实现的净利润 分别不低于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8,640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c>
          <w:tcPr>
            <w:tcW w:w="10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618" w:hRule="exact"/>
        </w:trPr>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2058" w:type="dxa"/>
            <w:vMerge/>
            <w:tcBorders>
              <w:left w:val="single" w:sz="9" w:space="0" w:color="D2D2D2"/>
              <w:bottom w:val="single" w:sz="4" w:space="0" w:color="000000"/>
              <w:right w:val="single" w:sz="9" w:space="0" w:color="FFFFFF"/>
            </w:tcBorders>
          </w:tcPr>
          <w:p>
            <w:pPr/>
          </w:p>
        </w:tc>
        <w:tc>
          <w:tcPr>
            <w:tcW w:w="1204" w:type="dxa"/>
            <w:vMerge/>
            <w:tcBorders>
              <w:left w:val="single" w:sz="9" w:space="0" w:color="FFFFFF"/>
              <w:bottom w:val="single" w:sz="4" w:space="0" w:color="000000"/>
              <w:right w:val="single" w:sz="4" w:space="0" w:color="000000"/>
            </w:tcBorders>
          </w:tcPr>
          <w:p>
            <w:pPr/>
          </w:p>
        </w:tc>
        <w:tc>
          <w:tcPr>
            <w:tcW w:w="2100" w:type="dxa"/>
            <w:vMerge/>
            <w:tcBorders>
              <w:left w:val="single" w:sz="4" w:space="0" w:color="000000"/>
              <w:bottom w:val="single" w:sz="4" w:space="0" w:color="000000"/>
              <w:right w:val="single" w:sz="4" w:space="0" w:color="000000"/>
            </w:tcBorders>
          </w:tcPr>
          <w:p>
            <w:pPr/>
          </w:p>
        </w:tc>
        <w:tc>
          <w:tcPr>
            <w:tcW w:w="1036"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710" w:hRule="exact"/>
        </w:trPr>
        <w:tc>
          <w:tcPr>
            <w:tcW w:w="1134" w:type="dxa"/>
            <w:vMerge/>
            <w:tcBorders>
              <w:left w:val="single" w:sz="4" w:space="0" w:color="000000"/>
              <w:bottom w:val="nil" w:sz="6" w:space="0" w:color="auto"/>
              <w:right w:val="single" w:sz="4" w:space="0" w:color="000000"/>
            </w:tcBorders>
            <w:shd w:val="clear" w:color="auto" w:fill="D2D2D2"/>
          </w:tcPr>
          <w:p>
            <w:pPr/>
          </w:p>
        </w:tc>
        <w:tc>
          <w:tcPr>
            <w:tcW w:w="205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刘磅及达实投资</w:t>
            </w:r>
          </w:p>
        </w:tc>
        <w:tc>
          <w:tcPr>
            <w:tcW w:w="12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22" w:right="89"/>
              <w:jc w:val="left"/>
              <w:rPr>
                <w:rFonts w:ascii="宋体" w:hAnsi="宋体" w:cs="宋体" w:eastAsia="宋体" w:hint="default"/>
                <w:sz w:val="18"/>
                <w:szCs w:val="18"/>
              </w:rPr>
            </w:pPr>
            <w:r>
              <w:rPr>
                <w:rFonts w:ascii="宋体" w:hAnsi="宋体" w:cs="宋体" w:eastAsia="宋体" w:hint="default"/>
                <w:sz w:val="18"/>
                <w:szCs w:val="18"/>
              </w:rPr>
              <w:t>股东一致行动 承诺</w:t>
            </w:r>
          </w:p>
        </w:tc>
        <w:tc>
          <w:tcPr>
            <w:tcW w:w="2100"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在达实智能发行股份及支 付现金购买久信医疗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股权资产并募集配套 资金的交易完成后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 内，将不以任何方式转让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本公司在本次交易前 持有的达实智能股份，包 括但不限于通过证券市场 公开转让或通过协议方式 转让该等股份，也不由达 实智能回购该等股份。如 因该等股份在本次交易完 成后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个月内由于公司送</w:t>
            </w:r>
          </w:p>
        </w:tc>
        <w:tc>
          <w:tcPr>
            <w:tcW w:w="10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396"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2058" w:type="dxa"/>
            <w:vMerge/>
            <w:tcBorders>
              <w:left w:val="single" w:sz="9" w:space="0" w:color="D2D2D2"/>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c>
          <w:tcPr>
            <w:tcW w:w="2100" w:type="dxa"/>
            <w:vMerge/>
            <w:tcBorders>
              <w:left w:val="single" w:sz="4" w:space="0" w:color="000000"/>
              <w:bottom w:val="single" w:sz="4" w:space="0" w:color="000000"/>
              <w:right w:val="single" w:sz="4" w:space="0" w:color="000000"/>
            </w:tcBorders>
          </w:tcPr>
          <w:p>
            <w:pPr/>
          </w:p>
        </w:tc>
        <w:tc>
          <w:tcPr>
            <w:tcW w:w="1036"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134"/>
        <w:gridCol w:w="2058"/>
        <w:gridCol w:w="1204"/>
        <w:gridCol w:w="2100"/>
        <w:gridCol w:w="1036"/>
        <w:gridCol w:w="1116"/>
        <w:gridCol w:w="920"/>
      </w:tblGrid>
      <w:tr>
        <w:trPr>
          <w:trHeight w:val="348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35"/>
              <w:jc w:val="both"/>
              <w:rPr>
                <w:rFonts w:ascii="宋体" w:hAnsi="宋体" w:cs="宋体" w:eastAsia="宋体" w:hint="default"/>
                <w:sz w:val="18"/>
                <w:szCs w:val="18"/>
              </w:rPr>
            </w:pPr>
            <w:r>
              <w:rPr>
                <w:rFonts w:ascii="宋体" w:hAnsi="宋体" w:cs="宋体" w:eastAsia="宋体" w:hint="default"/>
                <w:sz w:val="18"/>
                <w:szCs w:val="18"/>
              </w:rPr>
              <w:t>红股、转增股本等原因而 增加的，对于增加的公司 股份在本次交易完成后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本公司亦遵 守上述承诺。若证券监管 部门的监管意见或相关规 定要求的锁定期长于上述 承诺的锁定期的，本人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公司保证将根据相关证券 监管部门的监管意见和相 关规定进行相应调整。</w:t>
            </w:r>
          </w:p>
        </w:tc>
        <w:tc>
          <w:tcPr>
            <w:tcW w:w="10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205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316" w:lineRule="auto"/>
              <w:ind w:left="22" w:right="201"/>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205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控股股东拉萨市达实投资 发展有限公司、实际控制 人刘磅先生、担任公司董 事、高级管理人员的股东 </w:t>
            </w:r>
            <w:r>
              <w:rPr>
                <w:rFonts w:ascii="宋体" w:hAnsi="宋体" w:cs="宋体" w:eastAsia="宋体" w:hint="default"/>
                <w:spacing w:val="-9"/>
                <w:sz w:val="18"/>
                <w:szCs w:val="18"/>
              </w:rPr>
              <w:t>程朋胜先生、苏俊锋先生、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吕枫先生、黄天朗先生</w:t>
            </w:r>
          </w:p>
        </w:tc>
        <w:tc>
          <w:tcPr>
            <w:tcW w:w="1204"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11" w:right="-28"/>
              <w:jc w:val="left"/>
              <w:rPr>
                <w:rFonts w:ascii="宋体" w:hAnsi="宋体" w:cs="宋体" w:eastAsia="宋体" w:hint="default"/>
                <w:sz w:val="18"/>
                <w:szCs w:val="18"/>
              </w:rPr>
            </w:pPr>
            <w:r>
              <w:rPr>
                <w:rFonts w:ascii="宋体" w:hAnsi="宋体" w:cs="宋体" w:eastAsia="宋体" w:hint="default"/>
                <w:sz w:val="18"/>
                <w:szCs w:val="18"/>
              </w:rPr>
              <w:t>关于同业竞 </w:t>
            </w:r>
            <w:r>
              <w:rPr>
                <w:rFonts w:ascii="宋体" w:hAnsi="宋体" w:cs="宋体" w:eastAsia="宋体" w:hint="default"/>
                <w:spacing w:val="-9"/>
                <w:sz w:val="18"/>
                <w:szCs w:val="18"/>
              </w:rPr>
              <w:t>争、关联交易、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资金占用方面</w:t>
            </w:r>
            <w:r>
              <w:rPr>
                <w:rFonts w:ascii="宋体" w:hAnsi="宋体" w:cs="宋体" w:eastAsia="宋体" w:hint="default"/>
                <w:sz w:val="18"/>
                <w:szCs w:val="18"/>
              </w:rPr>
              <w:t> 的承诺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53" w:lineRule="exact"/>
              <w:ind w:left="11"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7.4pt;height:17.7pt;mso-position-horizontal-relative:char;mso-position-vertical-relative:line" coordorigin="0,0" coordsize="1148,354">
                  <v:group style="position:absolute;left:0;top:0;width:1148;height:354" coordorigin="0,0" coordsize="1148,354">
                    <v:shape style="position:absolute;left:0;top:0;width:1148;height:354" coordorigin="0,0" coordsize="1148,354" path="m0,353l1148,353,1148,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9"/>
                <w:szCs w:val="29"/>
              </w:rPr>
            </w:pPr>
          </w:p>
        </w:tc>
        <w:tc>
          <w:tcPr>
            <w:tcW w:w="210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11" w:right="90"/>
              <w:jc w:val="both"/>
              <w:rPr>
                <w:rFonts w:ascii="宋体" w:hAnsi="宋体" w:cs="宋体" w:eastAsia="宋体" w:hint="default"/>
                <w:sz w:val="18"/>
                <w:szCs w:val="18"/>
              </w:rPr>
            </w:pPr>
            <w:r>
              <w:rPr>
                <w:rFonts w:ascii="宋体" w:hAnsi="宋体" w:cs="宋体" w:eastAsia="宋体" w:hint="default"/>
                <w:sz w:val="18"/>
                <w:szCs w:val="18"/>
              </w:rPr>
              <w:t>避免同业竞争的承诺：不 直接或间接从事与公司经 营范围相同或相类似的业 务。</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2" w:lineRule="exact"/>
              <w:ind w:left="11"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102.2pt;height:15.6pt;mso-position-horizontal-relative:char;mso-position-vertical-relative:line" coordorigin="0,0" coordsize="2044,312">
                  <v:group style="position:absolute;left:0;top:0;width:2044;height:312" coordorigin="0,0" coordsize="2044,312">
                    <v:shape style="position:absolute;left:0;top:0;width:2044;height:312" coordorigin="0,0" coordsize="2044,312" path="m0,312l2044,312,2044,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拉萨市达实 投资发展有 限公司作为 公司控股股 </w:t>
            </w:r>
            <w:r>
              <w:rPr>
                <w:rFonts w:ascii="宋体" w:hAnsi="宋体" w:cs="宋体" w:eastAsia="宋体" w:hint="default"/>
                <w:spacing w:val="-4"/>
                <w:sz w:val="18"/>
                <w:szCs w:val="18"/>
              </w:rPr>
              <w:t>东、刘磅先生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作为实际控 制人期间及 程朋胜先生、 苏俊锋先生、 </w:t>
            </w:r>
            <w:r>
              <w:rPr>
                <w:rFonts w:ascii="宋体" w:hAnsi="宋体" w:cs="宋体" w:eastAsia="宋体" w:hint="default"/>
                <w:spacing w:val="-4"/>
                <w:sz w:val="18"/>
                <w:szCs w:val="18"/>
              </w:rPr>
              <w:t>吕枫先生、黄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天朗先生担 任公司董事、 高级管理人 员期间至离 职后两年内。</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962" w:hRule="exact"/>
        </w:trPr>
        <w:tc>
          <w:tcPr>
            <w:tcW w:w="1134" w:type="dxa"/>
            <w:vMerge/>
            <w:tcBorders>
              <w:left w:val="single" w:sz="4" w:space="0" w:color="000000"/>
              <w:right w:val="single" w:sz="4" w:space="0" w:color="000000"/>
            </w:tcBorders>
            <w:shd w:val="clear" w:color="auto" w:fill="D2D2D2"/>
          </w:tcPr>
          <w:p>
            <w:pP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3"/>
              <w:jc w:val="both"/>
              <w:rPr>
                <w:rFonts w:ascii="宋体" w:hAnsi="宋体" w:cs="宋体" w:eastAsia="宋体" w:hint="default"/>
                <w:sz w:val="18"/>
                <w:szCs w:val="18"/>
              </w:rPr>
            </w:pPr>
            <w:r>
              <w:rPr>
                <w:rFonts w:ascii="宋体" w:hAnsi="宋体" w:cs="宋体" w:eastAsia="宋体" w:hint="default"/>
                <w:sz w:val="18"/>
                <w:szCs w:val="18"/>
              </w:rPr>
              <w:t>控股股东拉萨市达实投资 发展有限公司及实际控制 人刘磅先生</w:t>
            </w:r>
          </w:p>
        </w:tc>
        <w:tc>
          <w:tcPr>
            <w:tcW w:w="120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4"/>
              <w:jc w:val="left"/>
              <w:rPr>
                <w:rFonts w:ascii="宋体" w:hAnsi="宋体" w:cs="宋体" w:eastAsia="宋体" w:hint="default"/>
                <w:sz w:val="18"/>
                <w:szCs w:val="18"/>
              </w:rPr>
            </w:pPr>
            <w:r>
              <w:rPr>
                <w:rFonts w:ascii="宋体" w:hAnsi="宋体" w:cs="宋体" w:eastAsia="宋体" w:hint="default"/>
                <w:sz w:val="18"/>
                <w:szCs w:val="18"/>
              </w:rPr>
              <w:t>关于同业竞 </w:t>
            </w:r>
            <w:r>
              <w:rPr>
                <w:rFonts w:ascii="宋体" w:hAnsi="宋体" w:cs="宋体" w:eastAsia="宋体" w:hint="default"/>
                <w:spacing w:val="-9"/>
                <w:sz w:val="18"/>
                <w:szCs w:val="18"/>
              </w:rPr>
              <w:t>争、关联交易、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资金占用方面</w:t>
            </w:r>
            <w:r>
              <w:rPr>
                <w:rFonts w:ascii="宋体" w:hAnsi="宋体" w:cs="宋体" w:eastAsia="宋体" w:hint="default"/>
                <w:sz w:val="18"/>
                <w:szCs w:val="18"/>
              </w:rPr>
              <w:t> 的承诺</w:t>
            </w:r>
          </w:p>
        </w:tc>
        <w:tc>
          <w:tcPr>
            <w:tcW w:w="2100"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1" w:right="85"/>
              <w:jc w:val="both"/>
              <w:rPr>
                <w:rFonts w:ascii="宋体" w:hAnsi="宋体" w:cs="宋体" w:eastAsia="宋体" w:hint="default"/>
                <w:sz w:val="18"/>
                <w:szCs w:val="18"/>
              </w:rPr>
            </w:pPr>
            <w:r>
              <w:rPr>
                <w:rFonts w:ascii="宋体" w:hAnsi="宋体" w:cs="宋体" w:eastAsia="宋体" w:hint="default"/>
                <w:sz w:val="18"/>
                <w:szCs w:val="18"/>
              </w:rPr>
              <w:t>关于不占用公司资金的承 诺：不以任何方式占用公 司的资产和资源，不以任 何直接或者间接的方式从 事损害或可能损害公司及 其他股东利益的行为。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2" w:lineRule="exact"/>
              <w:ind w:left="11"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102.2pt;height:15.6pt;mso-position-horizontal-relative:char;mso-position-vertical-relative:line" coordorigin="0,0" coordsize="2044,312">
                  <v:group style="position:absolute;left:0;top:0;width:2044;height:312" coordorigin="0,0" coordsize="2044,312">
                    <v:shape style="position:absolute;left:0;top:0;width:2044;height:312" coordorigin="0,0" coordsize="2044,312" path="m0,312l2044,312,2044,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962" w:hRule="exact"/>
        </w:trPr>
        <w:tc>
          <w:tcPr>
            <w:tcW w:w="1134" w:type="dxa"/>
            <w:vMerge/>
            <w:tcBorders>
              <w:left w:val="single" w:sz="4" w:space="0" w:color="000000"/>
              <w:right w:val="single" w:sz="4" w:space="0" w:color="000000"/>
            </w:tcBorders>
            <w:shd w:val="clear" w:color="auto" w:fill="D2D2D2"/>
          </w:tcPr>
          <w:p>
            <w:pP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3"/>
              <w:jc w:val="both"/>
              <w:rPr>
                <w:rFonts w:ascii="宋体" w:hAnsi="宋体" w:cs="宋体" w:eastAsia="宋体" w:hint="default"/>
                <w:sz w:val="18"/>
                <w:szCs w:val="18"/>
              </w:rPr>
            </w:pPr>
            <w:r>
              <w:rPr>
                <w:rFonts w:ascii="宋体" w:hAnsi="宋体" w:cs="宋体" w:eastAsia="宋体" w:hint="default"/>
                <w:sz w:val="18"/>
                <w:szCs w:val="18"/>
              </w:rPr>
              <w:t>控股股东拉萨市达实投资 发展有限公司及实际控制 人刘磅先生</w:t>
            </w:r>
          </w:p>
        </w:tc>
        <w:tc>
          <w:tcPr>
            <w:tcW w:w="120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关于公司可能由于住房公 积金政策变化而导致的处 罚或损失的承诺：将对该 等处罚或损失承担连带赔 偿责任，以确保公司不会 因此遭受任何损失。</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986"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13"/>
              <w:jc w:val="left"/>
              <w:rPr>
                <w:rFonts w:ascii="宋体" w:hAnsi="宋体" w:cs="宋体" w:eastAsia="宋体" w:hint="default"/>
                <w:sz w:val="18"/>
                <w:szCs w:val="18"/>
              </w:rPr>
            </w:pPr>
            <w:r>
              <w:rPr>
                <w:rFonts w:ascii="宋体" w:hAnsi="宋体" w:cs="宋体" w:eastAsia="宋体" w:hint="default"/>
                <w:spacing w:val="-7"/>
                <w:sz w:val="18"/>
                <w:szCs w:val="18"/>
              </w:rPr>
              <w:t>董事长、总经理刘磅先生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董事贾虹女士</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p>
            <w:pPr>
              <w:pStyle w:val="TableParagraph"/>
              <w:spacing w:line="695" w:lineRule="exact"/>
              <w:ind w:right="-3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59.7pt;height:34.8pt;mso-position-horizontal-relative:char;mso-position-vertical-relative:line" coordorigin="0,0" coordsize="1194,696">
                  <v:group style="position:absolute;left:0;top:0;width:1194;height:292" coordorigin="0,0" coordsize="1194,292">
                    <v:shape style="position:absolute;left:0;top:0;width:1194;height:292" coordorigin="0,0" coordsize="1194,292" path="m0,292l1193,292,1193,0,0,0,0,292xe" filled="true" fillcolor="#ffffff" stroked="false">
                      <v:path arrowok="t"/>
                      <v:fill type="solid"/>
                    </v:shape>
                  </v:group>
                  <v:group style="position:absolute;left:11;top:292;width:2;height:393" coordorigin="11,292" coordsize="2,393">
                    <v:shape style="position:absolute;left:11;top:292;width:2;height:393" coordorigin="11,292" coordsize="0,393" path="m11,292l11,684e" filled="false" stroked="true" strokeweight="1.140pt" strokecolor="#ffffff">
                      <v:path arrowok="t"/>
                    </v:shape>
                  </v:group>
                  <v:group style="position:absolute;left:23;top:292;width:1148;height:393" coordorigin="23,292" coordsize="1148,393">
                    <v:shape style="position:absolute;left:23;top:292;width:1148;height:393" coordorigin="23,292" coordsize="1148,393" path="m23,684l1170,684,1170,292,23,292,23,684xe" filled="true" fillcolor="#ffffff" stroked="false">
                      <v:path arrowok="t"/>
                      <v:fill type="solid"/>
                    </v:shape>
                  </v:group>
                </v:group>
              </w:pict>
            </w:r>
            <w:r>
              <w:rPr>
                <w:rFonts w:ascii="Times New Roman" w:hAnsi="Times New Roman" w:cs="Times New Roman" w:eastAsia="Times New Roman" w:hint="default"/>
                <w:position w:val="-13"/>
                <w:sz w:val="20"/>
                <w:szCs w:val="20"/>
              </w:rPr>
            </w:r>
          </w:p>
          <w:p>
            <w:pPr>
              <w:pStyle w:val="TableParagraph"/>
              <w:spacing w:line="240" w:lineRule="auto" w:before="6"/>
              <w:ind w:right="0"/>
              <w:jc w:val="left"/>
              <w:rPr>
                <w:rFonts w:ascii="Times New Roman" w:hAnsi="Times New Roman" w:cs="Times New Roman" w:eastAsia="Times New Roman" w:hint="default"/>
                <w:sz w:val="24"/>
                <w:szCs w:val="24"/>
              </w:rPr>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本人所认购的公司本次非 公开发行的股份自本次非 公开发行结束之日起</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134"/>
        <w:gridCol w:w="2058"/>
        <w:gridCol w:w="1204"/>
        <w:gridCol w:w="2100"/>
        <w:gridCol w:w="1036"/>
        <w:gridCol w:w="1116"/>
        <w:gridCol w:w="920"/>
      </w:tblGrid>
      <w:tr>
        <w:trPr>
          <w:trHeight w:val="36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0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201"/>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达实智能</w:t>
            </w:r>
          </w:p>
        </w:tc>
        <w:tc>
          <w:tcPr>
            <w:tcW w:w="120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不为激励对象依本激励计 划获取有关限制性股票提 供贷款以及其他任何形式 的财务资助，包括为其贷 款提供担保。</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205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43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8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 未履行完毕 的，应当详细 说明未完成 履行的具体 原因及下一 步的工作计 划</w:t>
            </w:r>
          </w:p>
        </w:tc>
        <w:tc>
          <w:tcPr>
            <w:tcW w:w="843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1017"/>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205"/>
        <w:gridCol w:w="1157"/>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6" w:right="57"/>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3" w:right="31"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352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久信医疗</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6,000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6,211.5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90"/>
              <w:jc w:val="left"/>
              <w:rPr>
                <w:rFonts w:ascii="宋体" w:hAnsi="宋体" w:cs="宋体" w:eastAsia="宋体" w:hint="default"/>
                <w:sz w:val="18"/>
                <w:szCs w:val="18"/>
              </w:rPr>
            </w:pPr>
            <w:r>
              <w:rPr>
                <w:rFonts w:ascii="宋体" w:hAnsi="宋体" w:cs="宋体" w:eastAsia="宋体" w:hint="default"/>
                <w:sz w:val="18"/>
                <w:szCs w:val="18"/>
              </w:rPr>
              <w:t>已完成承诺业 绩</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《达实智能发 行股份及支付 现金购买资产 并募集配套资 金暨关联交易 报告书（草 </w:t>
            </w:r>
            <w:r>
              <w:rPr>
                <w:rFonts w:ascii="宋体" w:hAnsi="宋体" w:cs="宋体" w:eastAsia="宋体" w:hint="default"/>
                <w:spacing w:val="-26"/>
                <w:sz w:val="18"/>
                <w:szCs w:val="18"/>
              </w:rPr>
              <w:t>案）》，刊登于</w:t>
            </w:r>
          </w:p>
          <w:p>
            <w:pPr>
              <w:pStyle w:val="TableParagraph"/>
              <w:spacing w:line="240" w:lineRule="auto" w:before="19"/>
              <w:ind w:left="22" w:right="-25"/>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9" w:lineRule="auto" w:before="76"/>
              <w:ind w:left="22" w:right="65"/>
              <w:jc w:val="left"/>
              <w:rPr>
                <w:rFonts w:ascii="宋体" w:hAnsi="宋体" w:cs="宋体" w:eastAsia="宋体" w:hint="default"/>
                <w:sz w:val="18"/>
                <w:szCs w:val="18"/>
              </w:rPr>
            </w:pPr>
            <w:r>
              <w:rPr>
                <w:rFonts w:ascii="宋体" w:hAnsi="宋体" w:cs="宋体" w:eastAsia="宋体" w:hint="default"/>
                <w:sz w:val="18"/>
                <w:szCs w:val="18"/>
              </w:rPr>
              <w:t>《中国证券 报》及巨潮资 讯网。</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before="74"/>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97"/>
        <w:ind w:left="444" w:right="0"/>
        <w:jc w:val="left"/>
      </w:pPr>
      <w:r>
        <w:rPr>
          <w:spacing w:val="-11"/>
        </w:rPr>
        <w:t>公司与房志刚、孙绍朋、周鸿坚、储元明、常州瑞信、常州臻信 </w:t>
      </w:r>
      <w:r>
        <w:rPr>
          <w:rFonts w:ascii="宋体" w:hAnsi="宋体" w:cs="宋体" w:eastAsia="宋体" w:hint="default"/>
        </w:rPr>
        <w:t>6</w:t>
      </w:r>
      <w:r>
        <w:rPr>
          <w:rFonts w:ascii="宋体" w:hAnsi="宋体" w:cs="宋体" w:eastAsia="宋体" w:hint="default"/>
          <w:spacing w:val="-86"/>
        </w:rPr>
        <w:t> </w:t>
      </w:r>
      <w:r>
        <w:rPr>
          <w:spacing w:val="-7"/>
        </w:rPr>
        <w:t>名业绩承诺人签订了《盈利补偿协议》。</w:t>
      </w:r>
    </w:p>
    <w:p>
      <w:pPr>
        <w:pStyle w:val="BodyText"/>
        <w:spacing w:line="240" w:lineRule="auto" w:before="134"/>
        <w:ind w:right="1017"/>
        <w:jc w:val="left"/>
        <w:rPr>
          <w:rFonts w:ascii="宋体" w:hAnsi="宋体" w:cs="宋体" w:eastAsia="宋体" w:hint="default"/>
        </w:rPr>
      </w:pPr>
      <w:r>
        <w:rPr>
          <w:spacing w:val="-6"/>
        </w:rPr>
        <w:t>业绩承诺人承诺，久信医疗</w:t>
      </w:r>
      <w:r>
        <w:rPr>
          <w:spacing w:val="-52"/>
        </w:rPr>
        <w:t> </w:t>
      </w:r>
      <w:r>
        <w:rPr>
          <w:rFonts w:ascii="宋体" w:hAnsi="宋体" w:cs="宋体" w:eastAsia="宋体" w:hint="default"/>
        </w:rPr>
        <w:t>2015</w:t>
      </w:r>
      <w:r>
        <w:rPr>
          <w:rFonts w:ascii="宋体" w:hAnsi="宋体" w:cs="宋体" w:eastAsia="宋体" w:hint="default"/>
          <w:spacing w:val="-53"/>
        </w:rPr>
        <w:t> </w:t>
      </w:r>
      <w:r>
        <w:rPr>
          <w:spacing w:val="-10"/>
        </w:rPr>
        <w:t>年、</w:t>
      </w:r>
      <w:r>
        <w:rPr>
          <w:rFonts w:ascii="宋体" w:hAnsi="宋体" w:cs="宋体" w:eastAsia="宋体" w:hint="default"/>
          <w:spacing w:val="-10"/>
        </w:rPr>
        <w:t>2016</w:t>
      </w:r>
      <w:r>
        <w:rPr>
          <w:rFonts w:ascii="宋体" w:hAnsi="宋体" w:cs="宋体" w:eastAsia="宋体" w:hint="default"/>
          <w:spacing w:val="-52"/>
        </w:rPr>
        <w:t> </w:t>
      </w:r>
      <w:r>
        <w:rPr/>
        <w:t>年和</w:t>
      </w:r>
      <w:r>
        <w:rPr>
          <w:spacing w:val="-54"/>
        </w:rPr>
        <w:t> </w:t>
      </w:r>
      <w:r>
        <w:rPr>
          <w:rFonts w:ascii="宋体" w:hAnsi="宋体" w:cs="宋体" w:eastAsia="宋体" w:hint="default"/>
        </w:rPr>
        <w:t>2017</w:t>
      </w:r>
      <w:r>
        <w:rPr>
          <w:rFonts w:ascii="宋体" w:hAnsi="宋体" w:cs="宋体" w:eastAsia="宋体" w:hint="default"/>
          <w:spacing w:val="-53"/>
        </w:rPr>
        <w:t> </w:t>
      </w:r>
      <w:r>
        <w:rPr/>
        <w:t>年净利润分别不低于</w:t>
      </w:r>
      <w:r>
        <w:rPr>
          <w:spacing w:val="-53"/>
        </w:rPr>
        <w:t> </w:t>
      </w:r>
      <w:r>
        <w:rPr>
          <w:rFonts w:ascii="宋体" w:hAnsi="宋体" w:cs="宋体" w:eastAsia="宋体" w:hint="default"/>
        </w:rPr>
        <w:t>6,000</w:t>
      </w:r>
      <w:r>
        <w:rPr>
          <w:rFonts w:ascii="宋体" w:hAnsi="宋体" w:cs="宋体" w:eastAsia="宋体" w:hint="default"/>
          <w:spacing w:val="-52"/>
        </w:rPr>
        <w:t> </w:t>
      </w:r>
      <w:r>
        <w:rPr>
          <w:spacing w:val="-8"/>
        </w:rPr>
        <w:t>万元、</w:t>
      </w:r>
      <w:r>
        <w:rPr>
          <w:rFonts w:ascii="宋体" w:hAnsi="宋体" w:cs="宋体" w:eastAsia="宋体" w:hint="default"/>
          <w:spacing w:val="-8"/>
        </w:rPr>
        <w:t>7,200</w:t>
      </w:r>
      <w:r>
        <w:rPr>
          <w:rFonts w:ascii="宋体" w:hAnsi="宋体" w:cs="宋体" w:eastAsia="宋体" w:hint="default"/>
          <w:spacing w:val="-52"/>
        </w:rPr>
        <w:t> </w:t>
      </w:r>
      <w:r>
        <w:rPr/>
        <w:t>万元和</w:t>
      </w:r>
      <w:r>
        <w:rPr>
          <w:spacing w:val="-53"/>
        </w:rPr>
        <w:t> </w:t>
      </w:r>
      <w:r>
        <w:rPr>
          <w:rFonts w:ascii="宋体" w:hAnsi="宋体" w:cs="宋体" w:eastAsia="宋体" w:hint="default"/>
        </w:rPr>
        <w:t>8,640</w:t>
      </w:r>
    </w:p>
    <w:p>
      <w:pPr>
        <w:spacing w:after="0" w:line="240" w:lineRule="auto"/>
        <w:jc w:val="left"/>
        <w:rPr>
          <w:rFonts w:ascii="宋体" w:hAnsi="宋体" w:cs="宋体" w:eastAsia="宋体" w:hint="default"/>
        </w:rPr>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5" w:lineRule="auto" w:before="35"/>
        <w:ind w:right="1017"/>
        <w:jc w:val="left"/>
      </w:pPr>
      <w:r>
        <w:rPr>
          <w:spacing w:val="-1"/>
        </w:rPr>
        <w:t>万元。净利润为久信医疗合并报表归属于母公司股东的净利润和扣除非经常性损益后归属于母公司股东的</w:t>
      </w:r>
      <w:r>
        <w:rPr>
          <w:spacing w:val="-81"/>
        </w:rPr>
        <w:t> </w:t>
      </w:r>
      <w:r>
        <w:rPr>
          <w:spacing w:val="-81"/>
        </w:rPr>
      </w:r>
      <w:r>
        <w:rPr/>
        <w:t>净利润孰低者。</w:t>
      </w:r>
    </w:p>
    <w:p>
      <w:pPr>
        <w:pStyle w:val="BodyText"/>
        <w:spacing w:line="240" w:lineRule="auto" w:before="33"/>
        <w:ind w:left="575" w:right="1017"/>
        <w:jc w:val="left"/>
        <w:rPr>
          <w:rFonts w:ascii="宋体" w:hAnsi="宋体" w:cs="宋体" w:eastAsia="宋体" w:hint="default"/>
        </w:rPr>
      </w:pPr>
      <w:r>
        <w:rPr>
          <w:spacing w:val="-3"/>
        </w:rPr>
        <w:t>根据中勤万信会计师事务所（特殊普通合伙）出具的久信医疗《</w:t>
      </w:r>
      <w:r>
        <w:rPr>
          <w:rFonts w:ascii="宋体" w:hAnsi="宋体" w:cs="宋体" w:eastAsia="宋体" w:hint="default"/>
          <w:spacing w:val="-3"/>
        </w:rPr>
        <w:t>2015 </w:t>
      </w:r>
      <w:r>
        <w:rPr>
          <w:spacing w:val="-5"/>
        </w:rPr>
        <w:t>年度审计报告》，久信医疗</w:t>
      </w:r>
      <w:r>
        <w:rPr>
          <w:spacing w:val="-81"/>
        </w:rPr>
        <w:t> </w:t>
      </w:r>
      <w:r>
        <w:rPr>
          <w:rFonts w:ascii="宋体" w:hAnsi="宋体" w:cs="宋体" w:eastAsia="宋体" w:hint="default"/>
        </w:rPr>
        <w:t>2015</w:t>
      </w:r>
    </w:p>
    <w:p>
      <w:pPr>
        <w:pStyle w:val="BodyText"/>
        <w:spacing w:line="240" w:lineRule="auto" w:before="133"/>
        <w:ind w:left="154" w:right="1017"/>
        <w:jc w:val="left"/>
      </w:pPr>
      <w:r>
        <w:rPr/>
        <w:t>年度归属于母公司股东的净利润为</w:t>
      </w:r>
      <w:r>
        <w:rPr>
          <w:spacing w:val="-54"/>
        </w:rPr>
        <w:t> </w:t>
      </w:r>
      <w:r>
        <w:rPr>
          <w:rFonts w:ascii="宋体" w:hAnsi="宋体" w:cs="宋体" w:eastAsia="宋体" w:hint="default"/>
        </w:rPr>
        <w:t>7,347.06</w:t>
      </w:r>
      <w:r>
        <w:rPr>
          <w:rFonts w:ascii="宋体" w:hAnsi="宋体" w:cs="宋体" w:eastAsia="宋体" w:hint="default"/>
          <w:spacing w:val="-54"/>
        </w:rPr>
        <w:t> </w:t>
      </w:r>
      <w:r>
        <w:rPr/>
        <w:t>万元，扣除非经常性损益后的归属于母公司股东的净利润为</w:t>
      </w:r>
    </w:p>
    <w:p>
      <w:pPr>
        <w:pStyle w:val="BodyText"/>
        <w:spacing w:line="240" w:lineRule="auto" w:before="134"/>
        <w:ind w:left="154" w:right="1017"/>
        <w:jc w:val="left"/>
      </w:pPr>
      <w:r>
        <w:rPr>
          <w:rFonts w:ascii="宋体" w:hAnsi="宋体" w:cs="宋体" w:eastAsia="宋体" w:hint="default"/>
        </w:rPr>
        <w:t>6,211.50</w:t>
      </w:r>
      <w:r>
        <w:rPr>
          <w:rFonts w:ascii="宋体" w:hAnsi="宋体" w:cs="宋体" w:eastAsia="宋体" w:hint="default"/>
          <w:spacing w:val="-53"/>
        </w:rPr>
        <w:t> </w:t>
      </w:r>
      <w:r>
        <w:rPr/>
        <w:t>万元，均高于业绩承诺人承诺的</w:t>
      </w:r>
      <w:r>
        <w:rPr>
          <w:spacing w:val="-53"/>
        </w:rPr>
        <w:t> </w:t>
      </w:r>
      <w:r>
        <w:rPr>
          <w:rFonts w:ascii="宋体" w:hAnsi="宋体" w:cs="宋体" w:eastAsia="宋体" w:hint="default"/>
        </w:rPr>
        <w:t>2015</w:t>
      </w:r>
      <w:r>
        <w:rPr>
          <w:rFonts w:ascii="宋体" w:hAnsi="宋体" w:cs="宋体" w:eastAsia="宋体" w:hint="default"/>
          <w:spacing w:val="-55"/>
        </w:rPr>
        <w:t> </w:t>
      </w:r>
      <w:r>
        <w:rPr/>
        <w:t>年净利润金额，久信医疗完成了</w:t>
      </w:r>
      <w:r>
        <w:rPr>
          <w:spacing w:val="-53"/>
        </w:rPr>
        <w:t> </w:t>
      </w:r>
      <w:r>
        <w:rPr>
          <w:rFonts w:ascii="宋体" w:hAnsi="宋体" w:cs="宋体" w:eastAsia="宋体" w:hint="default"/>
        </w:rPr>
        <w:t>2015</w:t>
      </w:r>
      <w:r>
        <w:rPr>
          <w:rFonts w:ascii="宋体" w:hAnsi="宋体" w:cs="宋体" w:eastAsia="宋体" w:hint="default"/>
          <w:spacing w:val="-54"/>
        </w:rPr>
        <w:t> </w:t>
      </w:r>
      <w:r>
        <w:rPr/>
        <w:t>年度业绩承诺。</w:t>
      </w:r>
    </w:p>
    <w:p>
      <w:pPr>
        <w:spacing w:line="240" w:lineRule="auto" w:before="0"/>
        <w:rPr>
          <w:rFonts w:ascii="宋体" w:hAnsi="宋体" w:cs="宋体" w:eastAsia="宋体" w:hint="default"/>
          <w:sz w:val="20"/>
          <w:szCs w:val="20"/>
        </w:rPr>
      </w:pPr>
    </w:p>
    <w:p>
      <w:pPr>
        <w:pStyle w:val="Heading2"/>
        <w:spacing w:line="240" w:lineRule="auto" w:before="169"/>
        <w:ind w:left="154" w:right="1017"/>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1017"/>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017"/>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5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公司报告期无会计政策、会计估计和核算方法发生变化的情况。</w:t>
      </w:r>
    </w:p>
    <w:p>
      <w:pPr>
        <w:spacing w:line="240" w:lineRule="auto" w:before="4"/>
        <w:rPr>
          <w:rFonts w:ascii="宋体" w:hAnsi="宋体" w:cs="宋体" w:eastAsia="宋体" w:hint="default"/>
          <w:sz w:val="19"/>
          <w:szCs w:val="19"/>
        </w:rPr>
      </w:pPr>
    </w:p>
    <w:p>
      <w:pPr>
        <w:pStyle w:val="Heading2"/>
        <w:spacing w:line="240" w:lineRule="auto"/>
        <w:ind w:left="154" w:right="1017"/>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54" w:right="1017"/>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3"/>
          <w:szCs w:val="23"/>
        </w:rPr>
      </w:pPr>
    </w:p>
    <w:p>
      <w:pPr>
        <w:spacing w:before="0"/>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96"/>
        <w:ind w:right="1017"/>
        <w:jc w:val="left"/>
      </w:pPr>
      <w:r>
        <w:rPr/>
        <w:t>报告期内，公司新设立了淮南达实、仁怀达实，本期纳入合并报告；</w:t>
      </w:r>
    </w:p>
    <w:p>
      <w:pPr>
        <w:pStyle w:val="BodyText"/>
        <w:spacing w:line="240" w:lineRule="auto" w:before="134"/>
        <w:ind w:right="1017"/>
        <w:jc w:val="left"/>
      </w:pPr>
      <w:r>
        <w:rPr/>
        <w:t>报告期内，公司收购久信医疗</w:t>
      </w:r>
      <w:r>
        <w:rPr>
          <w:spacing w:val="-53"/>
        </w:rPr>
        <w:t> </w:t>
      </w:r>
      <w:r>
        <w:rPr>
          <w:rFonts w:ascii="宋体" w:hAnsi="宋体" w:cs="宋体" w:eastAsia="宋体" w:hint="default"/>
        </w:rPr>
        <w:t>100%</w:t>
      </w:r>
      <w:r>
        <w:rPr/>
        <w:t>股权，该公司于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12</w:t>
      </w:r>
      <w:r>
        <w:rPr>
          <w:rFonts w:ascii="宋体" w:hAnsi="宋体" w:cs="宋体" w:eastAsia="宋体" w:hint="default"/>
          <w:spacing w:val="-53"/>
        </w:rPr>
        <w:t> </w:t>
      </w:r>
      <w:r>
        <w:rPr/>
        <w:t>日完成了工商登记变更，报告期内本</w:t>
      </w:r>
    </w:p>
    <w:p>
      <w:pPr>
        <w:pStyle w:val="BodyText"/>
        <w:spacing w:line="240" w:lineRule="auto" w:before="133"/>
        <w:ind w:right="1017"/>
        <w:jc w:val="left"/>
      </w:pPr>
      <w:r>
        <w:rPr/>
        <w:t>公司对该公司合并期间为</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13</w:t>
      </w:r>
      <w:r>
        <w:rPr>
          <w:rFonts w:ascii="宋体" w:hAnsi="宋体" w:cs="宋体" w:eastAsia="宋体" w:hint="default"/>
          <w:spacing w:val="-53"/>
        </w:rPr>
        <w:t> </w:t>
      </w:r>
      <w:r>
        <w:rPr/>
        <w:t>日</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w:t>
      </w:r>
    </w:p>
    <w:p>
      <w:pPr>
        <w:spacing w:line="240" w:lineRule="auto" w:before="0"/>
        <w:rPr>
          <w:rFonts w:ascii="宋体" w:hAnsi="宋体" w:cs="宋体" w:eastAsia="宋体" w:hint="default"/>
          <w:sz w:val="20"/>
          <w:szCs w:val="20"/>
        </w:rPr>
      </w:pPr>
    </w:p>
    <w:p>
      <w:pPr>
        <w:pStyle w:val="Heading2"/>
        <w:spacing w:line="240" w:lineRule="auto" w:before="170"/>
        <w:ind w:right="1017"/>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58</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潘忠民、黄建军</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after="0"/>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13"/>
        <w:rPr>
          <w:rFonts w:ascii="宋体" w:hAnsi="宋体" w:cs="宋体" w:eastAsia="宋体" w:hint="default"/>
          <w:sz w:val="21"/>
          <w:szCs w:val="21"/>
        </w:rPr>
      </w:pPr>
    </w:p>
    <w:p>
      <w:pPr>
        <w:spacing w:line="338" w:lineRule="auto" w:before="44"/>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3"/>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56"/>
        <w:ind w:right="1017" w:firstLine="421"/>
        <w:jc w:val="left"/>
      </w:pPr>
      <w:r>
        <w:rPr>
          <w:spacing w:val="-1"/>
        </w:rPr>
        <w:t>本年度，公司因重大资产重组事项，聘请广发证券股份有限公司为财务顾问，期间共支付财务顾问费</w:t>
      </w:r>
      <w:r>
        <w:rPr/>
        <w:t> </w:t>
      </w:r>
      <w:r>
        <w:rPr>
          <w:rFonts w:ascii="宋体" w:hAnsi="宋体" w:cs="宋体" w:eastAsia="宋体" w:hint="default"/>
        </w:rPr>
        <w:t>1,550</w:t>
      </w:r>
      <w:r>
        <w:rPr>
          <w:rFonts w:ascii="宋体" w:hAnsi="宋体" w:cs="宋体" w:eastAsia="宋体" w:hint="default"/>
          <w:spacing w:val="-52"/>
        </w:rPr>
        <w:t> </w:t>
      </w:r>
      <w:r>
        <w:rPr/>
        <w:t>万元。</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十三、处罚及整改情况" w:id="77"/>
      <w:bookmarkEnd w:id="77"/>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5" w:lineRule="auto" w:before="57"/>
        <w:ind w:left="575" w:right="1017" w:hanging="86"/>
        <w:jc w:val="left"/>
      </w:pPr>
      <w:r>
        <w:rPr/>
        <w:t>（一）报告期内第一期限制性股票激励计划的实施情况 </w:t>
      </w:r>
      <w:r>
        <w:rPr>
          <w:spacing w:val="-1"/>
        </w:rPr>
        <w:t>经公司第五届董事会第二十四次会议审议批准，公司第一期限制性股票激励计划第三个解锁期解锁条</w:t>
      </w:r>
    </w:p>
    <w:p>
      <w:pPr>
        <w:pStyle w:val="BodyText"/>
        <w:spacing w:line="240" w:lineRule="auto" w:before="33"/>
        <w:ind w:right="0"/>
        <w:jc w:val="both"/>
      </w:pPr>
      <w:r>
        <w:rPr/>
        <w:t>件满足。根据公司</w:t>
      </w:r>
      <w:r>
        <w:rPr>
          <w:spacing w:val="-52"/>
        </w:rPr>
        <w:t> </w:t>
      </w:r>
      <w:r>
        <w:rPr>
          <w:rFonts w:ascii="宋体" w:hAnsi="宋体" w:cs="宋体" w:eastAsia="宋体" w:hint="default"/>
        </w:rPr>
        <w:t>2012</w:t>
      </w:r>
      <w:r>
        <w:rPr>
          <w:rFonts w:ascii="宋体" w:hAnsi="宋体" w:cs="宋体" w:eastAsia="宋体" w:hint="default"/>
          <w:spacing w:val="-54"/>
        </w:rPr>
        <w:t> </w:t>
      </w:r>
      <w:r>
        <w:rPr/>
        <w:t>年第一次临时股东大会的授权，董事会已按照激励计划的相关规定办理了限制性</w:t>
      </w:r>
    </w:p>
    <w:p>
      <w:pPr>
        <w:pStyle w:val="BodyText"/>
        <w:spacing w:line="357" w:lineRule="auto" w:before="133"/>
        <w:ind w:right="1131"/>
        <w:jc w:val="both"/>
      </w:pPr>
      <w:r>
        <w:rPr/>
        <w:t>股票的解锁事宜。本次解锁的限制性股份数量为</w:t>
      </w:r>
      <w:r>
        <w:rPr>
          <w:spacing w:val="-56"/>
        </w:rPr>
        <w:t> </w:t>
      </w:r>
      <w:r>
        <w:rPr>
          <w:rFonts w:ascii="宋体" w:hAnsi="宋体" w:cs="宋体" w:eastAsia="宋体" w:hint="default"/>
        </w:rPr>
        <w:t>528</w:t>
      </w:r>
      <w:r>
        <w:rPr>
          <w:rFonts w:ascii="宋体" w:hAnsi="宋体" w:cs="宋体" w:eastAsia="宋体" w:hint="default"/>
          <w:spacing w:val="-56"/>
        </w:rPr>
        <w:t> </w:t>
      </w:r>
      <w:r>
        <w:rPr/>
        <w:t>万股，已于</w:t>
      </w:r>
      <w:r>
        <w:rPr>
          <w:spacing w:val="-57"/>
        </w:rPr>
        <w:t> </w:t>
      </w:r>
      <w:r>
        <w:rPr>
          <w:rFonts w:ascii="宋体" w:hAnsi="宋体" w:cs="宋体" w:eastAsia="宋体" w:hint="default"/>
        </w:rPr>
        <w:t>2015</w:t>
      </w:r>
      <w:r>
        <w:rPr>
          <w:rFonts w:ascii="宋体" w:hAnsi="宋体" w:cs="宋体" w:eastAsia="宋体" w:hint="default"/>
          <w:spacing w:val="-58"/>
        </w:rPr>
        <w:t> </w:t>
      </w:r>
      <w:r>
        <w:rPr/>
        <w:t>年</w:t>
      </w:r>
      <w:r>
        <w:rPr>
          <w:spacing w:val="-57"/>
        </w:rPr>
        <w:t> </w:t>
      </w:r>
      <w:r>
        <w:rPr>
          <w:rFonts w:ascii="宋体" w:hAnsi="宋体" w:cs="宋体" w:eastAsia="宋体" w:hint="default"/>
        </w:rPr>
        <w:t>6</w:t>
      </w:r>
      <w:r>
        <w:rPr>
          <w:rFonts w:ascii="宋体" w:hAnsi="宋体" w:cs="宋体" w:eastAsia="宋体" w:hint="default"/>
          <w:spacing w:val="-56"/>
        </w:rPr>
        <w:t> </w:t>
      </w:r>
      <w:r>
        <w:rPr/>
        <w:t>月</w:t>
      </w:r>
      <w:r>
        <w:rPr>
          <w:spacing w:val="-57"/>
        </w:rPr>
        <w:t> </w:t>
      </w:r>
      <w:r>
        <w:rPr>
          <w:rFonts w:ascii="宋体" w:hAnsi="宋体" w:cs="宋体" w:eastAsia="宋体" w:hint="default"/>
        </w:rPr>
        <w:t>29</w:t>
      </w:r>
      <w:r>
        <w:rPr>
          <w:rFonts w:ascii="宋体" w:hAnsi="宋体" w:cs="宋体" w:eastAsia="宋体" w:hint="default"/>
          <w:spacing w:val="-56"/>
        </w:rPr>
        <w:t> </w:t>
      </w:r>
      <w:r>
        <w:rPr/>
        <w:t>日上市流通，高级管理人 </w:t>
      </w:r>
      <w:r>
        <w:rPr>
          <w:spacing w:val="-1"/>
        </w:rPr>
        <w:t>员的股份按照深圳证券交易所的要求进行了锁定。上述事宜详见《关于首次限制性股票激励计划第三期解</w:t>
      </w:r>
      <w:r>
        <w:rPr>
          <w:spacing w:val="-81"/>
        </w:rPr>
        <w:t> </w:t>
      </w:r>
      <w:r>
        <w:rPr>
          <w:spacing w:val="-81"/>
        </w:rPr>
      </w:r>
      <w:r>
        <w:rPr>
          <w:spacing w:val="-1"/>
        </w:rPr>
        <w:t>锁条件满足的公告》及《关于首次限制性股票激励计划第三期解锁股份上市流通的提示性公告》，分别刊</w:t>
      </w:r>
      <w:r>
        <w:rPr>
          <w:spacing w:val="-86"/>
        </w:rPr>
        <w:t> </w:t>
      </w:r>
      <w:r>
        <w:rPr>
          <w:spacing w:val="-86"/>
        </w:rPr>
      </w:r>
      <w:r>
        <w:rPr/>
        <w:t>登于</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17</w:t>
      </w:r>
      <w:r>
        <w:rPr>
          <w:rFonts w:ascii="宋体" w:hAnsi="宋体" w:cs="宋体" w:eastAsia="宋体" w:hint="default"/>
          <w:spacing w:val="-53"/>
        </w:rPr>
        <w:t> </w:t>
      </w:r>
      <w:r>
        <w:rPr/>
        <w:t>日、</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3"/>
        </w:rPr>
        <w:t> </w:t>
      </w:r>
      <w:r>
        <w:rPr/>
        <w:t>日《证券时报》、《中国证券报》及巨潮资讯网</w:t>
      </w:r>
    </w:p>
    <w:p>
      <w:pPr>
        <w:pStyle w:val="BodyText"/>
        <w:spacing w:line="240" w:lineRule="auto" w:before="31"/>
        <w:ind w:right="0"/>
        <w:jc w:val="both"/>
      </w:pPr>
      <w:r>
        <w:rPr/>
        <w:t>（</w:t>
      </w:r>
      <w:hyperlink r:id="rId11">
        <w:r>
          <w:rPr>
            <w:rFonts w:ascii="宋体" w:hAnsi="宋体" w:cs="宋体" w:eastAsia="宋体" w:hint="default"/>
          </w:rPr>
          <w:t>htpp://www.cninfo.co</w:t>
        </w:r>
      </w:hyperlink>
      <w:r>
        <w:rPr>
          <w:rFonts w:ascii="宋体" w:hAnsi="宋体" w:cs="宋体" w:eastAsia="宋体" w:hint="default"/>
        </w:rPr>
        <w:t>m.cn</w:t>
      </w:r>
      <w:r>
        <w:rPr/>
        <w:t>）。</w:t>
      </w:r>
    </w:p>
    <w:p>
      <w:pPr>
        <w:pStyle w:val="BodyText"/>
        <w:spacing w:line="240" w:lineRule="auto" w:before="133"/>
        <w:ind w:left="575" w:right="1017"/>
        <w:jc w:val="left"/>
      </w:pPr>
      <w:r>
        <w:rPr/>
        <w:t>（二）报告期内第二期限制性股票激励计划的实施情况</w:t>
      </w:r>
    </w:p>
    <w:p>
      <w:pPr>
        <w:spacing w:after="0" w:line="240" w:lineRule="auto"/>
        <w:jc w:val="left"/>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240" w:lineRule="auto" w:before="35"/>
        <w:ind w:left="575" w:right="1017"/>
        <w:jc w:val="left"/>
      </w:pPr>
      <w:r>
        <w:rPr/>
        <w:t>经公司</w:t>
      </w:r>
      <w:r>
        <w:rPr>
          <w:spacing w:val="-54"/>
        </w:rPr>
        <w:t> </w:t>
      </w:r>
      <w:r>
        <w:rPr>
          <w:rFonts w:ascii="宋体" w:hAnsi="宋体" w:cs="宋体" w:eastAsia="宋体" w:hint="default"/>
        </w:rPr>
        <w:t>2015</w:t>
      </w:r>
      <w:r>
        <w:rPr>
          <w:rFonts w:ascii="宋体" w:hAnsi="宋体" w:cs="宋体" w:eastAsia="宋体" w:hint="default"/>
          <w:spacing w:val="-54"/>
        </w:rPr>
        <w:t> </w:t>
      </w:r>
      <w:r>
        <w:rPr/>
        <w:t>年第一次临时股东大会及第五届董事会第十四次会议批准，公司实施了第二期限制性股</w:t>
      </w:r>
    </w:p>
    <w:p>
      <w:pPr>
        <w:pStyle w:val="BodyText"/>
        <w:spacing w:line="240" w:lineRule="auto" w:before="133"/>
        <w:ind w:left="154" w:right="1017"/>
        <w:jc w:val="left"/>
      </w:pPr>
      <w:r>
        <w:rPr/>
        <w:t>票激励计划，向高级管理人员、中层管理人员及核心技术（业务）人员授予限制性股票</w:t>
      </w:r>
      <w:r>
        <w:rPr>
          <w:spacing w:val="-52"/>
        </w:rPr>
        <w:t> </w:t>
      </w:r>
      <w:r>
        <w:rPr>
          <w:rFonts w:ascii="宋体" w:hAnsi="宋体" w:cs="宋体" w:eastAsia="宋体" w:hint="default"/>
        </w:rPr>
        <w:t>644</w:t>
      </w:r>
      <w:r>
        <w:rPr>
          <w:rFonts w:ascii="宋体" w:hAnsi="宋体" w:cs="宋体" w:eastAsia="宋体" w:hint="default"/>
          <w:spacing w:val="-53"/>
        </w:rPr>
        <w:t> </w:t>
      </w:r>
      <w:r>
        <w:rPr/>
        <w:t>万股。其中，</w:t>
      </w:r>
    </w:p>
    <w:p>
      <w:pPr>
        <w:pStyle w:val="BodyText"/>
        <w:spacing w:line="240" w:lineRule="auto" w:before="134"/>
        <w:ind w:right="0"/>
        <w:jc w:val="left"/>
      </w:pPr>
      <w:r>
        <w:rPr/>
        <w:t>首次授予日为</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5</w:t>
      </w:r>
      <w:r>
        <w:rPr>
          <w:rFonts w:ascii="宋体" w:hAnsi="宋体" w:cs="宋体" w:eastAsia="宋体" w:hint="default"/>
          <w:spacing w:val="-52"/>
        </w:rPr>
        <w:t> </w:t>
      </w:r>
      <w:r>
        <w:rPr>
          <w:spacing w:val="-5"/>
        </w:rPr>
        <w:t>日，授予限制性股票</w:t>
      </w:r>
      <w:r>
        <w:rPr>
          <w:spacing w:val="-52"/>
        </w:rPr>
        <w:t> </w:t>
      </w:r>
      <w:r>
        <w:rPr>
          <w:rFonts w:ascii="宋体" w:hAnsi="宋体" w:cs="宋体" w:eastAsia="宋体" w:hint="default"/>
        </w:rPr>
        <w:t>580</w:t>
      </w:r>
      <w:r>
        <w:rPr>
          <w:rFonts w:ascii="宋体" w:hAnsi="宋体" w:cs="宋体" w:eastAsia="宋体" w:hint="default"/>
          <w:spacing w:val="-52"/>
        </w:rPr>
        <w:t> </w:t>
      </w:r>
      <w:r>
        <w:rPr>
          <w:spacing w:val="-7"/>
        </w:rPr>
        <w:t>万股，激励对象</w:t>
      </w:r>
      <w:r>
        <w:rPr>
          <w:spacing w:val="-53"/>
        </w:rPr>
        <w:t> </w:t>
      </w:r>
      <w:r>
        <w:rPr>
          <w:rFonts w:ascii="宋体" w:hAnsi="宋体" w:cs="宋体" w:eastAsia="宋体" w:hint="default"/>
        </w:rPr>
        <w:t>193</w:t>
      </w:r>
      <w:r>
        <w:rPr>
          <w:rFonts w:ascii="宋体" w:hAnsi="宋体" w:cs="宋体" w:eastAsia="宋体" w:hint="default"/>
          <w:spacing w:val="-53"/>
        </w:rPr>
        <w:t> </w:t>
      </w:r>
      <w:r>
        <w:rPr>
          <w:spacing w:val="-7"/>
        </w:rPr>
        <w:t>人，上市日为</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3"/>
        </w:rPr>
        <w:t> </w:t>
      </w:r>
      <w:r>
        <w:rPr/>
        <w:t>月</w:t>
      </w:r>
      <w:r>
        <w:rPr>
          <w:spacing w:val="-53"/>
        </w:rPr>
        <w:t> </w:t>
      </w:r>
      <w:r>
        <w:rPr>
          <w:rFonts w:ascii="宋体" w:hAnsi="宋体" w:cs="宋体" w:eastAsia="宋体" w:hint="default"/>
        </w:rPr>
        <w:t>6</w:t>
      </w:r>
      <w:r>
        <w:rPr>
          <w:rFonts w:ascii="宋体" w:hAnsi="宋体" w:cs="宋体" w:eastAsia="宋体" w:hint="default"/>
          <w:spacing w:val="-52"/>
        </w:rPr>
        <w:t> </w:t>
      </w:r>
      <w:r>
        <w:rPr/>
        <w:t>日；</w:t>
      </w:r>
    </w:p>
    <w:p>
      <w:pPr>
        <w:pStyle w:val="BodyText"/>
        <w:spacing w:line="240" w:lineRule="auto" w:before="133"/>
        <w:ind w:right="1017"/>
        <w:jc w:val="left"/>
      </w:pPr>
      <w:r>
        <w:rPr/>
        <w:t>预留</w:t>
      </w:r>
      <w:r>
        <w:rPr>
          <w:spacing w:val="-54"/>
        </w:rPr>
        <w:t> </w:t>
      </w:r>
      <w:r>
        <w:rPr>
          <w:rFonts w:ascii="宋体" w:hAnsi="宋体" w:cs="宋体" w:eastAsia="宋体" w:hint="default"/>
        </w:rPr>
        <w:t>64</w:t>
      </w:r>
      <w:r>
        <w:rPr>
          <w:rFonts w:ascii="宋体" w:hAnsi="宋体" w:cs="宋体" w:eastAsia="宋体" w:hint="default"/>
          <w:spacing w:val="-53"/>
        </w:rPr>
        <w:t> </w:t>
      </w:r>
      <w:r>
        <w:rPr/>
        <w:t>万股，</w:t>
      </w:r>
      <w:r>
        <w:rPr>
          <w:rFonts w:ascii="宋体" w:hAnsi="宋体" w:cs="宋体" w:eastAsia="宋体" w:hint="default"/>
        </w:rPr>
        <w:t>2014</w:t>
      </w:r>
      <w:r>
        <w:rPr>
          <w:rFonts w:ascii="宋体" w:hAnsi="宋体" w:cs="宋体" w:eastAsia="宋体" w:hint="default"/>
          <w:spacing w:val="-52"/>
        </w:rPr>
        <w:t> </w:t>
      </w:r>
      <w:r>
        <w:rPr/>
        <w:t>年利润分配方案实施后，预留股份数量做了相应调整。授予日为</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3"/>
        </w:rPr>
        <w:t> </w:t>
      </w:r>
      <w:r>
        <w:rPr/>
        <w:t>日，</w:t>
      </w:r>
    </w:p>
    <w:p>
      <w:pPr>
        <w:pStyle w:val="BodyText"/>
        <w:spacing w:line="355" w:lineRule="auto" w:before="134"/>
        <w:ind w:left="575" w:right="1025" w:hanging="422"/>
        <w:jc w:val="left"/>
      </w:pPr>
      <w:r>
        <w:rPr/>
        <w:t>实际授予限制性股票</w:t>
      </w:r>
      <w:r>
        <w:rPr>
          <w:spacing w:val="-53"/>
        </w:rPr>
        <w:t> </w:t>
      </w:r>
      <w:r>
        <w:rPr>
          <w:rFonts w:ascii="宋体" w:hAnsi="宋体" w:cs="宋体" w:eastAsia="宋体" w:hint="default"/>
        </w:rPr>
        <w:t>74.6</w:t>
      </w:r>
      <w:r>
        <w:rPr>
          <w:rFonts w:ascii="宋体" w:hAnsi="宋体" w:cs="宋体" w:eastAsia="宋体" w:hint="default"/>
          <w:spacing w:val="-54"/>
        </w:rPr>
        <w:t> </w:t>
      </w:r>
      <w:r>
        <w:rPr/>
        <w:t>万股，激励对象</w:t>
      </w:r>
      <w:r>
        <w:rPr>
          <w:spacing w:val="-53"/>
        </w:rPr>
        <w:t> </w:t>
      </w:r>
      <w:r>
        <w:rPr>
          <w:rFonts w:ascii="宋体" w:hAnsi="宋体" w:cs="宋体" w:eastAsia="宋体" w:hint="default"/>
        </w:rPr>
        <w:t>18</w:t>
      </w:r>
      <w:r>
        <w:rPr>
          <w:rFonts w:ascii="宋体" w:hAnsi="宋体" w:cs="宋体" w:eastAsia="宋体" w:hint="default"/>
          <w:spacing w:val="-53"/>
        </w:rPr>
        <w:t> </w:t>
      </w:r>
      <w:r>
        <w:rPr/>
        <w:t>人，上市日为</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4"/>
        </w:rPr>
        <w:t> </w:t>
      </w:r>
      <w:r>
        <w:rPr/>
        <w:t>日。 </w:t>
      </w:r>
      <w:r>
        <w:rPr>
          <w:spacing w:val="-12"/>
        </w:rPr>
        <w:t>具体内容详见《第二期限制性股票激励计划（草案）》、《第二期限制性股票激励计划（草案修订稿）》、</w:t>
      </w:r>
    </w:p>
    <w:p>
      <w:pPr>
        <w:pStyle w:val="BodyText"/>
        <w:spacing w:line="355" w:lineRule="auto" w:before="33"/>
        <w:ind w:right="1093"/>
        <w:jc w:val="left"/>
      </w:pPr>
      <w:r>
        <w:rPr>
          <w:spacing w:val="-5"/>
        </w:rPr>
        <w:t>《关于对第二期限制性股票激励计划进行调整的公告》、《关于向激励对象授予限制性股票的公告》、《关</w:t>
      </w:r>
      <w:r>
        <w:rPr>
          <w:spacing w:val="-103"/>
        </w:rPr>
        <w:t> </w:t>
      </w:r>
      <w:r>
        <w:rPr>
          <w:spacing w:val="-103"/>
        </w:rPr>
      </w:r>
      <w:r>
        <w:rPr/>
        <w:t>于第二期限制性股票激励计划首次授予完成的公告》、《关于向激励对象授予预留限制性股票的公告》、</w:t>
      </w:r>
    </w:p>
    <w:p>
      <w:pPr>
        <w:pStyle w:val="BodyText"/>
        <w:spacing w:line="240" w:lineRule="auto" w:before="32"/>
        <w:ind w:right="1017"/>
        <w:jc w:val="left"/>
      </w:pPr>
      <w:r>
        <w:rPr/>
        <w:t>《关于第二期限制性股票激励计划预留股份授予完成的公告》，分别刊登于</w:t>
      </w:r>
      <w:r>
        <w:rPr>
          <w:spacing w:val="-52"/>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11</w:t>
      </w:r>
      <w:r>
        <w:rPr>
          <w:rFonts w:ascii="宋体" w:hAnsi="宋体" w:cs="宋体" w:eastAsia="宋体" w:hint="default"/>
          <w:spacing w:val="-54"/>
        </w:rPr>
        <w:t> </w:t>
      </w:r>
      <w:r>
        <w:rPr/>
        <w:t>日、</w:t>
      </w:r>
      <w:r>
        <w:rPr>
          <w:rFonts w:ascii="宋体" w:hAnsi="宋体" w:cs="宋体" w:eastAsia="宋体" w:hint="default"/>
        </w:rPr>
        <w:t>2014</w:t>
      </w:r>
      <w:r>
        <w:rPr>
          <w:rFonts w:ascii="宋体" w:hAnsi="宋体" w:cs="宋体" w:eastAsia="宋体" w:hint="default"/>
          <w:spacing w:val="-52"/>
        </w:rPr>
        <w:t> </w:t>
      </w:r>
      <w:r>
        <w:rPr/>
        <w:t>年</w:t>
      </w:r>
    </w:p>
    <w:p>
      <w:pPr>
        <w:pStyle w:val="BodyText"/>
        <w:spacing w:line="240" w:lineRule="auto" w:before="134"/>
        <w:ind w:left="154" w:right="1017"/>
        <w:jc w:val="left"/>
      </w:pPr>
      <w:r>
        <w:rPr>
          <w:rFonts w:ascii="宋体" w:hAnsi="宋体" w:cs="宋体" w:eastAsia="宋体" w:hint="default"/>
        </w:rPr>
        <w:t>11</w:t>
      </w:r>
      <w:r>
        <w:rPr>
          <w:rFonts w:ascii="宋体" w:hAnsi="宋体" w:cs="宋体" w:eastAsia="宋体" w:hint="default"/>
          <w:spacing w:val="-54"/>
        </w:rPr>
        <w:t> </w:t>
      </w:r>
      <w:r>
        <w:rPr/>
        <w:t>月</w:t>
      </w:r>
      <w:r>
        <w:rPr>
          <w:spacing w:val="-53"/>
        </w:rPr>
        <w:t> </w:t>
      </w:r>
      <w:r>
        <w:rPr>
          <w:rFonts w:ascii="宋体" w:hAnsi="宋体" w:cs="宋体" w:eastAsia="宋体" w:hint="default"/>
        </w:rPr>
        <w:t>20</w:t>
      </w:r>
      <w:r>
        <w:rPr>
          <w:rFonts w:ascii="宋体" w:hAnsi="宋体" w:cs="宋体" w:eastAsia="宋体" w:hint="default"/>
          <w:spacing w:val="-53"/>
        </w:rPr>
        <w:t> </w:t>
      </w:r>
      <w:r>
        <w:rPr/>
        <w:t>日、</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26</w:t>
      </w:r>
      <w:r>
        <w:rPr>
          <w:rFonts w:ascii="宋体" w:hAnsi="宋体" w:cs="宋体" w:eastAsia="宋体" w:hint="default"/>
          <w:spacing w:val="-53"/>
        </w:rPr>
        <w:t> </w:t>
      </w:r>
      <w:r>
        <w:rPr/>
        <w:t>日、</w:t>
      </w:r>
      <w:r>
        <w:rPr>
          <w:rFonts w:ascii="宋体" w:hAnsi="宋体" w:cs="宋体" w:eastAsia="宋体" w:hint="default"/>
        </w:rPr>
        <w:t>2016</w:t>
      </w:r>
      <w:r>
        <w:rPr>
          <w:rFonts w:ascii="宋体" w:hAnsi="宋体" w:cs="宋体" w:eastAsia="宋体" w:hint="default"/>
          <w:spacing w:val="-53"/>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24</w:t>
      </w:r>
      <w:r>
        <w:rPr>
          <w:rFonts w:ascii="宋体" w:hAnsi="宋体" w:cs="宋体" w:eastAsia="宋体" w:hint="default"/>
          <w:spacing w:val="-54"/>
        </w:rPr>
        <w:t> </w:t>
      </w:r>
      <w:r>
        <w:rPr/>
        <w:t>日《证券时报》、</w:t>
      </w:r>
    </w:p>
    <w:p>
      <w:pPr>
        <w:pStyle w:val="BodyText"/>
        <w:spacing w:line="240" w:lineRule="auto" w:before="133"/>
        <w:ind w:right="1017"/>
        <w:jc w:val="left"/>
      </w:pPr>
      <w:r>
        <w:rPr/>
        <w:t>《中国证券报》及巨潮资讯网（</w:t>
      </w:r>
      <w:hyperlink r:id="rId11">
        <w:r>
          <w:rPr>
            <w:rFonts w:ascii="宋体" w:hAnsi="宋体" w:cs="宋体" w:eastAsia="宋体" w:hint="default"/>
          </w:rPr>
          <w:t>htpp://www.cninfo.com.cn</w:t>
        </w:r>
      </w:hyperlink>
      <w:r>
        <w:rPr/>
        <w:t>）。</w:t>
      </w:r>
    </w:p>
    <w:p>
      <w:pPr>
        <w:spacing w:line="240" w:lineRule="auto" w:before="0"/>
        <w:rPr>
          <w:rFonts w:ascii="宋体" w:hAnsi="宋体" w:cs="宋体" w:eastAsia="宋体" w:hint="default"/>
          <w:sz w:val="20"/>
          <w:szCs w:val="20"/>
        </w:rPr>
      </w:pPr>
    </w:p>
    <w:p>
      <w:pPr>
        <w:pStyle w:val="Heading2"/>
        <w:spacing w:line="240" w:lineRule="auto" w:before="170"/>
        <w:ind w:right="1017"/>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left="153" w:right="1017"/>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3"/>
        <w:spacing w:line="240" w:lineRule="auto"/>
        <w:ind w:right="1017"/>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left="153" w:right="1017"/>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left="153" w:right="1017"/>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57"/>
        <w:ind w:right="1130" w:firstLine="360"/>
        <w:jc w:val="both"/>
      </w:pPr>
      <w:r>
        <w:rPr/>
        <w:t>公司在发行股份及支付现金收购久信医疗</w:t>
      </w:r>
      <w:r>
        <w:rPr>
          <w:spacing w:val="-67"/>
        </w:rPr>
        <w:t> </w:t>
      </w:r>
      <w:r>
        <w:rPr>
          <w:rFonts w:ascii="宋体" w:hAnsi="宋体" w:cs="宋体" w:eastAsia="宋体" w:hint="default"/>
        </w:rPr>
        <w:t>100%</w:t>
      </w:r>
      <w:r>
        <w:rPr/>
        <w:t>时，向实际控制人刘磅以及高级管理人员程朋胜、苏俊 锋、吕枫、林雨斌、黄天朗非公开发行</w:t>
      </w:r>
      <w:r>
        <w:rPr>
          <w:spacing w:val="-59"/>
        </w:rPr>
        <w:t> </w:t>
      </w:r>
      <w:r>
        <w:rPr>
          <w:rFonts w:ascii="宋体" w:hAnsi="宋体" w:cs="宋体" w:eastAsia="宋体" w:hint="default"/>
        </w:rPr>
        <w:t>20,867,932</w:t>
      </w:r>
      <w:r>
        <w:rPr>
          <w:rFonts w:ascii="宋体" w:hAnsi="宋体" w:cs="宋体" w:eastAsia="宋体" w:hint="default"/>
          <w:spacing w:val="-59"/>
        </w:rPr>
        <w:t> </w:t>
      </w:r>
      <w:r>
        <w:rPr/>
        <w:t>股股份募集配套资金，配套资金总额为</w:t>
      </w:r>
      <w:r>
        <w:rPr>
          <w:spacing w:val="-59"/>
        </w:rPr>
        <w:t> </w:t>
      </w:r>
      <w:r>
        <w:rPr>
          <w:rFonts w:ascii="宋体" w:hAnsi="宋体" w:cs="宋体" w:eastAsia="宋体" w:hint="default"/>
        </w:rPr>
        <w:t>24,749.373</w:t>
      </w:r>
      <w:r>
        <w:rPr>
          <w:rFonts w:ascii="宋体" w:hAnsi="宋体" w:cs="宋体" w:eastAsia="宋体" w:hint="default"/>
          <w:spacing w:val="-58"/>
        </w:rPr>
        <w:t> </w:t>
      </w:r>
      <w:r>
        <w:rPr/>
        <w:t>万 元。</w:t>
      </w:r>
    </w:p>
    <w:p>
      <w:pPr>
        <w:spacing w:after="0" w:line="357" w:lineRule="auto"/>
        <w:jc w:val="both"/>
        <w:sectPr>
          <w:pgSz w:w="11910" w:h="16840"/>
          <w:pgMar w:header="877" w:footer="1019" w:top="1100" w:bottom="1200" w:left="980" w:right="0"/>
        </w:sectPr>
      </w:pPr>
    </w:p>
    <w:p>
      <w:pPr>
        <w:spacing w:line="240" w:lineRule="auto" w:before="13"/>
        <w:rPr>
          <w:rFonts w:ascii="宋体" w:hAnsi="宋体" w:cs="宋体" w:eastAsia="宋体" w:hint="default"/>
          <w:sz w:val="21"/>
          <w:szCs w:val="21"/>
        </w:rPr>
      </w:pPr>
    </w:p>
    <w:p>
      <w:pPr>
        <w:spacing w:before="44"/>
        <w:ind w:left="153" w:right="1017"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30"/>
        <w:gridCol w:w="1842"/>
        <w:gridCol w:w="2196"/>
      </w:tblGrid>
      <w:tr>
        <w:trPr>
          <w:trHeight w:val="401"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5"/>
              <w:jc w:val="righ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3"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3"/>
              <w:jc w:val="center"/>
              <w:rPr>
                <w:rFonts w:ascii="宋体" w:hAnsi="宋体" w:cs="宋体" w:eastAsia="宋体" w:hint="default"/>
                <w:sz w:val="18"/>
                <w:szCs w:val="18"/>
              </w:rPr>
            </w:pPr>
            <w:r>
              <w:rPr>
                <w:rFonts w:ascii="宋体" w:hAnsi="宋体" w:cs="宋体" w:eastAsia="宋体" w:hint="default"/>
                <w:sz w:val="18"/>
                <w:szCs w:val="18"/>
              </w:rPr>
              <w:t>《发行股份及支付现金购买资产并募集配套资金暨关联交易报告书》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left="154" w:right="1017"/>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left="153" w:right="1017"/>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left="153" w:right="1017"/>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pStyle w:val="BodyText"/>
        <w:spacing w:line="271" w:lineRule="exact" w:before="0"/>
        <w:ind w:left="0" w:right="1162"/>
        <w:jc w:val="right"/>
      </w:pPr>
      <w:r>
        <w:rPr>
          <w:rFonts w:ascii="宋体" w:hAnsi="宋体" w:cs="宋体" w:eastAsia="宋体" w:hint="default"/>
        </w:rPr>
        <w:t>2011</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2</w:t>
      </w:r>
      <w:r>
        <w:rPr>
          <w:rFonts w:ascii="宋体" w:hAnsi="宋体" w:cs="宋体" w:eastAsia="宋体" w:hint="default"/>
          <w:spacing w:val="-53"/>
        </w:rPr>
        <w:t> </w:t>
      </w:r>
      <w:r>
        <w:rPr/>
        <w:t>日，公司与全资子公司达实信息签订《房地产租赁合同书》，约定租赁其</w:t>
      </w:r>
      <w:r>
        <w:rPr>
          <w:spacing w:val="-53"/>
        </w:rPr>
        <w:t> </w:t>
      </w:r>
      <w:r>
        <w:rPr>
          <w:rFonts w:ascii="宋体" w:hAnsi="宋体" w:cs="宋体" w:eastAsia="宋体" w:hint="default"/>
        </w:rPr>
        <w:t>3,473.12</w:t>
      </w:r>
      <w:r>
        <w:rPr>
          <w:rFonts w:ascii="宋体" w:hAnsi="宋体" w:cs="宋体" w:eastAsia="宋体" w:hint="default"/>
          <w:spacing w:val="-54"/>
        </w:rPr>
        <w:t> </w:t>
      </w:r>
      <w:r>
        <w:rPr/>
        <w:t>平</w:t>
      </w:r>
    </w:p>
    <w:p>
      <w:pPr>
        <w:pStyle w:val="BodyText"/>
        <w:spacing w:line="240" w:lineRule="auto" w:before="134"/>
        <w:ind w:right="1017"/>
        <w:jc w:val="left"/>
      </w:pPr>
      <w:r>
        <w:rPr/>
        <w:t>米的场地用于办公，租赁期限自</w:t>
      </w:r>
      <w:r>
        <w:rPr>
          <w:spacing w:val="-53"/>
        </w:rPr>
        <w:t> </w:t>
      </w:r>
      <w:r>
        <w:rPr>
          <w:rFonts w:ascii="宋体" w:hAnsi="宋体" w:cs="宋体" w:eastAsia="宋体" w:hint="default"/>
        </w:rPr>
        <w:t>2011</w:t>
      </w:r>
      <w:r>
        <w:rPr>
          <w:rFonts w:ascii="宋体" w:hAnsi="宋体" w:cs="宋体" w:eastAsia="宋体" w:hint="default"/>
          <w:spacing w:val="-54"/>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日至</w:t>
      </w:r>
      <w:r>
        <w:rPr>
          <w:spacing w:val="-54"/>
        </w:rPr>
        <w:t> </w:t>
      </w:r>
      <w:r>
        <w:rPr>
          <w:rFonts w:ascii="宋体" w:hAnsi="宋体" w:cs="宋体" w:eastAsia="宋体" w:hint="default"/>
        </w:rPr>
        <w:t>2021</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30</w:t>
      </w:r>
      <w:r>
        <w:rPr>
          <w:rFonts w:ascii="宋体" w:hAnsi="宋体" w:cs="宋体" w:eastAsia="宋体" w:hint="default"/>
          <w:spacing w:val="-53"/>
        </w:rPr>
        <w:t> </w:t>
      </w:r>
      <w:r>
        <w:rPr/>
        <w:t>日。</w:t>
      </w:r>
    </w:p>
    <w:p>
      <w:pPr>
        <w:spacing w:line="240" w:lineRule="auto" w:before="9"/>
        <w:rPr>
          <w:rFonts w:ascii="宋体" w:hAnsi="宋体" w:cs="宋体" w:eastAsia="宋体" w:hint="default"/>
          <w:sz w:val="16"/>
          <w:szCs w:val="16"/>
        </w:rPr>
      </w:pPr>
    </w:p>
    <w:p>
      <w:pPr>
        <w:spacing w:before="0"/>
        <w:ind w:left="153" w:right="1017"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1017"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10"/>
        <w:rPr>
          <w:rFonts w:ascii="宋体" w:hAnsi="宋体" w:cs="宋体" w:eastAsia="宋体" w:hint="default"/>
          <w:sz w:val="25"/>
          <w:szCs w:val="25"/>
        </w:rPr>
      </w:pPr>
    </w:p>
    <w:p>
      <w:pPr>
        <w:pStyle w:val="Heading3"/>
        <w:spacing w:line="240" w:lineRule="auto"/>
        <w:ind w:left="153" w:right="1017"/>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1017"/>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9"/>
        <w:gridCol w:w="1220"/>
        <w:gridCol w:w="920"/>
        <w:gridCol w:w="1296"/>
        <w:gridCol w:w="1063"/>
        <w:gridCol w:w="1034"/>
        <w:gridCol w:w="1053"/>
        <w:gridCol w:w="788"/>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4" w:right="65"/>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29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24"/>
              <w:jc w:val="right"/>
              <w:rPr>
                <w:rFonts w:ascii="宋体" w:hAnsi="宋体" w:cs="宋体" w:eastAsia="宋体" w:hint="default"/>
                <w:sz w:val="18"/>
                <w:szCs w:val="18"/>
              </w:rPr>
            </w:pPr>
            <w:r>
              <w:rPr>
                <w:rFonts w:ascii="宋体" w:hAnsi="宋体" w:cs="宋体" w:eastAsia="宋体" w:hint="default"/>
                <w:sz w:val="18"/>
                <w:szCs w:val="18"/>
              </w:rPr>
              <w:t>中煤矿建总医院</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自单笔授信 业务的主合 同签订之日 起至债务人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19"/>
        <w:gridCol w:w="302"/>
        <w:gridCol w:w="905"/>
        <w:gridCol w:w="932"/>
        <w:gridCol w:w="1298"/>
        <w:gridCol w:w="1057"/>
        <w:gridCol w:w="1038"/>
        <w:gridCol w:w="1055"/>
        <w:gridCol w:w="786"/>
        <w:gridCol w:w="783"/>
      </w:tblGrid>
      <w:tr>
        <w:trPr>
          <w:trHeight w:val="1298"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207" w:type="dxa"/>
            <w:gridSpan w:val="2"/>
            <w:tcBorders>
              <w:top w:val="single" w:sz="4" w:space="0" w:color="000000"/>
              <w:left w:val="single" w:sz="4" w:space="0" w:color="000000"/>
              <w:bottom w:val="single" w:sz="4" w:space="0" w:color="000000"/>
              <w:right w:val="single" w:sz="5" w:space="0" w:color="000000"/>
            </w:tcBorders>
          </w:tcPr>
          <w:p>
            <w:pPr/>
          </w:p>
        </w:tc>
        <w:tc>
          <w:tcPr>
            <w:tcW w:w="932" w:type="dxa"/>
            <w:tcBorders>
              <w:top w:val="single" w:sz="4" w:space="0" w:color="000000"/>
              <w:left w:val="single" w:sz="5"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5" w:right="117"/>
              <w:jc w:val="both"/>
              <w:rPr>
                <w:rFonts w:ascii="宋体" w:hAnsi="宋体" w:cs="宋体" w:eastAsia="宋体" w:hint="default"/>
                <w:sz w:val="18"/>
                <w:szCs w:val="18"/>
              </w:rPr>
            </w:pPr>
            <w:r>
              <w:rPr>
                <w:rFonts w:ascii="宋体" w:hAnsi="宋体" w:cs="宋体" w:eastAsia="宋体" w:hint="default"/>
                <w:sz w:val="18"/>
                <w:szCs w:val="18"/>
              </w:rPr>
              <w:t>在该主合同 项下的债务 履行期限届 满日后二年</w:t>
            </w:r>
          </w:p>
        </w:tc>
        <w:tc>
          <w:tcPr>
            <w:tcW w:w="7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公立三甲医院</w:t>
            </w:r>
          </w:p>
        </w:tc>
        <w:tc>
          <w:tcPr>
            <w:tcW w:w="1207" w:type="dxa"/>
            <w:gridSpan w:val="2"/>
            <w:tcBorders>
              <w:top w:val="single" w:sz="4" w:space="0" w:color="000000"/>
              <w:left w:val="single" w:sz="4" w:space="0" w:color="000000"/>
              <w:bottom w:val="single" w:sz="4" w:space="0" w:color="000000"/>
              <w:right w:val="single" w:sz="5"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5" w:right="117"/>
              <w:jc w:val="both"/>
              <w:rPr>
                <w:rFonts w:ascii="宋体" w:hAnsi="宋体" w:cs="宋体" w:eastAsia="宋体" w:hint="default"/>
                <w:sz w:val="18"/>
                <w:szCs w:val="18"/>
              </w:rPr>
            </w:pPr>
            <w:r>
              <w:rPr>
                <w:rFonts w:ascii="宋体" w:hAnsi="宋体" w:cs="宋体" w:eastAsia="宋体" w:hint="default"/>
                <w:sz w:val="18"/>
                <w:szCs w:val="18"/>
              </w:rPr>
              <w:t>单笔买方信 贷期限不超 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28,000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28,000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5"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66"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61" w:right="54"/>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06"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207" w:type="dxa"/>
            <w:gridSpan w:val="2"/>
            <w:vMerge/>
            <w:tcBorders>
              <w:left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vMerge/>
            <w:tcBorders>
              <w:left w:val="single" w:sz="4"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61"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8" w:type="dxa"/>
            <w:vMerge/>
            <w:tcBorders>
              <w:left w:val="single" w:sz="4" w:space="0" w:color="000000"/>
              <w:bottom w:val="single" w:sz="4" w:space="0" w:color="000000"/>
              <w:right w:val="single" w:sz="4" w:space="0" w:color="000000"/>
            </w:tcBorders>
            <w:shd w:val="clear" w:color="auto" w:fill="D2D2D2"/>
          </w:tcPr>
          <w:p>
            <w:pPr/>
          </w:p>
        </w:tc>
        <w:tc>
          <w:tcPr>
            <w:tcW w:w="1057" w:type="dxa"/>
            <w:vMerge/>
            <w:tcBorders>
              <w:left w:val="single" w:sz="4" w:space="0" w:color="000000"/>
              <w:bottom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1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1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1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1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三年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55,000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w:t>
            </w:r>
          </w:p>
        </w:tc>
      </w:tr>
      <w:tr>
        <w:trPr>
          <w:trHeight w:val="719" w:hRule="exact"/>
        </w:trPr>
        <w:tc>
          <w:tcPr>
            <w:tcW w:w="262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55,000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w:t>
            </w:r>
          </w:p>
        </w:tc>
      </w:tr>
      <w:tr>
        <w:trPr>
          <w:trHeight w:val="392" w:hRule="exact"/>
        </w:trPr>
        <w:tc>
          <w:tcPr>
            <w:tcW w:w="9575"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21" w:type="dxa"/>
            <w:gridSpan w:val="2"/>
            <w:vMerge w:val="restart"/>
            <w:tcBorders>
              <w:top w:val="single" w:sz="4" w:space="0" w:color="000000"/>
              <w:left w:val="single" w:sz="4" w:space="0" w:color="000000"/>
              <w:right w:val="single" w:sz="4" w:space="0" w:color="000000"/>
            </w:tcBorders>
            <w:shd w:val="clear" w:color="auto" w:fill="D2D2D2"/>
          </w:tcPr>
          <w:p>
            <w:pPr/>
          </w:p>
        </w:tc>
        <w:tc>
          <w:tcPr>
            <w:tcW w:w="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1"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vMerge w:val="restart"/>
            <w:tcBorders>
              <w:top w:val="single" w:sz="4" w:space="0" w:color="000000"/>
              <w:left w:val="single" w:sz="4" w:space="0" w:color="000000"/>
              <w:right w:val="single" w:sz="4" w:space="0" w:color="000000"/>
            </w:tcBorders>
            <w:shd w:val="clear" w:color="auto" w:fill="D2D2D2"/>
          </w:tcPr>
          <w:p>
            <w:pPr/>
          </w:p>
        </w:tc>
        <w:tc>
          <w:tcPr>
            <w:tcW w:w="12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21" w:type="dxa"/>
            <w:gridSpan w:val="2"/>
            <w:vMerge/>
            <w:tcBorders>
              <w:left w:val="single" w:sz="4" w:space="0" w:color="000000"/>
              <w:bottom w:val="nil" w:sz="6" w:space="0" w:color="auto"/>
              <w:right w:val="single" w:sz="4" w:space="0" w:color="000000"/>
            </w:tcBorders>
            <w:shd w:val="clear" w:color="auto" w:fill="D2D2D2"/>
          </w:tcPr>
          <w:p>
            <w:pPr/>
          </w:p>
        </w:tc>
        <w:tc>
          <w:tcPr>
            <w:tcW w:w="905" w:type="dxa"/>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12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6" w:right="8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1"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2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5" w:type="dxa"/>
            <w:vMerge/>
            <w:tcBorders>
              <w:left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vMerge/>
            <w:tcBorders>
              <w:left w:val="single" w:sz="4"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21" w:type="dxa"/>
            <w:gridSpan w:val="2"/>
            <w:vMerge w:val="restart"/>
            <w:tcBorders>
              <w:top w:val="nil" w:sz="6" w:space="0" w:color="auto"/>
              <w:left w:val="single" w:sz="4" w:space="0" w:color="000000"/>
              <w:right w:val="single" w:sz="4" w:space="0" w:color="000000"/>
            </w:tcBorders>
            <w:shd w:val="clear" w:color="auto" w:fill="D2D2D2"/>
          </w:tcPr>
          <w:p>
            <w:pPr/>
          </w:p>
        </w:tc>
        <w:tc>
          <w:tcPr>
            <w:tcW w:w="905" w:type="dxa"/>
            <w:vMerge/>
            <w:tcBorders>
              <w:left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c>
          <w:tcPr>
            <w:tcW w:w="1298"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21" w:type="dxa"/>
            <w:gridSpan w:val="2"/>
            <w:vMerge/>
            <w:tcBorders>
              <w:left w:val="single" w:sz="4" w:space="0" w:color="000000"/>
              <w:bottom w:val="single" w:sz="4" w:space="0" w:color="000000"/>
              <w:right w:val="single" w:sz="4" w:space="0" w:color="000000"/>
            </w:tcBorders>
            <w:shd w:val="clear" w:color="auto" w:fill="D2D2D2"/>
          </w:tcPr>
          <w:p>
            <w:pPr/>
          </w:p>
        </w:tc>
        <w:tc>
          <w:tcPr>
            <w:tcW w:w="905"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2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83,000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2"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w:t>
            </w:r>
          </w:p>
        </w:tc>
      </w:tr>
      <w:tr>
        <w:trPr>
          <w:trHeight w:val="714" w:hRule="exact"/>
        </w:trPr>
        <w:tc>
          <w:tcPr>
            <w:tcW w:w="262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83,000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w:t>
            </w:r>
          </w:p>
        </w:tc>
      </w:tr>
      <w:tr>
        <w:trPr>
          <w:trHeight w:val="407" w:hRule="exact"/>
        </w:trPr>
        <w:tc>
          <w:tcPr>
            <w:tcW w:w="485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9.46%</w:t>
            </w:r>
          </w:p>
        </w:tc>
      </w:tr>
      <w:tr>
        <w:trPr>
          <w:trHeight w:val="392" w:hRule="exact"/>
        </w:trPr>
        <w:tc>
          <w:tcPr>
            <w:tcW w:w="9575"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856"/>
        <w:gridCol w:w="4719"/>
      </w:tblGrid>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1017"/>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left="153" w:right="1017"/>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017"/>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before="44"/>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0" w:right="4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17"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 w:right="36"/>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 w:right="3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8"/>
              <w:ind w:left="36"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 w:right="3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right"/>
              <w:rPr>
                <w:rFonts w:ascii="宋体" w:hAnsi="宋体" w:cs="宋体" w:eastAsia="宋体" w:hint="default"/>
                <w:sz w:val="18"/>
                <w:szCs w:val="18"/>
              </w:rPr>
            </w:pPr>
            <w:r>
              <w:rPr>
                <w:rFonts w:ascii="宋体" w:hAnsi="宋体" w:cs="宋体" w:eastAsia="宋体" w:hint="default"/>
                <w:sz w:val="18"/>
                <w:szCs w:val="18"/>
              </w:rPr>
              <w:t>招商银行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保本型的 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合同约定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上海浦东 发展银行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合同约定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367.5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上海浦东 发展银行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合同约定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上海浦东 发展银行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合同约定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25.77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上海浦东 发展银行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合同约定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117.81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117.81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right"/>
              <w:rPr>
                <w:rFonts w:ascii="宋体" w:hAnsi="宋体" w:cs="宋体" w:eastAsia="宋体" w:hint="default"/>
                <w:sz w:val="18"/>
                <w:szCs w:val="18"/>
              </w:rPr>
            </w:pPr>
            <w:r>
              <w:rPr>
                <w:rFonts w:ascii="宋体" w:hAnsi="宋体" w:cs="宋体" w:eastAsia="宋体" w:hint="default"/>
                <w:sz w:val="18"/>
                <w:szCs w:val="18"/>
              </w:rPr>
              <w:t>平安银行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合同约定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bl>
    <w:p>
      <w:pPr>
        <w:spacing w:after="0" w:line="240" w:lineRule="auto"/>
        <w:jc w:val="center"/>
        <w:rPr>
          <w:rFonts w:ascii="宋体" w:hAnsi="宋体" w:cs="宋体" w:eastAsia="宋体"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right"/>
              <w:rPr>
                <w:rFonts w:ascii="宋体" w:hAnsi="宋体" w:cs="宋体" w:eastAsia="宋体" w:hint="default"/>
                <w:sz w:val="18"/>
                <w:szCs w:val="18"/>
              </w:rPr>
            </w:pPr>
            <w:r>
              <w:rPr>
                <w:rFonts w:ascii="宋体" w:hAnsi="宋体" w:cs="宋体" w:eastAsia="宋体" w:hint="default"/>
                <w:sz w:val="18"/>
                <w:szCs w:val="18"/>
              </w:rPr>
              <w:t>平安银行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center"/>
              <w:rPr>
                <w:rFonts w:ascii="宋体" w:hAnsi="宋体" w:cs="宋体" w:eastAsia="宋体" w:hint="default"/>
                <w:sz w:val="18"/>
                <w:szCs w:val="18"/>
              </w:rPr>
            </w:pPr>
            <w:r>
              <w:rPr>
                <w:rFonts w:ascii="宋体" w:hAnsi="宋体" w:cs="宋体" w:eastAsia="宋体" w:hint="default"/>
                <w:sz w:val="18"/>
                <w:szCs w:val="18"/>
              </w:rPr>
              <w:t>合同约定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right"/>
              <w:rPr>
                <w:rFonts w:ascii="宋体" w:hAnsi="宋体" w:cs="宋体" w:eastAsia="宋体" w:hint="default"/>
                <w:sz w:val="18"/>
                <w:szCs w:val="18"/>
              </w:rPr>
            </w:pPr>
            <w:r>
              <w:rPr>
                <w:rFonts w:ascii="宋体" w:hAnsi="宋体" w:cs="宋体" w:eastAsia="宋体" w:hint="default"/>
                <w:sz w:val="18"/>
                <w:szCs w:val="18"/>
              </w:rPr>
              <w:t>平安银行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center"/>
              <w:rPr>
                <w:rFonts w:ascii="宋体" w:hAnsi="宋体" w:cs="宋体" w:eastAsia="宋体" w:hint="default"/>
                <w:sz w:val="18"/>
                <w:szCs w:val="18"/>
              </w:rPr>
            </w:pPr>
            <w:r>
              <w:rPr>
                <w:rFonts w:ascii="宋体" w:hAnsi="宋体" w:cs="宋体" w:eastAsia="宋体" w:hint="default"/>
                <w:sz w:val="18"/>
                <w:szCs w:val="18"/>
              </w:rPr>
              <w:t>合同约定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right"/>
              <w:rPr>
                <w:rFonts w:ascii="宋体" w:hAnsi="宋体" w:cs="宋体" w:eastAsia="宋体" w:hint="default"/>
                <w:sz w:val="18"/>
                <w:szCs w:val="18"/>
              </w:rPr>
            </w:pPr>
            <w:r>
              <w:rPr>
                <w:rFonts w:ascii="宋体" w:hAnsi="宋体" w:cs="宋体" w:eastAsia="宋体" w:hint="default"/>
                <w:sz w:val="18"/>
                <w:szCs w:val="18"/>
              </w:rPr>
              <w:t>平安银行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center"/>
              <w:rPr>
                <w:rFonts w:ascii="宋体" w:hAnsi="宋体" w:cs="宋体" w:eastAsia="宋体" w:hint="default"/>
                <w:sz w:val="18"/>
                <w:szCs w:val="18"/>
              </w:rPr>
            </w:pPr>
            <w:r>
              <w:rPr>
                <w:rFonts w:ascii="宋体" w:hAnsi="宋体" w:cs="宋体" w:eastAsia="宋体" w:hint="default"/>
                <w:sz w:val="18"/>
                <w:szCs w:val="18"/>
              </w:rPr>
              <w:t>合同约定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上海浦东 发展银行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center"/>
              <w:rPr>
                <w:rFonts w:ascii="宋体" w:hAnsi="宋体" w:cs="宋体" w:eastAsia="宋体" w:hint="default"/>
                <w:sz w:val="18"/>
                <w:szCs w:val="18"/>
              </w:rPr>
            </w:pPr>
            <w:r>
              <w:rPr>
                <w:rFonts w:ascii="宋体" w:hAnsi="宋体" w:cs="宋体" w:eastAsia="宋体" w:hint="default"/>
                <w:sz w:val="18"/>
                <w:szCs w:val="18"/>
              </w:rPr>
              <w:t>合同约定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31.16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31.16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上海浦东 发展银行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tabs>
                <w:tab w:pos="591"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tab/>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tabs>
                <w:tab w:pos="591" w:val="left" w:leader="none"/>
              </w:tabs>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tab/>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center"/>
              <w:rPr>
                <w:rFonts w:ascii="宋体" w:hAnsi="宋体" w:cs="宋体" w:eastAsia="宋体" w:hint="default"/>
                <w:sz w:val="18"/>
                <w:szCs w:val="18"/>
              </w:rPr>
            </w:pPr>
            <w:r>
              <w:rPr>
                <w:rFonts w:ascii="宋体" w:hAnsi="宋体" w:cs="宋体" w:eastAsia="宋体" w:hint="default"/>
                <w:sz w:val="18"/>
                <w:szCs w:val="18"/>
              </w:rPr>
              <w:t>合同约定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95,300</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95,300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704.93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704.93</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年度非公开发行股票募集资金及公司自有资金。</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 日期（如有</w:t>
            </w:r>
            <w:r>
              <w:rPr>
                <w:rFonts w:ascii="Times New Roman" w:hAnsi="Times New Roman" w:cs="Times New Roman" w:eastAsia="Times New Roman" w:hint="default"/>
                <w:sz w:val="18"/>
                <w:szCs w:val="18"/>
              </w:rPr>
              <w:t>)</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 日期（如有</w:t>
            </w:r>
            <w:r>
              <w:rPr>
                <w:rFonts w:ascii="Times New Roman" w:hAnsi="Times New Roman" w:cs="Times New Roman" w:eastAsia="Times New Roman" w:hint="default"/>
                <w:sz w:val="18"/>
                <w:szCs w:val="18"/>
              </w:rPr>
              <w:t>)</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left="153" w:right="1017"/>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5"/>
        <w:rPr>
          <w:rFonts w:ascii="宋体" w:hAnsi="宋体" w:cs="宋体" w:eastAsia="宋体" w:hint="default"/>
          <w:sz w:val="19"/>
          <w:szCs w:val="19"/>
        </w:rPr>
      </w:pPr>
    </w:p>
    <w:p>
      <w:pPr>
        <w:pStyle w:val="Heading2"/>
        <w:spacing w:line="240" w:lineRule="auto"/>
        <w:ind w:right="1017"/>
        <w:jc w:val="left"/>
        <w:rPr>
          <w:b w:val="0"/>
          <w:bCs w:val="0"/>
        </w:rPr>
      </w:pPr>
      <w:bookmarkStart w:name="十八、其他重大事项的说明" w:id="98"/>
      <w:bookmarkEnd w:id="98"/>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56"/>
        <w:ind w:left="538" w:right="1017"/>
        <w:jc w:val="left"/>
      </w:pPr>
      <w:r>
        <w:rPr/>
        <w:t>报告期内，公司实施了上市后的第一期员工持股计划，优先级及进取级份额分别为</w:t>
      </w:r>
      <w:r>
        <w:rPr>
          <w:spacing w:val="-51"/>
        </w:rPr>
        <w:t> </w:t>
      </w:r>
      <w:r>
        <w:rPr>
          <w:rFonts w:ascii="宋体" w:hAnsi="宋体" w:cs="宋体" w:eastAsia="宋体" w:hint="default"/>
        </w:rPr>
        <w:t>4,760</w:t>
      </w:r>
      <w:r>
        <w:rPr>
          <w:rFonts w:ascii="宋体" w:hAnsi="宋体" w:cs="宋体" w:eastAsia="宋体" w:hint="default"/>
          <w:spacing w:val="-53"/>
        </w:rPr>
        <w:t> </w:t>
      </w:r>
      <w:r>
        <w:rPr/>
        <w:t>万份，总规</w:t>
      </w:r>
    </w:p>
    <w:p>
      <w:pPr>
        <w:spacing w:after="0" w:line="240" w:lineRule="auto"/>
        <w:jc w:val="left"/>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240" w:lineRule="auto" w:before="35"/>
        <w:ind w:right="1017"/>
        <w:jc w:val="left"/>
      </w:pPr>
      <w:r>
        <w:rPr/>
        <w:t>模合计</w:t>
      </w:r>
      <w:r>
        <w:rPr>
          <w:spacing w:val="-52"/>
        </w:rPr>
        <w:t> </w:t>
      </w:r>
      <w:r>
        <w:rPr>
          <w:rFonts w:ascii="宋体" w:hAnsi="宋体" w:cs="宋体" w:eastAsia="宋体" w:hint="default"/>
        </w:rPr>
        <w:t>9,520</w:t>
      </w:r>
      <w:r>
        <w:rPr>
          <w:rFonts w:ascii="宋体" w:hAnsi="宋体" w:cs="宋体" w:eastAsia="宋体" w:hint="default"/>
          <w:spacing w:val="-52"/>
        </w:rPr>
        <w:t> </w:t>
      </w:r>
      <w:r>
        <w:rPr/>
        <w:t>万份。</w:t>
      </w:r>
    </w:p>
    <w:p>
      <w:pPr>
        <w:pStyle w:val="BodyText"/>
        <w:spacing w:line="240" w:lineRule="auto" w:before="133"/>
        <w:ind w:left="575" w:right="1017"/>
        <w:jc w:val="left"/>
        <w:rPr>
          <w:rFonts w:ascii="宋体" w:hAnsi="宋体" w:cs="宋体" w:eastAsia="宋体" w:hint="default"/>
        </w:rPr>
      </w:pPr>
      <w:r>
        <w:rPr/>
        <w:t>截至</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22</w:t>
      </w:r>
      <w:r>
        <w:rPr>
          <w:rFonts w:ascii="宋体" w:hAnsi="宋体" w:cs="宋体" w:eastAsia="宋体" w:hint="default"/>
          <w:spacing w:val="-54"/>
        </w:rPr>
        <w:t> </w:t>
      </w:r>
      <w:r>
        <w:rPr/>
        <w:t>日，资产管理计划通过二级市场购买的方式共计买入达实智能股票</w:t>
      </w:r>
      <w:r>
        <w:rPr>
          <w:spacing w:val="-53"/>
        </w:rPr>
        <w:t> </w:t>
      </w:r>
      <w:r>
        <w:rPr>
          <w:rFonts w:ascii="宋体" w:hAnsi="宋体" w:cs="宋体" w:eastAsia="宋体" w:hint="default"/>
        </w:rPr>
        <w:t>4,854,546</w:t>
      </w:r>
    </w:p>
    <w:p>
      <w:pPr>
        <w:pStyle w:val="BodyText"/>
        <w:spacing w:line="240" w:lineRule="auto" w:before="134"/>
        <w:ind w:right="1017"/>
        <w:jc w:val="left"/>
      </w:pPr>
      <w:r>
        <w:rPr/>
        <w:t>股，成本价为</w:t>
      </w:r>
      <w:r>
        <w:rPr>
          <w:spacing w:val="-68"/>
        </w:rPr>
        <w:t> </w:t>
      </w:r>
      <w:r>
        <w:rPr>
          <w:rFonts w:ascii="宋体" w:hAnsi="宋体" w:cs="宋体" w:eastAsia="宋体" w:hint="default"/>
        </w:rPr>
        <w:t>18.82</w:t>
      </w:r>
      <w:r>
        <w:rPr>
          <w:rFonts w:ascii="宋体" w:hAnsi="宋体" w:cs="宋体" w:eastAsia="宋体" w:hint="default"/>
          <w:spacing w:val="-67"/>
        </w:rPr>
        <w:t> </w:t>
      </w:r>
      <w:r>
        <w:rPr/>
        <w:t>元，剩余资金留作备付资金。公司第一期员工持股计划已完成股票购买，所购买的股</w:t>
      </w:r>
    </w:p>
    <w:p>
      <w:pPr>
        <w:pStyle w:val="BodyText"/>
        <w:spacing w:line="240" w:lineRule="auto" w:before="133"/>
        <w:ind w:right="1017"/>
        <w:jc w:val="left"/>
      </w:pPr>
      <w:r>
        <w:rPr/>
        <w:t>票</w:t>
      </w:r>
      <w:r>
        <w:rPr>
          <w:spacing w:val="-54"/>
        </w:rPr>
        <w:t> </w:t>
      </w:r>
      <w:r>
        <w:rPr>
          <w:rFonts w:ascii="宋体" w:hAnsi="宋体" w:cs="宋体" w:eastAsia="宋体" w:hint="default"/>
        </w:rPr>
        <w:t>60%</w:t>
      </w:r>
      <w:r>
        <w:rPr/>
        <w:t>锁定期为</w:t>
      </w:r>
      <w:r>
        <w:rPr>
          <w:spacing w:val="-54"/>
        </w:rPr>
        <w:t> </w:t>
      </w:r>
      <w:r>
        <w:rPr>
          <w:rFonts w:ascii="宋体" w:hAnsi="宋体" w:cs="宋体" w:eastAsia="宋体" w:hint="default"/>
        </w:rPr>
        <w:t>12</w:t>
      </w:r>
      <w:r>
        <w:rPr>
          <w:rFonts w:ascii="宋体" w:hAnsi="宋体" w:cs="宋体" w:eastAsia="宋体" w:hint="default"/>
          <w:spacing w:val="-53"/>
        </w:rPr>
        <w:t> </w:t>
      </w:r>
      <w:r>
        <w:rPr/>
        <w:t>个月，</w:t>
      </w:r>
      <w:r>
        <w:rPr>
          <w:rFonts w:ascii="宋体" w:hAnsi="宋体" w:cs="宋体" w:eastAsia="宋体" w:hint="default"/>
        </w:rPr>
        <w:t>40%</w:t>
      </w:r>
      <w:r>
        <w:rPr/>
        <w:t>锁定期为</w:t>
      </w:r>
      <w:r>
        <w:rPr>
          <w:spacing w:val="-55"/>
        </w:rPr>
        <w:t> </w:t>
      </w:r>
      <w:r>
        <w:rPr>
          <w:rFonts w:ascii="宋体" w:hAnsi="宋体" w:cs="宋体" w:eastAsia="宋体" w:hint="default"/>
        </w:rPr>
        <w:t>24</w:t>
      </w:r>
      <w:r>
        <w:rPr>
          <w:rFonts w:ascii="宋体" w:hAnsi="宋体" w:cs="宋体" w:eastAsia="宋体" w:hint="default"/>
          <w:spacing w:val="-53"/>
        </w:rPr>
        <w:t> </w:t>
      </w:r>
      <w:r>
        <w:rPr/>
        <w:t>个月。</w:t>
      </w:r>
    </w:p>
    <w:p>
      <w:pPr>
        <w:spacing w:line="240" w:lineRule="auto" w:before="0"/>
        <w:rPr>
          <w:rFonts w:ascii="宋体" w:hAnsi="宋体" w:cs="宋体" w:eastAsia="宋体" w:hint="default"/>
          <w:sz w:val="20"/>
          <w:szCs w:val="20"/>
        </w:rPr>
      </w:pPr>
    </w:p>
    <w:p>
      <w:pPr>
        <w:pStyle w:val="Heading2"/>
        <w:spacing w:line="240" w:lineRule="auto" w:before="170"/>
        <w:ind w:right="1017"/>
        <w:jc w:val="left"/>
        <w:rPr>
          <w:b w:val="0"/>
          <w:bCs w:val="0"/>
        </w:rPr>
      </w:pPr>
      <w:bookmarkStart w:name="十九、公司子公司重大事项" w:id="99"/>
      <w:bookmarkEnd w:id="99"/>
      <w:r>
        <w:rPr>
          <w:b w:val="0"/>
          <w:bCs w:val="0"/>
        </w:rPr>
      </w:r>
      <w:r>
        <w:rPr/>
        <w:t>十九、公司子公司重大事项</w:t>
      </w:r>
      <w:r>
        <w:rPr>
          <w:b w:val="0"/>
          <w:bCs w:val="0"/>
        </w:rPr>
      </w:r>
    </w:p>
    <w:p>
      <w:pPr>
        <w:spacing w:line="240" w:lineRule="auto" w:before="5"/>
        <w:rPr>
          <w:rFonts w:ascii="宋体" w:hAnsi="宋体" w:cs="宋体" w:eastAsia="宋体" w:hint="default"/>
          <w:b/>
          <w:bCs/>
          <w:sz w:val="23"/>
          <w:szCs w:val="23"/>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97"/>
        <w:ind w:left="538" w:right="1017"/>
        <w:jc w:val="left"/>
      </w:pPr>
      <w:r>
        <w:rPr/>
        <w:t>经公司</w:t>
      </w:r>
      <w:r>
        <w:rPr>
          <w:spacing w:val="-52"/>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15</w:t>
      </w:r>
      <w:r>
        <w:rPr>
          <w:rFonts w:ascii="宋体" w:hAnsi="宋体" w:cs="宋体" w:eastAsia="宋体" w:hint="default"/>
          <w:spacing w:val="-53"/>
        </w:rPr>
        <w:t> </w:t>
      </w:r>
      <w:r>
        <w:rPr/>
        <w:t>年第二</w:t>
      </w:r>
      <w:r>
        <w:rPr>
          <w:spacing w:val="-2"/>
        </w:rPr>
        <w:t>次</w:t>
      </w:r>
      <w:r>
        <w:rPr/>
        <w:t>临时股东大会批准</w:t>
      </w:r>
      <w:r>
        <w:rPr>
          <w:spacing w:val="-93"/>
        </w:rPr>
        <w:t>，</w:t>
      </w:r>
      <w:r>
        <w:rPr/>
        <w:t>子公司达实信息投资</w:t>
      </w:r>
      <w:r>
        <w:rPr>
          <w:spacing w:val="-52"/>
        </w:rPr>
        <w:t> </w:t>
      </w:r>
      <w:r>
        <w:rPr>
          <w:rFonts w:ascii="宋体" w:hAnsi="宋体" w:cs="宋体" w:eastAsia="宋体" w:hint="default"/>
        </w:rPr>
        <w:t>74,996.00</w:t>
      </w:r>
      <w:r>
        <w:rPr>
          <w:rFonts w:ascii="宋体" w:hAnsi="宋体" w:cs="宋体" w:eastAsia="宋体" w:hint="default"/>
          <w:spacing w:val="-52"/>
        </w:rPr>
        <w:t> </w:t>
      </w:r>
      <w:r>
        <w:rPr/>
        <w:t>万元人</w:t>
      </w:r>
      <w:r>
        <w:rPr>
          <w:spacing w:val="-2"/>
        </w:rPr>
        <w:t>民</w:t>
      </w:r>
      <w:r>
        <w:rPr/>
        <w:t>币对达实大厦进行</w:t>
      </w:r>
    </w:p>
    <w:p>
      <w:pPr>
        <w:pStyle w:val="BodyText"/>
        <w:spacing w:line="240" w:lineRule="auto" w:before="133"/>
        <w:ind w:right="1017"/>
        <w:jc w:val="left"/>
      </w:pPr>
      <w:r>
        <w:rPr/>
        <w:t>扩建，预计</w:t>
      </w:r>
      <w:r>
        <w:rPr>
          <w:spacing w:val="-54"/>
        </w:rPr>
        <w:t> </w:t>
      </w:r>
      <w:r>
        <w:rPr>
          <w:rFonts w:ascii="宋体" w:hAnsi="宋体" w:cs="宋体" w:eastAsia="宋体" w:hint="default"/>
        </w:rPr>
        <w:t>2017</w:t>
      </w:r>
      <w:r>
        <w:rPr>
          <w:rFonts w:ascii="宋体" w:hAnsi="宋体" w:cs="宋体" w:eastAsia="宋体" w:hint="default"/>
          <w:spacing w:val="-54"/>
        </w:rPr>
        <w:t> </w:t>
      </w:r>
      <w:r>
        <w:rPr/>
        <w:t>年底竣工。</w:t>
      </w:r>
    </w:p>
    <w:p>
      <w:pPr>
        <w:spacing w:line="240" w:lineRule="auto" w:before="0"/>
        <w:rPr>
          <w:rFonts w:ascii="宋体" w:hAnsi="宋体" w:cs="宋体" w:eastAsia="宋体" w:hint="default"/>
          <w:sz w:val="20"/>
          <w:szCs w:val="20"/>
        </w:rPr>
      </w:pPr>
    </w:p>
    <w:p>
      <w:pPr>
        <w:pStyle w:val="Heading2"/>
        <w:spacing w:line="240" w:lineRule="auto" w:before="169"/>
        <w:ind w:right="1017"/>
        <w:jc w:val="left"/>
        <w:rPr>
          <w:b w:val="0"/>
          <w:bCs w:val="0"/>
        </w:rPr>
      </w:pPr>
      <w:bookmarkStart w:name="二十、社会责任情况" w:id="100"/>
      <w:bookmarkEnd w:id="100"/>
      <w:r>
        <w:rPr>
          <w:b w:val="0"/>
          <w:bCs w:val="0"/>
        </w:rPr>
      </w:r>
      <w:r>
        <w:rPr/>
        <w:t>二十、社会责任情况</w:t>
      </w:r>
      <w:r>
        <w:rPr>
          <w:b w:val="0"/>
          <w:bCs w:val="0"/>
        </w:rPr>
      </w:r>
    </w:p>
    <w:p>
      <w:pPr>
        <w:spacing w:line="240" w:lineRule="auto" w:before="6"/>
        <w:rPr>
          <w:rFonts w:ascii="宋体" w:hAnsi="宋体" w:cs="宋体" w:eastAsia="宋体" w:hint="default"/>
          <w:b/>
          <w:bCs/>
          <w:sz w:val="23"/>
          <w:szCs w:val="23"/>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96"/>
        <w:ind w:right="1017" w:firstLine="421"/>
        <w:jc w:val="left"/>
      </w:pPr>
      <w:r>
        <w:rPr>
          <w:spacing w:val="-1"/>
        </w:rPr>
        <w:t>公司秉承“让城市更智慧、让建筑更节能”的公司使命，致力于智慧城市顶层规划、投资、建设、运</w:t>
      </w:r>
      <w:r>
        <w:rPr/>
        <w:t> 营服务。</w:t>
      </w:r>
    </w:p>
    <w:p>
      <w:pPr>
        <w:pStyle w:val="BodyText"/>
        <w:spacing w:line="357" w:lineRule="auto"/>
        <w:ind w:right="1017" w:firstLine="421"/>
        <w:jc w:val="left"/>
      </w:pPr>
      <w:r>
        <w:rPr>
          <w:spacing w:val="-1"/>
        </w:rPr>
        <w:t>在健全公司治理结构方面，公司建立了科学有效、权责明确、相互制衡、相互协调的治理结构，获得</w:t>
      </w:r>
      <w:r>
        <w:rPr/>
        <w:t> “</w:t>
      </w:r>
      <w:r>
        <w:rPr>
          <w:rFonts w:ascii="宋体" w:hAnsi="宋体" w:cs="宋体" w:eastAsia="宋体" w:hint="default"/>
        </w:rPr>
        <w:t>2014</w:t>
      </w:r>
      <w:r>
        <w:rPr>
          <w:rFonts w:ascii="宋体" w:hAnsi="宋体" w:cs="宋体" w:eastAsia="宋体" w:hint="default"/>
          <w:spacing w:val="-53"/>
        </w:rPr>
        <w:t> </w:t>
      </w:r>
      <w:r>
        <w:rPr/>
        <w:t>福布斯中国潜力企业”称号；</w:t>
      </w:r>
    </w:p>
    <w:p>
      <w:pPr>
        <w:pStyle w:val="BodyText"/>
        <w:spacing w:line="357" w:lineRule="auto"/>
        <w:ind w:right="1092" w:firstLine="421"/>
        <w:jc w:val="left"/>
      </w:pPr>
      <w:r>
        <w:rPr/>
        <w:t>在维护投资者权益方面，公司通过组织“投资者接待日”、及时回复互动平台问询、接听咨询电话、 举办网上投资者交流会等方式，与投资者进行积极互动；</w:t>
      </w:r>
    </w:p>
    <w:p>
      <w:pPr>
        <w:pStyle w:val="BodyText"/>
        <w:spacing w:line="240" w:lineRule="auto" w:before="31"/>
        <w:ind w:left="575" w:right="0"/>
        <w:jc w:val="left"/>
      </w:pPr>
      <w:r>
        <w:rPr/>
        <w:t>在回报股东权益方面，公司实施了</w:t>
      </w:r>
      <w:r>
        <w:rPr>
          <w:spacing w:val="-56"/>
        </w:rPr>
        <w:t> </w:t>
      </w:r>
      <w:r>
        <w:rPr>
          <w:rFonts w:ascii="宋体" w:hAnsi="宋体" w:cs="宋体" w:eastAsia="宋体" w:hint="default"/>
        </w:rPr>
        <w:t>2014</w:t>
      </w:r>
      <w:r>
        <w:rPr>
          <w:rFonts w:ascii="宋体" w:hAnsi="宋体" w:cs="宋体" w:eastAsia="宋体" w:hint="default"/>
          <w:spacing w:val="-56"/>
        </w:rPr>
        <w:t> </w:t>
      </w:r>
      <w:r>
        <w:rPr/>
        <w:t>年度权益分派，向全体股东每</w:t>
      </w:r>
      <w:r>
        <w:rPr>
          <w:spacing w:val="-57"/>
        </w:rPr>
        <w:t> </w:t>
      </w:r>
      <w:r>
        <w:rPr>
          <w:rFonts w:ascii="宋体" w:hAnsi="宋体" w:cs="宋体" w:eastAsia="宋体" w:hint="default"/>
        </w:rPr>
        <w:t>10</w:t>
      </w:r>
      <w:r>
        <w:rPr>
          <w:rFonts w:ascii="宋体" w:hAnsi="宋体" w:cs="宋体" w:eastAsia="宋体" w:hint="default"/>
          <w:spacing w:val="-56"/>
        </w:rPr>
        <w:t> </w:t>
      </w:r>
      <w:r>
        <w:rPr/>
        <w:t>股转增</w:t>
      </w:r>
      <w:r>
        <w:rPr>
          <w:spacing w:val="-57"/>
        </w:rPr>
        <w:t> </w:t>
      </w:r>
      <w:r>
        <w:rPr>
          <w:rFonts w:ascii="宋体" w:hAnsi="宋体" w:cs="宋体" w:eastAsia="宋体" w:hint="default"/>
        </w:rPr>
        <w:t>12</w:t>
      </w:r>
      <w:r>
        <w:rPr>
          <w:rFonts w:ascii="宋体" w:hAnsi="宋体" w:cs="宋体" w:eastAsia="宋体" w:hint="default"/>
          <w:spacing w:val="-56"/>
        </w:rPr>
        <w:t> </w:t>
      </w:r>
      <w:r>
        <w:rPr/>
        <w:t>股派</w:t>
      </w:r>
      <w:r>
        <w:rPr>
          <w:spacing w:val="-58"/>
        </w:rPr>
        <w:t> </w:t>
      </w:r>
      <w:r>
        <w:rPr>
          <w:rFonts w:ascii="宋体" w:hAnsi="宋体" w:cs="宋体" w:eastAsia="宋体" w:hint="default"/>
        </w:rPr>
        <w:t>1</w:t>
      </w:r>
      <w:r>
        <w:rPr>
          <w:rFonts w:ascii="宋体" w:hAnsi="宋体" w:cs="宋体" w:eastAsia="宋体" w:hint="default"/>
          <w:spacing w:val="-57"/>
        </w:rPr>
        <w:t> </w:t>
      </w:r>
      <w:r>
        <w:rPr/>
        <w:t>元（含税）</w:t>
      </w:r>
    </w:p>
    <w:p>
      <w:pPr>
        <w:pStyle w:val="BodyText"/>
        <w:spacing w:line="240" w:lineRule="auto" w:before="133"/>
        <w:ind w:right="1017"/>
        <w:jc w:val="left"/>
      </w:pPr>
      <w:r>
        <w:rPr/>
        <w:t>现金，自上市后连续</w:t>
      </w:r>
      <w:r>
        <w:rPr>
          <w:spacing w:val="-52"/>
        </w:rPr>
        <w:t> </w:t>
      </w:r>
      <w:r>
        <w:rPr>
          <w:rFonts w:ascii="宋体" w:hAnsi="宋体" w:cs="宋体" w:eastAsia="宋体" w:hint="default"/>
        </w:rPr>
        <w:t>5</w:t>
      </w:r>
      <w:r>
        <w:rPr>
          <w:rFonts w:ascii="宋体" w:hAnsi="宋体" w:cs="宋体" w:eastAsia="宋体" w:hint="default"/>
          <w:spacing w:val="-53"/>
        </w:rPr>
        <w:t> </w:t>
      </w:r>
      <w:r>
        <w:rPr/>
        <w:t>年实施了分派方案；</w:t>
      </w:r>
    </w:p>
    <w:p>
      <w:pPr>
        <w:pStyle w:val="BodyText"/>
        <w:spacing w:line="355" w:lineRule="auto" w:before="134"/>
        <w:ind w:left="154" w:right="1147" w:firstLine="421"/>
        <w:jc w:val="left"/>
      </w:pPr>
      <w:r>
        <w:rPr/>
        <w:t>在履行信息披露义务方面，公司报告期内共完成</w:t>
      </w:r>
      <w:r>
        <w:rPr>
          <w:spacing w:val="-54"/>
        </w:rPr>
        <w:t> </w:t>
      </w:r>
      <w:r>
        <w:rPr>
          <w:rFonts w:ascii="宋体" w:hAnsi="宋体" w:cs="宋体" w:eastAsia="宋体" w:hint="default"/>
        </w:rPr>
        <w:t>86</w:t>
      </w:r>
      <w:r>
        <w:rPr>
          <w:rFonts w:ascii="宋体" w:hAnsi="宋体" w:cs="宋体" w:eastAsia="宋体" w:hint="default"/>
          <w:spacing w:val="-54"/>
        </w:rPr>
        <w:t> </w:t>
      </w:r>
      <w:r>
        <w:rPr/>
        <w:t>次信息披露，坚持了适当的主动性披露，</w:t>
      </w:r>
      <w:r>
        <w:rPr>
          <w:rFonts w:ascii="宋体" w:hAnsi="宋体" w:cs="宋体" w:eastAsia="宋体" w:hint="default"/>
        </w:rPr>
        <w:t>2014</w:t>
      </w:r>
      <w:r>
        <w:rPr>
          <w:rFonts w:ascii="宋体" w:hAnsi="宋体" w:cs="宋体" w:eastAsia="宋体" w:hint="default"/>
          <w:spacing w:val="-53"/>
        </w:rPr>
        <w:t> </w:t>
      </w:r>
      <w:r>
        <w:rPr/>
        <w:t>年 度信息披露考核结果为</w:t>
      </w:r>
      <w:r>
        <w:rPr>
          <w:spacing w:val="-53"/>
        </w:rPr>
        <w:t> </w:t>
      </w:r>
      <w:r>
        <w:rPr>
          <w:rFonts w:ascii="宋体" w:hAnsi="宋体" w:cs="宋体" w:eastAsia="宋体" w:hint="default"/>
        </w:rPr>
        <w:t>B</w:t>
      </w:r>
      <w:r>
        <w:rPr/>
        <w:t>；</w:t>
      </w:r>
    </w:p>
    <w:p>
      <w:pPr>
        <w:pStyle w:val="BodyText"/>
        <w:spacing w:line="355" w:lineRule="auto" w:before="33"/>
        <w:ind w:right="1202" w:firstLine="421"/>
        <w:jc w:val="left"/>
      </w:pPr>
      <w:r>
        <w:rPr/>
        <w:t>在诚信经营、确保产品与服务质量方面，公司连续十三年被评为</w:t>
      </w:r>
      <w:r>
        <w:rPr>
          <w:spacing w:val="-54"/>
        </w:rPr>
        <w:t> </w:t>
      </w:r>
      <w:r>
        <w:rPr>
          <w:rFonts w:ascii="宋体" w:hAnsi="宋体" w:cs="宋体" w:eastAsia="宋体" w:hint="default"/>
        </w:rPr>
        <w:t>AAA</w:t>
      </w:r>
      <w:r>
        <w:rPr>
          <w:rFonts w:ascii="宋体" w:hAnsi="宋体" w:cs="宋体" w:eastAsia="宋体" w:hint="default"/>
          <w:spacing w:val="-54"/>
        </w:rPr>
        <w:t> </w:t>
      </w:r>
      <w:r>
        <w:rPr/>
        <w:t>资信等级，实施的</w:t>
      </w:r>
      <w:r>
        <w:rPr>
          <w:spacing w:val="-2"/>
        </w:rPr>
        <w:t> </w:t>
      </w:r>
      <w:r>
        <w:rPr/>
        <w:t>“东莞名气</w:t>
      </w:r>
      <w:r>
        <w:rPr/>
        <w:t> 通联合金融数据中心项目”荣获</w:t>
      </w:r>
      <w:r>
        <w:rPr>
          <w:spacing w:val="-55"/>
        </w:rPr>
        <w:t> </w:t>
      </w:r>
      <w:r>
        <w:rPr>
          <w:rFonts w:ascii="宋体" w:hAnsi="宋体" w:cs="宋体" w:eastAsia="宋体" w:hint="default"/>
        </w:rPr>
        <w:t>2015</w:t>
      </w:r>
      <w:r>
        <w:rPr>
          <w:rFonts w:ascii="宋体" w:hAnsi="宋体" w:cs="宋体" w:eastAsia="宋体" w:hint="default"/>
          <w:spacing w:val="-55"/>
        </w:rPr>
        <w:t> </w:t>
      </w:r>
      <w:r>
        <w:rPr/>
        <w:t>年“中国数据中心施工质量奖”；</w:t>
      </w:r>
    </w:p>
    <w:p>
      <w:pPr>
        <w:pStyle w:val="BodyText"/>
        <w:spacing w:line="357" w:lineRule="auto" w:before="32"/>
        <w:ind w:right="1197" w:firstLine="421"/>
        <w:jc w:val="left"/>
      </w:pPr>
      <w:r>
        <w:rPr/>
        <w:t>在可持续发展与节约资源方面，公司推出建筑节能与工业节能产品，以合同能源管理（</w:t>
      </w:r>
      <w:r>
        <w:rPr>
          <w:rFonts w:ascii="宋体" w:hAnsi="宋体" w:cs="宋体" w:eastAsia="宋体" w:hint="default"/>
        </w:rPr>
        <w:t>EPC</w:t>
      </w:r>
      <w:r>
        <w:rPr/>
        <w:t>）投资方 式，帮助客户实现节能减排；</w:t>
      </w:r>
    </w:p>
    <w:p>
      <w:pPr>
        <w:pStyle w:val="BodyText"/>
        <w:spacing w:line="240" w:lineRule="auto"/>
        <w:ind w:left="575" w:right="1017"/>
        <w:jc w:val="left"/>
      </w:pPr>
      <w:r>
        <w:rPr/>
        <w:t>在职工权益保护方面，公司为员工购买“五险”、商业保险及住房公积金，积极做好劳动安全防护措</w:t>
      </w:r>
    </w:p>
    <w:p>
      <w:pPr>
        <w:pStyle w:val="BodyText"/>
        <w:spacing w:line="240" w:lineRule="auto" w:before="134"/>
        <w:ind w:right="1017"/>
        <w:jc w:val="left"/>
      </w:pPr>
      <w:r>
        <w:rPr/>
        <w:t>施；</w:t>
      </w:r>
    </w:p>
    <w:p>
      <w:pPr>
        <w:pStyle w:val="BodyText"/>
        <w:spacing w:line="240" w:lineRule="auto" w:before="133"/>
        <w:ind w:left="575" w:right="1017"/>
        <w:jc w:val="left"/>
      </w:pPr>
      <w:r>
        <w:rPr/>
        <w:t>在节能宣传方面，公司利用被评为广东省、深圳市的建筑节能科普教育基地的展厅，宣传了节能科普</w:t>
      </w:r>
    </w:p>
    <w:p>
      <w:pPr>
        <w:pStyle w:val="BodyText"/>
        <w:spacing w:line="240" w:lineRule="auto" w:before="134"/>
        <w:ind w:left="154" w:right="1017"/>
        <w:jc w:val="left"/>
      </w:pPr>
      <w:r>
        <w:rPr/>
        <w:t>知识。</w:t>
      </w:r>
    </w:p>
    <w:p>
      <w:pPr>
        <w:spacing w:line="240" w:lineRule="auto" w:before="10"/>
        <w:rPr>
          <w:rFonts w:ascii="宋体" w:hAnsi="宋体" w:cs="宋体" w:eastAsia="宋体" w:hint="default"/>
          <w:sz w:val="16"/>
          <w:szCs w:val="16"/>
        </w:rPr>
      </w:pPr>
    </w:p>
    <w:p>
      <w:pPr>
        <w:spacing w:before="0"/>
        <w:ind w:left="154" w:right="1017"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before="117"/>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1017"/>
        <w:jc w:val="left"/>
        <w:rPr>
          <w:b w:val="0"/>
          <w:bCs w:val="0"/>
        </w:rPr>
      </w:pPr>
      <w:bookmarkStart w:name="二十一、公司债券相关情况" w:id="101"/>
      <w:bookmarkEnd w:id="101"/>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65" w:right="1017"/>
        <w:jc w:val="left"/>
        <w:rPr>
          <w:b w:val="0"/>
          <w:bCs w:val="0"/>
        </w:rPr>
      </w:pPr>
      <w:bookmarkStart w:name="第六节 股份变动及股东情况" w:id="102"/>
      <w:bookmarkEnd w:id="102"/>
      <w:r>
        <w:rPr>
          <w:b w:val="0"/>
          <w:bCs w:val="0"/>
        </w:rPr>
      </w:r>
      <w:bookmarkStart w:name="_bookmark5" w:id="103"/>
      <w:bookmarkEnd w:id="103"/>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17"/>
        <w:jc w:val="left"/>
        <w:rPr>
          <w:b w:val="0"/>
          <w:bCs w:val="0"/>
        </w:rPr>
      </w:pPr>
      <w:bookmarkStart w:name="一、股份变动情况" w:id="104"/>
      <w:bookmarkEnd w:id="104"/>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68"/>
        <w:gridCol w:w="992"/>
        <w:gridCol w:w="742"/>
        <w:gridCol w:w="924"/>
        <w:gridCol w:w="490"/>
        <w:gridCol w:w="979"/>
        <w:gridCol w:w="869"/>
        <w:gridCol w:w="980"/>
        <w:gridCol w:w="980"/>
        <w:gridCol w:w="739"/>
      </w:tblGrid>
      <w:tr>
        <w:trPr>
          <w:trHeight w:val="205" w:hRule="exact"/>
        </w:trPr>
        <w:tc>
          <w:tcPr>
            <w:tcW w:w="18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4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2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868" w:type="dxa"/>
            <w:vMerge w:val="restart"/>
            <w:tcBorders>
              <w:top w:val="nil" w:sz="6" w:space="0" w:color="auto"/>
              <w:left w:val="single" w:sz="4" w:space="0" w:color="000000"/>
              <w:right w:val="single" w:sz="4" w:space="0" w:color="000000"/>
            </w:tcBorders>
            <w:shd w:val="clear" w:color="auto" w:fill="D2D2D2"/>
          </w:tcPr>
          <w:p>
            <w:pPr/>
          </w:p>
        </w:tc>
        <w:tc>
          <w:tcPr>
            <w:tcW w:w="1733" w:type="dxa"/>
            <w:gridSpan w:val="2"/>
            <w:vMerge/>
            <w:tcBorders>
              <w:left w:val="single" w:sz="4" w:space="0" w:color="000000"/>
              <w:bottom w:val="single" w:sz="4" w:space="0" w:color="000000"/>
              <w:right w:val="single" w:sz="4" w:space="0" w:color="000000"/>
            </w:tcBorders>
            <w:shd w:val="clear" w:color="auto" w:fill="D2D2D2"/>
          </w:tcPr>
          <w:p>
            <w:pPr/>
          </w:p>
        </w:tc>
        <w:tc>
          <w:tcPr>
            <w:tcW w:w="4242" w:type="dxa"/>
            <w:gridSpan w:val="5"/>
            <w:vMerge/>
            <w:tcBorders>
              <w:left w:val="single" w:sz="4" w:space="0" w:color="000000"/>
              <w:bottom w:val="single" w:sz="4" w:space="0" w:color="000000"/>
              <w:right w:val="single" w:sz="4" w:space="0" w:color="000000"/>
            </w:tcBorders>
            <w:shd w:val="clear" w:color="auto" w:fill="D2D2D2"/>
          </w:tcPr>
          <w:p>
            <w:pPr/>
          </w:p>
        </w:tc>
        <w:tc>
          <w:tcPr>
            <w:tcW w:w="172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68"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8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742"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97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980" w:type="dxa"/>
            <w:vMerge/>
            <w:tcBorders>
              <w:left w:val="single" w:sz="4" w:space="0" w:color="000000"/>
              <w:bottom w:val="single" w:sz="4" w:space="0" w:color="000000"/>
              <w:right w:val="single" w:sz="4" w:space="0" w:color="000000"/>
            </w:tcBorders>
            <w:shd w:val="clear" w:color="auto" w:fill="D2D2D2"/>
          </w:tcPr>
          <w:p>
            <w:pPr/>
          </w:p>
        </w:tc>
        <w:tc>
          <w:tcPr>
            <w:tcW w:w="980" w:type="dxa"/>
            <w:vMerge/>
            <w:tcBorders>
              <w:left w:val="single" w:sz="4" w:space="0" w:color="000000"/>
              <w:bottom w:val="single" w:sz="4" w:space="0" w:color="000000"/>
              <w:right w:val="single" w:sz="4" w:space="0" w:color="000000"/>
            </w:tcBorders>
            <w:shd w:val="clear" w:color="auto" w:fill="D2D2D2"/>
          </w:tcPr>
          <w:p>
            <w:pPr/>
          </w:p>
        </w:tc>
        <w:tc>
          <w:tcPr>
            <w:tcW w:w="73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z w:val="18"/>
              </w:rPr>
              <w:t>51,606,550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72,762,792</w:t>
            </w:r>
          </w:p>
        </w:tc>
        <w:tc>
          <w:tcPr>
            <w:tcW w:w="49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68,390,455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-4,900,929</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136,252,318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187,858,868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29.24%</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z w:val="18"/>
              </w:rPr>
              <w:t>51,606,550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72,762,792</w:t>
            </w:r>
          </w:p>
        </w:tc>
        <w:tc>
          <w:tcPr>
            <w:tcW w:w="49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68,390,455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-4,900,929</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136,252,318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187,858,868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29.24%</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92" w:type="dxa"/>
            <w:tcBorders>
              <w:top w:val="single" w:sz="4" w:space="0" w:color="000000"/>
              <w:left w:val="single" w:sz="9" w:space="0" w:color="D2D2D2"/>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12,038,132</w:t>
            </w:r>
          </w:p>
        </w:tc>
        <w:tc>
          <w:tcPr>
            <w:tcW w:w="49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12,038,132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center"/>
              <w:rPr>
                <w:rFonts w:ascii="Times New Roman" w:hAnsi="Times New Roman" w:cs="Times New Roman" w:eastAsia="Times New Roman" w:hint="default"/>
                <w:sz w:val="18"/>
                <w:szCs w:val="18"/>
              </w:rPr>
            </w:pPr>
            <w:r>
              <w:rPr>
                <w:rFonts w:ascii="Times New Roman"/>
                <w:sz w:val="18"/>
              </w:rPr>
              <w:t>12,038,132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z w:val="18"/>
              </w:rPr>
              <w:t>51,606,550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60,724,660</w:t>
            </w:r>
          </w:p>
        </w:tc>
        <w:tc>
          <w:tcPr>
            <w:tcW w:w="49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68,390,455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-4,900,929</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124,214,186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175,820,736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27.37%</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204,193,450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79.83%</w:t>
            </w:r>
          </w:p>
        </w:tc>
        <w:tc>
          <w:tcPr>
            <w:tcW w:w="92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245,529,545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4,900,929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250,430,474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454,623,924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70.76%</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204,193,450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79.83%</w:t>
            </w:r>
          </w:p>
        </w:tc>
        <w:tc>
          <w:tcPr>
            <w:tcW w:w="92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245,529,545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4,900,929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250,430,474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454,623,924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70.76%</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255,800,000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72,762,792</w:t>
            </w:r>
          </w:p>
        </w:tc>
        <w:tc>
          <w:tcPr>
            <w:tcW w:w="49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313,920,000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386,682,792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642,482,792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5" w:lineRule="auto" w:before="56"/>
        <w:ind w:right="1125" w:firstLine="420"/>
        <w:jc w:val="left"/>
      </w:pPr>
      <w:r>
        <w:rPr>
          <w:rFonts w:ascii="宋体" w:hAnsi="宋体" w:cs="宋体" w:eastAsia="宋体" w:hint="default"/>
          <w:spacing w:val="-4"/>
        </w:rPr>
        <w:t>1</w:t>
      </w:r>
      <w:r>
        <w:rPr>
          <w:spacing w:val="-4"/>
        </w:rPr>
        <w:t>、公司第二期限制性股票激励计划首次授予的股份于</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6</w:t>
      </w:r>
      <w:r>
        <w:rPr>
          <w:rFonts w:ascii="宋体" w:hAnsi="宋体" w:cs="宋体" w:eastAsia="宋体" w:hint="default"/>
          <w:spacing w:val="-53"/>
        </w:rPr>
        <w:t> </w:t>
      </w:r>
      <w:r>
        <w:rPr>
          <w:spacing w:val="-7"/>
        </w:rPr>
        <w:t>日上市，新增有限售条件股份</w:t>
      </w:r>
      <w:r>
        <w:rPr>
          <w:spacing w:val="-52"/>
        </w:rPr>
        <w:t> </w:t>
      </w:r>
      <w:r>
        <w:rPr>
          <w:rFonts w:ascii="宋体" w:hAnsi="宋体" w:cs="宋体" w:eastAsia="宋体" w:hint="default"/>
        </w:rPr>
        <w:t>580 </w:t>
      </w:r>
      <w:r>
        <w:rPr/>
        <w:t>万股；</w:t>
      </w:r>
    </w:p>
    <w:p>
      <w:pPr>
        <w:pStyle w:val="BodyText"/>
        <w:spacing w:line="240" w:lineRule="auto" w:before="33"/>
        <w:ind w:left="574" w:right="1017"/>
        <w:jc w:val="left"/>
      </w:pPr>
      <w:r>
        <w:rPr>
          <w:rFonts w:ascii="宋体" w:hAnsi="宋体" w:cs="宋体" w:eastAsia="宋体" w:hint="default"/>
        </w:rPr>
        <w:t>2</w:t>
      </w:r>
      <w:r>
        <w:rPr/>
        <w:t>、公司</w:t>
      </w:r>
      <w:r>
        <w:rPr>
          <w:spacing w:val="-55"/>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5"/>
        </w:rPr>
        <w:t> </w:t>
      </w:r>
      <w:r>
        <w:rPr>
          <w:rFonts w:ascii="宋体" w:hAnsi="宋体" w:cs="宋体" w:eastAsia="宋体" w:hint="default"/>
        </w:rPr>
        <w:t>12</w:t>
      </w:r>
      <w:r>
        <w:rPr>
          <w:rFonts w:ascii="宋体" w:hAnsi="宋体" w:cs="宋体" w:eastAsia="宋体" w:hint="default"/>
          <w:spacing w:val="-53"/>
        </w:rPr>
        <w:t> </w:t>
      </w:r>
      <w:r>
        <w:rPr/>
        <w:t>日实施了</w:t>
      </w:r>
      <w:r>
        <w:rPr>
          <w:spacing w:val="-55"/>
        </w:rPr>
        <w:t> </w:t>
      </w:r>
      <w:r>
        <w:rPr>
          <w:rFonts w:ascii="宋体" w:hAnsi="宋体" w:cs="宋体" w:eastAsia="宋体" w:hint="default"/>
        </w:rPr>
        <w:t>2014</w:t>
      </w:r>
      <w:r>
        <w:rPr>
          <w:rFonts w:ascii="宋体" w:hAnsi="宋体" w:cs="宋体" w:eastAsia="宋体" w:hint="default"/>
          <w:spacing w:val="-52"/>
        </w:rPr>
        <w:t> </w:t>
      </w:r>
      <w:r>
        <w:rPr/>
        <w:t>年度权益分派，以公积金转增股份</w:t>
      </w:r>
      <w:r>
        <w:rPr>
          <w:spacing w:val="-53"/>
        </w:rPr>
        <w:t> </w:t>
      </w:r>
      <w:r>
        <w:rPr>
          <w:rFonts w:ascii="宋体" w:hAnsi="宋体" w:cs="宋体" w:eastAsia="宋体" w:hint="default"/>
        </w:rPr>
        <w:t>313,920,000</w:t>
      </w:r>
      <w:r>
        <w:rPr>
          <w:rFonts w:ascii="宋体" w:hAnsi="宋体" w:cs="宋体" w:eastAsia="宋体" w:hint="default"/>
          <w:spacing w:val="-53"/>
        </w:rPr>
        <w:t> </w:t>
      </w:r>
      <w:r>
        <w:rPr/>
        <w:t>股；</w:t>
      </w:r>
    </w:p>
    <w:p>
      <w:pPr>
        <w:pStyle w:val="BodyText"/>
        <w:spacing w:line="357" w:lineRule="auto" w:before="133"/>
        <w:ind w:right="1127" w:firstLine="420"/>
        <w:jc w:val="left"/>
      </w:pPr>
      <w:r>
        <w:rPr>
          <w:rFonts w:ascii="宋体" w:hAnsi="宋体" w:cs="宋体" w:eastAsia="宋体" w:hint="default"/>
          <w:spacing w:val="-3"/>
        </w:rPr>
        <w:t>3</w:t>
      </w:r>
      <w:r>
        <w:rPr>
          <w:spacing w:val="-3"/>
        </w:rPr>
        <w:t>、公司第一期限制性股票第三个解锁期解锁条件成立，</w:t>
      </w:r>
      <w:r>
        <w:rPr>
          <w:rFonts w:ascii="宋体" w:hAnsi="宋体" w:cs="宋体" w:eastAsia="宋体" w:hint="default"/>
          <w:spacing w:val="-3"/>
        </w:rPr>
        <w:t>528</w:t>
      </w:r>
      <w:r>
        <w:rPr>
          <w:rFonts w:ascii="宋体" w:hAnsi="宋体" w:cs="宋体" w:eastAsia="宋体" w:hint="default"/>
          <w:spacing w:val="-52"/>
        </w:rPr>
        <w:t> </w:t>
      </w:r>
      <w:r>
        <w:rPr/>
        <w:t>万股限制性股票于</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rPr>
        <w:t>29</w:t>
      </w:r>
      <w:r>
        <w:rPr>
          <w:rFonts w:ascii="宋体" w:hAnsi="宋体" w:cs="宋体" w:eastAsia="宋体" w:hint="default"/>
          <w:spacing w:val="-53"/>
        </w:rPr>
        <w:t> </w:t>
      </w:r>
      <w:r>
        <w:rPr/>
        <w:t>日解除 限售，高管持有的股份按照深交所的相关规定进行了锁定；</w:t>
      </w:r>
    </w:p>
    <w:p>
      <w:pPr>
        <w:pStyle w:val="BodyText"/>
        <w:spacing w:line="240" w:lineRule="auto"/>
        <w:ind w:left="574" w:right="1017"/>
        <w:jc w:val="left"/>
      </w:pPr>
      <w:r>
        <w:rPr>
          <w:rFonts w:ascii="宋体" w:hAnsi="宋体" w:cs="宋体" w:eastAsia="宋体" w:hint="default"/>
        </w:rPr>
        <w:t>4</w:t>
      </w:r>
      <w:r>
        <w:rPr/>
        <w:t>、公司向</w:t>
      </w:r>
      <w:r>
        <w:rPr>
          <w:spacing w:val="-55"/>
        </w:rPr>
        <w:t> </w:t>
      </w:r>
      <w:r>
        <w:rPr>
          <w:rFonts w:ascii="宋体" w:hAnsi="宋体" w:cs="宋体" w:eastAsia="宋体" w:hint="default"/>
        </w:rPr>
        <w:t>12</w:t>
      </w:r>
      <w:r>
        <w:rPr>
          <w:rFonts w:ascii="宋体" w:hAnsi="宋体" w:cs="宋体" w:eastAsia="宋体" w:hint="default"/>
          <w:spacing w:val="-54"/>
        </w:rPr>
        <w:t> </w:t>
      </w:r>
      <w:r>
        <w:rPr/>
        <w:t>名交易对象发行</w:t>
      </w:r>
      <w:r>
        <w:rPr>
          <w:spacing w:val="-55"/>
        </w:rPr>
        <w:t> </w:t>
      </w:r>
      <w:r>
        <w:rPr>
          <w:rFonts w:ascii="宋体" w:hAnsi="宋体" w:cs="宋体" w:eastAsia="宋体" w:hint="default"/>
        </w:rPr>
        <w:t>46,094,860</w:t>
      </w:r>
      <w:r>
        <w:rPr>
          <w:rFonts w:ascii="宋体" w:hAnsi="宋体" w:cs="宋体" w:eastAsia="宋体" w:hint="default"/>
          <w:spacing w:val="-54"/>
        </w:rPr>
        <w:t> </w:t>
      </w:r>
      <w:r>
        <w:rPr/>
        <w:t>股及支付现金的方式购买久信医疗</w:t>
      </w:r>
      <w:r>
        <w:rPr>
          <w:spacing w:val="-54"/>
        </w:rPr>
        <w:t> </w:t>
      </w:r>
      <w:r>
        <w:rPr>
          <w:rFonts w:ascii="宋体" w:hAnsi="宋体" w:cs="宋体" w:eastAsia="宋体" w:hint="default"/>
        </w:rPr>
        <w:t>100%</w:t>
      </w:r>
      <w:r>
        <w:rPr/>
        <w:t>的股权，同时向高</w:t>
      </w:r>
    </w:p>
    <w:p>
      <w:pPr>
        <w:pStyle w:val="BodyText"/>
        <w:spacing w:line="355" w:lineRule="auto" w:before="134"/>
        <w:ind w:left="574" w:right="3406" w:hanging="420"/>
        <w:jc w:val="left"/>
      </w:pPr>
      <w:r>
        <w:rPr/>
        <w:t>管发行</w:t>
      </w:r>
      <w:r>
        <w:rPr>
          <w:spacing w:val="-53"/>
        </w:rPr>
        <w:t> </w:t>
      </w:r>
      <w:r>
        <w:rPr>
          <w:rFonts w:ascii="宋体" w:hAnsi="宋体" w:cs="宋体" w:eastAsia="宋体" w:hint="default"/>
        </w:rPr>
        <w:t>20,867,932</w:t>
      </w:r>
      <w:r>
        <w:rPr>
          <w:rFonts w:ascii="宋体" w:hAnsi="宋体" w:cs="宋体" w:eastAsia="宋体" w:hint="default"/>
          <w:spacing w:val="-54"/>
        </w:rPr>
        <w:t> </w:t>
      </w:r>
      <w:r>
        <w:rPr/>
        <w:t>股募集配套资金，合计新增有限售条件股份</w:t>
      </w:r>
      <w:r>
        <w:rPr>
          <w:spacing w:val="-53"/>
        </w:rPr>
        <w:t> </w:t>
      </w:r>
      <w:r>
        <w:rPr>
          <w:rFonts w:ascii="宋体" w:hAnsi="宋体" w:cs="宋体" w:eastAsia="宋体" w:hint="default"/>
        </w:rPr>
        <w:t>66,962,792</w:t>
      </w:r>
      <w:r>
        <w:rPr>
          <w:rFonts w:ascii="宋体" w:hAnsi="宋体" w:cs="宋体" w:eastAsia="宋体" w:hint="default"/>
          <w:spacing w:val="-54"/>
        </w:rPr>
        <w:t> </w:t>
      </w:r>
      <w:r>
        <w:rPr/>
        <w:t>股； </w:t>
      </w:r>
      <w:r>
        <w:rPr>
          <w:rFonts w:ascii="宋体" w:hAnsi="宋体" w:cs="宋体" w:eastAsia="宋体" w:hint="default"/>
        </w:rPr>
        <w:t>5</w:t>
      </w:r>
      <w:r>
        <w:rPr/>
        <w:t>、离任监事的高管锁定股解除限售。</w:t>
      </w:r>
    </w:p>
    <w:p>
      <w:pPr>
        <w:spacing w:before="118"/>
        <w:ind w:left="154" w:right="1017"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75"/>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97"/>
        <w:ind w:left="514" w:right="1017"/>
        <w:jc w:val="left"/>
      </w:pPr>
      <w:r>
        <w:rPr>
          <w:rFonts w:ascii="宋体" w:hAnsi="宋体" w:cs="宋体" w:eastAsia="宋体" w:hint="default"/>
        </w:rPr>
        <w:t>1</w:t>
      </w:r>
      <w:r>
        <w:rPr/>
        <w:t>、第二期限制性股票激励计划首次授予股份事宜已经公司第五届董事会第十四次会议审议批准；</w:t>
      </w:r>
    </w:p>
    <w:p>
      <w:pPr>
        <w:pStyle w:val="BodyText"/>
        <w:spacing w:line="240" w:lineRule="auto" w:before="133"/>
        <w:ind w:left="574" w:right="1017"/>
        <w:jc w:val="left"/>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55"/>
        </w:rPr>
        <w:t> </w:t>
      </w:r>
      <w:r>
        <w:rPr/>
        <w:t>年度权益分派方案已经公司</w:t>
      </w:r>
      <w:r>
        <w:rPr>
          <w:spacing w:val="-53"/>
        </w:rPr>
        <w:t> </w:t>
      </w:r>
      <w:r>
        <w:rPr>
          <w:rFonts w:ascii="宋体" w:hAnsi="宋体" w:cs="宋体" w:eastAsia="宋体" w:hint="default"/>
        </w:rPr>
        <w:t>2014</w:t>
      </w:r>
      <w:r>
        <w:rPr>
          <w:rFonts w:ascii="宋体" w:hAnsi="宋体" w:cs="宋体" w:eastAsia="宋体" w:hint="default"/>
          <w:spacing w:val="-54"/>
        </w:rPr>
        <w:t> </w:t>
      </w:r>
      <w:r>
        <w:rPr/>
        <w:t>年度股东大会审议批准；</w:t>
      </w:r>
    </w:p>
    <w:p>
      <w:pPr>
        <w:pStyle w:val="BodyText"/>
        <w:spacing w:line="357" w:lineRule="auto" w:before="134"/>
        <w:ind w:left="154" w:right="1197" w:firstLine="420"/>
        <w:jc w:val="left"/>
      </w:pPr>
      <w:r>
        <w:rPr>
          <w:rFonts w:ascii="宋体" w:hAnsi="宋体" w:cs="宋体" w:eastAsia="宋体" w:hint="default"/>
        </w:rPr>
        <w:t>3</w:t>
      </w:r>
      <w:r>
        <w:rPr/>
        <w:t>、第一期限制性股票激励计划第三个解锁期解锁条件满足，股份上市流通事宜已经公司第五届董事 会第二十四次会议审议批准；</w:t>
      </w:r>
    </w:p>
    <w:p>
      <w:pPr>
        <w:pStyle w:val="BodyText"/>
        <w:spacing w:line="355" w:lineRule="auto" w:before="31"/>
        <w:ind w:right="1147" w:firstLine="420"/>
        <w:jc w:val="left"/>
      </w:pPr>
      <w:r>
        <w:rPr>
          <w:rFonts w:ascii="宋体" w:hAnsi="宋体" w:cs="宋体" w:eastAsia="宋体" w:hint="default"/>
        </w:rPr>
        <w:t>4</w:t>
      </w:r>
      <w:r>
        <w:rPr/>
        <w:t>、</w:t>
      </w:r>
      <w:r>
        <w:rPr>
          <w:rFonts w:ascii="宋体" w:hAnsi="宋体" w:cs="宋体" w:eastAsia="宋体" w:hint="default"/>
        </w:rPr>
        <w:t>2015</w:t>
      </w:r>
      <w:r>
        <w:rPr>
          <w:rFonts w:ascii="宋体" w:hAnsi="宋体" w:cs="宋体" w:eastAsia="宋体" w:hint="default"/>
          <w:spacing w:val="-54"/>
        </w:rPr>
        <w:t> </w:t>
      </w:r>
      <w:r>
        <w:rPr/>
        <w:t>年重大资产重组方案已经中国证券监督管理委员会《关于核准深圳达实智能股份有限公司向 房志刚等发行股份购买资产并募集配套资金的批复》（证监许可</w:t>
      </w:r>
      <w:r>
        <w:rPr>
          <w:rFonts w:ascii="宋体" w:hAnsi="宋体" w:cs="宋体" w:eastAsia="宋体" w:hint="default"/>
        </w:rPr>
        <w:t>[2015]2471</w:t>
      </w:r>
      <w:r>
        <w:rPr>
          <w:rFonts w:ascii="宋体" w:hAnsi="宋体" w:cs="宋体" w:eastAsia="宋体" w:hint="default"/>
          <w:spacing w:val="-1"/>
        </w:rPr>
        <w:t> </w:t>
      </w:r>
      <w:r>
        <w:rPr/>
        <w:t>号）核准；</w:t>
      </w:r>
    </w:p>
    <w:p>
      <w:pPr>
        <w:spacing w:after="0" w:line="355" w:lineRule="auto"/>
        <w:jc w:val="left"/>
        <w:sectPr>
          <w:pgSz w:w="11910" w:h="16840"/>
          <w:pgMar w:header="877" w:footer="1019" w:top="1100" w:bottom="1200" w:left="980" w:right="0"/>
        </w:sectPr>
      </w:pPr>
    </w:p>
    <w:p>
      <w:pPr>
        <w:spacing w:line="240" w:lineRule="auto" w:before="2"/>
        <w:rPr>
          <w:rFonts w:ascii="宋体" w:hAnsi="宋体" w:cs="宋体" w:eastAsia="宋体" w:hint="default"/>
          <w:sz w:val="19"/>
          <w:szCs w:val="19"/>
        </w:rPr>
      </w:pPr>
      <w:r>
        <w:rPr/>
        <w:pict>
          <v:shape style="position:absolute;margin-left:98.760002pt;margin-top:712.97998pt;width:106.2pt;height:14.65pt;mso-position-horizontal-relative:page;mso-position-vertical-relative:page;z-index:-95610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南京优势、</w:t>
                  </w:r>
                </w:p>
              </w:txbxContent>
            </v:textbox>
            <w10:wrap type="none"/>
          </v:shape>
        </w:pict>
      </w:r>
      <w:r>
        <w:rPr/>
        <w:pict>
          <v:group style="position:absolute;margin-left:140.960007pt;margin-top:712.97998pt;width:64pt;height:34.8pt;mso-position-horizontal-relative:page;mso-position-vertical-relative:page;z-index:-956080" coordorigin="2819,14260" coordsize="1280,696">
            <v:group style="position:absolute;left:2819;top:14260;width:1280;height:293" coordorigin="2819,14260" coordsize="1280,293">
              <v:shape style="position:absolute;left:2819;top:14260;width:1280;height:293" coordorigin="2819,14260" coordsize="1280,293" path="m2819,14552l4098,14552,4098,14260,2819,14260,2819,14552xe" filled="true" fillcolor="#ffffff" stroked="false">
                <v:path arrowok="t"/>
                <v:fill type="solid"/>
              </v:shape>
            </v:group>
            <v:group style="position:absolute;left:2831;top:14552;width:2;height:392" coordorigin="2831,14552" coordsize="2,392">
              <v:shape style="position:absolute;left:2831;top:14552;width:2;height:392" coordorigin="2831,14552" coordsize="0,392" path="m2831,14552l2831,14944e" filled="false" stroked="true" strokeweight="1.140pt" strokecolor="#ffffff">
                <v:path arrowok="t"/>
              </v:shape>
            </v:group>
            <v:group style="position:absolute;left:2842;top:14552;width:1234;height:392" coordorigin="2842,14552" coordsize="1234,392">
              <v:shape style="position:absolute;left:2842;top:14552;width:1234;height:392" coordorigin="2842,14552" coordsize="1234,392" path="m2842,14944l4076,14944,4076,14552,2842,14552,2842,14944xe" filled="true" fillcolor="#ffffff" stroked="false">
                <v:path arrowok="t"/>
                <v:fill type="solid"/>
              </v:shape>
            </v:group>
            <w10:wrap type="none"/>
          </v:group>
        </w:pict>
      </w:r>
    </w:p>
    <w:p>
      <w:pPr>
        <w:pStyle w:val="BodyText"/>
        <w:spacing w:line="240" w:lineRule="auto" w:before="35"/>
        <w:ind w:left="574" w:right="1017"/>
        <w:jc w:val="left"/>
      </w:pPr>
      <w:r>
        <w:rPr>
          <w:rFonts w:ascii="宋体" w:hAnsi="宋体" w:cs="宋体" w:eastAsia="宋体" w:hint="default"/>
        </w:rPr>
        <w:t>5</w:t>
      </w:r>
      <w:r>
        <w:rPr/>
        <w:t>、离任监事所持股份的变动依据深圳证券交易所的相关规定执行。</w:t>
      </w:r>
    </w:p>
    <w:p>
      <w:pPr>
        <w:spacing w:line="240" w:lineRule="auto" w:before="9"/>
        <w:rPr>
          <w:rFonts w:ascii="宋体" w:hAnsi="宋体" w:cs="宋体" w:eastAsia="宋体" w:hint="default"/>
          <w:sz w:val="16"/>
          <w:szCs w:val="16"/>
        </w:rPr>
      </w:pPr>
    </w:p>
    <w:p>
      <w:pPr>
        <w:spacing w:before="0"/>
        <w:ind w:left="153" w:right="1017"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56"/>
        <w:ind w:left="574" w:right="1017"/>
        <w:jc w:val="left"/>
      </w:pPr>
      <w:r>
        <w:rPr>
          <w:rFonts w:ascii="宋体" w:hAnsi="宋体" w:cs="宋体" w:eastAsia="宋体" w:hint="default"/>
        </w:rPr>
        <w:t>1</w:t>
      </w:r>
      <w:r>
        <w:rPr/>
        <w:t>、公司第二期限制性股票激励计划首次授予的股份于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4"/>
        </w:rPr>
        <w:t> </w:t>
      </w:r>
      <w:r>
        <w:rPr/>
        <w:t>日上市；</w:t>
      </w:r>
    </w:p>
    <w:p>
      <w:pPr>
        <w:pStyle w:val="BodyText"/>
        <w:spacing w:line="240" w:lineRule="auto" w:before="134"/>
        <w:ind w:left="574" w:right="1017"/>
        <w:jc w:val="left"/>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54"/>
        </w:rPr>
        <w:t> </w:t>
      </w:r>
      <w:r>
        <w:rPr/>
        <w:t>年度权益分派方案于</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2"/>
        </w:rPr>
        <w:t> </w:t>
      </w:r>
      <w:r>
        <w:rPr/>
        <w:t>月</w:t>
      </w:r>
      <w:r>
        <w:rPr>
          <w:spacing w:val="-54"/>
        </w:rPr>
        <w:t> </w:t>
      </w:r>
      <w:r>
        <w:rPr>
          <w:rFonts w:ascii="宋体" w:hAnsi="宋体" w:cs="宋体" w:eastAsia="宋体" w:hint="default"/>
        </w:rPr>
        <w:t>12</w:t>
      </w:r>
      <w:r>
        <w:rPr>
          <w:rFonts w:ascii="宋体" w:hAnsi="宋体" w:cs="宋体" w:eastAsia="宋体" w:hint="default"/>
          <w:spacing w:val="-53"/>
        </w:rPr>
        <w:t> </w:t>
      </w:r>
      <w:r>
        <w:rPr/>
        <w:t>日实施；</w:t>
      </w:r>
    </w:p>
    <w:p>
      <w:pPr>
        <w:pStyle w:val="BodyText"/>
        <w:spacing w:line="240" w:lineRule="auto" w:before="133"/>
        <w:ind w:left="574" w:right="1017"/>
        <w:jc w:val="left"/>
      </w:pPr>
      <w:r>
        <w:rPr>
          <w:rFonts w:ascii="宋体" w:hAnsi="宋体" w:cs="宋体" w:eastAsia="宋体" w:hint="default"/>
        </w:rPr>
        <w:t>3</w:t>
      </w:r>
      <w:r>
        <w:rPr/>
        <w:t>、第一期限制性股票第三个解锁期股份已于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4"/>
        </w:rPr>
        <w:t> </w:t>
      </w:r>
      <w:r>
        <w:rPr/>
        <w:t>月</w:t>
      </w:r>
      <w:r>
        <w:rPr>
          <w:spacing w:val="-54"/>
        </w:rPr>
        <w:t> </w:t>
      </w:r>
      <w:r>
        <w:rPr>
          <w:rFonts w:ascii="宋体" w:hAnsi="宋体" w:cs="宋体" w:eastAsia="宋体" w:hint="default"/>
        </w:rPr>
        <w:t>29</w:t>
      </w:r>
      <w:r>
        <w:rPr>
          <w:rFonts w:ascii="宋体" w:hAnsi="宋体" w:cs="宋体" w:eastAsia="宋体" w:hint="default"/>
          <w:spacing w:val="-53"/>
        </w:rPr>
        <w:t> </w:t>
      </w:r>
      <w:r>
        <w:rPr/>
        <w:t>日解除限售；</w:t>
      </w:r>
    </w:p>
    <w:p>
      <w:pPr>
        <w:pStyle w:val="BodyText"/>
        <w:spacing w:line="240" w:lineRule="auto" w:before="134"/>
        <w:ind w:left="574" w:right="1017"/>
        <w:jc w:val="left"/>
      </w:pPr>
      <w:r>
        <w:rPr>
          <w:rFonts w:ascii="宋体" w:hAnsi="宋体" w:cs="宋体" w:eastAsia="宋体" w:hint="default"/>
        </w:rPr>
        <w:t>4</w:t>
      </w:r>
      <w:r>
        <w:rPr/>
        <w:t>、发行股份购买资产及募集配套资金发行的股份已于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23</w:t>
      </w:r>
      <w:r>
        <w:rPr>
          <w:rFonts w:ascii="宋体" w:hAnsi="宋体" w:cs="宋体" w:eastAsia="宋体" w:hint="default"/>
          <w:spacing w:val="-53"/>
        </w:rPr>
        <w:t> </w:t>
      </w:r>
      <w:r>
        <w:rPr/>
        <w:t>日上市。</w:t>
      </w:r>
    </w:p>
    <w:p>
      <w:pPr>
        <w:spacing w:line="240" w:lineRule="auto" w:before="9"/>
        <w:rPr>
          <w:rFonts w:ascii="宋体" w:hAnsi="宋体" w:cs="宋体" w:eastAsia="宋体" w:hint="default"/>
          <w:sz w:val="16"/>
          <w:szCs w:val="16"/>
        </w:rPr>
      </w:pPr>
    </w:p>
    <w:p>
      <w:pPr>
        <w:spacing w:before="0"/>
        <w:ind w:left="153" w:right="1017"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56"/>
        <w:ind w:left="574" w:right="1017"/>
        <w:jc w:val="left"/>
      </w:pPr>
      <w:r>
        <w:rPr>
          <w:rFonts w:ascii="宋体" w:hAnsi="宋体" w:cs="宋体" w:eastAsia="宋体" w:hint="default"/>
        </w:rPr>
        <w:t>1</w:t>
      </w:r>
      <w:r>
        <w:rPr/>
        <w:t>、报告期内，公司因实施第二次限制性股票激励计划增发</w:t>
      </w:r>
      <w:r>
        <w:rPr>
          <w:spacing w:val="-54"/>
        </w:rPr>
        <w:t> </w:t>
      </w:r>
      <w:r>
        <w:rPr>
          <w:rFonts w:ascii="宋体" w:hAnsi="宋体" w:cs="宋体" w:eastAsia="宋体" w:hint="default"/>
        </w:rPr>
        <w:t>580</w:t>
      </w:r>
      <w:r>
        <w:rPr>
          <w:rFonts w:ascii="宋体" w:hAnsi="宋体" w:cs="宋体" w:eastAsia="宋体" w:hint="default"/>
          <w:spacing w:val="-54"/>
        </w:rPr>
        <w:t> </w:t>
      </w:r>
      <w:r>
        <w:rPr/>
        <w:t>万股，剔除此因素，报告期基本每股</w:t>
      </w:r>
    </w:p>
    <w:p>
      <w:pPr>
        <w:pStyle w:val="BodyText"/>
        <w:spacing w:line="240" w:lineRule="auto" w:before="134"/>
        <w:ind w:left="154" w:right="1017"/>
        <w:jc w:val="left"/>
      </w:pPr>
      <w:r>
        <w:rPr/>
        <w:t>收益和稀释每股收益为</w:t>
      </w:r>
      <w:r>
        <w:rPr>
          <w:spacing w:val="-65"/>
        </w:rPr>
        <w:t> </w:t>
      </w:r>
      <w:r>
        <w:rPr>
          <w:rFonts w:ascii="宋体" w:hAnsi="宋体" w:cs="宋体" w:eastAsia="宋体" w:hint="default"/>
        </w:rPr>
        <w:t>0.2679</w:t>
      </w:r>
      <w:r>
        <w:rPr>
          <w:rFonts w:ascii="宋体" w:hAnsi="宋体" w:cs="宋体" w:eastAsia="宋体" w:hint="default"/>
          <w:spacing w:val="-65"/>
        </w:rPr>
        <w:t> </w:t>
      </w:r>
      <w:r>
        <w:rPr/>
        <w:t>元</w:t>
      </w:r>
      <w:r>
        <w:rPr>
          <w:rFonts w:ascii="宋体" w:hAnsi="宋体" w:cs="宋体" w:eastAsia="宋体" w:hint="default"/>
        </w:rPr>
        <w:t>/</w:t>
      </w:r>
      <w:r>
        <w:rPr/>
        <w:t>股。发行股份购买资产及募集配套资金发行的股份，合计新增有限售条</w:t>
      </w:r>
    </w:p>
    <w:p>
      <w:pPr>
        <w:pStyle w:val="BodyText"/>
        <w:spacing w:line="240" w:lineRule="auto" w:before="133"/>
        <w:ind w:right="0"/>
        <w:jc w:val="left"/>
      </w:pPr>
      <w:r>
        <w:rPr/>
        <w:t>件股份</w:t>
      </w:r>
      <w:r>
        <w:rPr>
          <w:spacing w:val="-50"/>
        </w:rPr>
        <w:t> </w:t>
      </w:r>
      <w:r>
        <w:rPr>
          <w:rFonts w:ascii="宋体" w:hAnsi="宋体" w:cs="宋体" w:eastAsia="宋体" w:hint="default"/>
        </w:rPr>
        <w:t>66,962,792</w:t>
      </w:r>
      <w:r>
        <w:rPr>
          <w:rFonts w:ascii="宋体" w:hAnsi="宋体" w:cs="宋体" w:eastAsia="宋体" w:hint="default"/>
          <w:spacing w:val="-51"/>
        </w:rPr>
        <w:t> </w:t>
      </w:r>
      <w:r>
        <w:rPr>
          <w:spacing w:val="-22"/>
        </w:rPr>
        <w:t>股，于</w:t>
      </w:r>
      <w:r>
        <w:rPr>
          <w:spacing w:val="-52"/>
        </w:rPr>
        <w:t> </w:t>
      </w:r>
      <w:r>
        <w:rPr>
          <w:rFonts w:ascii="宋体" w:hAnsi="宋体" w:cs="宋体" w:eastAsia="宋体" w:hint="default"/>
        </w:rPr>
        <w:t>2015</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23</w:t>
      </w:r>
      <w:r>
        <w:rPr>
          <w:rFonts w:ascii="宋体" w:hAnsi="宋体" w:cs="宋体" w:eastAsia="宋体" w:hint="default"/>
          <w:spacing w:val="-50"/>
        </w:rPr>
        <w:t> </w:t>
      </w:r>
      <w:r>
        <w:rPr>
          <w:spacing w:val="-3"/>
        </w:rPr>
        <w:t>日上市，对本报告期基本每股收益和稀释每股收益不产生影响。</w:t>
      </w:r>
    </w:p>
    <w:p>
      <w:pPr>
        <w:pStyle w:val="BodyText"/>
        <w:spacing w:line="240" w:lineRule="auto" w:before="133"/>
        <w:ind w:left="574" w:right="1017"/>
        <w:jc w:val="left"/>
      </w:pPr>
      <w:r>
        <w:rPr>
          <w:rFonts w:ascii="宋体" w:hAnsi="宋体" w:cs="宋体" w:eastAsia="宋体" w:hint="default"/>
        </w:rPr>
        <w:t>2</w:t>
      </w:r>
      <w:r>
        <w:rPr/>
        <w:t>、本报告期归属公司普通股股东的每股净资产为</w:t>
      </w:r>
      <w:r>
        <w:rPr>
          <w:spacing w:val="-54"/>
        </w:rPr>
        <w:t> </w:t>
      </w:r>
      <w:r>
        <w:rPr>
          <w:rFonts w:ascii="宋体" w:hAnsi="宋体" w:cs="宋体" w:eastAsia="宋体" w:hint="default"/>
        </w:rPr>
        <w:t>3.9484</w:t>
      </w:r>
      <w:r>
        <w:rPr>
          <w:rFonts w:ascii="宋体" w:hAnsi="宋体" w:cs="宋体" w:eastAsia="宋体" w:hint="default"/>
          <w:spacing w:val="-55"/>
        </w:rPr>
        <w:t> </w:t>
      </w:r>
      <w:r>
        <w:rPr/>
        <w:t>元</w:t>
      </w:r>
      <w:r>
        <w:rPr>
          <w:rFonts w:ascii="宋体" w:hAnsi="宋体" w:cs="宋体" w:eastAsia="宋体" w:hint="default"/>
        </w:rPr>
        <w:t>/</w:t>
      </w:r>
      <w:r>
        <w:rPr/>
        <w:t>股，剔除第二期限制性股票激励计划增</w:t>
      </w:r>
    </w:p>
    <w:p>
      <w:pPr>
        <w:pStyle w:val="BodyText"/>
        <w:spacing w:line="240" w:lineRule="auto" w:before="134"/>
        <w:ind w:right="1017"/>
        <w:jc w:val="left"/>
      </w:pPr>
      <w:r>
        <w:rPr/>
        <w:t>发的</w:t>
      </w:r>
      <w:r>
        <w:rPr>
          <w:spacing w:val="-54"/>
        </w:rPr>
        <w:t> </w:t>
      </w:r>
      <w:r>
        <w:rPr>
          <w:rFonts w:ascii="宋体" w:hAnsi="宋体" w:cs="宋体" w:eastAsia="宋体" w:hint="default"/>
        </w:rPr>
        <w:t>580</w:t>
      </w:r>
      <w:r>
        <w:rPr>
          <w:rFonts w:ascii="宋体" w:hAnsi="宋体" w:cs="宋体" w:eastAsia="宋体" w:hint="default"/>
          <w:spacing w:val="-53"/>
        </w:rPr>
        <w:t> </w:t>
      </w:r>
      <w:r>
        <w:rPr/>
        <w:t>万股、发行股份购买资产及募集配套资金发行的</w:t>
      </w:r>
      <w:r>
        <w:rPr>
          <w:spacing w:val="-53"/>
        </w:rPr>
        <w:t> </w:t>
      </w:r>
      <w:r>
        <w:rPr>
          <w:rFonts w:ascii="宋体" w:hAnsi="宋体" w:cs="宋体" w:eastAsia="宋体" w:hint="default"/>
        </w:rPr>
        <w:t>66,962,792</w:t>
      </w:r>
      <w:r>
        <w:rPr>
          <w:rFonts w:ascii="宋体" w:hAnsi="宋体" w:cs="宋体" w:eastAsia="宋体" w:hint="default"/>
          <w:spacing w:val="-54"/>
        </w:rPr>
        <w:t> </w:t>
      </w:r>
      <w:r>
        <w:rPr/>
        <w:t>股，归属公司普通股股东的每股净</w:t>
      </w:r>
    </w:p>
    <w:p>
      <w:pPr>
        <w:pStyle w:val="BodyText"/>
        <w:spacing w:line="240" w:lineRule="auto" w:before="133"/>
        <w:ind w:right="1017"/>
        <w:jc w:val="left"/>
      </w:pPr>
      <w:r>
        <w:rPr/>
        <w:t>资产为</w:t>
      </w:r>
      <w:r>
        <w:rPr>
          <w:spacing w:val="-52"/>
        </w:rPr>
        <w:t> </w:t>
      </w:r>
      <w:r>
        <w:rPr>
          <w:rFonts w:ascii="宋体" w:hAnsi="宋体" w:cs="宋体" w:eastAsia="宋体" w:hint="default"/>
        </w:rPr>
        <w:t>4.4527</w:t>
      </w:r>
      <w:r>
        <w:rPr>
          <w:rFonts w:ascii="宋体" w:hAnsi="宋体" w:cs="宋体" w:eastAsia="宋体" w:hint="default"/>
          <w:spacing w:val="-53"/>
        </w:rPr>
        <w:t> </w:t>
      </w:r>
      <w:r>
        <w:rPr/>
        <w:t>元</w:t>
      </w:r>
      <w:r>
        <w:rPr>
          <w:rFonts w:ascii="宋体" w:hAnsi="宋体" w:cs="宋体" w:eastAsia="宋体" w:hint="default"/>
        </w:rPr>
        <w:t>/</w:t>
      </w:r>
      <w:r>
        <w:rPr/>
        <w:t>股。</w:t>
      </w:r>
    </w:p>
    <w:p>
      <w:pPr>
        <w:spacing w:line="240" w:lineRule="auto" w:before="10"/>
        <w:rPr>
          <w:rFonts w:ascii="宋体" w:hAnsi="宋体" w:cs="宋体" w:eastAsia="宋体" w:hint="default"/>
          <w:sz w:val="16"/>
          <w:szCs w:val="16"/>
        </w:rPr>
      </w:pPr>
    </w:p>
    <w:p>
      <w:pPr>
        <w:spacing w:before="0"/>
        <w:ind w:left="154" w:right="1017"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6"/>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3"/>
        <w:spacing w:line="240" w:lineRule="auto"/>
        <w:ind w:left="153" w:right="1017"/>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spacing w:before="44"/>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0"/>
        <w:gridCol w:w="615"/>
        <w:gridCol w:w="673"/>
        <w:gridCol w:w="1289"/>
        <w:gridCol w:w="1290"/>
        <w:gridCol w:w="1290"/>
        <w:gridCol w:w="1367"/>
        <w:gridCol w:w="1367"/>
      </w:tblGrid>
      <w:tr>
        <w:trPr>
          <w:trHeight w:val="714" w:hRule="exact"/>
        </w:trPr>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8" w:right="99"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9" w:right="98"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贾虹、刘磅</w:t>
            </w:r>
          </w:p>
        </w:tc>
        <w:tc>
          <w:tcPr>
            <w:tcW w:w="12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47,000,000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70,645,677</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117,645,677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 行股份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名员工持有的第 一期限制性股票激励 计划未解锁股份</w:t>
            </w:r>
          </w:p>
        </w:tc>
        <w:tc>
          <w:tcPr>
            <w:tcW w:w="12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2,400,000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5,280,000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2,880,000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第一期限制性股 票激励计划第三 个锁定期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7"/>
              <w:jc w:val="both"/>
              <w:rPr>
                <w:rFonts w:ascii="宋体" w:hAnsi="宋体" w:cs="宋体" w:eastAsia="宋体" w:hint="default"/>
                <w:sz w:val="18"/>
                <w:szCs w:val="18"/>
              </w:rPr>
            </w:pPr>
            <w:r>
              <w:rPr>
                <w:rFonts w:ascii="Times New Roman" w:hAnsi="Times New Roman" w:cs="Times New Roman" w:eastAsia="Times New Roman" w:hint="default"/>
                <w:sz w:val="18"/>
                <w:szCs w:val="18"/>
              </w:rPr>
              <w:t>193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名员工持有的第 二期限制性股票激励 计划首次授予股份</w:t>
            </w:r>
          </w:p>
        </w:tc>
        <w:tc>
          <w:tcPr>
            <w:tcW w:w="12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12,760,000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第二期限制性股 票激励计划全部 处于锁定期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按股权激励计划 方案，分三期解 锁</w:t>
            </w:r>
          </w:p>
        </w:tc>
      </w:tr>
      <w:tr>
        <w:trPr>
          <w:trHeight w:val="1026"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房志刚、孙绍朋、周 鸿坚、储元明、常州 瑞信和常州臻信</w:t>
            </w:r>
          </w:p>
        </w:tc>
        <w:tc>
          <w:tcPr>
            <w:tcW w:w="12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36,875,889</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36,875,889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发行股份购买资 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86"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上海玖势、 </w:t>
            </w:r>
            <w:r>
              <w:rPr>
                <w:rFonts w:ascii="宋体" w:hAnsi="宋体" w:cs="宋体" w:eastAsia="宋体" w:hint="default"/>
                <w:spacing w:val="-10"/>
                <w:sz w:val="18"/>
                <w:szCs w:val="18"/>
              </w:rPr>
              <w:t>扬州经信、佛山优势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常州金茂和南通康成</w:t>
            </w:r>
          </w:p>
        </w:tc>
        <w:tc>
          <w:tcPr>
            <w:tcW w:w="61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67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9,218,971</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9,218,971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发行股份购买资 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80"/>
        <w:gridCol w:w="1289"/>
        <w:gridCol w:w="1289"/>
        <w:gridCol w:w="1290"/>
        <w:gridCol w:w="1290"/>
        <w:gridCol w:w="1367"/>
        <w:gridCol w:w="1367"/>
      </w:tblGrid>
      <w:tr>
        <w:trPr>
          <w:trHeight w:val="362"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亨</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刘磅、程朋胜、苏俊 锋、吕枫、林雨斌、 黄天朗</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20,867,932</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20,867,932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重组募集配套资 金认购股份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2,206,550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515,814</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3,045,340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4,736,076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深圳证券交易所 的相关规定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r>
      <w:tr>
        <w:trPr>
          <w:trHeight w:val="402" w:hRule="exact"/>
        </w:trPr>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51,606,550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5,795,814</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156,293,809</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202,104,545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1017"/>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3"/>
        <w:gridCol w:w="1864"/>
        <w:gridCol w:w="952"/>
        <w:gridCol w:w="1068"/>
        <w:gridCol w:w="1746"/>
        <w:gridCol w:w="1162"/>
        <w:gridCol w:w="1366"/>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95" w:right="35"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6"/>
              <w:jc w:val="right"/>
              <w:rPr>
                <w:rFonts w:ascii="Times New Roman" w:hAnsi="Times New Roman" w:cs="Times New Roman" w:eastAsia="Times New Roman" w:hint="default"/>
                <w:sz w:val="18"/>
                <w:szCs w:val="18"/>
              </w:rPr>
            </w:pPr>
            <w:r>
              <w:rPr>
                <w:rFonts w:ascii="Times New Roman"/>
                <w:sz w:val="18"/>
              </w:rPr>
              <w:t>15.76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5,800,000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5,800,000</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1"/>
              <w:jc w:val="right"/>
              <w:rPr>
                <w:rFonts w:ascii="Times New Roman" w:hAnsi="Times New Roman" w:cs="Times New Roman" w:eastAsia="Times New Roman" w:hint="default"/>
                <w:sz w:val="18"/>
                <w:szCs w:val="18"/>
              </w:rPr>
            </w:pPr>
            <w:r>
              <w:rPr>
                <w:rFonts w:ascii="Times New Roman"/>
                <w:spacing w:val="-2"/>
                <w:sz w:val="18"/>
              </w:rPr>
              <w:t>11.86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66,962,792</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66,962,792</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2"/>
        <w:ind w:left="154" w:right="1017"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pStyle w:val="BodyText"/>
        <w:spacing w:line="240" w:lineRule="auto" w:before="70"/>
        <w:ind w:left="533" w:right="1017"/>
        <w:jc w:val="left"/>
      </w:pPr>
      <w:r>
        <w:rPr>
          <w:rFonts w:ascii="宋体" w:hAnsi="宋体" w:cs="宋体" w:eastAsia="宋体" w:hint="default"/>
        </w:rPr>
        <w:t>1</w:t>
      </w:r>
      <w:r>
        <w:rPr/>
        <w:t>、限制性股票的股份发行情况</w:t>
      </w:r>
    </w:p>
    <w:p>
      <w:pPr>
        <w:pStyle w:val="BodyText"/>
        <w:spacing w:line="240" w:lineRule="auto" w:before="134"/>
        <w:ind w:left="575" w:right="1017"/>
        <w:jc w:val="left"/>
      </w:pPr>
      <w:r>
        <w:rPr/>
        <w:t>经公司</w:t>
      </w:r>
      <w:r>
        <w:rPr>
          <w:spacing w:val="-54"/>
        </w:rPr>
        <w:t> </w:t>
      </w:r>
      <w:r>
        <w:rPr>
          <w:rFonts w:ascii="宋体" w:hAnsi="宋体" w:cs="宋体" w:eastAsia="宋体" w:hint="default"/>
        </w:rPr>
        <w:t>2015</w:t>
      </w:r>
      <w:r>
        <w:rPr>
          <w:rFonts w:ascii="宋体" w:hAnsi="宋体" w:cs="宋体" w:eastAsia="宋体" w:hint="default"/>
          <w:spacing w:val="-54"/>
        </w:rPr>
        <w:t> </w:t>
      </w:r>
      <w:r>
        <w:rPr/>
        <w:t>年第一次临时股东大会及第五届董事会第十四次会议批准，公司实施了第二期限制性股</w:t>
      </w:r>
    </w:p>
    <w:p>
      <w:pPr>
        <w:pStyle w:val="BodyText"/>
        <w:spacing w:line="240" w:lineRule="auto" w:before="133"/>
        <w:ind w:left="154" w:right="1017"/>
        <w:jc w:val="left"/>
      </w:pPr>
      <w:r>
        <w:rPr/>
        <w:t>票激励计划，向高级管理人员、中层管理人员及核心技术（业务）人员授予限制性股票</w:t>
      </w:r>
      <w:r>
        <w:rPr>
          <w:spacing w:val="-51"/>
        </w:rPr>
        <w:t> </w:t>
      </w:r>
      <w:r>
        <w:rPr>
          <w:rFonts w:ascii="宋体" w:hAnsi="宋体" w:cs="宋体" w:eastAsia="宋体" w:hint="default"/>
        </w:rPr>
        <w:t>644</w:t>
      </w:r>
      <w:r>
        <w:rPr>
          <w:rFonts w:ascii="宋体" w:hAnsi="宋体" w:cs="宋体" w:eastAsia="宋体" w:hint="default"/>
          <w:spacing w:val="-53"/>
        </w:rPr>
        <w:t> </w:t>
      </w:r>
      <w:r>
        <w:rPr/>
        <w:t>万股。其中，</w:t>
      </w:r>
    </w:p>
    <w:p>
      <w:pPr>
        <w:pStyle w:val="BodyText"/>
        <w:spacing w:line="357" w:lineRule="auto" w:before="134"/>
        <w:ind w:left="574" w:right="1018" w:hanging="420"/>
        <w:jc w:val="left"/>
      </w:pPr>
      <w:r>
        <w:rPr/>
        <w:t>首次授予</w:t>
      </w:r>
      <w:r>
        <w:rPr>
          <w:spacing w:val="-55"/>
        </w:rPr>
        <w:t> </w:t>
      </w:r>
      <w:r>
        <w:rPr>
          <w:rFonts w:ascii="宋体" w:hAnsi="宋体" w:cs="宋体" w:eastAsia="宋体" w:hint="default"/>
        </w:rPr>
        <w:t>580</w:t>
      </w:r>
      <w:r>
        <w:rPr>
          <w:rFonts w:ascii="宋体" w:hAnsi="宋体" w:cs="宋体" w:eastAsia="宋体" w:hint="default"/>
          <w:spacing w:val="-55"/>
        </w:rPr>
        <w:t> </w:t>
      </w:r>
      <w:r>
        <w:rPr/>
        <w:t>万股，激励对象涉及</w:t>
      </w:r>
      <w:r>
        <w:rPr>
          <w:spacing w:val="-56"/>
        </w:rPr>
        <w:t> </w:t>
      </w:r>
      <w:r>
        <w:rPr>
          <w:rFonts w:ascii="宋体" w:hAnsi="宋体" w:cs="宋体" w:eastAsia="宋体" w:hint="default"/>
        </w:rPr>
        <w:t>193</w:t>
      </w:r>
      <w:r>
        <w:rPr>
          <w:rFonts w:ascii="宋体" w:hAnsi="宋体" w:cs="宋体" w:eastAsia="宋体" w:hint="default"/>
          <w:spacing w:val="-55"/>
        </w:rPr>
        <w:t> </w:t>
      </w:r>
      <w:r>
        <w:rPr/>
        <w:t>人，首次授予的限制性股票已于上市日期为</w:t>
      </w:r>
      <w:r>
        <w:rPr>
          <w:spacing w:val="-55"/>
        </w:rPr>
        <w:t> </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2</w:t>
      </w:r>
      <w:r>
        <w:rPr>
          <w:rFonts w:ascii="宋体" w:hAnsi="宋体" w:cs="宋体" w:eastAsia="宋体" w:hint="default"/>
          <w:spacing w:val="-55"/>
        </w:rPr>
        <w:t> </w:t>
      </w:r>
      <w:r>
        <w:rPr/>
        <w:t>月</w:t>
      </w:r>
      <w:r>
        <w:rPr>
          <w:spacing w:val="-57"/>
        </w:rPr>
        <w:t> </w:t>
      </w:r>
      <w:r>
        <w:rPr>
          <w:rFonts w:ascii="宋体" w:hAnsi="宋体" w:cs="宋体" w:eastAsia="宋体" w:hint="default"/>
        </w:rPr>
        <w:t>6</w:t>
      </w:r>
      <w:r>
        <w:rPr>
          <w:rFonts w:ascii="宋体" w:hAnsi="宋体" w:cs="宋体" w:eastAsia="宋体" w:hint="default"/>
          <w:spacing w:val="-55"/>
        </w:rPr>
        <w:t> </w:t>
      </w:r>
      <w:r>
        <w:rPr/>
        <w:t>日上市； </w:t>
      </w:r>
      <w:r>
        <w:rPr>
          <w:rFonts w:ascii="宋体" w:hAnsi="宋体" w:cs="宋体" w:eastAsia="宋体" w:hint="default"/>
        </w:rPr>
        <w:t>2</w:t>
      </w:r>
      <w:r>
        <w:rPr/>
        <w:t>、发行股份购买资产及募集交易配套资金的股份发行情况 经中国证监会《关于核准深圳达实智能股份有限公司向房志刚等发行股份购买资产并募集配套资金的</w:t>
      </w:r>
    </w:p>
    <w:p>
      <w:pPr>
        <w:pStyle w:val="BodyText"/>
        <w:spacing w:line="240" w:lineRule="auto"/>
        <w:ind w:right="1017"/>
        <w:jc w:val="left"/>
        <w:rPr>
          <w:rFonts w:ascii="宋体" w:hAnsi="宋体" w:cs="宋体" w:eastAsia="宋体" w:hint="default"/>
        </w:rPr>
      </w:pPr>
      <w:r>
        <w:rPr/>
        <w:t>批复》（证监许可</w:t>
      </w:r>
      <w:r>
        <w:rPr>
          <w:rFonts w:ascii="宋体" w:hAnsi="宋体" w:cs="宋体" w:eastAsia="宋体" w:hint="default"/>
        </w:rPr>
        <w:t>[2015]2471</w:t>
      </w:r>
      <w:r>
        <w:rPr>
          <w:rFonts w:ascii="宋体" w:hAnsi="宋体" w:cs="宋体" w:eastAsia="宋体" w:hint="default"/>
          <w:spacing w:val="-2"/>
        </w:rPr>
        <w:t> </w:t>
      </w:r>
      <w:r>
        <w:rPr/>
        <w:t>号批准，公司向房志刚发行</w:t>
      </w:r>
      <w:r>
        <w:rPr>
          <w:spacing w:val="-53"/>
        </w:rPr>
        <w:t> </w:t>
      </w:r>
      <w:r>
        <w:rPr>
          <w:rFonts w:ascii="宋体" w:hAnsi="宋体" w:cs="宋体" w:eastAsia="宋体" w:hint="default"/>
        </w:rPr>
        <w:t>32,555,880</w:t>
      </w:r>
      <w:r>
        <w:rPr>
          <w:rFonts w:ascii="宋体" w:hAnsi="宋体" w:cs="宋体" w:eastAsia="宋体" w:hint="default"/>
          <w:spacing w:val="-54"/>
        </w:rPr>
        <w:t> </w:t>
      </w:r>
      <w:r>
        <w:rPr/>
        <w:t>股股份、向孙绍朋发行</w:t>
      </w:r>
      <w:r>
        <w:rPr>
          <w:spacing w:val="-53"/>
        </w:rPr>
        <w:t> </w:t>
      </w:r>
      <w:r>
        <w:rPr>
          <w:rFonts w:ascii="宋体" w:hAnsi="宋体" w:cs="宋体" w:eastAsia="宋体" w:hint="default"/>
        </w:rPr>
        <w:t>1,216,904</w:t>
      </w:r>
    </w:p>
    <w:p>
      <w:pPr>
        <w:pStyle w:val="BodyText"/>
        <w:spacing w:line="240" w:lineRule="auto" w:before="133"/>
        <w:ind w:right="1017"/>
        <w:jc w:val="left"/>
      </w:pPr>
      <w:r>
        <w:rPr/>
        <w:t>股股份、向周鸿坚发行</w:t>
      </w:r>
      <w:r>
        <w:rPr>
          <w:spacing w:val="-57"/>
        </w:rPr>
        <w:t> </w:t>
      </w:r>
      <w:r>
        <w:rPr>
          <w:rFonts w:ascii="宋体" w:hAnsi="宋体" w:cs="宋体" w:eastAsia="宋体" w:hint="default"/>
        </w:rPr>
        <w:t>141,972</w:t>
      </w:r>
      <w:r>
        <w:rPr>
          <w:rFonts w:ascii="宋体" w:hAnsi="宋体" w:cs="宋体" w:eastAsia="宋体" w:hint="default"/>
          <w:spacing w:val="-57"/>
        </w:rPr>
        <w:t> </w:t>
      </w:r>
      <w:r>
        <w:rPr/>
        <w:t>股股份、向储元明发行</w:t>
      </w:r>
      <w:r>
        <w:rPr>
          <w:spacing w:val="-57"/>
        </w:rPr>
        <w:t> </w:t>
      </w:r>
      <w:r>
        <w:rPr>
          <w:rFonts w:ascii="宋体" w:hAnsi="宋体" w:cs="宋体" w:eastAsia="宋体" w:hint="default"/>
        </w:rPr>
        <w:t>141,972</w:t>
      </w:r>
      <w:r>
        <w:rPr>
          <w:rFonts w:ascii="宋体" w:hAnsi="宋体" w:cs="宋体" w:eastAsia="宋体" w:hint="default"/>
          <w:spacing w:val="-57"/>
        </w:rPr>
        <w:t> </w:t>
      </w:r>
      <w:r>
        <w:rPr/>
        <w:t>股股份、向常州瑞信发行</w:t>
      </w:r>
      <w:r>
        <w:rPr>
          <w:spacing w:val="-57"/>
        </w:rPr>
        <w:t> </w:t>
      </w:r>
      <w:r>
        <w:rPr>
          <w:rFonts w:ascii="宋体" w:hAnsi="宋体" w:cs="宋体" w:eastAsia="宋体" w:hint="default"/>
        </w:rPr>
        <w:t>2,265,563</w:t>
      </w:r>
      <w:r>
        <w:rPr>
          <w:rFonts w:ascii="宋体" w:hAnsi="宋体" w:cs="宋体" w:eastAsia="宋体" w:hint="default"/>
          <w:spacing w:val="-57"/>
        </w:rPr>
        <w:t> </w:t>
      </w:r>
      <w:r>
        <w:rPr/>
        <w:t>股股</w:t>
      </w:r>
    </w:p>
    <w:p>
      <w:pPr>
        <w:pStyle w:val="BodyText"/>
        <w:spacing w:line="240" w:lineRule="auto" w:before="134"/>
        <w:ind w:right="1017"/>
        <w:jc w:val="left"/>
      </w:pPr>
      <w:r>
        <w:rPr/>
        <w:t>份、向常州臻信发行</w:t>
      </w:r>
      <w:r>
        <w:rPr>
          <w:spacing w:val="-57"/>
        </w:rPr>
        <w:t> </w:t>
      </w:r>
      <w:r>
        <w:rPr>
          <w:rFonts w:ascii="宋体" w:hAnsi="宋体" w:cs="宋体" w:eastAsia="宋体" w:hint="default"/>
        </w:rPr>
        <w:t>553,598</w:t>
      </w:r>
      <w:r>
        <w:rPr>
          <w:rFonts w:ascii="宋体" w:hAnsi="宋体" w:cs="宋体" w:eastAsia="宋体" w:hint="default"/>
          <w:spacing w:val="-57"/>
        </w:rPr>
        <w:t> </w:t>
      </w:r>
      <w:r>
        <w:rPr/>
        <w:t>股股份、向上海玖势发行</w:t>
      </w:r>
      <w:r>
        <w:rPr>
          <w:spacing w:val="-57"/>
        </w:rPr>
        <w:t> </w:t>
      </w:r>
      <w:r>
        <w:rPr>
          <w:rFonts w:ascii="宋体" w:hAnsi="宋体" w:cs="宋体" w:eastAsia="宋体" w:hint="default"/>
        </w:rPr>
        <w:t>2,765,691</w:t>
      </w:r>
      <w:r>
        <w:rPr>
          <w:rFonts w:ascii="宋体" w:hAnsi="宋体" w:cs="宋体" w:eastAsia="宋体" w:hint="default"/>
          <w:spacing w:val="-57"/>
        </w:rPr>
        <w:t> </w:t>
      </w:r>
      <w:r>
        <w:rPr/>
        <w:t>股股份、向南京优势发行</w:t>
      </w:r>
      <w:r>
        <w:rPr>
          <w:spacing w:val="-58"/>
        </w:rPr>
        <w:t> </w:t>
      </w:r>
      <w:r>
        <w:rPr>
          <w:rFonts w:ascii="宋体" w:hAnsi="宋体" w:cs="宋体" w:eastAsia="宋体" w:hint="default"/>
        </w:rPr>
        <w:t>1,843,793</w:t>
      </w:r>
      <w:r>
        <w:rPr>
          <w:rFonts w:ascii="宋体" w:hAnsi="宋体" w:cs="宋体" w:eastAsia="宋体" w:hint="default"/>
          <w:spacing w:val="-57"/>
        </w:rPr>
        <w:t> </w:t>
      </w:r>
      <w:r>
        <w:rPr/>
        <w:t>股</w:t>
      </w:r>
    </w:p>
    <w:p>
      <w:pPr>
        <w:pStyle w:val="BodyText"/>
        <w:spacing w:line="240" w:lineRule="auto" w:before="133"/>
        <w:ind w:right="1017"/>
        <w:jc w:val="left"/>
      </w:pPr>
      <w:r>
        <w:rPr/>
        <w:t>股份、向扬州经信发行</w:t>
      </w:r>
      <w:r>
        <w:rPr>
          <w:spacing w:val="-57"/>
        </w:rPr>
        <w:t> </w:t>
      </w:r>
      <w:r>
        <w:rPr>
          <w:rFonts w:ascii="宋体" w:hAnsi="宋体" w:cs="宋体" w:eastAsia="宋体" w:hint="default"/>
        </w:rPr>
        <w:t>1,843,793</w:t>
      </w:r>
      <w:r>
        <w:rPr>
          <w:rFonts w:ascii="宋体" w:hAnsi="宋体" w:cs="宋体" w:eastAsia="宋体" w:hint="default"/>
          <w:spacing w:val="-57"/>
        </w:rPr>
        <w:t> </w:t>
      </w:r>
      <w:r>
        <w:rPr/>
        <w:t>股股份、向佛山优势发行</w:t>
      </w:r>
      <w:r>
        <w:rPr>
          <w:spacing w:val="-57"/>
        </w:rPr>
        <w:t> </w:t>
      </w:r>
      <w:r>
        <w:rPr>
          <w:rFonts w:ascii="宋体" w:hAnsi="宋体" w:cs="宋体" w:eastAsia="宋体" w:hint="default"/>
        </w:rPr>
        <w:t>921,898</w:t>
      </w:r>
      <w:r>
        <w:rPr>
          <w:rFonts w:ascii="宋体" w:hAnsi="宋体" w:cs="宋体" w:eastAsia="宋体" w:hint="default"/>
          <w:spacing w:val="-57"/>
        </w:rPr>
        <w:t> </w:t>
      </w:r>
      <w:r>
        <w:rPr/>
        <w:t>股股份、向常州金茂发行</w:t>
      </w:r>
      <w:r>
        <w:rPr>
          <w:spacing w:val="-57"/>
        </w:rPr>
        <w:t> </w:t>
      </w:r>
      <w:r>
        <w:rPr>
          <w:rFonts w:ascii="宋体" w:hAnsi="宋体" w:cs="宋体" w:eastAsia="宋体" w:hint="default"/>
        </w:rPr>
        <w:t>921,898</w:t>
      </w:r>
      <w:r>
        <w:rPr>
          <w:rFonts w:ascii="宋体" w:hAnsi="宋体" w:cs="宋体" w:eastAsia="宋体" w:hint="default"/>
          <w:spacing w:val="-57"/>
        </w:rPr>
        <w:t> </w:t>
      </w:r>
      <w:r>
        <w:rPr/>
        <w:t>股</w:t>
      </w:r>
    </w:p>
    <w:p>
      <w:pPr>
        <w:pStyle w:val="BodyText"/>
        <w:spacing w:line="240" w:lineRule="auto" w:before="134"/>
        <w:ind w:right="1017"/>
        <w:jc w:val="left"/>
      </w:pPr>
      <w:r>
        <w:rPr/>
        <w:t>股份、向南通康成亨发行</w:t>
      </w:r>
      <w:r>
        <w:rPr>
          <w:spacing w:val="-53"/>
        </w:rPr>
        <w:t> </w:t>
      </w:r>
      <w:r>
        <w:rPr>
          <w:rFonts w:ascii="宋体" w:hAnsi="宋体" w:cs="宋体" w:eastAsia="宋体" w:hint="default"/>
        </w:rPr>
        <w:t>921,898</w:t>
      </w:r>
      <w:r>
        <w:rPr>
          <w:rFonts w:ascii="宋体" w:hAnsi="宋体" w:cs="宋体" w:eastAsia="宋体" w:hint="default"/>
          <w:spacing w:val="-54"/>
        </w:rPr>
        <w:t> </w:t>
      </w:r>
      <w:r>
        <w:rPr/>
        <w:t>股股份购买相关资产；同时非公开发行不超过</w:t>
      </w:r>
      <w:r>
        <w:rPr>
          <w:spacing w:val="-53"/>
        </w:rPr>
        <w:t> </w:t>
      </w:r>
      <w:r>
        <w:rPr>
          <w:rFonts w:ascii="宋体" w:hAnsi="宋体" w:cs="宋体" w:eastAsia="宋体" w:hint="default"/>
        </w:rPr>
        <w:t>20,867,932</w:t>
      </w:r>
      <w:r>
        <w:rPr>
          <w:rFonts w:ascii="宋体" w:hAnsi="宋体" w:cs="宋体" w:eastAsia="宋体" w:hint="default"/>
          <w:spacing w:val="-54"/>
        </w:rPr>
        <w:t> </w:t>
      </w:r>
      <w:r>
        <w:rPr/>
        <w:t>股新股募集</w:t>
      </w:r>
    </w:p>
    <w:p>
      <w:pPr>
        <w:pStyle w:val="BodyText"/>
        <w:spacing w:line="240" w:lineRule="auto" w:before="133"/>
        <w:ind w:right="1017"/>
        <w:jc w:val="left"/>
      </w:pPr>
      <w:r>
        <w:rPr/>
        <w:t>本次发行股份购买资产的配套资金。合计发行</w:t>
      </w:r>
      <w:r>
        <w:rPr>
          <w:spacing w:val="-53"/>
        </w:rPr>
        <w:t> </w:t>
      </w:r>
      <w:r>
        <w:rPr>
          <w:rFonts w:ascii="宋体" w:hAnsi="宋体" w:cs="宋体" w:eastAsia="宋体" w:hint="default"/>
        </w:rPr>
        <w:t>66,962,792</w:t>
      </w:r>
      <w:r>
        <w:rPr>
          <w:rFonts w:ascii="宋体" w:hAnsi="宋体" w:cs="宋体" w:eastAsia="宋体" w:hint="default"/>
          <w:spacing w:val="-54"/>
        </w:rPr>
        <w:t> </w:t>
      </w:r>
      <w:r>
        <w:rPr/>
        <w:t>股，上市日期为</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23</w:t>
      </w:r>
      <w:r>
        <w:rPr>
          <w:rFonts w:ascii="宋体" w:hAnsi="宋体" w:cs="宋体" w:eastAsia="宋体" w:hint="default"/>
          <w:spacing w:val="-53"/>
        </w:rPr>
        <w:t> </w:t>
      </w:r>
      <w:r>
        <w:rPr/>
        <w:t>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left="153" w:right="1017"/>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240" w:lineRule="auto" w:before="35"/>
        <w:ind w:left="0" w:right="1201"/>
        <w:jc w:val="right"/>
      </w:pPr>
      <w:r>
        <w:rPr/>
        <w:t>公司实施限制性股票激励计划，股本增加</w:t>
      </w:r>
      <w:r>
        <w:rPr>
          <w:spacing w:val="-54"/>
        </w:rPr>
        <w:t> </w:t>
      </w:r>
      <w:r>
        <w:rPr>
          <w:rFonts w:ascii="宋体" w:hAnsi="宋体" w:cs="宋体" w:eastAsia="宋体" w:hint="default"/>
        </w:rPr>
        <w:t>5,800,000</w:t>
      </w:r>
      <w:r>
        <w:rPr>
          <w:rFonts w:ascii="宋体" w:hAnsi="宋体" w:cs="宋体" w:eastAsia="宋体" w:hint="default"/>
          <w:spacing w:val="-54"/>
        </w:rPr>
        <w:t> </w:t>
      </w:r>
      <w:r>
        <w:rPr/>
        <w:t>股；因实施了</w:t>
      </w:r>
      <w:r>
        <w:rPr>
          <w:spacing w:val="-55"/>
        </w:rPr>
        <w:t> </w:t>
      </w:r>
      <w:r>
        <w:rPr>
          <w:rFonts w:ascii="宋体" w:hAnsi="宋体" w:cs="宋体" w:eastAsia="宋体" w:hint="default"/>
        </w:rPr>
        <w:t>2014</w:t>
      </w:r>
      <w:r>
        <w:rPr>
          <w:rFonts w:ascii="宋体" w:hAnsi="宋体" w:cs="宋体" w:eastAsia="宋体" w:hint="default"/>
          <w:spacing w:val="-54"/>
        </w:rPr>
        <w:t> </w:t>
      </w:r>
      <w:r>
        <w:rPr/>
        <w:t>年度权益分派方案，股本增</w:t>
      </w:r>
    </w:p>
    <w:p>
      <w:pPr>
        <w:pStyle w:val="BodyText"/>
        <w:spacing w:line="240" w:lineRule="auto" w:before="133"/>
        <w:ind w:right="0"/>
        <w:jc w:val="left"/>
      </w:pPr>
      <w:r>
        <w:rPr/>
        <w:t>加</w:t>
      </w:r>
      <w:r>
        <w:rPr>
          <w:spacing w:val="-59"/>
        </w:rPr>
        <w:t> </w:t>
      </w:r>
      <w:r>
        <w:rPr>
          <w:rFonts w:ascii="宋体" w:hAnsi="宋体" w:cs="宋体" w:eastAsia="宋体" w:hint="default"/>
        </w:rPr>
        <w:t>313,920,000</w:t>
      </w:r>
      <w:r>
        <w:rPr>
          <w:rFonts w:ascii="宋体" w:hAnsi="宋体" w:cs="宋体" w:eastAsia="宋体" w:hint="default"/>
          <w:spacing w:val="-59"/>
        </w:rPr>
        <w:t> </w:t>
      </w:r>
      <w:r>
        <w:rPr/>
        <w:t>股；因实施发行股份及支付现金购买资产并募集配套资金方案，股本增加</w:t>
      </w:r>
      <w:r>
        <w:rPr>
          <w:spacing w:val="-59"/>
        </w:rPr>
        <w:t> </w:t>
      </w:r>
      <w:r>
        <w:rPr>
          <w:rFonts w:ascii="宋体" w:hAnsi="宋体" w:cs="宋体" w:eastAsia="宋体" w:hint="default"/>
        </w:rPr>
        <w:t>66,962,792</w:t>
      </w:r>
      <w:r>
        <w:rPr>
          <w:rFonts w:ascii="宋体" w:hAnsi="宋体" w:cs="宋体" w:eastAsia="宋体" w:hint="default"/>
          <w:spacing w:val="-59"/>
        </w:rPr>
        <w:t> </w:t>
      </w:r>
      <w:r>
        <w:rPr/>
        <w:t>股。</w:t>
      </w:r>
    </w:p>
    <w:p>
      <w:pPr>
        <w:pStyle w:val="BodyText"/>
        <w:spacing w:line="240" w:lineRule="auto" w:before="134"/>
        <w:ind w:left="154" w:right="1017"/>
        <w:jc w:val="left"/>
      </w:pPr>
      <w:r>
        <w:rPr/>
        <w:t>上述原因，合计股本增加</w:t>
      </w:r>
      <w:r>
        <w:rPr>
          <w:spacing w:val="-52"/>
        </w:rPr>
        <w:t> </w:t>
      </w:r>
      <w:r>
        <w:rPr>
          <w:rFonts w:ascii="宋体" w:hAnsi="宋体" w:cs="宋体" w:eastAsia="宋体" w:hint="default"/>
        </w:rPr>
        <w:t>386,682,792</w:t>
      </w:r>
      <w:r>
        <w:rPr>
          <w:rFonts w:ascii="宋体" w:hAnsi="宋体" w:cs="宋体" w:eastAsia="宋体" w:hint="default"/>
          <w:spacing w:val="-52"/>
        </w:rPr>
        <w:t> </w:t>
      </w:r>
      <w:r>
        <w:rPr/>
        <w:t>股。</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3"/>
        <w:spacing w:line="240" w:lineRule="auto"/>
        <w:ind w:right="1017"/>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17"/>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95"/>
        <w:gridCol w:w="679"/>
        <w:gridCol w:w="93"/>
        <w:gridCol w:w="798"/>
        <w:gridCol w:w="321"/>
        <w:gridCol w:w="994"/>
        <w:gridCol w:w="931"/>
        <w:gridCol w:w="634"/>
        <w:gridCol w:w="467"/>
        <w:gridCol w:w="784"/>
        <w:gridCol w:w="562"/>
        <w:gridCol w:w="41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44,624</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891" w:type="dxa"/>
            <w:gridSpan w:val="2"/>
            <w:vMerge w:val="restart"/>
            <w:tcBorders>
              <w:top w:val="single" w:sz="4" w:space="0" w:color="000000"/>
              <w:left w:val="single" w:sz="13"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47,520</w:t>
            </w:r>
          </w:p>
        </w:tc>
        <w:tc>
          <w:tcPr>
            <w:tcW w:w="2246"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34"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70"/>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w:t>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1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891" w:type="dxa"/>
            <w:gridSpan w:val="2"/>
            <w:vMerge/>
            <w:tcBorders>
              <w:left w:val="single" w:sz="13" w:space="0" w:color="D2D2D2"/>
              <w:right w:val="single" w:sz="9" w:space="0" w:color="D2D2D2"/>
            </w:tcBorders>
          </w:tcPr>
          <w:p>
            <w:pPr/>
          </w:p>
        </w:tc>
        <w:tc>
          <w:tcPr>
            <w:tcW w:w="2246"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6"/>
              <w:jc w:val="both"/>
              <w:rPr>
                <w:rFonts w:ascii="宋体" w:hAnsi="宋体" w:cs="宋体" w:eastAsia="宋体" w:hint="default"/>
                <w:sz w:val="18"/>
                <w:szCs w:val="18"/>
              </w:rPr>
            </w:pPr>
            <w:r>
              <w:rPr>
                <w:rFonts w:ascii="宋体" w:hAnsi="宋体" w:cs="宋体" w:eastAsia="宋体" w:hint="default"/>
                <w:sz w:val="18"/>
                <w:szCs w:val="18"/>
              </w:rPr>
              <w:t>报告期末表决权恢复的优先 </w:t>
            </w:r>
            <w:r>
              <w:rPr>
                <w:rFonts w:ascii="宋体" w:hAnsi="宋体" w:cs="宋体" w:eastAsia="宋体" w:hint="default"/>
                <w:spacing w:val="-11"/>
                <w:sz w:val="18"/>
                <w:szCs w:val="18"/>
              </w:rPr>
              <w:t>股股东总数（如有）（参见注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634" w:type="dxa"/>
            <w:vMerge/>
            <w:tcBorders>
              <w:left w:val="single" w:sz="9" w:space="0" w:color="D2D2D2"/>
              <w:right w:val="single" w:sz="9" w:space="0" w:color="D2D2D2"/>
            </w:tcBorders>
          </w:tcPr>
          <w:p>
            <w:pPr/>
          </w:p>
        </w:tc>
        <w:tc>
          <w:tcPr>
            <w:tcW w:w="1813" w:type="dxa"/>
            <w:gridSpan w:val="3"/>
            <w:vMerge/>
            <w:tcBorders>
              <w:left w:val="single" w:sz="4" w:space="0" w:color="000000"/>
              <w:right w:val="single" w:sz="4" w:space="0" w:color="000000"/>
            </w:tcBorders>
            <w:shd w:val="clear" w:color="auto" w:fill="D2D2D2"/>
          </w:tcPr>
          <w:p>
            <w:pPr/>
          </w:p>
        </w:tc>
        <w:tc>
          <w:tcPr>
            <w:tcW w:w="41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891" w:type="dxa"/>
            <w:gridSpan w:val="2"/>
            <w:vMerge/>
            <w:tcBorders>
              <w:left w:val="single" w:sz="13" w:space="0" w:color="D2D2D2"/>
              <w:right w:val="single" w:sz="9" w:space="0" w:color="D2D2D2"/>
            </w:tcBorders>
          </w:tcPr>
          <w:p>
            <w:pPr/>
          </w:p>
        </w:tc>
        <w:tc>
          <w:tcPr>
            <w:tcW w:w="2246" w:type="dxa"/>
            <w:gridSpan w:val="3"/>
            <w:vMerge/>
            <w:tcBorders>
              <w:left w:val="single" w:sz="4" w:space="0" w:color="000000"/>
              <w:right w:val="single" w:sz="4" w:space="0" w:color="000000"/>
            </w:tcBorders>
            <w:shd w:val="clear" w:color="auto" w:fill="D2D2D2"/>
          </w:tcPr>
          <w:p>
            <w:pPr/>
          </w:p>
        </w:tc>
        <w:tc>
          <w:tcPr>
            <w:tcW w:w="634" w:type="dxa"/>
            <w:vMerge/>
            <w:tcBorders>
              <w:left w:val="single" w:sz="9" w:space="0" w:color="D2D2D2"/>
              <w:right w:val="single" w:sz="9" w:space="0" w:color="D2D2D2"/>
            </w:tcBorders>
          </w:tcPr>
          <w:p>
            <w:pPr/>
          </w:p>
        </w:tc>
        <w:tc>
          <w:tcPr>
            <w:tcW w:w="1813" w:type="dxa"/>
            <w:gridSpan w:val="3"/>
            <w:vMerge/>
            <w:tcBorders>
              <w:left w:val="single" w:sz="4" w:space="0" w:color="000000"/>
              <w:right w:val="single" w:sz="4" w:space="0" w:color="000000"/>
            </w:tcBorders>
            <w:shd w:val="clear" w:color="auto" w:fill="D2D2D2"/>
          </w:tcPr>
          <w:p>
            <w:pPr/>
          </w:p>
        </w:tc>
        <w:tc>
          <w:tcPr>
            <w:tcW w:w="417" w:type="dxa"/>
            <w:vMerge/>
            <w:tcBorders>
              <w:left w:val="single" w:sz="13" w:space="0" w:color="D2D2D2"/>
              <w:right w:val="single" w:sz="4" w:space="0" w:color="000000"/>
            </w:tcBorders>
          </w:tcPr>
          <w:p>
            <w:pP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891" w:type="dxa"/>
            <w:gridSpan w:val="2"/>
            <w:vMerge/>
            <w:tcBorders>
              <w:left w:val="single" w:sz="13" w:space="0" w:color="D2D2D2"/>
              <w:right w:val="single" w:sz="9" w:space="0" w:color="D2D2D2"/>
            </w:tcBorders>
          </w:tcPr>
          <w:p>
            <w:pPr/>
          </w:p>
        </w:tc>
        <w:tc>
          <w:tcPr>
            <w:tcW w:w="2246" w:type="dxa"/>
            <w:gridSpan w:val="3"/>
            <w:vMerge/>
            <w:tcBorders>
              <w:left w:val="single" w:sz="4" w:space="0" w:color="000000"/>
              <w:bottom w:val="nil" w:sz="6" w:space="0" w:color="auto"/>
              <w:right w:val="single" w:sz="4" w:space="0" w:color="000000"/>
            </w:tcBorders>
            <w:shd w:val="clear" w:color="auto" w:fill="D2D2D2"/>
          </w:tcPr>
          <w:p>
            <w:pPr/>
          </w:p>
        </w:tc>
        <w:tc>
          <w:tcPr>
            <w:tcW w:w="634" w:type="dxa"/>
            <w:vMerge/>
            <w:tcBorders>
              <w:left w:val="single" w:sz="9" w:space="0" w:color="D2D2D2"/>
              <w:right w:val="single" w:sz="9" w:space="0" w:color="D2D2D2"/>
            </w:tcBorders>
          </w:tcPr>
          <w:p>
            <w:pPr/>
          </w:p>
        </w:tc>
        <w:tc>
          <w:tcPr>
            <w:tcW w:w="1813" w:type="dxa"/>
            <w:gridSpan w:val="3"/>
            <w:vMerge/>
            <w:tcBorders>
              <w:left w:val="single" w:sz="4" w:space="0" w:color="000000"/>
              <w:right w:val="single" w:sz="4" w:space="0" w:color="000000"/>
            </w:tcBorders>
            <w:shd w:val="clear" w:color="auto" w:fill="D2D2D2"/>
          </w:tcPr>
          <w:p>
            <w:pPr/>
          </w:p>
        </w:tc>
        <w:tc>
          <w:tcPr>
            <w:tcW w:w="41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891" w:type="dxa"/>
            <w:gridSpan w:val="2"/>
            <w:vMerge/>
            <w:tcBorders>
              <w:left w:val="single" w:sz="13" w:space="0" w:color="D2D2D2"/>
              <w:bottom w:val="single" w:sz="4" w:space="0" w:color="000000"/>
              <w:right w:val="single" w:sz="9" w:space="0" w:color="D2D2D2"/>
            </w:tcBorders>
          </w:tcPr>
          <w:p>
            <w:pPr/>
          </w:p>
        </w:tc>
        <w:tc>
          <w:tcPr>
            <w:tcW w:w="2246"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34" w:type="dxa"/>
            <w:vMerge/>
            <w:tcBorders>
              <w:left w:val="single" w:sz="9" w:space="0" w:color="D2D2D2"/>
              <w:bottom w:val="single" w:sz="4" w:space="0" w:color="000000"/>
              <w:right w:val="single" w:sz="9" w:space="0" w:color="D2D2D2"/>
            </w:tcBorders>
          </w:tcPr>
          <w:p>
            <w:pP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417" w:type="dxa"/>
            <w:vMerge/>
            <w:tcBorders>
              <w:left w:val="single" w:sz="13" w:space="0" w:color="D2D2D2"/>
              <w:bottom w:val="single" w:sz="4" w:space="0" w:color="000000"/>
              <w:right w:val="single" w:sz="4" w:space="0" w:color="000000"/>
            </w:tcBorders>
          </w:tcPr>
          <w:p>
            <w:pPr/>
          </w:p>
        </w:tc>
      </w:tr>
      <w:tr>
        <w:trPr>
          <w:trHeight w:val="392" w:hRule="exact"/>
        </w:trPr>
        <w:tc>
          <w:tcPr>
            <w:tcW w:w="957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6"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29" w:type="dxa"/>
            <w:gridSpan w:val="2"/>
            <w:vMerge w:val="restart"/>
            <w:tcBorders>
              <w:top w:val="single" w:sz="4" w:space="0" w:color="000000"/>
              <w:left w:val="single" w:sz="4" w:space="0" w:color="000000"/>
              <w:right w:val="single" w:sz="4" w:space="0" w:color="000000"/>
            </w:tcBorders>
            <w:shd w:val="clear" w:color="auto" w:fill="D2D2D2"/>
          </w:tcPr>
          <w:p>
            <w:pPr/>
          </w:p>
        </w:tc>
        <w:tc>
          <w:tcPr>
            <w:tcW w:w="77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1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3" w:right="9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1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8" w:right="93"/>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6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29" w:type="dxa"/>
            <w:gridSpan w:val="2"/>
            <w:vMerge/>
            <w:tcBorders>
              <w:left w:val="single" w:sz="4" w:space="0" w:color="000000"/>
              <w:bottom w:val="nil" w:sz="6" w:space="0" w:color="auto"/>
              <w:right w:val="single" w:sz="4" w:space="0" w:color="000000"/>
            </w:tcBorders>
            <w:shd w:val="clear" w:color="auto" w:fill="D2D2D2"/>
          </w:tcPr>
          <w:p>
            <w:pPr/>
          </w:p>
        </w:tc>
        <w:tc>
          <w:tcPr>
            <w:tcW w:w="77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57" w:lineRule="auto" w:before="32"/>
              <w:ind w:left="200" w:right="199"/>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11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84" w:right="102"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31" w:type="dxa"/>
            <w:vMerge/>
            <w:tcBorders>
              <w:left w:val="single" w:sz="4" w:space="0" w:color="000000"/>
              <w:right w:val="single" w:sz="4" w:space="0" w:color="000000"/>
            </w:tcBorders>
            <w:shd w:val="clear" w:color="auto" w:fill="D2D2D2"/>
          </w:tcPr>
          <w:p>
            <w:pPr/>
          </w:p>
        </w:tc>
        <w:tc>
          <w:tcPr>
            <w:tcW w:w="1102" w:type="dxa"/>
            <w:gridSpan w:val="2"/>
            <w:vMerge/>
            <w:tcBorders>
              <w:left w:val="single" w:sz="4" w:space="0" w:color="000000"/>
              <w:right w:val="single" w:sz="4" w:space="0" w:color="000000"/>
            </w:tcBorders>
            <w:shd w:val="clear" w:color="auto" w:fill="D2D2D2"/>
          </w:tcPr>
          <w:p>
            <w:pPr/>
          </w:p>
        </w:tc>
        <w:tc>
          <w:tcPr>
            <w:tcW w:w="1763" w:type="dxa"/>
            <w:gridSpan w:val="3"/>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2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72" w:type="dxa"/>
            <w:gridSpan w:val="2"/>
            <w:vMerge/>
            <w:tcBorders>
              <w:left w:val="single" w:sz="4" w:space="0" w:color="000000"/>
              <w:right w:val="single" w:sz="4" w:space="0" w:color="000000"/>
            </w:tcBorders>
            <w:shd w:val="clear" w:color="auto" w:fill="D2D2D2"/>
          </w:tcPr>
          <w:p>
            <w:pPr/>
          </w:p>
        </w:tc>
        <w:tc>
          <w:tcPr>
            <w:tcW w:w="1119" w:type="dxa"/>
            <w:gridSpan w:val="2"/>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c>
          <w:tcPr>
            <w:tcW w:w="1102" w:type="dxa"/>
            <w:gridSpan w:val="2"/>
            <w:vMerge/>
            <w:tcBorders>
              <w:left w:val="single" w:sz="4" w:space="0" w:color="000000"/>
              <w:right w:val="single" w:sz="4" w:space="0" w:color="000000"/>
            </w:tcBorders>
            <w:shd w:val="clear" w:color="auto" w:fill="D2D2D2"/>
          </w:tcPr>
          <w:p>
            <w:pPr/>
          </w:p>
        </w:tc>
        <w:tc>
          <w:tcPr>
            <w:tcW w:w="1763"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29" w:type="dxa"/>
            <w:gridSpan w:val="2"/>
            <w:vMerge/>
            <w:tcBorders>
              <w:left w:val="single" w:sz="4" w:space="0" w:color="000000"/>
              <w:bottom w:val="nil" w:sz="6" w:space="0" w:color="auto"/>
              <w:right w:val="single" w:sz="4" w:space="0" w:color="000000"/>
            </w:tcBorders>
            <w:shd w:val="clear" w:color="auto" w:fill="D2D2D2"/>
          </w:tcPr>
          <w:p>
            <w:pPr/>
          </w:p>
        </w:tc>
        <w:tc>
          <w:tcPr>
            <w:tcW w:w="772" w:type="dxa"/>
            <w:gridSpan w:val="2"/>
            <w:vMerge/>
            <w:tcBorders>
              <w:left w:val="single" w:sz="4" w:space="0" w:color="000000"/>
              <w:right w:val="single" w:sz="4" w:space="0" w:color="000000"/>
            </w:tcBorders>
            <w:shd w:val="clear" w:color="auto" w:fill="D2D2D2"/>
          </w:tcPr>
          <w:p>
            <w:pPr/>
          </w:p>
        </w:tc>
        <w:tc>
          <w:tcPr>
            <w:tcW w:w="1119" w:type="dxa"/>
            <w:gridSpan w:val="2"/>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c>
          <w:tcPr>
            <w:tcW w:w="1102" w:type="dxa"/>
            <w:gridSpan w:val="2"/>
            <w:vMerge/>
            <w:tcBorders>
              <w:left w:val="single" w:sz="4" w:space="0" w:color="000000"/>
              <w:right w:val="single" w:sz="4" w:space="0" w:color="000000"/>
            </w:tcBorders>
            <w:shd w:val="clear" w:color="auto" w:fill="D2D2D2"/>
          </w:tcPr>
          <w:p>
            <w:pPr/>
          </w:p>
        </w:tc>
        <w:tc>
          <w:tcPr>
            <w:tcW w:w="7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29" w:type="dxa"/>
            <w:gridSpan w:val="2"/>
            <w:vMerge w:val="restart"/>
            <w:tcBorders>
              <w:top w:val="nil" w:sz="6" w:space="0" w:color="auto"/>
              <w:left w:val="single" w:sz="4" w:space="0" w:color="000000"/>
              <w:right w:val="single" w:sz="4" w:space="0" w:color="000000"/>
            </w:tcBorders>
            <w:shd w:val="clear" w:color="auto" w:fill="D2D2D2"/>
          </w:tcPr>
          <w:p>
            <w:pPr/>
          </w:p>
        </w:tc>
        <w:tc>
          <w:tcPr>
            <w:tcW w:w="772" w:type="dxa"/>
            <w:gridSpan w:val="2"/>
            <w:vMerge/>
            <w:tcBorders>
              <w:left w:val="single" w:sz="4" w:space="0" w:color="000000"/>
              <w:bottom w:val="nil" w:sz="6" w:space="0" w:color="auto"/>
              <w:right w:val="single" w:sz="4" w:space="0" w:color="000000"/>
            </w:tcBorders>
            <w:shd w:val="clear" w:color="auto" w:fill="D2D2D2"/>
          </w:tcPr>
          <w:p>
            <w:pPr/>
          </w:p>
        </w:tc>
        <w:tc>
          <w:tcPr>
            <w:tcW w:w="1119" w:type="dxa"/>
            <w:gridSpan w:val="2"/>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c>
          <w:tcPr>
            <w:tcW w:w="1102" w:type="dxa"/>
            <w:gridSpan w:val="2"/>
            <w:vMerge/>
            <w:tcBorders>
              <w:left w:val="single" w:sz="4" w:space="0" w:color="000000"/>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c>
          <w:tcPr>
            <w:tcW w:w="979"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29" w:type="dxa"/>
            <w:gridSpan w:val="2"/>
            <w:vMerge/>
            <w:tcBorders>
              <w:left w:val="single" w:sz="4" w:space="0" w:color="000000"/>
              <w:bottom w:val="single" w:sz="4" w:space="0" w:color="000000"/>
              <w:right w:val="single" w:sz="4" w:space="0" w:color="000000"/>
            </w:tcBorders>
            <w:shd w:val="clear" w:color="auto" w:fill="D2D2D2"/>
          </w:tcPr>
          <w:p>
            <w:pPr/>
          </w:p>
        </w:tc>
        <w:tc>
          <w:tcPr>
            <w:tcW w:w="77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1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102" w:type="dxa"/>
            <w:gridSpan w:val="2"/>
            <w:vMerge/>
            <w:tcBorders>
              <w:left w:val="single" w:sz="4" w:space="0" w:color="000000"/>
              <w:bottom w:val="single" w:sz="4" w:space="0" w:color="000000"/>
              <w:right w:val="single" w:sz="4" w:space="0" w:color="000000"/>
            </w:tcBorders>
            <w:shd w:val="clear" w:color="auto" w:fill="D2D2D2"/>
          </w:tcPr>
          <w:p>
            <w:pPr/>
          </w:p>
        </w:tc>
        <w:tc>
          <w:tcPr>
            <w:tcW w:w="784" w:type="dxa"/>
            <w:vMerge/>
            <w:tcBorders>
              <w:left w:val="single" w:sz="4" w:space="0" w:color="000000"/>
              <w:bottom w:val="single" w:sz="4" w:space="0" w:color="000000"/>
              <w:right w:val="single" w:sz="4" w:space="0" w:color="000000"/>
            </w:tcBorders>
            <w:shd w:val="clear" w:color="auto" w:fill="D2D2D2"/>
          </w:tcPr>
          <w:p>
            <w:pPr/>
          </w:p>
        </w:tc>
        <w:tc>
          <w:tcPr>
            <w:tcW w:w="979"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拉萨市达实投资 发展有限公司</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20.76%</w:t>
            </w:r>
          </w:p>
        </w:tc>
        <w:tc>
          <w:tcPr>
            <w:tcW w:w="1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133,407,177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72,767,551</w:t>
            </w:r>
          </w:p>
        </w:tc>
        <w:tc>
          <w:tcPr>
            <w:tcW w:w="931" w:type="dxa"/>
            <w:tcBorders>
              <w:top w:val="single" w:sz="4" w:space="0" w:color="000000"/>
              <w:left w:val="single" w:sz="4" w:space="0" w:color="000000"/>
              <w:bottom w:val="single" w:sz="4" w:space="0" w:color="000000"/>
              <w:right w:val="single" w:sz="4" w:space="0" w:color="000000"/>
            </w:tcBorders>
          </w:tcPr>
          <w:p>
            <w:pPr/>
          </w:p>
        </w:tc>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133,407,177</w:t>
            </w:r>
          </w:p>
        </w:tc>
        <w:tc>
          <w:tcPr>
            <w:tcW w:w="784"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97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119,400,000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9.25%</w:t>
            </w:r>
          </w:p>
        </w:tc>
        <w:tc>
          <w:tcPr>
            <w:tcW w:w="1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6" w:right="0"/>
              <w:jc w:val="left"/>
              <w:rPr>
                <w:rFonts w:ascii="Times New Roman" w:hAnsi="Times New Roman" w:cs="Times New Roman" w:eastAsia="Times New Roman" w:hint="default"/>
                <w:sz w:val="18"/>
                <w:szCs w:val="18"/>
              </w:rPr>
            </w:pPr>
            <w:r>
              <w:rPr>
                <w:rFonts w:ascii="Times New Roman"/>
                <w:sz w:val="18"/>
              </w:rPr>
              <w:t>59,400,000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59,400,000</w:t>
            </w:r>
          </w:p>
        </w:tc>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50,230,000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9.07%</w:t>
            </w:r>
          </w:p>
        </w:tc>
        <w:tc>
          <w:tcPr>
            <w:tcW w:w="1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6" w:right="0"/>
              <w:jc w:val="left"/>
              <w:rPr>
                <w:rFonts w:ascii="Times New Roman" w:hAnsi="Times New Roman" w:cs="Times New Roman" w:eastAsia="Times New Roman" w:hint="default"/>
                <w:sz w:val="18"/>
                <w:szCs w:val="18"/>
              </w:rPr>
            </w:pPr>
            <w:r>
              <w:rPr>
                <w:rFonts w:ascii="Times New Roman"/>
                <w:sz w:val="18"/>
              </w:rPr>
              <w:t>58,245,677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38,245,677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58,245,677</w:t>
            </w:r>
          </w:p>
        </w:tc>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房志刚</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5.07%</w:t>
            </w:r>
          </w:p>
        </w:tc>
        <w:tc>
          <w:tcPr>
            <w:tcW w:w="1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6" w:right="0"/>
              <w:jc w:val="left"/>
              <w:rPr>
                <w:rFonts w:ascii="Times New Roman" w:hAnsi="Times New Roman" w:cs="Times New Roman" w:eastAsia="Times New Roman" w:hint="default"/>
                <w:sz w:val="18"/>
                <w:szCs w:val="18"/>
              </w:rPr>
            </w:pPr>
            <w:r>
              <w:rPr>
                <w:rFonts w:ascii="Times New Roman"/>
                <w:sz w:val="18"/>
              </w:rPr>
              <w:t>32,555,880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32,555,880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32,555,880</w:t>
            </w:r>
          </w:p>
        </w:tc>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4" w:space="0" w:color="000000"/>
            </w:tcBorders>
          </w:tcPr>
          <w:p>
            <w:pPr/>
          </w:p>
        </w:tc>
        <w:tc>
          <w:tcPr>
            <w:tcW w:w="97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盛安机电设备（昌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都）有限公司</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1.62%</w:t>
            </w:r>
          </w:p>
        </w:tc>
        <w:tc>
          <w:tcPr>
            <w:tcW w:w="1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10,383,005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2,281,954</w:t>
            </w:r>
          </w:p>
        </w:tc>
        <w:tc>
          <w:tcPr>
            <w:tcW w:w="931" w:type="dxa"/>
            <w:tcBorders>
              <w:top w:val="single" w:sz="4" w:space="0" w:color="000000"/>
              <w:left w:val="single" w:sz="4" w:space="0" w:color="000000"/>
              <w:bottom w:val="single" w:sz="4" w:space="0" w:color="000000"/>
              <w:right w:val="single" w:sz="4" w:space="0" w:color="000000"/>
            </w:tcBorders>
          </w:tcPr>
          <w:p>
            <w:pPr/>
          </w:p>
        </w:tc>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10,383,005</w:t>
            </w:r>
          </w:p>
        </w:tc>
        <w:tc>
          <w:tcPr>
            <w:tcW w:w="784" w:type="dxa"/>
            <w:tcBorders>
              <w:top w:val="single" w:sz="4" w:space="0" w:color="000000"/>
              <w:left w:val="single" w:sz="4" w:space="0" w:color="000000"/>
              <w:bottom w:val="single" w:sz="4" w:space="0" w:color="000000"/>
              <w:right w:val="single" w:sz="4" w:space="0" w:color="000000"/>
            </w:tcBorders>
          </w:tcPr>
          <w:p>
            <w:pPr/>
          </w:p>
        </w:tc>
        <w:tc>
          <w:tcPr>
            <w:tcW w:w="979"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中国建设银行－ 工银瑞信精选平 衡混合型证券投 资基金</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1.56%</w:t>
            </w:r>
          </w:p>
        </w:tc>
        <w:tc>
          <w:tcPr>
            <w:tcW w:w="1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10,000,000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4,257,619</w:t>
            </w:r>
          </w:p>
        </w:tc>
        <w:tc>
          <w:tcPr>
            <w:tcW w:w="931" w:type="dxa"/>
            <w:tcBorders>
              <w:top w:val="single" w:sz="4" w:space="0" w:color="000000"/>
              <w:left w:val="single" w:sz="4" w:space="0" w:color="000000"/>
              <w:bottom w:val="single" w:sz="4" w:space="0" w:color="000000"/>
              <w:right w:val="single" w:sz="4" w:space="0" w:color="000000"/>
            </w:tcBorders>
          </w:tcPr>
          <w:p>
            <w:pPr/>
          </w:p>
        </w:tc>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10,000,000</w:t>
            </w:r>
          </w:p>
        </w:tc>
        <w:tc>
          <w:tcPr>
            <w:tcW w:w="784" w:type="dxa"/>
            <w:tcBorders>
              <w:top w:val="single" w:sz="4" w:space="0" w:color="000000"/>
              <w:left w:val="single" w:sz="4" w:space="0" w:color="000000"/>
              <w:bottom w:val="single" w:sz="4" w:space="0" w:color="000000"/>
              <w:right w:val="single" w:sz="4" w:space="0" w:color="000000"/>
            </w:tcBorders>
          </w:tcPr>
          <w:p>
            <w:pPr/>
          </w:p>
        </w:tc>
        <w:tc>
          <w:tcPr>
            <w:tcW w:w="979"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交通银行股份有 限公司－工银瑞 信主题策略混合 型证券投资基金</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1.40%</w:t>
            </w:r>
          </w:p>
        </w:tc>
        <w:tc>
          <w:tcPr>
            <w:tcW w:w="1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9,000,000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8,400,027</w:t>
            </w:r>
          </w:p>
        </w:tc>
        <w:tc>
          <w:tcPr>
            <w:tcW w:w="931" w:type="dxa"/>
            <w:tcBorders>
              <w:top w:val="single" w:sz="4" w:space="0" w:color="000000"/>
              <w:left w:val="single" w:sz="4" w:space="0" w:color="000000"/>
              <w:bottom w:val="single" w:sz="4" w:space="0" w:color="000000"/>
              <w:right w:val="single" w:sz="4" w:space="0" w:color="000000"/>
            </w:tcBorders>
          </w:tcPr>
          <w:p>
            <w:pPr/>
          </w:p>
        </w:tc>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9,000,000</w:t>
            </w:r>
          </w:p>
        </w:tc>
        <w:tc>
          <w:tcPr>
            <w:tcW w:w="784" w:type="dxa"/>
            <w:tcBorders>
              <w:top w:val="single" w:sz="4" w:space="0" w:color="000000"/>
              <w:left w:val="single" w:sz="4" w:space="0" w:color="000000"/>
              <w:bottom w:val="single" w:sz="4" w:space="0" w:color="000000"/>
              <w:right w:val="single" w:sz="4" w:space="0" w:color="000000"/>
            </w:tcBorders>
          </w:tcPr>
          <w:p>
            <w:pPr/>
          </w:p>
        </w:tc>
        <w:tc>
          <w:tcPr>
            <w:tcW w:w="979" w:type="dxa"/>
            <w:gridSpan w:val="2"/>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中国农业银行股 份有限公司－工 银瑞信高端制造 行业股票型证券</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1.20%</w:t>
            </w:r>
          </w:p>
        </w:tc>
        <w:tc>
          <w:tcPr>
            <w:tcW w:w="1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7,686,705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2,209,380</w:t>
            </w:r>
          </w:p>
        </w:tc>
        <w:tc>
          <w:tcPr>
            <w:tcW w:w="931" w:type="dxa"/>
            <w:tcBorders>
              <w:top w:val="single" w:sz="4" w:space="0" w:color="000000"/>
              <w:left w:val="single" w:sz="4" w:space="0" w:color="000000"/>
              <w:bottom w:val="single" w:sz="4" w:space="0" w:color="000000"/>
              <w:right w:val="single" w:sz="4" w:space="0" w:color="000000"/>
            </w:tcBorders>
          </w:tcPr>
          <w:p>
            <w:pPr/>
          </w:p>
        </w:tc>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7,686,705</w:t>
            </w:r>
          </w:p>
        </w:tc>
        <w:tc>
          <w:tcPr>
            <w:tcW w:w="784" w:type="dxa"/>
            <w:tcBorders>
              <w:top w:val="single" w:sz="4" w:space="0" w:color="000000"/>
              <w:left w:val="single" w:sz="4" w:space="0" w:color="000000"/>
              <w:bottom w:val="single" w:sz="4" w:space="0" w:color="000000"/>
              <w:right w:val="single" w:sz="4" w:space="0" w:color="000000"/>
            </w:tcBorders>
          </w:tcPr>
          <w:p>
            <w:pPr/>
          </w:p>
        </w:tc>
        <w:tc>
          <w:tcPr>
            <w:tcW w:w="97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19" w:top="1100" w:bottom="120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65pt;height:676.4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29"/>
                    <w:gridCol w:w="772"/>
                    <w:gridCol w:w="1119"/>
                    <w:gridCol w:w="316"/>
                    <w:gridCol w:w="678"/>
                    <w:gridCol w:w="937"/>
                    <w:gridCol w:w="617"/>
                    <w:gridCol w:w="479"/>
                    <w:gridCol w:w="691"/>
                    <w:gridCol w:w="92"/>
                    <w:gridCol w:w="979"/>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1429"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96" w:type="dxa"/>
                        <w:gridSpan w:val="2"/>
                        <w:tcBorders>
                          <w:top w:val="single" w:sz="4" w:space="0" w:color="000000"/>
                          <w:left w:val="single" w:sz="4" w:space="0" w:color="000000"/>
                          <w:bottom w:val="single" w:sz="4" w:space="0" w:color="000000"/>
                          <w:right w:val="single" w:sz="4" w:space="0" w:color="000000"/>
                        </w:tcBorders>
                      </w:tcPr>
                      <w:p>
                        <w:pPr/>
                      </w:p>
                    </w:tc>
                    <w:tc>
                      <w:tcPr>
                        <w:tcW w:w="784" w:type="dxa"/>
                        <w:gridSpan w:val="2"/>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 中银中国精选混 合型开放式证券 投资基金</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6,485,202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3,537,383</w:t>
                        </w:r>
                      </w:p>
                    </w:tc>
                    <w:tc>
                      <w:tcPr>
                        <w:tcW w:w="937" w:type="dxa"/>
                        <w:tcBorders>
                          <w:top w:val="single" w:sz="4" w:space="0" w:color="000000"/>
                          <w:left w:val="single" w:sz="4" w:space="0" w:color="000000"/>
                          <w:bottom w:val="single" w:sz="4" w:space="0" w:color="000000"/>
                          <w:right w:val="single" w:sz="4" w:space="0" w:color="000000"/>
                        </w:tcBorders>
                      </w:tcPr>
                      <w:p>
                        <w:pPr/>
                      </w:p>
                    </w:tc>
                    <w:tc>
                      <w:tcPr>
                        <w:tcW w:w="10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6,485,202</w:t>
                        </w:r>
                      </w:p>
                    </w:tc>
                    <w:tc>
                      <w:tcPr>
                        <w:tcW w:w="784" w:type="dxa"/>
                        <w:gridSpan w:val="2"/>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一四组合</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5,954,830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2,199,813</w:t>
                        </w:r>
                      </w:p>
                    </w:tc>
                    <w:tc>
                      <w:tcPr>
                        <w:tcW w:w="937" w:type="dxa"/>
                        <w:tcBorders>
                          <w:top w:val="single" w:sz="4" w:space="0" w:color="000000"/>
                          <w:left w:val="single" w:sz="4" w:space="0" w:color="000000"/>
                          <w:bottom w:val="single" w:sz="4" w:space="0" w:color="000000"/>
                          <w:right w:val="single" w:sz="4" w:space="0" w:color="000000"/>
                        </w:tcBorders>
                      </w:tcPr>
                      <w:p>
                        <w:pPr/>
                      </w:p>
                    </w:tc>
                    <w:tc>
                      <w:tcPr>
                        <w:tcW w:w="10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5,954,830</w:t>
                        </w:r>
                      </w:p>
                    </w:tc>
                    <w:tc>
                      <w:tcPr>
                        <w:tcW w:w="784" w:type="dxa"/>
                        <w:gridSpan w:val="2"/>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649" w:hRule="exact"/>
                    </w:trPr>
                    <w:tc>
                      <w:tcPr>
                        <w:tcW w:w="28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0" w:type="dxa"/>
                        <w:gridSpan w:val="10"/>
                        <w:vMerge w:val="restart"/>
                        <w:tcBorders>
                          <w:top w:val="single" w:sz="4" w:space="0" w:color="000000"/>
                          <w:left w:val="single" w:sz="9" w:space="0" w:color="D2D2D2"/>
                          <w:right w:val="single" w:sz="4" w:space="0" w:color="000000"/>
                        </w:tcBorders>
                      </w:tcPr>
                      <w:p>
                        <w:pPr>
                          <w:pStyle w:val="TableParagraph"/>
                          <w:spacing w:line="316" w:lineRule="auto" w:before="51"/>
                          <w:ind w:left="16" w:right="21" w:firstLine="360"/>
                          <w:jc w:val="both"/>
                          <w:rPr>
                            <w:rFonts w:ascii="宋体" w:hAnsi="宋体" w:cs="宋体" w:eastAsia="宋体" w:hint="default"/>
                            <w:sz w:val="18"/>
                            <w:szCs w:val="18"/>
                          </w:rPr>
                        </w:pPr>
                        <w:r>
                          <w:rPr>
                            <w:rFonts w:ascii="宋体" w:hAnsi="宋体" w:cs="宋体" w:eastAsia="宋体" w:hint="default"/>
                            <w:spacing w:val="-2"/>
                            <w:sz w:val="18"/>
                            <w:szCs w:val="18"/>
                          </w:rPr>
                          <w:t>拉萨市达实投资发展有限公司为控股股东，刘磅先生为实际控制人、董事长、总</w:t>
                        </w:r>
                        <w:r>
                          <w:rPr>
                            <w:rFonts w:ascii="宋体" w:hAnsi="宋体" w:cs="宋体" w:eastAsia="宋体" w:hint="default"/>
                            <w:sz w:val="18"/>
                            <w:szCs w:val="18"/>
                          </w:rPr>
                          <w:t> </w:t>
                        </w:r>
                        <w:r>
                          <w:rPr>
                            <w:rFonts w:ascii="宋体" w:hAnsi="宋体" w:cs="宋体" w:eastAsia="宋体" w:hint="default"/>
                            <w:spacing w:val="-2"/>
                            <w:sz w:val="18"/>
                            <w:szCs w:val="18"/>
                          </w:rPr>
                          <w:t>经理，贾虹女士为公司董事；房志刚先生为公司全资子公司久信医疗创始人，现任久</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信医疗总经理；</w:t>
                        </w:r>
                      </w:p>
                      <w:p>
                        <w:pPr>
                          <w:pStyle w:val="TableParagraph"/>
                          <w:spacing w:line="240" w:lineRule="auto" w:before="58"/>
                          <w:ind w:left="376" w:right="0"/>
                          <w:jc w:val="left"/>
                          <w:rPr>
                            <w:rFonts w:ascii="宋体" w:hAnsi="宋体" w:cs="宋体" w:eastAsia="宋体" w:hint="default"/>
                            <w:sz w:val="18"/>
                            <w:szCs w:val="18"/>
                          </w:rPr>
                        </w:pPr>
                        <w:r>
                          <w:rPr>
                            <w:rFonts w:ascii="宋体" w:hAnsi="宋体" w:cs="宋体" w:eastAsia="宋体" w:hint="default"/>
                            <w:spacing w:val="-2"/>
                            <w:sz w:val="18"/>
                            <w:szCs w:val="18"/>
                          </w:rPr>
                          <w:t>中国建设银行－工银瑞信精选平衡混合型证券投资基金、交通银行股份有限公司</w:t>
                        </w:r>
                      </w:p>
                      <w:p>
                        <w:pPr>
                          <w:pStyle w:val="TableParagraph"/>
                          <w:spacing w:line="319" w:lineRule="auto" w:before="76"/>
                          <w:ind w:left="16" w:right="22"/>
                          <w:jc w:val="left"/>
                          <w:rPr>
                            <w:rFonts w:ascii="宋体" w:hAnsi="宋体" w:cs="宋体" w:eastAsia="宋体" w:hint="default"/>
                            <w:sz w:val="18"/>
                            <w:szCs w:val="18"/>
                          </w:rPr>
                        </w:pPr>
                        <w:r>
                          <w:rPr>
                            <w:rFonts w:ascii="宋体" w:hAnsi="宋体" w:cs="宋体" w:eastAsia="宋体" w:hint="default"/>
                            <w:spacing w:val="-2"/>
                            <w:sz w:val="18"/>
                            <w:szCs w:val="18"/>
                          </w:rPr>
                          <w:t>－工银瑞信主题策略混合型证券投资基金、中国农业银行股份有限公司－工银瑞信高</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端制造行业股票型证券投资基金的基金管理人员均为工银瑞信基金管理有限公司。</w:t>
                        </w:r>
                      </w:p>
                    </w:tc>
                  </w:tr>
                  <w:tr>
                    <w:trPr>
                      <w:trHeight w:val="703" w:hRule="exact"/>
                    </w:trPr>
                    <w:tc>
                      <w:tcPr>
                        <w:tcW w:w="289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0" w:type="dxa"/>
                        <w:gridSpan w:val="10"/>
                        <w:vMerge/>
                        <w:tcBorders>
                          <w:left w:val="single" w:sz="9" w:space="0" w:color="D2D2D2"/>
                          <w:right w:val="single" w:sz="4" w:space="0" w:color="000000"/>
                        </w:tcBorders>
                      </w:tcPr>
                      <w:p>
                        <w:pPr/>
                      </w:p>
                    </w:tc>
                  </w:tr>
                  <w:tr>
                    <w:trPr>
                      <w:trHeight w:val="649" w:hRule="exact"/>
                    </w:trPr>
                    <w:tc>
                      <w:tcPr>
                        <w:tcW w:w="28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0" w:type="dxa"/>
                        <w:gridSpan w:val="10"/>
                        <w:vMerge/>
                        <w:tcBorders>
                          <w:left w:val="single" w:sz="9" w:space="0" w:color="D2D2D2"/>
                          <w:bottom w:val="single" w:sz="4" w:space="0" w:color="000000"/>
                          <w:right w:val="single" w:sz="4" w:space="0" w:color="000000"/>
                        </w:tcBorders>
                      </w:tcPr>
                      <w:p>
                        <w:pPr/>
                      </w:p>
                    </w:tc>
                  </w:tr>
                  <w:tr>
                    <w:trPr>
                      <w:trHeight w:val="397" w:hRule="exact"/>
                    </w:trPr>
                    <w:tc>
                      <w:tcPr>
                        <w:tcW w:w="957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11" w:hRule="exact"/>
                    </w:trPr>
                    <w:tc>
                      <w:tcPr>
                        <w:tcW w:w="5104"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23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840" w:right="30" w:hanging="810"/>
                          <w:jc w:val="left"/>
                          <w:rPr>
                            <w:rFonts w:ascii="宋体" w:hAnsi="宋体" w:cs="宋体" w:eastAsia="宋体" w:hint="default"/>
                            <w:sz w:val="18"/>
                            <w:szCs w:val="18"/>
                          </w:rPr>
                        </w:pPr>
                        <w:r>
                          <w:rPr>
                            <w:rFonts w:ascii="宋体" w:hAnsi="宋体" w:cs="宋体" w:eastAsia="宋体" w:hint="default"/>
                            <w:sz w:val="18"/>
                            <w:szCs w:val="18"/>
                          </w:rPr>
                          <w:t>报告期末持有无限售条件股 份数量</w:t>
                        </w:r>
                      </w:p>
                    </w:tc>
                    <w:tc>
                      <w:tcPr>
                        <w:tcW w:w="224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5104"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232" w:type="dxa"/>
                        <w:gridSpan w:val="3"/>
                        <w:vMerge/>
                        <w:tcBorders>
                          <w:left w:val="single" w:sz="4" w:space="0" w:color="000000"/>
                          <w:right w:val="single" w:sz="4" w:space="0" w:color="000000"/>
                        </w:tcBorders>
                        <w:shd w:val="clear" w:color="auto" w:fill="D2D2D2"/>
                      </w:tcPr>
                      <w:p>
                        <w:pPr/>
                      </w:p>
                    </w:tc>
                    <w:tc>
                      <w:tcPr>
                        <w:tcW w:w="224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5104" w:type="dxa"/>
                        <w:gridSpan w:val="5"/>
                        <w:vMerge/>
                        <w:tcBorders>
                          <w:left w:val="single" w:sz="4" w:space="0" w:color="000000"/>
                          <w:bottom w:val="nil" w:sz="6" w:space="0" w:color="auto"/>
                          <w:right w:val="single" w:sz="4" w:space="0" w:color="000000"/>
                        </w:tcBorders>
                        <w:shd w:val="clear" w:color="auto" w:fill="D2D2D2"/>
                      </w:tcPr>
                      <w:p>
                        <w:pPr/>
                      </w:p>
                    </w:tc>
                    <w:tc>
                      <w:tcPr>
                        <w:tcW w:w="2232" w:type="dxa"/>
                        <w:gridSpan w:val="3"/>
                        <w:vMerge/>
                        <w:tcBorders>
                          <w:left w:val="single" w:sz="4" w:space="0" w:color="000000"/>
                          <w:right w:val="single" w:sz="4" w:space="0" w:color="000000"/>
                        </w:tcBorders>
                        <w:shd w:val="clear" w:color="auto" w:fill="D2D2D2"/>
                      </w:tcPr>
                      <w:p>
                        <w:pPr/>
                      </w:p>
                    </w:tc>
                    <w:tc>
                      <w:tcPr>
                        <w:tcW w:w="117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5104"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2232" w:type="dxa"/>
                        <w:gridSpan w:val="3"/>
                        <w:vMerge/>
                        <w:tcBorders>
                          <w:left w:val="single" w:sz="4" w:space="0" w:color="000000"/>
                          <w:bottom w:val="single" w:sz="4" w:space="0" w:color="000000"/>
                          <w:right w:val="single" w:sz="4" w:space="0" w:color="000000"/>
                        </w:tcBorders>
                        <w:shd w:val="clear" w:color="auto" w:fill="D2D2D2"/>
                      </w:tcPr>
                      <w:p>
                        <w:pPr/>
                      </w:p>
                    </w:tc>
                    <w:tc>
                      <w:tcPr>
                        <w:tcW w:w="1170" w:type="dxa"/>
                        <w:gridSpan w:val="2"/>
                        <w:vMerge/>
                        <w:tcBorders>
                          <w:left w:val="single" w:sz="4" w:space="0" w:color="000000"/>
                          <w:bottom w:val="single" w:sz="4" w:space="0" w:color="000000"/>
                          <w:right w:val="single" w:sz="4" w:space="0" w:color="000000"/>
                        </w:tcBorders>
                        <w:shd w:val="clear" w:color="auto" w:fill="D2D2D2"/>
                      </w:tcPr>
                      <w:p>
                        <w:pPr/>
                      </w:p>
                    </w:tc>
                    <w:tc>
                      <w:tcPr>
                        <w:tcW w:w="1072"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拉萨市达实投资发展有限公司</w:t>
                        </w:r>
                      </w:p>
                    </w:tc>
                    <w:tc>
                      <w:tcPr>
                        <w:tcW w:w="2232" w:type="dxa"/>
                        <w:gridSpan w:val="3"/>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left="1298" w:right="0"/>
                          <w:jc w:val="left"/>
                          <w:rPr>
                            <w:rFonts w:ascii="Times New Roman" w:hAnsi="Times New Roman" w:cs="Times New Roman" w:eastAsia="Times New Roman" w:hint="default"/>
                            <w:sz w:val="18"/>
                            <w:szCs w:val="18"/>
                          </w:rPr>
                        </w:pPr>
                        <w:r>
                          <w:rPr>
                            <w:rFonts w:ascii="Times New Roman"/>
                            <w:sz w:val="18"/>
                          </w:rPr>
                          <w:t>133,407,177</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133,407,177</w:t>
                        </w: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盛安机电设备（昌都）有限公司</w:t>
                        </w:r>
                      </w:p>
                    </w:tc>
                    <w:tc>
                      <w:tcPr>
                        <w:tcW w:w="22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8" w:right="0"/>
                          <w:jc w:val="left"/>
                          <w:rPr>
                            <w:rFonts w:ascii="Times New Roman" w:hAnsi="Times New Roman" w:cs="Times New Roman" w:eastAsia="Times New Roman" w:hint="default"/>
                            <w:sz w:val="18"/>
                            <w:szCs w:val="18"/>
                          </w:rPr>
                        </w:pPr>
                        <w:r>
                          <w:rPr>
                            <w:rFonts w:ascii="Times New Roman"/>
                            <w:sz w:val="18"/>
                          </w:rPr>
                          <w:t>10,383,005</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9" w:right="0"/>
                          <w:jc w:val="left"/>
                          <w:rPr>
                            <w:rFonts w:ascii="Times New Roman" w:hAnsi="Times New Roman" w:cs="Times New Roman" w:eastAsia="Times New Roman" w:hint="default"/>
                            <w:sz w:val="18"/>
                            <w:szCs w:val="18"/>
                          </w:rPr>
                        </w:pPr>
                        <w:r>
                          <w:rPr>
                            <w:rFonts w:ascii="Times New Roman"/>
                            <w:sz w:val="18"/>
                          </w:rPr>
                          <w:t>10,383,005</w:t>
                        </w: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中国建设银行－工银瑞信精选平衡混合型证券投资基金</w:t>
                        </w:r>
                      </w:p>
                    </w:tc>
                    <w:tc>
                      <w:tcPr>
                        <w:tcW w:w="22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8" w:right="0"/>
                          <w:jc w:val="left"/>
                          <w:rPr>
                            <w:rFonts w:ascii="Times New Roman" w:hAnsi="Times New Roman" w:cs="Times New Roman" w:eastAsia="Times New Roman" w:hint="default"/>
                            <w:sz w:val="18"/>
                            <w:szCs w:val="18"/>
                          </w:rPr>
                        </w:pPr>
                        <w:r>
                          <w:rPr>
                            <w:rFonts w:ascii="Times New Roman"/>
                            <w:sz w:val="18"/>
                          </w:rPr>
                          <w:t>10,000,000</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9" w:right="0"/>
                          <w:jc w:val="lef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交通银行股份有限公司－工银瑞信主题策略混合型证券投资基金</w:t>
                        </w:r>
                      </w:p>
                    </w:tc>
                    <w:tc>
                      <w:tcPr>
                        <w:tcW w:w="22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8" w:right="0"/>
                          <w:jc w:val="left"/>
                          <w:rPr>
                            <w:rFonts w:ascii="Times New Roman" w:hAnsi="Times New Roman" w:cs="Times New Roman" w:eastAsia="Times New Roman" w:hint="default"/>
                            <w:sz w:val="18"/>
                            <w:szCs w:val="18"/>
                          </w:rPr>
                        </w:pPr>
                        <w:r>
                          <w:rPr>
                            <w:rFonts w:ascii="Times New Roman"/>
                            <w:sz w:val="18"/>
                          </w:rPr>
                          <w:t>9,000,000</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9,000,000</w:t>
                        </w:r>
                      </w:p>
                    </w:tc>
                  </w:tr>
                  <w:tr>
                    <w:trPr>
                      <w:trHeight w:val="714"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中国农业银行股份有限公司－工银瑞信高端制造行业股票型证券 投资基金</w:t>
                        </w:r>
                      </w:p>
                    </w:tc>
                    <w:tc>
                      <w:tcPr>
                        <w:tcW w:w="22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78" w:right="0"/>
                          <w:jc w:val="left"/>
                          <w:rPr>
                            <w:rFonts w:ascii="Times New Roman" w:hAnsi="Times New Roman" w:cs="Times New Roman" w:eastAsia="Times New Roman" w:hint="default"/>
                            <w:sz w:val="18"/>
                            <w:szCs w:val="18"/>
                          </w:rPr>
                        </w:pPr>
                        <w:r>
                          <w:rPr>
                            <w:rFonts w:ascii="Times New Roman"/>
                            <w:sz w:val="18"/>
                          </w:rPr>
                          <w:t>7,686,705</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7,686,705</w:t>
                        </w: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中国工商银行－中银中国精选混合型开放式证券投资基金</w:t>
                        </w:r>
                      </w:p>
                    </w:tc>
                    <w:tc>
                      <w:tcPr>
                        <w:tcW w:w="22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8" w:right="0"/>
                          <w:jc w:val="left"/>
                          <w:rPr>
                            <w:rFonts w:ascii="Times New Roman" w:hAnsi="Times New Roman" w:cs="Times New Roman" w:eastAsia="Times New Roman" w:hint="default"/>
                            <w:sz w:val="18"/>
                            <w:szCs w:val="18"/>
                          </w:rPr>
                        </w:pPr>
                        <w:r>
                          <w:rPr>
                            <w:rFonts w:ascii="Times New Roman"/>
                            <w:sz w:val="18"/>
                          </w:rPr>
                          <w:t>6,485,202</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6,485,202</w:t>
                        </w: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全国社保基金一一四组合</w:t>
                        </w:r>
                      </w:p>
                    </w:tc>
                    <w:tc>
                      <w:tcPr>
                        <w:tcW w:w="22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8" w:right="0"/>
                          <w:jc w:val="left"/>
                          <w:rPr>
                            <w:rFonts w:ascii="Times New Roman" w:hAnsi="Times New Roman" w:cs="Times New Roman" w:eastAsia="Times New Roman" w:hint="default"/>
                            <w:sz w:val="18"/>
                            <w:szCs w:val="18"/>
                          </w:rPr>
                        </w:pPr>
                        <w:r>
                          <w:rPr>
                            <w:rFonts w:ascii="Times New Roman"/>
                            <w:sz w:val="18"/>
                          </w:rPr>
                          <w:t>5,954,830</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5,954,830</w:t>
                        </w:r>
                      </w:p>
                    </w:tc>
                  </w:tr>
                  <w:tr>
                    <w:trPr>
                      <w:trHeight w:val="714"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创金合信基金－招商银行－达实智能－员工持股计划１号特定多 客户资产管理计划</w:t>
                        </w:r>
                      </w:p>
                    </w:tc>
                    <w:tc>
                      <w:tcPr>
                        <w:tcW w:w="22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78" w:right="0"/>
                          <w:jc w:val="left"/>
                          <w:rPr>
                            <w:rFonts w:ascii="Times New Roman" w:hAnsi="Times New Roman" w:cs="Times New Roman" w:eastAsia="Times New Roman" w:hint="default"/>
                            <w:sz w:val="18"/>
                            <w:szCs w:val="18"/>
                          </w:rPr>
                        </w:pPr>
                        <w:r>
                          <w:rPr>
                            <w:rFonts w:ascii="Times New Roman"/>
                            <w:sz w:val="18"/>
                          </w:rPr>
                          <w:t>4,854,546</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4,854,546</w:t>
                        </w: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深圳市高新投集团有限公司</w:t>
                        </w:r>
                      </w:p>
                    </w:tc>
                    <w:tc>
                      <w:tcPr>
                        <w:tcW w:w="22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4,711,731</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4,711,731</w:t>
                        </w: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交通银行股份有限公司－汇丰晋信低碳先锋股票型证券投资基金</w:t>
                        </w:r>
                      </w:p>
                    </w:tc>
                    <w:tc>
                      <w:tcPr>
                        <w:tcW w:w="22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8" w:right="0"/>
                          <w:jc w:val="left"/>
                          <w:rPr>
                            <w:rFonts w:ascii="Times New Roman" w:hAnsi="Times New Roman" w:cs="Times New Roman" w:eastAsia="Times New Roman" w:hint="default"/>
                            <w:sz w:val="18"/>
                            <w:szCs w:val="18"/>
                          </w:rPr>
                        </w:pPr>
                        <w:r>
                          <w:rPr>
                            <w:rFonts w:ascii="Times New Roman"/>
                            <w:sz w:val="18"/>
                          </w:rPr>
                          <w:t>4,500,000</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4,500,000</w:t>
                        </w:r>
                      </w:p>
                    </w:tc>
                  </w:tr>
                  <w:tr>
                    <w:trPr>
                      <w:trHeight w:val="3251" w:hRule="exact"/>
                    </w:trPr>
                    <w:tc>
                      <w:tcPr>
                        <w:tcW w:w="510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名股东之间关联关系或一致行动的说明</w:t>
                        </w:r>
                      </w:p>
                    </w:tc>
                    <w:tc>
                      <w:tcPr>
                        <w:tcW w:w="4474" w:type="dxa"/>
                        <w:gridSpan w:val="7"/>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firstLine="360"/>
                          <w:jc w:val="left"/>
                          <w:rPr>
                            <w:rFonts w:ascii="宋体" w:hAnsi="宋体" w:cs="宋体" w:eastAsia="宋体" w:hint="default"/>
                            <w:sz w:val="18"/>
                            <w:szCs w:val="18"/>
                          </w:rPr>
                        </w:pPr>
                        <w:r>
                          <w:rPr>
                            <w:rFonts w:ascii="宋体" w:hAnsi="宋体" w:cs="宋体" w:eastAsia="宋体" w:hint="default"/>
                            <w:spacing w:val="-4"/>
                            <w:sz w:val="18"/>
                            <w:szCs w:val="18"/>
                          </w:rPr>
                          <w:t>拉萨市达实投资发展有限公司为控股股东，创金合信</w:t>
                        </w:r>
                        <w:r>
                          <w:rPr>
                            <w:rFonts w:ascii="宋体" w:hAnsi="宋体" w:cs="宋体" w:eastAsia="宋体" w:hint="default"/>
                            <w:sz w:val="18"/>
                            <w:szCs w:val="18"/>
                          </w:rPr>
                          <w:t> 基金－招商银行－达实智能－员工持股计划１号特定多 客户资产管理计划为公司第一期员工持股计划购买账户 中国建设银行－工银瑞信精选平衡混合型证券投资基金 交通银行股份有限公司－工银瑞信主题策略混合型证券 </w:t>
                        </w:r>
                        <w:r>
                          <w:rPr>
                            <w:rFonts w:ascii="宋体" w:hAnsi="宋体" w:cs="宋体" w:eastAsia="宋体" w:hint="default"/>
                            <w:spacing w:val="-4"/>
                            <w:sz w:val="18"/>
                            <w:szCs w:val="18"/>
                          </w:rPr>
                          <w:t>投资基金、中国农业银行股份有限公司－工银瑞信高端制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造行业股票型证券投资基金的基金管理人员均为工银瑞 信基金管理有限公司。</w:t>
                        </w:r>
                      </w:p>
                      <w:p>
                        <w:pPr>
                          <w:pStyle w:val="TableParagraph"/>
                          <w:spacing w:line="319" w:lineRule="auto" w:before="55"/>
                          <w:ind w:left="22" w:right="119" w:firstLine="360"/>
                          <w:jc w:val="left"/>
                          <w:rPr>
                            <w:rFonts w:ascii="宋体" w:hAnsi="宋体" w:cs="宋体" w:eastAsia="宋体" w:hint="default"/>
                            <w:sz w:val="18"/>
                            <w:szCs w:val="18"/>
                          </w:rPr>
                        </w:pPr>
                        <w:r>
                          <w:rPr>
                            <w:rFonts w:ascii="宋体" w:hAnsi="宋体" w:cs="宋体" w:eastAsia="宋体" w:hint="default"/>
                            <w:sz w:val="18"/>
                            <w:szCs w:val="18"/>
                          </w:rPr>
                          <w:t>除上述情形外，公司未知其他股东是否存在关联关 系，也未知是否属于一致行动人。</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44"/>
        <w:ind w:left="154" w:right="101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after="0"/>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13"/>
        <w:rPr>
          <w:rFonts w:ascii="宋体" w:hAnsi="宋体" w:cs="宋体" w:eastAsia="宋体" w:hint="default"/>
          <w:sz w:val="21"/>
          <w:szCs w:val="21"/>
        </w:rPr>
      </w:pPr>
    </w:p>
    <w:p>
      <w:pPr>
        <w:spacing w:before="44"/>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3" w:right="101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left="153" w:right="1017"/>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122"/>
        <w:gridCol w:w="1702"/>
        <w:gridCol w:w="1031"/>
        <w:gridCol w:w="3717"/>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5" w:right="81"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20" w:right="59"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50"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2"/>
              <w:jc w:val="left"/>
              <w:rPr>
                <w:rFonts w:ascii="宋体" w:hAnsi="宋体" w:cs="宋体" w:eastAsia="宋体" w:hint="default"/>
                <w:sz w:val="18"/>
                <w:szCs w:val="18"/>
              </w:rPr>
            </w:pPr>
            <w:r>
              <w:rPr>
                <w:rFonts w:ascii="宋体" w:hAnsi="宋体" w:cs="宋体" w:eastAsia="宋体" w:hint="default"/>
                <w:sz w:val="18"/>
                <w:szCs w:val="18"/>
              </w:rPr>
              <w:t>拉萨市达实投资发展有 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27933775-0</w:t>
            </w:r>
          </w:p>
        </w:tc>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6"/>
                <w:sz w:val="18"/>
                <w:szCs w:val="18"/>
              </w:rPr>
              <w:t>投资兴办实业（具体项目另报）、国内商业、物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资供销业；软件技术开发、经济信息咨询；通 讯产品销售及研发；自营和代理各类商品及技 术的净出口业务（依法须经批准的项目，经相 </w:t>
            </w:r>
            <w:r>
              <w:rPr>
                <w:rFonts w:ascii="宋体" w:hAnsi="宋体" w:cs="宋体" w:eastAsia="宋体" w:hint="default"/>
                <w:spacing w:val="-6"/>
                <w:sz w:val="18"/>
                <w:szCs w:val="18"/>
              </w:rPr>
              <w:t>关部门批准后方可开展经营活动）。</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2"/>
              <w:jc w:val="left"/>
              <w:rPr>
                <w:rFonts w:ascii="宋体" w:hAnsi="宋体" w:cs="宋体" w:eastAsia="宋体" w:hint="default"/>
                <w:sz w:val="18"/>
                <w:szCs w:val="18"/>
              </w:rPr>
            </w:pPr>
            <w:r>
              <w:rPr>
                <w:rFonts w:ascii="宋体" w:hAnsi="宋体" w:cs="宋体" w:eastAsia="宋体" w:hint="default"/>
                <w:sz w:val="18"/>
                <w:szCs w:val="18"/>
              </w:rPr>
              <w:t>截止至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日，拉萨市达实投资发展有限持有深圳市天健（集团）股份有限公司（股</w:t>
            </w:r>
            <w:r>
              <w:rPr>
                <w:rFonts w:ascii="宋体" w:hAnsi="宋体" w:cs="宋体" w:eastAsia="宋体" w:hint="default"/>
                <w:sz w:val="18"/>
                <w:szCs w:val="18"/>
              </w:rPr>
              <w:t> 票简称：天健集团，股票代码：</w:t>
            </w:r>
            <w:r>
              <w:rPr>
                <w:rFonts w:ascii="Times New Roman" w:hAnsi="Times New Roman" w:cs="Times New Roman" w:eastAsia="Times New Roman" w:hint="default"/>
                <w:sz w:val="18"/>
                <w:szCs w:val="18"/>
              </w:rPr>
              <w:t>000090</w:t>
            </w:r>
            <w:r>
              <w:rPr>
                <w:rFonts w:ascii="宋体" w:hAnsi="宋体" w:cs="宋体" w:eastAsia="宋体" w:hint="default"/>
                <w:sz w:val="18"/>
                <w:szCs w:val="18"/>
              </w:rPr>
              <w:t>）</w:t>
            </w:r>
            <w:r>
              <w:rPr>
                <w:rFonts w:ascii="Times New Roman" w:hAnsi="Times New Roman" w:cs="Times New Roman" w:eastAsia="Times New Roman" w:hint="default"/>
                <w:sz w:val="18"/>
                <w:szCs w:val="18"/>
              </w:rPr>
              <w:t>13,774,105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股股份。</w:t>
            </w:r>
          </w:p>
        </w:tc>
      </w:tr>
    </w:tbl>
    <w:p>
      <w:pPr>
        <w:spacing w:before="65"/>
        <w:ind w:left="154" w:right="1017"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left="153" w:right="1017"/>
        <w:jc w:val="left"/>
        <w:rPr>
          <w:b w:val="0"/>
          <w:bCs w:val="0"/>
        </w:rPr>
      </w:pPr>
      <w:bookmarkStart w:name="3、公司实际控制人情况" w:id="114"/>
      <w:bookmarkEnd w:id="11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刘磅</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月创立本公司，一直担任本公司董事长、总经理。</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54" w:right="1017"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p>
      <w:pPr>
        <w:spacing w:line="4213" w:lineRule="exact"/>
        <w:ind w:left="836" w:right="0" w:firstLine="0"/>
        <w:rPr>
          <w:rFonts w:ascii="宋体" w:hAnsi="宋体" w:cs="宋体" w:eastAsia="宋体" w:hint="default"/>
          <w:sz w:val="20"/>
          <w:szCs w:val="20"/>
        </w:rPr>
      </w:pPr>
      <w:r>
        <w:rPr>
          <w:rFonts w:ascii="宋体" w:hAnsi="宋体" w:cs="宋体" w:eastAsia="宋体" w:hint="default"/>
          <w:position w:val="-83"/>
          <w:sz w:val="20"/>
          <w:szCs w:val="20"/>
        </w:rPr>
        <w:pict>
          <v:group style="width:334.5pt;height:210.65pt;mso-position-horizontal-relative:char;mso-position-vertical-relative:line" coordorigin="0,0" coordsize="6690,4213">
            <v:group style="position:absolute;left:8;top:8;width:1784;height:737" coordorigin="8,8" coordsize="1784,737">
              <v:shape style="position:absolute;left:8;top:8;width:1784;height:737" coordorigin="8,8" coordsize="1784,737" path="m130,8l83,17,43,43,17,83,7,130,7,622,17,669,43,709,83,735,130,745,1669,745,1716,735,1756,709,1782,669,1792,622,1792,130,1782,83,1756,43,1716,17,1669,8,130,8xe" filled="false" stroked="true" strokeweight=".75pt" strokecolor="#000000">
                <v:path arrowok="t"/>
              </v:shape>
            </v:group>
            <v:group style="position:absolute;left:2454;top:8;width:1784;height:737" coordorigin="2454,8" coordsize="1784,737">
              <v:shape style="position:absolute;left:2454;top:8;width:1784;height:737" coordorigin="2454,8" coordsize="1784,737" path="m2576,8l2529,17,2489,43,2463,83,2454,130,2454,622,2463,669,2489,709,2529,735,2576,745,4115,745,4162,735,4202,709,4228,669,4238,622,4238,130,4228,83,4202,43,4162,17,4115,8,2576,8xe" filled="false" stroked="true" strokeweight=".75pt" strokecolor="#000000">
                <v:path arrowok="t"/>
              </v:shape>
            </v:group>
            <v:group style="position:absolute;left:4898;top:8;width:1785;height:737" coordorigin="4898,8" coordsize="1785,737">
              <v:shape style="position:absolute;left:4898;top:8;width:1785;height:737" coordorigin="4898,8" coordsize="1785,737" path="m5020,8l4973,17,4933,43,4907,83,4898,130,4898,622,4907,669,4933,709,4973,735,5020,745,6560,745,6607,735,6647,709,6673,669,6683,622,6683,130,6673,83,6647,43,6607,17,6560,8,5020,8xe" filled="false" stroked="true" strokeweight=".75pt" strokecolor="#000000">
                <v:path arrowok="t"/>
              </v:shape>
            </v:group>
            <v:group style="position:absolute;left:1038;top:748;width:4535;height:662" coordorigin="1038,748" coordsize="4535,662">
              <v:shape style="position:absolute;left:1038;top:748;width:4535;height:662" coordorigin="1038,748" coordsize="4535,662" path="m1038,748l1038,1410,5573,1410,5573,749e" filled="false" stroked="true" strokeweight=".75pt" strokecolor="#000000">
                <v:path arrowok="t"/>
              </v:shape>
            </v:group>
            <v:group style="position:absolute;left:3345;top:744;width:7;height:1273" coordorigin="3345,744" coordsize="7,1273">
              <v:shape style="position:absolute;left:3345;top:744;width:7;height:1273" coordorigin="3345,744" coordsize="7,1273" path="m3345,744l3352,2017e" filled="false" stroked="true" strokeweight=".75pt" strokecolor="#000000">
                <v:path arrowok="t"/>
              </v:shape>
            </v:group>
            <v:group style="position:absolute;left:1343;top:2018;width:4020;height:736" coordorigin="1343,2018" coordsize="4020,736">
              <v:shape style="position:absolute;left:1343;top:2018;width:4020;height:736" coordorigin="1343,2018" coordsize="4020,736" path="m1465,2018l1417,2027,1378,2053,1352,2092,1343,2140,1343,2631,1352,2679,1378,2718,1417,2744,1465,2754,5240,2754,5288,2744,5327,2718,5353,2679,5363,2631,5363,2140,5353,2092,5327,2053,5288,2027,5240,2018,1465,2018xe" filled="false" stroked="true" strokeweight=".75pt" strokecolor="#000000">
                <v:path arrowok="t"/>
              </v:shape>
            </v:group>
            <v:group style="position:absolute;left:113;top:3470;width:6480;height:736" coordorigin="113,3470" coordsize="6480,736">
              <v:shape style="position:absolute;left:113;top:3470;width:6480;height:736" coordorigin="113,3470" coordsize="6480,736" path="m235,3470l187,3479,148,3505,122,3544,112,3592,112,4083,122,4131,148,4170,187,4196,235,4206,6470,4206,6518,4196,6557,4170,6583,4131,6593,4083,6593,3592,6583,3544,6557,3505,6518,3479,6470,3470,235,3470xe" filled="false" stroked="true" strokeweight=".75pt" strokecolor="#000000">
                <v:path arrowok="t"/>
              </v:shape>
            </v:group>
            <v:group style="position:absolute;left:3353;top:2754;width:2;height:716" coordorigin="3353,2754" coordsize="2,716">
              <v:shape style="position:absolute;left:3353;top:2754;width:2;height:716" coordorigin="3353,2754" coordsize="1,716" path="m3353,2754l3354,3470e" filled="false" stroked="true" strokeweight=".75pt" strokecolor="#000000">
                <v:path arrowok="t"/>
              </v:shape>
            </v:group>
            <v:group style="position:absolute;left:428;top:748;width:2;height:2722" coordorigin="428,748" coordsize="2,2722">
              <v:shape style="position:absolute;left:428;top:748;width:2;height:2722" coordorigin="428,748" coordsize="1,2722" path="m428,748l429,3470e" filled="false" stroked="true" strokeweight=".75pt" strokecolor="#000000">
                <v:path arrowok="t"/>
              </v:shape>
              <v:shape style="position:absolute;left:620;top:328;width:560;height:280" type="#_x0000_t202" filled="false" stroked="false">
                <v:textbox inset="0,0,0,0">
                  <w:txbxContent>
                    <w:p>
                      <w:pPr>
                        <w:spacing w:line="280" w:lineRule="exact" w:before="0"/>
                        <w:ind w:left="0" w:right="0" w:firstLine="0"/>
                        <w:jc w:val="left"/>
                        <w:rPr>
                          <w:rFonts w:ascii="宋体" w:hAnsi="宋体" w:cs="宋体" w:eastAsia="宋体" w:hint="default"/>
                          <w:sz w:val="28"/>
                          <w:szCs w:val="28"/>
                        </w:rPr>
                      </w:pPr>
                      <w:r>
                        <w:rPr>
                          <w:rFonts w:ascii="宋体" w:hAnsi="宋体" w:cs="宋体" w:eastAsia="宋体" w:hint="default"/>
                          <w:w w:val="95"/>
                          <w:sz w:val="28"/>
                          <w:szCs w:val="28"/>
                        </w:rPr>
                        <w:t>刘磅</w:t>
                      </w:r>
                      <w:r>
                        <w:rPr>
                          <w:rFonts w:ascii="宋体" w:hAnsi="宋体" w:cs="宋体" w:eastAsia="宋体" w:hint="default"/>
                          <w:sz w:val="28"/>
                          <w:szCs w:val="28"/>
                        </w:rPr>
                      </w:r>
                    </w:p>
                  </w:txbxContent>
                </v:textbox>
                <w10:wrap type="none"/>
              </v:shape>
              <v:shape style="position:absolute;left:2926;top:328;width:839;height:280" type="#_x0000_t202" filled="false" stroked="false">
                <v:textbox inset="0,0,0,0">
                  <w:txbxContent>
                    <w:p>
                      <w:pPr>
                        <w:spacing w:line="280" w:lineRule="exact" w:before="0"/>
                        <w:ind w:left="0" w:right="0" w:firstLine="0"/>
                        <w:jc w:val="left"/>
                        <w:rPr>
                          <w:rFonts w:ascii="宋体" w:hAnsi="宋体" w:cs="宋体" w:eastAsia="宋体" w:hint="default"/>
                          <w:sz w:val="28"/>
                          <w:szCs w:val="28"/>
                        </w:rPr>
                      </w:pPr>
                      <w:r>
                        <w:rPr>
                          <w:rFonts w:ascii="宋体" w:hAnsi="宋体" w:cs="宋体" w:eastAsia="宋体" w:hint="default"/>
                          <w:w w:val="95"/>
                          <w:sz w:val="28"/>
                          <w:szCs w:val="28"/>
                        </w:rPr>
                        <w:t>涂德猛</w:t>
                      </w:r>
                      <w:r>
                        <w:rPr>
                          <w:rFonts w:ascii="宋体" w:hAnsi="宋体" w:cs="宋体" w:eastAsia="宋体" w:hint="default"/>
                          <w:sz w:val="28"/>
                          <w:szCs w:val="28"/>
                        </w:rPr>
                      </w:r>
                    </w:p>
                  </w:txbxContent>
                </v:textbox>
                <w10:wrap type="none"/>
              </v:shape>
              <v:shape style="position:absolute;left:5510;top:328;width:560;height:280" type="#_x0000_t202" filled="false" stroked="false">
                <v:textbox inset="0,0,0,0">
                  <w:txbxContent>
                    <w:p>
                      <w:pPr>
                        <w:spacing w:line="280" w:lineRule="exact" w:before="0"/>
                        <w:ind w:left="0" w:right="0" w:firstLine="0"/>
                        <w:jc w:val="left"/>
                        <w:rPr>
                          <w:rFonts w:ascii="宋体" w:hAnsi="宋体" w:cs="宋体" w:eastAsia="宋体" w:hint="default"/>
                          <w:sz w:val="28"/>
                          <w:szCs w:val="28"/>
                        </w:rPr>
                      </w:pPr>
                      <w:r>
                        <w:rPr>
                          <w:rFonts w:ascii="宋体" w:hAnsi="宋体" w:cs="宋体" w:eastAsia="宋体" w:hint="default"/>
                          <w:w w:val="95"/>
                          <w:sz w:val="28"/>
                          <w:szCs w:val="28"/>
                        </w:rPr>
                        <w:t>刘昂</w:t>
                      </w:r>
                      <w:r>
                        <w:rPr>
                          <w:rFonts w:ascii="宋体" w:hAnsi="宋体" w:cs="宋体" w:eastAsia="宋体" w:hint="default"/>
                          <w:sz w:val="28"/>
                          <w:szCs w:val="28"/>
                        </w:rPr>
                      </w:r>
                    </w:p>
                  </w:txbxContent>
                </v:textbox>
                <w10:wrap type="none"/>
              </v:shape>
              <v:shape style="position:absolute;left:1562;top:1023;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61.50%</w:t>
                      </w:r>
                    </w:p>
                  </w:txbxContent>
                </v:textbox>
                <w10:wrap type="none"/>
              </v:shape>
              <v:shape style="position:absolute;left:3664;top:1023;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23.50%</w:t>
                      </w:r>
                    </w:p>
                  </w:txbxContent>
                </v:textbox>
                <w10:wrap type="none"/>
              </v:shape>
              <v:shape style="position:absolute;left:6002;top:1023;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15.00%</w:t>
                      </w:r>
                    </w:p>
                  </w:txbxContent>
                </v:textbox>
                <w10:wrap type="none"/>
              </v:shape>
              <v:shape style="position:absolute;left:573;top:2204;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9.07%</w:t>
                      </w:r>
                    </w:p>
                  </w:txbxContent>
                </v:textbox>
                <w10:wrap type="none"/>
              </v:shape>
              <v:shape style="position:absolute;left:1533;top:2338;width:3639;height:280" type="#_x0000_t202" filled="false" stroked="false">
                <v:textbox inset="0,0,0,0">
                  <w:txbxContent>
                    <w:p>
                      <w:pPr>
                        <w:spacing w:line="280" w:lineRule="exact" w:before="0"/>
                        <w:ind w:left="0" w:right="0" w:firstLine="0"/>
                        <w:jc w:val="left"/>
                        <w:rPr>
                          <w:rFonts w:ascii="宋体" w:hAnsi="宋体" w:cs="宋体" w:eastAsia="宋体" w:hint="default"/>
                          <w:sz w:val="28"/>
                          <w:szCs w:val="28"/>
                        </w:rPr>
                      </w:pPr>
                      <w:r>
                        <w:rPr>
                          <w:rFonts w:ascii="宋体" w:hAnsi="宋体" w:cs="宋体" w:eastAsia="宋体" w:hint="default"/>
                          <w:w w:val="95"/>
                          <w:sz w:val="28"/>
                          <w:szCs w:val="28"/>
                        </w:rPr>
                        <w:t>拉萨市达实投资发展有限公司</w:t>
                      </w:r>
                      <w:r>
                        <w:rPr>
                          <w:rFonts w:ascii="宋体" w:hAnsi="宋体" w:cs="宋体" w:eastAsia="宋体" w:hint="default"/>
                          <w:sz w:val="28"/>
                          <w:szCs w:val="28"/>
                        </w:rPr>
                      </w:r>
                    </w:p>
                  </w:txbxContent>
                </v:textbox>
                <w10:wrap type="none"/>
              </v:shape>
              <v:shape style="position:absolute;left:3664;top:3045;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20.76%</w:t>
                      </w:r>
                    </w:p>
                  </w:txbxContent>
                </v:textbox>
                <w10:wrap type="none"/>
              </v:shape>
              <v:shape style="position:absolute;left:1674;top:3790;width:3357;height:280" type="#_x0000_t202" filled="false" stroked="false">
                <v:textbox inset="0,0,0,0">
                  <w:txbxContent>
                    <w:p>
                      <w:pPr>
                        <w:spacing w:line="280" w:lineRule="exact" w:before="0"/>
                        <w:ind w:left="0" w:right="0" w:firstLine="0"/>
                        <w:jc w:val="left"/>
                        <w:rPr>
                          <w:rFonts w:ascii="宋体" w:hAnsi="宋体" w:cs="宋体" w:eastAsia="宋体" w:hint="default"/>
                          <w:sz w:val="28"/>
                          <w:szCs w:val="28"/>
                        </w:rPr>
                      </w:pPr>
                      <w:r>
                        <w:rPr>
                          <w:rFonts w:ascii="宋体" w:hAnsi="宋体" w:cs="宋体" w:eastAsia="宋体" w:hint="default"/>
                          <w:w w:val="95"/>
                          <w:sz w:val="28"/>
                          <w:szCs w:val="28"/>
                        </w:rPr>
                        <w:t>深圳达实智能股份有限公司</w:t>
                      </w:r>
                      <w:r>
                        <w:rPr>
                          <w:rFonts w:ascii="宋体" w:hAnsi="宋体" w:cs="宋体" w:eastAsia="宋体" w:hint="default"/>
                          <w:sz w:val="28"/>
                          <w:szCs w:val="28"/>
                        </w:rPr>
                      </w:r>
                    </w:p>
                  </w:txbxContent>
                </v:textbox>
                <w10:wrap type="none"/>
              </v:shape>
            </v:group>
          </v:group>
        </w:pict>
      </w:r>
      <w:r>
        <w:rPr>
          <w:rFonts w:ascii="宋体" w:hAnsi="宋体" w:cs="宋体" w:eastAsia="宋体" w:hint="default"/>
          <w:position w:val="-8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203"/>
        <w:ind w:left="153" w:right="1017"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3"/>
        <w:spacing w:line="240" w:lineRule="auto"/>
        <w:ind w:left="153" w:right="1017"/>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1017"/>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spacing w:before="0"/>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1017"/>
        <w:jc w:val="left"/>
        <w:rPr>
          <w:b w:val="0"/>
          <w:bCs w:val="0"/>
        </w:rPr>
      </w:pPr>
      <w:bookmarkStart w:name="第七节 优先股相关情况" w:id="117"/>
      <w:bookmarkEnd w:id="117"/>
      <w:r>
        <w:rPr>
          <w:b w:val="0"/>
          <w:bCs w:val="0"/>
        </w:rPr>
      </w:r>
      <w:bookmarkStart w:name="_bookmark6" w:id="118"/>
      <w:bookmarkEnd w:id="11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1017"/>
        <w:jc w:val="left"/>
        <w:rPr>
          <w:b w:val="0"/>
          <w:bCs w:val="0"/>
        </w:rPr>
      </w:pPr>
      <w:bookmarkStart w:name="第八节 董事、监事、高级管理人员和员工情况" w:id="119"/>
      <w:bookmarkEnd w:id="119"/>
      <w:r>
        <w:rPr>
          <w:b w:val="0"/>
          <w:bCs w:val="0"/>
        </w:rPr>
      </w:r>
      <w:bookmarkStart w:name="_bookmark7" w:id="120"/>
      <w:bookmarkEnd w:id="120"/>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17"/>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0" w:type="dxa"/>
        <w:tblLayout w:type="fixed"/>
        <w:tblCellMar>
          <w:top w:w="0" w:type="dxa"/>
          <w:left w:w="0" w:type="dxa"/>
          <w:bottom w:w="0" w:type="dxa"/>
          <w:right w:w="0" w:type="dxa"/>
        </w:tblCellMar>
        <w:tblLook w:val="01E0"/>
      </w:tblPr>
      <w:tblGrid>
        <w:gridCol w:w="827"/>
        <w:gridCol w:w="860"/>
        <w:gridCol w:w="545"/>
        <w:gridCol w:w="576"/>
        <w:gridCol w:w="532"/>
        <w:gridCol w:w="882"/>
        <w:gridCol w:w="896"/>
        <w:gridCol w:w="866"/>
        <w:gridCol w:w="798"/>
        <w:gridCol w:w="813"/>
        <w:gridCol w:w="978"/>
        <w:gridCol w:w="1081"/>
      </w:tblGrid>
      <w:tr>
        <w:trPr>
          <w:trHeight w:val="1025" w:hRule="exact"/>
        </w:trPr>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360" w:lineRule="auto"/>
              <w:ind w:left="86" w:right="8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62" w:right="8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8" w:right="66"/>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0"/>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3" w:right="32"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38,245,677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58,245,677</w:t>
            </w:r>
          </w:p>
        </w:tc>
      </w:tr>
      <w:tr>
        <w:trPr>
          <w:trHeight w:val="714" w:hRule="exact"/>
        </w:trPr>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885,424</w:t>
            </w:r>
          </w:p>
        </w:tc>
        <w:tc>
          <w:tcPr>
            <w:tcW w:w="798"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3,267,702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4,153,126</w:t>
            </w:r>
          </w:p>
        </w:tc>
      </w:tr>
      <w:tr>
        <w:trPr>
          <w:trHeight w:val="714" w:hRule="exact"/>
        </w:trPr>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韩青树</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59,400,000</w:t>
            </w:r>
          </w:p>
        </w:tc>
      </w:tr>
      <w:tr>
        <w:trPr>
          <w:trHeight w:val="714" w:hRule="exact"/>
        </w:trPr>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赵诚</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甘岱松</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曲震</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沈宏明</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614,421</w:t>
            </w:r>
          </w:p>
        </w:tc>
        <w:tc>
          <w:tcPr>
            <w:tcW w:w="798"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2,611,756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3,226,177</w:t>
            </w:r>
          </w:p>
        </w:tc>
      </w:tr>
      <w:tr>
        <w:trPr>
          <w:trHeight w:val="714" w:hRule="exact"/>
        </w:trPr>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865,549</w:t>
            </w:r>
          </w:p>
        </w:tc>
        <w:tc>
          <w:tcPr>
            <w:tcW w:w="798"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2,913,109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3,778,658</w:t>
            </w:r>
          </w:p>
        </w:tc>
      </w:tr>
      <w:tr>
        <w:trPr>
          <w:trHeight w:val="714" w:hRule="exact"/>
        </w:trPr>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黄德强</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276,800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360,800</w:t>
            </w:r>
          </w:p>
        </w:tc>
      </w:tr>
      <w:tr>
        <w:trPr>
          <w:trHeight w:val="714" w:hRule="exact"/>
        </w:trPr>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7"/>
              <w:jc w:val="left"/>
              <w:rPr>
                <w:rFonts w:ascii="宋体" w:hAnsi="宋体" w:cs="宋体" w:eastAsia="宋体" w:hint="default"/>
                <w:sz w:val="18"/>
                <w:szCs w:val="18"/>
              </w:rPr>
            </w:pPr>
            <w:r>
              <w:rPr>
                <w:rFonts w:ascii="宋体" w:hAnsi="宋体" w:cs="宋体" w:eastAsia="宋体" w:hint="default"/>
                <w:sz w:val="18"/>
                <w:szCs w:val="18"/>
              </w:rPr>
              <w:t>副总经 理、董事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2,083,251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2,259,251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b/>
          <w:bCs/>
          <w:sz w:val="24"/>
          <w:szCs w:val="24"/>
        </w:rPr>
      </w:pPr>
    </w:p>
    <w:tbl>
      <w:tblPr>
        <w:tblW w:w="0" w:type="auto"/>
        <w:jc w:val="left"/>
        <w:tblInd w:w="140" w:type="dxa"/>
        <w:tblLayout w:type="fixed"/>
        <w:tblCellMar>
          <w:top w:w="0" w:type="dxa"/>
          <w:left w:w="0" w:type="dxa"/>
          <w:bottom w:w="0" w:type="dxa"/>
          <w:right w:w="0" w:type="dxa"/>
        </w:tblCellMar>
        <w:tblLook w:val="01E0"/>
      </w:tblPr>
      <w:tblGrid>
        <w:gridCol w:w="827"/>
        <w:gridCol w:w="860"/>
        <w:gridCol w:w="545"/>
        <w:gridCol w:w="576"/>
        <w:gridCol w:w="532"/>
        <w:gridCol w:w="882"/>
        <w:gridCol w:w="896"/>
        <w:gridCol w:w="866"/>
        <w:gridCol w:w="798"/>
        <w:gridCol w:w="813"/>
        <w:gridCol w:w="978"/>
        <w:gridCol w:w="1081"/>
      </w:tblGrid>
      <w:tr>
        <w:trPr>
          <w:trHeight w:val="362" w:hRule="exact"/>
        </w:trPr>
        <w:tc>
          <w:tcPr>
            <w:tcW w:w="82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会秘书</w:t>
            </w:r>
          </w:p>
        </w:tc>
        <w:tc>
          <w:tcPr>
            <w:tcW w:w="54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黄天朗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45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1,939,709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2,269,709</w:t>
            </w:r>
          </w:p>
        </w:tc>
      </w:tr>
      <w:tr>
        <w:trPr>
          <w:trHeight w:val="714" w:hRule="exact"/>
        </w:trPr>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包德元</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62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林步东</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63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陆启惠</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46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550,000</w:t>
            </w:r>
          </w:p>
        </w:tc>
      </w:tr>
      <w:tr>
        <w:trPr>
          <w:trHeight w:val="402" w:hRule="exact"/>
        </w:trPr>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 w:right="0"/>
              <w:jc w:val="left"/>
              <w:rPr>
                <w:rFonts w:ascii="Times New Roman" w:hAnsi="Times New Roman" w:cs="Times New Roman" w:eastAsia="Times New Roman" w:hint="default"/>
                <w:sz w:val="18"/>
                <w:szCs w:val="18"/>
              </w:rPr>
            </w:pPr>
            <w:r>
              <w:rPr>
                <w:rFonts w:ascii="Times New Roman"/>
                <w:sz w:val="18"/>
              </w:rPr>
              <w:t>--</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0" w:right="0"/>
              <w:jc w:val="left"/>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49,953,394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2,100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84,288,004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134,243,498</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17"/>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964"/>
        <w:gridCol w:w="3614"/>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包德元</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个人原因主动离职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林步东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个人原因主动离职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陆启惠</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黄德强</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新聘任</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17"/>
        <w:jc w:val="left"/>
        <w:rPr>
          <w:b w:val="0"/>
          <w:bCs w:val="0"/>
        </w:rPr>
      </w:pPr>
      <w:bookmarkStart w:name="三、任职情况" w:id="123"/>
      <w:bookmarkEnd w:id="123"/>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240" w:lineRule="auto" w:before="71"/>
        <w:ind w:left="575" w:right="1017"/>
        <w:jc w:val="left"/>
      </w:pPr>
      <w:r>
        <w:rPr/>
        <w:t>（一）董事最近</w:t>
      </w:r>
      <w:r>
        <w:rPr>
          <w:spacing w:val="-53"/>
        </w:rPr>
        <w:t> </w:t>
      </w:r>
      <w:r>
        <w:rPr>
          <w:rFonts w:ascii="宋体" w:hAnsi="宋体" w:cs="宋体" w:eastAsia="宋体" w:hint="default"/>
        </w:rPr>
        <w:t>5</w:t>
      </w:r>
      <w:r>
        <w:rPr>
          <w:rFonts w:ascii="宋体" w:hAnsi="宋体" w:cs="宋体" w:eastAsia="宋体" w:hint="default"/>
          <w:spacing w:val="-54"/>
        </w:rPr>
        <w:t> </w:t>
      </w:r>
      <w:r>
        <w:rPr/>
        <w:t>年的主要工作经历</w:t>
      </w:r>
    </w:p>
    <w:p>
      <w:pPr>
        <w:pStyle w:val="BodyText"/>
        <w:spacing w:line="357" w:lineRule="auto" w:before="133"/>
        <w:ind w:right="1024" w:firstLine="420"/>
        <w:jc w:val="left"/>
      </w:pPr>
      <w:r>
        <w:rPr>
          <w:rFonts w:ascii="宋体" w:hAnsi="宋体" w:cs="宋体" w:eastAsia="宋体" w:hint="default"/>
        </w:rPr>
        <w:t>1</w:t>
      </w:r>
      <w:r>
        <w:rPr/>
        <w:t>、刘磅先生，</w:t>
      </w:r>
      <w:r>
        <w:rPr>
          <w:rFonts w:ascii="宋体" w:hAnsi="宋体" w:cs="宋体" w:eastAsia="宋体" w:hint="default"/>
        </w:rPr>
        <w:t>1963</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月出生</w:t>
      </w:r>
      <w:r>
        <w:rPr>
          <w:rFonts w:ascii="宋体" w:hAnsi="宋体" w:cs="宋体" w:eastAsia="宋体" w:hint="default"/>
        </w:rPr>
        <w:t>,</w:t>
      </w:r>
      <w:r>
        <w:rPr/>
        <w:t>本公司第一、二、三、四、五届董事会董事长。研究生学历、高级 工程师，</w:t>
      </w:r>
      <w:r>
        <w:rPr>
          <w:rFonts w:ascii="宋体" w:hAnsi="宋体" w:cs="宋体" w:eastAsia="宋体" w:hint="default"/>
        </w:rPr>
        <w:t>1995</w:t>
      </w:r>
      <w:r>
        <w:rPr>
          <w:rFonts w:ascii="宋体" w:hAnsi="宋体" w:cs="宋体" w:eastAsia="宋体" w:hint="default"/>
          <w:spacing w:val="-68"/>
        </w:rPr>
        <w:t> </w:t>
      </w:r>
      <w:r>
        <w:rPr/>
        <w:t>年</w:t>
      </w:r>
      <w:r>
        <w:rPr>
          <w:spacing w:val="-69"/>
        </w:rPr>
        <w:t> </w:t>
      </w:r>
      <w:r>
        <w:rPr>
          <w:rFonts w:ascii="宋体" w:hAnsi="宋体" w:cs="宋体" w:eastAsia="宋体" w:hint="default"/>
        </w:rPr>
        <w:t>3</w:t>
      </w:r>
      <w:r>
        <w:rPr>
          <w:rFonts w:ascii="宋体" w:hAnsi="宋体" w:cs="宋体" w:eastAsia="宋体" w:hint="default"/>
          <w:spacing w:val="-67"/>
        </w:rPr>
        <w:t> </w:t>
      </w:r>
      <w:r>
        <w:rPr/>
        <w:t>月创立本公司。现任本公司董事长、总经理，拉萨市达实投资发展有限公司董事、上海 </w:t>
      </w:r>
      <w:r>
        <w:rPr>
          <w:spacing w:val="-3"/>
        </w:rPr>
        <w:t>达实自动化工程有限公司董事长、合肥达实数字科技有限公司董事长、深圳达实信息技术有限公司董事长、</w:t>
      </w:r>
      <w:r>
        <w:rPr>
          <w:spacing w:val="-92"/>
        </w:rPr>
        <w:t> </w:t>
      </w:r>
      <w:r>
        <w:rPr>
          <w:spacing w:val="-92"/>
        </w:rPr>
      </w:r>
      <w:r>
        <w:rPr/>
        <w:t>上海达实联欣科技发展有限公司董事长、深圳达实融资租赁有限公司董事长。</w:t>
      </w:r>
    </w:p>
    <w:p>
      <w:pPr>
        <w:pStyle w:val="BodyText"/>
        <w:spacing w:line="357" w:lineRule="auto"/>
        <w:ind w:right="1024" w:firstLine="420"/>
        <w:jc w:val="left"/>
      </w:pPr>
      <w:r>
        <w:rPr>
          <w:rFonts w:ascii="宋体" w:hAnsi="宋体" w:cs="宋体" w:eastAsia="宋体" w:hint="default"/>
        </w:rPr>
        <w:t>2</w:t>
      </w:r>
      <w:r>
        <w:rPr/>
        <w:t>、刘昂先生，</w:t>
      </w:r>
      <w:r>
        <w:rPr>
          <w:rFonts w:ascii="宋体" w:hAnsi="宋体" w:cs="宋体" w:eastAsia="宋体" w:hint="default"/>
        </w:rPr>
        <w:t>1967</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月出生，英国威尔士大学管理学硕士，本公司第一、二、三、四、五届董事 会董事。</w:t>
      </w:r>
      <w:r>
        <w:rPr>
          <w:rFonts w:ascii="宋体" w:hAnsi="宋体" w:cs="宋体" w:eastAsia="宋体" w:hint="default"/>
        </w:rPr>
        <w:t>1995</w:t>
      </w:r>
      <w:r>
        <w:rPr>
          <w:rFonts w:ascii="宋体" w:hAnsi="宋体" w:cs="宋体" w:eastAsia="宋体" w:hint="default"/>
          <w:spacing w:val="-77"/>
        </w:rPr>
        <w:t> </w:t>
      </w:r>
      <w:r>
        <w:rPr/>
        <w:t>年参与组建本公司。现任本公司董事、拉萨市达实投资发展有限公司董事长、总经理，胜现 科技（深圳）有限公司执行董事兼总经理，深圳市达实智慧供应链有限公司执行董事、深圳市达实现代物 流有限公司执行董事、深圳市诺达自动化技术有限公司副董事长、合肥达实数字科技有限公司执行董事、 </w:t>
      </w:r>
      <w:r>
        <w:rPr>
          <w:spacing w:val="-3"/>
        </w:rPr>
        <w:t>合肥中正物业管理有限公司执行董事兼总经理、安徽达实商贸有限公司监事、界首达实置业有限公司监事、</w:t>
      </w:r>
      <w:r>
        <w:rPr>
          <w:spacing w:val="-92"/>
        </w:rPr>
        <w:t> </w:t>
      </w:r>
      <w:r>
        <w:rPr>
          <w:spacing w:val="-92"/>
        </w:rPr>
      </w:r>
      <w:r>
        <w:rPr/>
        <w:t>淮北市达实置业有限公司执行董事兼总经理、深圳市英唐智能控制股份有限公司监事会主席。</w:t>
      </w:r>
    </w:p>
    <w:p>
      <w:pPr>
        <w:pStyle w:val="BodyText"/>
        <w:spacing w:line="357" w:lineRule="auto" w:before="31"/>
        <w:ind w:right="1131" w:firstLine="420"/>
        <w:jc w:val="both"/>
      </w:pPr>
      <w:r>
        <w:rPr>
          <w:rFonts w:ascii="宋体" w:hAnsi="宋体" w:cs="宋体" w:eastAsia="宋体" w:hint="default"/>
        </w:rPr>
        <w:t>3</w:t>
      </w:r>
      <w:r>
        <w:rPr/>
        <w:t>、程朋胜先生，</w:t>
      </w:r>
      <w:r>
        <w:rPr>
          <w:rFonts w:ascii="宋体" w:hAnsi="宋体" w:cs="宋体" w:eastAsia="宋体" w:hint="default"/>
        </w:rPr>
        <w:t>1964</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月出生，本公司第一、二、三、四、五届董事会董事，本公司主要创始人 </w:t>
      </w:r>
      <w:r>
        <w:rPr>
          <w:spacing w:val="-2"/>
        </w:rPr>
        <w:t>之一。工学硕士，教授级高级工程师。</w:t>
      </w:r>
      <w:r>
        <w:rPr>
          <w:rFonts w:ascii="宋体" w:hAnsi="宋体" w:cs="宋体" w:eastAsia="宋体" w:hint="default"/>
          <w:spacing w:val="-2"/>
        </w:rPr>
        <w:t>1995</w:t>
      </w:r>
      <w:r>
        <w:rPr>
          <w:rFonts w:ascii="宋体" w:hAnsi="宋体" w:cs="宋体" w:eastAsia="宋体" w:hint="default"/>
          <w:spacing w:val="-38"/>
        </w:rPr>
        <w:t> </w:t>
      </w:r>
      <w:r>
        <w:rPr>
          <w:spacing w:val="-2"/>
        </w:rPr>
        <w:t>年进入本公司。现任公司董事、副总经理、研发中心主任、国</w:t>
      </w:r>
      <w:r>
        <w:rPr>
          <w:spacing w:val="-102"/>
        </w:rPr>
        <w:t> </w:t>
      </w:r>
      <w:r>
        <w:rPr>
          <w:spacing w:val="-102"/>
        </w:rPr>
      </w:r>
      <w:r>
        <w:rPr>
          <w:spacing w:val="-1"/>
        </w:rPr>
        <w:t>家博士后科研工作站负责人，拉萨市达实投资发展有限公司董事、深圳达实信息技术有限公司董事、深圳</w:t>
      </w:r>
      <w:r>
        <w:rPr>
          <w:spacing w:val="-83"/>
        </w:rPr>
        <w:t> </w:t>
      </w:r>
      <w:r>
        <w:rPr>
          <w:spacing w:val="-83"/>
        </w:rPr>
      </w:r>
      <w:r>
        <w:rPr/>
        <w:t>市小鹿暖暖科技有限公司监事、江苏久信医疗科技有限公司董事。</w:t>
      </w:r>
    </w:p>
    <w:p>
      <w:pPr>
        <w:spacing w:after="0" w:line="357" w:lineRule="auto"/>
        <w:jc w:val="both"/>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5" w:lineRule="auto" w:before="35"/>
        <w:ind w:right="1164" w:firstLine="420"/>
        <w:jc w:val="both"/>
      </w:pPr>
      <w:r>
        <w:rPr>
          <w:rFonts w:ascii="宋体" w:hAnsi="宋体" w:cs="宋体" w:eastAsia="宋体" w:hint="default"/>
        </w:rPr>
        <w:t>4</w:t>
      </w:r>
      <w:r>
        <w:rPr/>
        <w:t>、韩青树先生，</w:t>
      </w:r>
      <w:r>
        <w:rPr>
          <w:rFonts w:ascii="宋体" w:hAnsi="宋体" w:cs="宋体" w:eastAsia="宋体" w:hint="default"/>
        </w:rPr>
        <w:t>1961</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月出生，高级经济师。本公司第二、三、四、五届董事会董事。最近五年 一直担任中国节能减排有限公司（原中国机电出口产品投资有限公司）企业管理部总经理。</w:t>
      </w:r>
    </w:p>
    <w:p>
      <w:pPr>
        <w:pStyle w:val="BodyText"/>
        <w:spacing w:line="357" w:lineRule="auto" w:before="33"/>
        <w:ind w:right="1109" w:firstLine="420"/>
        <w:jc w:val="both"/>
      </w:pPr>
      <w:r>
        <w:rPr>
          <w:rFonts w:ascii="宋体" w:hAnsi="宋体" w:cs="宋体" w:eastAsia="宋体" w:hint="default"/>
          <w:spacing w:val="-3"/>
        </w:rPr>
        <w:t>5</w:t>
      </w:r>
      <w:r>
        <w:rPr>
          <w:spacing w:val="-3"/>
        </w:rPr>
        <w:t>、贾虹女士，</w:t>
      </w:r>
      <w:r>
        <w:rPr>
          <w:rFonts w:ascii="宋体" w:hAnsi="宋体" w:cs="宋体" w:eastAsia="宋体" w:hint="default"/>
          <w:spacing w:val="-3"/>
        </w:rPr>
        <w:t>1962</w:t>
      </w:r>
      <w:r>
        <w:rPr>
          <w:rFonts w:ascii="宋体" w:hAnsi="宋体" w:cs="宋体" w:eastAsia="宋体" w:hint="default"/>
          <w:spacing w:val="-80"/>
        </w:rPr>
        <w:t> </w:t>
      </w:r>
      <w:r>
        <w:rPr/>
        <w:t>年出生，</w:t>
      </w:r>
      <w:r>
        <w:rPr>
          <w:rFonts w:ascii="宋体" w:hAnsi="宋体" w:cs="宋体" w:eastAsia="宋体" w:hint="default"/>
        </w:rPr>
        <w:t>MBA</w:t>
      </w:r>
      <w:r>
        <w:rPr/>
        <w:t>，本公司董事。最近五年一直就职于上海联欣科技发展有限公司（现 </w:t>
      </w:r>
      <w:r>
        <w:rPr>
          <w:spacing w:val="-1"/>
        </w:rPr>
        <w:t>更名为上海达实联欣科技发展有限公司），现任公司总经理，上海金杖房地产开发有限公司董事长、总经</w:t>
      </w:r>
      <w:r>
        <w:rPr>
          <w:spacing w:val="-86"/>
        </w:rPr>
        <w:t> </w:t>
      </w:r>
      <w:r>
        <w:rPr>
          <w:spacing w:val="-86"/>
        </w:rPr>
      </w:r>
      <w:r>
        <w:rPr/>
        <w:t>理，上海臻龙投资管理合伙企业（有限合伙）执行事务合伙人、上海腾隆变配电设备管理有限公司董事，</w:t>
      </w:r>
      <w:r>
        <w:rPr/>
        <w:t> 曾任上海呈寅投资管理有限公司执行董事。</w:t>
      </w:r>
    </w:p>
    <w:p>
      <w:pPr>
        <w:pStyle w:val="BodyText"/>
        <w:spacing w:line="355" w:lineRule="auto" w:before="31"/>
        <w:ind w:right="1132" w:firstLine="420"/>
        <w:jc w:val="both"/>
      </w:pPr>
      <w:r>
        <w:rPr>
          <w:rFonts w:ascii="宋体" w:hAnsi="宋体" w:cs="宋体" w:eastAsia="宋体" w:hint="default"/>
        </w:rPr>
        <w:t>6</w:t>
      </w:r>
      <w:r>
        <w:rPr/>
        <w:t>、王晓东先生，</w:t>
      </w:r>
      <w:r>
        <w:rPr>
          <w:rFonts w:ascii="宋体" w:hAnsi="宋体" w:cs="宋体" w:eastAsia="宋体" w:hint="default"/>
        </w:rPr>
        <w:t>1960</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月出生，法学本科学历、数学学士，律师，本公司独立董事。最近五年一 直担任国浩律师集团事务所合伙人，</w:t>
      </w:r>
      <w:r>
        <w:rPr>
          <w:rFonts w:ascii="宋体" w:hAnsi="宋体" w:cs="宋体" w:eastAsia="宋体" w:hint="default"/>
        </w:rPr>
        <w:t>2011</w:t>
      </w:r>
      <w:r>
        <w:rPr>
          <w:rFonts w:ascii="宋体" w:hAnsi="宋体" w:cs="宋体" w:eastAsia="宋体" w:hint="default"/>
          <w:spacing w:val="-77"/>
        </w:rPr>
        <w:t> </w:t>
      </w:r>
      <w:r>
        <w:rPr/>
        <w:t>年</w:t>
      </w:r>
      <w:r>
        <w:rPr>
          <w:spacing w:val="-78"/>
        </w:rPr>
        <w:t> </w:t>
      </w:r>
      <w:r>
        <w:rPr>
          <w:rFonts w:ascii="宋体" w:hAnsi="宋体" w:cs="宋体" w:eastAsia="宋体" w:hint="default"/>
        </w:rPr>
        <w:t>5</w:t>
      </w:r>
      <w:r>
        <w:rPr>
          <w:rFonts w:ascii="宋体" w:hAnsi="宋体" w:cs="宋体" w:eastAsia="宋体" w:hint="default"/>
          <w:spacing w:val="-77"/>
        </w:rPr>
        <w:t> </w:t>
      </w:r>
      <w:r>
        <w:rPr/>
        <w:t>月至今，担任深圳南山热电股份有限公司独立董事，曾任深 圳市燃气集团股份有限公司独立董事。</w:t>
      </w:r>
    </w:p>
    <w:p>
      <w:pPr>
        <w:pStyle w:val="BodyText"/>
        <w:spacing w:line="357" w:lineRule="auto" w:before="33"/>
        <w:ind w:right="1130" w:firstLine="420"/>
        <w:jc w:val="both"/>
      </w:pPr>
      <w:r>
        <w:rPr>
          <w:rFonts w:ascii="宋体" w:hAnsi="宋体" w:cs="宋体" w:eastAsia="宋体" w:hint="default"/>
        </w:rPr>
        <w:t>7</w:t>
      </w:r>
      <w:r>
        <w:rPr/>
        <w:t>、王礼贵先生，</w:t>
      </w:r>
      <w:r>
        <w:rPr>
          <w:rFonts w:ascii="宋体" w:hAnsi="宋体" w:cs="宋体" w:eastAsia="宋体" w:hint="default"/>
        </w:rPr>
        <w:t>1961</w:t>
      </w:r>
      <w:r>
        <w:rPr>
          <w:rFonts w:ascii="宋体" w:hAnsi="宋体" w:cs="宋体" w:eastAsia="宋体" w:hint="default"/>
          <w:spacing w:val="-77"/>
        </w:rPr>
        <w:t> </w:t>
      </w:r>
      <w:r>
        <w:rPr/>
        <w:t>年</w:t>
      </w:r>
      <w:r>
        <w:rPr>
          <w:spacing w:val="-78"/>
        </w:rPr>
        <w:t> </w:t>
      </w:r>
      <w:r>
        <w:rPr>
          <w:rFonts w:ascii="宋体" w:hAnsi="宋体" w:cs="宋体" w:eastAsia="宋体" w:hint="default"/>
        </w:rPr>
        <w:t>8</w:t>
      </w:r>
      <w:r>
        <w:rPr>
          <w:rFonts w:ascii="宋体" w:hAnsi="宋体" w:cs="宋体" w:eastAsia="宋体" w:hint="default"/>
          <w:spacing w:val="-77"/>
        </w:rPr>
        <w:t> </w:t>
      </w:r>
      <w:r>
        <w:rPr/>
        <w:t>月出生，中国注册会计师</w:t>
      </w:r>
      <w:r>
        <w:rPr>
          <w:rFonts w:ascii="宋体" w:hAnsi="宋体" w:cs="宋体" w:eastAsia="宋体" w:hint="default"/>
        </w:rPr>
        <w:t>(</w:t>
      </w:r>
      <w:r>
        <w:rPr/>
        <w:t>非执业），高级会计师，硕士研究生，本公司独 立董事。最近五年一直担任中国普天信息产业股份有限公司国际事业本部（深圳）营运总监，</w:t>
      </w:r>
      <w:r>
        <w:rPr>
          <w:rFonts w:ascii="宋体" w:hAnsi="宋体" w:cs="宋体" w:eastAsia="宋体" w:hint="default"/>
        </w:rPr>
        <w:t>2011</w:t>
      </w:r>
      <w:r>
        <w:rPr>
          <w:rFonts w:ascii="宋体" w:hAnsi="宋体" w:cs="宋体" w:eastAsia="宋体" w:hint="default"/>
          <w:spacing w:val="-77"/>
        </w:rPr>
        <w:t> </w:t>
      </w:r>
      <w:r>
        <w:rPr/>
        <w:t>年</w:t>
      </w:r>
      <w:r>
        <w:rPr>
          <w:spacing w:val="-78"/>
        </w:rPr>
        <w:t> </w:t>
      </w:r>
      <w:r>
        <w:rPr>
          <w:rFonts w:ascii="宋体" w:hAnsi="宋体" w:cs="宋体" w:eastAsia="宋体" w:hint="default"/>
        </w:rPr>
        <w:t>4</w:t>
      </w:r>
      <w:r>
        <w:rPr>
          <w:rFonts w:ascii="宋体" w:hAnsi="宋体" w:cs="宋体" w:eastAsia="宋体" w:hint="default"/>
          <w:spacing w:val="-77"/>
        </w:rPr>
        <w:t> </w:t>
      </w:r>
      <w:r>
        <w:rPr/>
        <w:t>月 至今担任上海可鲁系统软件有限公司董事、</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月起担任东莞市雄林新材料科技股份有限公司独立 </w:t>
      </w:r>
      <w:r>
        <w:rPr>
          <w:spacing w:val="-1"/>
        </w:rPr>
        <w:t>董事、深圳市中小微企业投资管理有限公司董事。曾任广东同望科技股份有限公司独立董事、广电运通金</w:t>
      </w:r>
      <w:r>
        <w:rPr>
          <w:spacing w:val="-83"/>
        </w:rPr>
        <w:t> </w:t>
      </w:r>
      <w:r>
        <w:rPr>
          <w:spacing w:val="-83"/>
        </w:rPr>
      </w:r>
      <w:r>
        <w:rPr/>
        <w:t>融电子股份有限公司独立董事、东莞光润家具股份有限公司独立董事。</w:t>
      </w:r>
    </w:p>
    <w:p>
      <w:pPr>
        <w:pStyle w:val="BodyText"/>
        <w:spacing w:line="355" w:lineRule="auto"/>
        <w:ind w:right="1014" w:firstLine="420"/>
        <w:jc w:val="left"/>
      </w:pPr>
      <w:r>
        <w:rPr>
          <w:rFonts w:ascii="宋体" w:hAnsi="宋体" w:cs="宋体" w:eastAsia="宋体" w:hint="default"/>
          <w:spacing w:val="-3"/>
        </w:rPr>
        <w:t>8</w:t>
      </w:r>
      <w:r>
        <w:rPr>
          <w:spacing w:val="-3"/>
        </w:rPr>
        <w:t>、赵诚先生，</w:t>
      </w:r>
      <w:r>
        <w:rPr>
          <w:spacing w:val="-25"/>
        </w:rPr>
        <w:t> </w:t>
      </w:r>
      <w:r>
        <w:rPr>
          <w:rFonts w:ascii="宋体" w:hAnsi="宋体" w:cs="宋体" w:eastAsia="宋体" w:hint="default"/>
        </w:rPr>
        <w:t>1974</w:t>
      </w:r>
      <w:r>
        <w:rPr>
          <w:rFonts w:ascii="宋体" w:hAnsi="宋体" w:cs="宋体" w:eastAsia="宋体" w:hint="default"/>
          <w:spacing w:val="-60"/>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月出生，经济管理专业本科学历，本公司独立董事。最近五年曾任东方花旗 </w:t>
      </w:r>
      <w:r>
        <w:rPr>
          <w:spacing w:val="-5"/>
        </w:rPr>
        <w:t>有限责任公司投资银行部执行总经理。</w:t>
      </w:r>
      <w:r>
        <w:rPr>
          <w:rFonts w:ascii="宋体" w:hAnsi="宋体" w:cs="宋体" w:eastAsia="宋体" w:hint="default"/>
          <w:spacing w:val="-5"/>
        </w:rPr>
        <w:t>2014</w:t>
      </w:r>
      <w:r>
        <w:rPr>
          <w:rFonts w:ascii="宋体" w:hAnsi="宋体" w:cs="宋体" w:eastAsia="宋体" w:hint="default"/>
          <w:spacing w:val="-43"/>
        </w:rPr>
        <w:t> </w:t>
      </w:r>
      <w:r>
        <w:rPr/>
        <w:t>年</w:t>
      </w:r>
      <w:r>
        <w:rPr>
          <w:spacing w:val="-45"/>
        </w:rPr>
        <w:t> </w:t>
      </w:r>
      <w:r>
        <w:rPr>
          <w:rFonts w:ascii="宋体" w:hAnsi="宋体" w:cs="宋体" w:eastAsia="宋体" w:hint="default"/>
        </w:rPr>
        <w:t>7</w:t>
      </w:r>
      <w:r>
        <w:rPr>
          <w:rFonts w:ascii="宋体" w:hAnsi="宋体" w:cs="宋体" w:eastAsia="宋体" w:hint="default"/>
          <w:spacing w:val="-44"/>
        </w:rPr>
        <w:t> </w:t>
      </w:r>
      <w:r>
        <w:rPr>
          <w:spacing w:val="-4"/>
        </w:rPr>
        <w:t>月至今，担任深圳华旗盛世投资管理有限公司董事总经理。</w:t>
      </w:r>
    </w:p>
    <w:p>
      <w:pPr>
        <w:pStyle w:val="BodyText"/>
        <w:spacing w:line="240" w:lineRule="auto" w:before="33"/>
        <w:ind w:left="575" w:right="1017"/>
        <w:jc w:val="left"/>
      </w:pPr>
      <w:r>
        <w:rPr/>
        <w:t>（二）监事最近</w:t>
      </w:r>
      <w:r>
        <w:rPr>
          <w:spacing w:val="-53"/>
        </w:rPr>
        <w:t> </w:t>
      </w:r>
      <w:r>
        <w:rPr>
          <w:rFonts w:ascii="宋体" w:hAnsi="宋体" w:cs="宋体" w:eastAsia="宋体" w:hint="default"/>
        </w:rPr>
        <w:t>5</w:t>
      </w:r>
      <w:r>
        <w:rPr>
          <w:rFonts w:ascii="宋体" w:hAnsi="宋体" w:cs="宋体" w:eastAsia="宋体" w:hint="default"/>
          <w:spacing w:val="-54"/>
        </w:rPr>
        <w:t> </w:t>
      </w:r>
      <w:r>
        <w:rPr/>
        <w:t>年的主要工作经历</w:t>
      </w:r>
    </w:p>
    <w:p>
      <w:pPr>
        <w:pStyle w:val="BodyText"/>
        <w:spacing w:line="357" w:lineRule="auto" w:before="133"/>
        <w:ind w:right="1130" w:firstLine="420"/>
        <w:jc w:val="both"/>
      </w:pPr>
      <w:r>
        <w:rPr>
          <w:rFonts w:ascii="宋体" w:hAnsi="宋体" w:cs="宋体" w:eastAsia="宋体" w:hint="default"/>
        </w:rPr>
        <w:t>1</w:t>
      </w:r>
      <w:r>
        <w:rPr/>
        <w:t>、甘岱松先生，</w:t>
      </w:r>
      <w:r>
        <w:rPr>
          <w:rFonts w:ascii="宋体" w:hAnsi="宋体" w:cs="宋体" w:eastAsia="宋体" w:hint="default"/>
        </w:rPr>
        <w:t>1973</w:t>
      </w:r>
      <w:r>
        <w:rPr>
          <w:rFonts w:ascii="宋体" w:hAnsi="宋体" w:cs="宋体" w:eastAsia="宋体" w:hint="default"/>
          <w:spacing w:val="-57"/>
        </w:rPr>
        <w:t> </w:t>
      </w:r>
      <w:r>
        <w:rPr/>
        <w:t>年</w:t>
      </w:r>
      <w:r>
        <w:rPr>
          <w:spacing w:val="-58"/>
        </w:rPr>
        <w:t> </w:t>
      </w:r>
      <w:r>
        <w:rPr>
          <w:rFonts w:ascii="宋体" w:hAnsi="宋体" w:cs="宋体" w:eastAsia="宋体" w:hint="default"/>
        </w:rPr>
        <w:t>8</w:t>
      </w:r>
      <w:r>
        <w:rPr>
          <w:rFonts w:ascii="宋体" w:hAnsi="宋体" w:cs="宋体" w:eastAsia="宋体" w:hint="default"/>
          <w:spacing w:val="-56"/>
        </w:rPr>
        <w:t> </w:t>
      </w:r>
      <w:r>
        <w:rPr/>
        <w:t>月出生，本科学历，曾任深圳市和发实业有限公司副总经理，</w:t>
      </w:r>
      <w:r>
        <w:rPr>
          <w:rFonts w:ascii="宋体" w:hAnsi="宋体" w:cs="宋体" w:eastAsia="宋体" w:hint="default"/>
        </w:rPr>
        <w:t>2013</w:t>
      </w:r>
      <w:r>
        <w:rPr>
          <w:rFonts w:ascii="宋体" w:hAnsi="宋体" w:cs="宋体" w:eastAsia="宋体" w:hint="default"/>
          <w:spacing w:val="-57"/>
        </w:rPr>
        <w:t> </w:t>
      </w:r>
      <w:r>
        <w:rPr/>
        <w:t>年</w:t>
      </w:r>
      <w:r>
        <w:rPr>
          <w:spacing w:val="-58"/>
        </w:rPr>
        <w:t> </w:t>
      </w:r>
      <w:r>
        <w:rPr>
          <w:rFonts w:ascii="宋体" w:hAnsi="宋体" w:cs="宋体" w:eastAsia="宋体" w:hint="default"/>
        </w:rPr>
        <w:t>7</w:t>
      </w:r>
      <w:r>
        <w:rPr>
          <w:rFonts w:ascii="宋体" w:hAnsi="宋体" w:cs="宋体" w:eastAsia="宋体" w:hint="default"/>
          <w:spacing w:val="-56"/>
        </w:rPr>
        <w:t> </w:t>
      </w:r>
      <w:r>
        <w:rPr/>
        <w:t>月 进入本公司，曾任本公司建筑智能化事业部副总经理，现任本公司数据中心事业部总经理。</w:t>
      </w:r>
    </w:p>
    <w:p>
      <w:pPr>
        <w:pStyle w:val="BodyText"/>
        <w:spacing w:line="357" w:lineRule="auto"/>
        <w:ind w:right="1162" w:firstLine="420"/>
        <w:jc w:val="both"/>
      </w:pPr>
      <w:r>
        <w:rPr>
          <w:rFonts w:ascii="宋体" w:hAnsi="宋体" w:cs="宋体" w:eastAsia="宋体" w:hint="default"/>
        </w:rPr>
        <w:t>2</w:t>
      </w:r>
      <w:r>
        <w:rPr/>
        <w:t>、曲震先生，</w:t>
      </w:r>
      <w:r>
        <w:rPr>
          <w:rFonts w:ascii="宋体" w:hAnsi="宋体" w:cs="宋体" w:eastAsia="宋体" w:hint="default"/>
        </w:rPr>
        <w:t>1968</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月出生，大学学历，高级会计师，本公司监事。最近五年一直担任本公司监 事、兖矿集团投资管理公司财务部长。</w:t>
      </w:r>
    </w:p>
    <w:p>
      <w:pPr>
        <w:pStyle w:val="BodyText"/>
        <w:spacing w:line="357" w:lineRule="auto"/>
        <w:ind w:right="1131" w:firstLine="420"/>
        <w:jc w:val="both"/>
      </w:pPr>
      <w:r>
        <w:rPr>
          <w:rFonts w:ascii="宋体" w:hAnsi="宋体" w:cs="宋体" w:eastAsia="宋体" w:hint="default"/>
          <w:spacing w:val="-3"/>
        </w:rPr>
        <w:t>3</w:t>
      </w:r>
      <w:r>
        <w:rPr>
          <w:spacing w:val="-3"/>
        </w:rPr>
        <w:t>、沈宏明先生，</w:t>
      </w:r>
      <w:r>
        <w:rPr>
          <w:rFonts w:ascii="宋体" w:hAnsi="宋体" w:cs="宋体" w:eastAsia="宋体" w:hint="default"/>
          <w:spacing w:val="-3"/>
        </w:rPr>
        <w:t>1967</w:t>
      </w:r>
      <w:r>
        <w:rPr>
          <w:rFonts w:ascii="宋体" w:hAnsi="宋体" w:cs="宋体" w:eastAsia="宋体" w:hint="default"/>
          <w:spacing w:val="-66"/>
        </w:rPr>
        <w:t> </w:t>
      </w:r>
      <w:r>
        <w:rPr/>
        <w:t>年</w:t>
      </w:r>
      <w:r>
        <w:rPr>
          <w:spacing w:val="-67"/>
        </w:rPr>
        <w:t> </w:t>
      </w:r>
      <w:r>
        <w:rPr>
          <w:rFonts w:ascii="宋体" w:hAnsi="宋体" w:cs="宋体" w:eastAsia="宋体" w:hint="default"/>
        </w:rPr>
        <w:t>10</w:t>
      </w:r>
      <w:r>
        <w:rPr>
          <w:rFonts w:ascii="宋体" w:hAnsi="宋体" w:cs="宋体" w:eastAsia="宋体" w:hint="default"/>
          <w:spacing w:val="-65"/>
        </w:rPr>
        <w:t> </w:t>
      </w:r>
      <w:r>
        <w:rPr/>
        <w:t>月出生，工学学士，</w:t>
      </w:r>
      <w:r>
        <w:rPr>
          <w:rFonts w:ascii="宋体" w:hAnsi="宋体" w:cs="宋体" w:eastAsia="宋体" w:hint="default"/>
        </w:rPr>
        <w:t>EMBA</w:t>
      </w:r>
      <w:r>
        <w:rPr/>
        <w:t>。本公司职工代表监事。最近五年一直担任北京 </w:t>
      </w:r>
      <w:r>
        <w:rPr>
          <w:spacing w:val="-1"/>
        </w:rPr>
        <w:t>启迪德润能源科技有限公司（现更名为北京达实德润能源科技有限公司）副董事长及总经理、北京启迪筑</w:t>
      </w:r>
      <w:r>
        <w:rPr>
          <w:spacing w:val="-83"/>
        </w:rPr>
        <w:t> </w:t>
      </w:r>
      <w:r>
        <w:rPr>
          <w:spacing w:val="-83"/>
        </w:rPr>
      </w:r>
      <w:r>
        <w:rPr/>
        <w:t>能建筑信息技术有限公司总经理。曾任北京紫光德润信息技术有限公司总经理。</w:t>
      </w:r>
    </w:p>
    <w:p>
      <w:pPr>
        <w:pStyle w:val="BodyText"/>
        <w:spacing w:line="240" w:lineRule="auto"/>
        <w:ind w:left="575" w:right="1017"/>
        <w:jc w:val="left"/>
      </w:pPr>
      <w:r>
        <w:rPr/>
        <w:t>（三）高级管理人员最近</w:t>
      </w:r>
      <w:r>
        <w:rPr>
          <w:spacing w:val="-54"/>
        </w:rPr>
        <w:t> </w:t>
      </w:r>
      <w:r>
        <w:rPr>
          <w:rFonts w:ascii="宋体" w:hAnsi="宋体" w:cs="宋体" w:eastAsia="宋体" w:hint="default"/>
        </w:rPr>
        <w:t>5</w:t>
      </w:r>
      <w:r>
        <w:rPr>
          <w:rFonts w:ascii="宋体" w:hAnsi="宋体" w:cs="宋体" w:eastAsia="宋体" w:hint="default"/>
          <w:spacing w:val="-54"/>
        </w:rPr>
        <w:t> </w:t>
      </w:r>
      <w:r>
        <w:rPr/>
        <w:t>年的主要工作经历</w:t>
      </w:r>
    </w:p>
    <w:p>
      <w:pPr>
        <w:pStyle w:val="BodyText"/>
        <w:spacing w:line="240" w:lineRule="auto" w:before="134"/>
        <w:ind w:left="574" w:right="1017"/>
        <w:jc w:val="left"/>
      </w:pPr>
      <w:r>
        <w:rPr>
          <w:rFonts w:ascii="宋体" w:hAnsi="宋体" w:cs="宋体" w:eastAsia="宋体" w:hint="default"/>
        </w:rPr>
        <w:t>1</w:t>
      </w:r>
      <w:r>
        <w:rPr/>
        <w:t>、总经理刘磅先生最近</w:t>
      </w:r>
      <w:r>
        <w:rPr>
          <w:spacing w:val="-55"/>
        </w:rPr>
        <w:t> </w:t>
      </w:r>
      <w:r>
        <w:rPr>
          <w:rFonts w:ascii="宋体" w:hAnsi="宋体" w:cs="宋体" w:eastAsia="宋体" w:hint="default"/>
        </w:rPr>
        <w:t>5</w:t>
      </w:r>
      <w:r>
        <w:rPr>
          <w:rFonts w:ascii="宋体" w:hAnsi="宋体" w:cs="宋体" w:eastAsia="宋体" w:hint="default"/>
          <w:spacing w:val="-54"/>
        </w:rPr>
        <w:t> </w:t>
      </w:r>
      <w:r>
        <w:rPr/>
        <w:t>年的主要工作经历参见董事最近</w:t>
      </w:r>
      <w:r>
        <w:rPr>
          <w:spacing w:val="-54"/>
        </w:rPr>
        <w:t> </w:t>
      </w:r>
      <w:r>
        <w:rPr>
          <w:rFonts w:ascii="宋体" w:hAnsi="宋体" w:cs="宋体" w:eastAsia="宋体" w:hint="default"/>
        </w:rPr>
        <w:t>5</w:t>
      </w:r>
      <w:r>
        <w:rPr>
          <w:rFonts w:ascii="宋体" w:hAnsi="宋体" w:cs="宋体" w:eastAsia="宋体" w:hint="default"/>
          <w:spacing w:val="-54"/>
        </w:rPr>
        <w:t> </w:t>
      </w:r>
      <w:r>
        <w:rPr/>
        <w:t>年的主要工作经历。</w:t>
      </w:r>
    </w:p>
    <w:p>
      <w:pPr>
        <w:pStyle w:val="BodyText"/>
        <w:spacing w:line="240" w:lineRule="auto" w:before="133"/>
        <w:ind w:left="574" w:right="1017"/>
        <w:jc w:val="left"/>
      </w:pPr>
      <w:r>
        <w:rPr>
          <w:rFonts w:ascii="宋体" w:hAnsi="宋体" w:cs="宋体" w:eastAsia="宋体" w:hint="default"/>
        </w:rPr>
        <w:t>2</w:t>
      </w:r>
      <w:r>
        <w:rPr/>
        <w:t>、副总经理程朋胜先生最近</w:t>
      </w:r>
      <w:r>
        <w:rPr>
          <w:spacing w:val="-54"/>
        </w:rPr>
        <w:t> </w:t>
      </w:r>
      <w:r>
        <w:rPr>
          <w:rFonts w:ascii="宋体" w:hAnsi="宋体" w:cs="宋体" w:eastAsia="宋体" w:hint="default"/>
        </w:rPr>
        <w:t>5</w:t>
      </w:r>
      <w:r>
        <w:rPr>
          <w:rFonts w:ascii="宋体" w:hAnsi="宋体" w:cs="宋体" w:eastAsia="宋体" w:hint="default"/>
          <w:spacing w:val="-54"/>
        </w:rPr>
        <w:t> </w:t>
      </w:r>
      <w:r>
        <w:rPr/>
        <w:t>年的主要工作经历参见董事最近</w:t>
      </w:r>
      <w:r>
        <w:rPr>
          <w:spacing w:val="-53"/>
        </w:rPr>
        <w:t> </w:t>
      </w:r>
      <w:r>
        <w:rPr>
          <w:rFonts w:ascii="宋体" w:hAnsi="宋体" w:cs="宋体" w:eastAsia="宋体" w:hint="default"/>
        </w:rPr>
        <w:t>5</w:t>
      </w:r>
      <w:r>
        <w:rPr>
          <w:rFonts w:ascii="宋体" w:hAnsi="宋体" w:cs="宋体" w:eastAsia="宋体" w:hint="default"/>
          <w:spacing w:val="-54"/>
        </w:rPr>
        <w:t> </w:t>
      </w:r>
      <w:r>
        <w:rPr/>
        <w:t>年的主要工作经历。</w:t>
      </w:r>
    </w:p>
    <w:p>
      <w:pPr>
        <w:pStyle w:val="BodyText"/>
        <w:spacing w:line="355" w:lineRule="auto" w:before="134"/>
        <w:ind w:right="1132" w:firstLine="420"/>
        <w:jc w:val="both"/>
      </w:pPr>
      <w:r>
        <w:rPr>
          <w:rFonts w:ascii="宋体" w:hAnsi="宋体" w:cs="宋体" w:eastAsia="宋体" w:hint="default"/>
        </w:rPr>
        <w:t>3</w:t>
      </w:r>
      <w:r>
        <w:rPr/>
        <w:t>、苏俊锋先生，</w:t>
      </w:r>
      <w:r>
        <w:rPr>
          <w:rFonts w:ascii="宋体" w:hAnsi="宋体" w:cs="宋体" w:eastAsia="宋体" w:hint="default"/>
        </w:rPr>
        <w:t>1971</w:t>
      </w:r>
      <w:r>
        <w:rPr>
          <w:rFonts w:ascii="宋体" w:hAnsi="宋体" w:cs="宋体" w:eastAsia="宋体" w:hint="default"/>
          <w:spacing w:val="-59"/>
        </w:rPr>
        <w:t> </w:t>
      </w:r>
      <w:r>
        <w:rPr/>
        <w:t>年</w:t>
      </w:r>
      <w:r>
        <w:rPr>
          <w:spacing w:val="-60"/>
        </w:rPr>
        <w:t> </w:t>
      </w:r>
      <w:r>
        <w:rPr>
          <w:rFonts w:ascii="宋体" w:hAnsi="宋体" w:cs="宋体" w:eastAsia="宋体" w:hint="default"/>
        </w:rPr>
        <w:t>6</w:t>
      </w:r>
      <w:r>
        <w:rPr>
          <w:rFonts w:ascii="宋体" w:hAnsi="宋体" w:cs="宋体" w:eastAsia="宋体" w:hint="default"/>
          <w:spacing w:val="-58"/>
        </w:rPr>
        <w:t> </w:t>
      </w:r>
      <w:r>
        <w:rPr/>
        <w:t>月出生，研究生学历，工学硕士，高级工程师。</w:t>
      </w:r>
      <w:r>
        <w:rPr>
          <w:rFonts w:ascii="宋体" w:hAnsi="宋体" w:cs="宋体" w:eastAsia="宋体" w:hint="default"/>
        </w:rPr>
        <w:t>1996</w:t>
      </w:r>
      <w:r>
        <w:rPr>
          <w:rFonts w:ascii="宋体" w:hAnsi="宋体" w:cs="宋体" w:eastAsia="宋体" w:hint="default"/>
          <w:spacing w:val="-60"/>
        </w:rPr>
        <w:t> </w:t>
      </w:r>
      <w:r>
        <w:rPr/>
        <w:t>年进入本公司，从事 </w:t>
      </w:r>
      <w:r>
        <w:rPr>
          <w:spacing w:val="-1"/>
        </w:rPr>
        <w:t>管理和技术工作，本公司核心技术人员。现任本公司副总经理、上海达实联欣科技发展有限公司董事、深</w:t>
      </w:r>
      <w:r>
        <w:rPr>
          <w:spacing w:val="-85"/>
        </w:rPr>
        <w:t> </w:t>
      </w:r>
      <w:r>
        <w:rPr>
          <w:spacing w:val="-85"/>
        </w:rPr>
      </w:r>
      <w:r>
        <w:rPr/>
        <w:t>圳市云玺互联网服务有限公司董事。</w:t>
      </w:r>
    </w:p>
    <w:p>
      <w:pPr>
        <w:pStyle w:val="BodyText"/>
        <w:spacing w:line="357" w:lineRule="auto" w:before="33"/>
        <w:ind w:right="1017" w:firstLine="420"/>
        <w:jc w:val="left"/>
      </w:pPr>
      <w:r>
        <w:rPr>
          <w:rFonts w:ascii="宋体" w:hAnsi="宋体" w:cs="宋体" w:eastAsia="宋体" w:hint="default"/>
          <w:spacing w:val="-4"/>
        </w:rPr>
        <w:t>4</w:t>
      </w:r>
      <w:r>
        <w:rPr>
          <w:spacing w:val="-4"/>
        </w:rPr>
        <w:t>、吕枫先生，</w:t>
      </w:r>
      <w:r>
        <w:rPr>
          <w:rFonts w:ascii="宋体" w:hAnsi="宋体" w:cs="宋体" w:eastAsia="宋体" w:hint="default"/>
          <w:spacing w:val="-4"/>
        </w:rPr>
        <w:t>1968</w:t>
      </w:r>
      <w:r>
        <w:rPr>
          <w:rFonts w:ascii="宋体" w:hAnsi="宋体" w:cs="宋体" w:eastAsia="宋体" w:hint="default"/>
          <w:spacing w:val="-51"/>
        </w:rPr>
        <w:t> </w:t>
      </w:r>
      <w:r>
        <w:rPr/>
        <w:t>年</w:t>
      </w:r>
      <w:r>
        <w:rPr>
          <w:spacing w:val="-51"/>
        </w:rPr>
        <w:t> </w:t>
      </w:r>
      <w:r>
        <w:rPr>
          <w:rFonts w:ascii="宋体" w:hAnsi="宋体" w:cs="宋体" w:eastAsia="宋体" w:hint="default"/>
        </w:rPr>
        <w:t>1</w:t>
      </w:r>
      <w:r>
        <w:rPr>
          <w:rFonts w:ascii="宋体" w:hAnsi="宋体" w:cs="宋体" w:eastAsia="宋体" w:hint="default"/>
          <w:spacing w:val="-50"/>
        </w:rPr>
        <w:t> </w:t>
      </w:r>
      <w:r>
        <w:rPr>
          <w:spacing w:val="-4"/>
        </w:rPr>
        <w:t>月出生，清华大学工商管理硕士（</w:t>
      </w:r>
      <w:r>
        <w:rPr>
          <w:rFonts w:ascii="宋体" w:hAnsi="宋体" w:cs="宋体" w:eastAsia="宋体" w:hint="default"/>
          <w:spacing w:val="-4"/>
        </w:rPr>
        <w:t>MBA</w:t>
      </w:r>
      <w:r>
        <w:rPr>
          <w:spacing w:val="-4"/>
        </w:rPr>
        <w:t>），经济师。</w:t>
      </w:r>
      <w:r>
        <w:rPr>
          <w:rFonts w:ascii="宋体" w:hAnsi="宋体" w:cs="宋体" w:eastAsia="宋体" w:hint="default"/>
          <w:spacing w:val="-4"/>
        </w:rPr>
        <w:t>2001</w:t>
      </w:r>
      <w:r>
        <w:rPr>
          <w:rFonts w:ascii="宋体" w:hAnsi="宋体" w:cs="宋体" w:eastAsia="宋体" w:hint="default"/>
          <w:spacing w:val="-51"/>
        </w:rPr>
        <w:t> </w:t>
      </w:r>
      <w:r>
        <w:rPr/>
        <w:t>年</w:t>
      </w:r>
      <w:r>
        <w:rPr>
          <w:spacing w:val="-52"/>
        </w:rPr>
        <w:t> </w:t>
      </w:r>
      <w:r>
        <w:rPr>
          <w:rFonts w:ascii="宋体" w:hAnsi="宋体" w:cs="宋体" w:eastAsia="宋体" w:hint="default"/>
        </w:rPr>
        <w:t>10</w:t>
      </w:r>
      <w:r>
        <w:rPr>
          <w:rFonts w:ascii="宋体" w:hAnsi="宋体" w:cs="宋体" w:eastAsia="宋体" w:hint="default"/>
          <w:spacing w:val="-50"/>
        </w:rPr>
        <w:t> </w:t>
      </w:r>
      <w:r>
        <w:rPr/>
        <w:t>月进入本公司。 现任本公司副总经理、北京达实德润能源科技有限公司董事长、上海达实联欣科技发展有限公司董事、融 智节能环保（深圳）有限公司董事、江苏久信医疗科技有限公司董事。</w:t>
      </w:r>
    </w:p>
    <w:p>
      <w:pPr>
        <w:pStyle w:val="BodyText"/>
        <w:spacing w:line="240" w:lineRule="auto"/>
        <w:ind w:left="574" w:right="1017"/>
        <w:jc w:val="left"/>
      </w:pPr>
      <w:r>
        <w:rPr>
          <w:rFonts w:ascii="宋体" w:hAnsi="宋体" w:cs="宋体" w:eastAsia="宋体" w:hint="default"/>
        </w:rPr>
        <w:t>5</w:t>
      </w:r>
      <w:r>
        <w:rPr/>
        <w:t>、黄德强先生，</w:t>
      </w:r>
      <w:r>
        <w:rPr>
          <w:rFonts w:ascii="宋体" w:hAnsi="宋体" w:cs="宋体" w:eastAsia="宋体" w:hint="default"/>
        </w:rPr>
        <w:t>1981</w:t>
      </w:r>
      <w:r>
        <w:rPr>
          <w:rFonts w:ascii="宋体" w:hAnsi="宋体" w:cs="宋体" w:eastAsia="宋体" w:hint="default"/>
          <w:spacing w:val="-58"/>
        </w:rPr>
        <w:t> </w:t>
      </w:r>
      <w:r>
        <w:rPr/>
        <w:t>年</w:t>
      </w:r>
      <w:r>
        <w:rPr>
          <w:spacing w:val="-59"/>
        </w:rPr>
        <w:t> </w:t>
      </w:r>
      <w:r>
        <w:rPr>
          <w:rFonts w:ascii="宋体" w:hAnsi="宋体" w:cs="宋体" w:eastAsia="宋体" w:hint="default"/>
        </w:rPr>
        <w:t>4</w:t>
      </w:r>
      <w:r>
        <w:rPr>
          <w:rFonts w:ascii="宋体" w:hAnsi="宋体" w:cs="宋体" w:eastAsia="宋体" w:hint="default"/>
          <w:spacing w:val="-57"/>
        </w:rPr>
        <w:t> </w:t>
      </w:r>
      <w:r>
        <w:rPr/>
        <w:t>月出生，毕业于电子科技大学，本科学历，</w:t>
      </w:r>
      <w:r>
        <w:rPr>
          <w:rFonts w:ascii="宋体" w:hAnsi="宋体" w:cs="宋体" w:eastAsia="宋体" w:hint="default"/>
        </w:rPr>
        <w:t>2008</w:t>
      </w:r>
      <w:r>
        <w:rPr>
          <w:rFonts w:ascii="宋体" w:hAnsi="宋体" w:cs="宋体" w:eastAsia="宋体" w:hint="default"/>
          <w:spacing w:val="-57"/>
        </w:rPr>
        <w:t> </w:t>
      </w:r>
      <w:r>
        <w:rPr/>
        <w:t>年</w:t>
      </w:r>
      <w:r>
        <w:rPr>
          <w:spacing w:val="-58"/>
        </w:rPr>
        <w:t> </w:t>
      </w:r>
      <w:r>
        <w:rPr>
          <w:rFonts w:ascii="宋体" w:hAnsi="宋体" w:cs="宋体" w:eastAsia="宋体" w:hint="default"/>
        </w:rPr>
        <w:t>6</w:t>
      </w:r>
      <w:r>
        <w:rPr>
          <w:rFonts w:ascii="宋体" w:hAnsi="宋体" w:cs="宋体" w:eastAsia="宋体" w:hint="default"/>
          <w:spacing w:val="-58"/>
        </w:rPr>
        <w:t> </w:t>
      </w:r>
      <w:r>
        <w:rPr/>
        <w:t>月进入公司，现任本</w:t>
      </w:r>
    </w:p>
    <w:p>
      <w:pPr>
        <w:spacing w:after="0" w:line="240" w:lineRule="auto"/>
        <w:jc w:val="left"/>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5" w:lineRule="auto" w:before="35"/>
        <w:ind w:right="1017"/>
        <w:jc w:val="left"/>
      </w:pPr>
      <w:r>
        <w:rPr>
          <w:spacing w:val="-1"/>
        </w:rPr>
        <w:t>公司副总经理、江苏久信医疗科技有限公司董事长、遵义达实绿色智慧发展有限公司董事长、仁怀达实绿</w:t>
      </w:r>
      <w:r>
        <w:rPr>
          <w:spacing w:val="-83"/>
        </w:rPr>
        <w:t> </w:t>
      </w:r>
      <w:r>
        <w:rPr>
          <w:spacing w:val="-83"/>
        </w:rPr>
      </w:r>
      <w:r>
        <w:rPr/>
        <w:t>色智慧发展有限公司执行董事兼总经理。</w:t>
      </w:r>
    </w:p>
    <w:p>
      <w:pPr>
        <w:pStyle w:val="BodyText"/>
        <w:spacing w:line="357" w:lineRule="auto" w:before="33"/>
        <w:ind w:right="1010" w:firstLine="420"/>
        <w:jc w:val="left"/>
      </w:pPr>
      <w:r>
        <w:rPr>
          <w:rFonts w:ascii="宋体" w:hAnsi="宋体" w:cs="宋体" w:eastAsia="宋体" w:hint="default"/>
          <w:spacing w:val="-3"/>
        </w:rPr>
        <w:t>6</w:t>
      </w:r>
      <w:r>
        <w:rPr>
          <w:spacing w:val="-3"/>
        </w:rPr>
        <w:t>、林雨斌先生，男，</w:t>
      </w:r>
      <w:r>
        <w:rPr>
          <w:rFonts w:ascii="宋体" w:hAnsi="宋体" w:cs="宋体" w:eastAsia="宋体" w:hint="default"/>
          <w:spacing w:val="-3"/>
        </w:rPr>
        <w:t>1976</w:t>
      </w:r>
      <w:r>
        <w:rPr>
          <w:rFonts w:ascii="宋体" w:hAnsi="宋体" w:cs="宋体" w:eastAsia="宋体" w:hint="default"/>
          <w:spacing w:val="-63"/>
        </w:rPr>
        <w:t> </w:t>
      </w:r>
      <w:r>
        <w:rPr/>
        <w:t>年</w:t>
      </w:r>
      <w:r>
        <w:rPr>
          <w:spacing w:val="-64"/>
        </w:rPr>
        <w:t> </w:t>
      </w:r>
      <w:r>
        <w:rPr>
          <w:rFonts w:ascii="宋体" w:hAnsi="宋体" w:cs="宋体" w:eastAsia="宋体" w:hint="default"/>
        </w:rPr>
        <w:t>6</w:t>
      </w:r>
      <w:r>
        <w:rPr>
          <w:rFonts w:ascii="宋体" w:hAnsi="宋体" w:cs="宋体" w:eastAsia="宋体" w:hint="default"/>
          <w:spacing w:val="-63"/>
        </w:rPr>
        <w:t> </w:t>
      </w:r>
      <w:r>
        <w:rPr/>
        <w:t>月出生，本科学历。最近五年一直担任本公司副总经理、董事会秘书。 </w:t>
      </w:r>
      <w:r>
        <w:rPr>
          <w:spacing w:val="-5"/>
        </w:rPr>
        <w:t>现任深圳达实融资租赁有限公司董事、昌都市达实投资咨询有限公司执行董事兼总经理、融智节能环保（深</w:t>
      </w:r>
      <w:r>
        <w:rPr>
          <w:spacing w:val="-101"/>
        </w:rPr>
        <w:t> </w:t>
      </w:r>
      <w:r>
        <w:rPr>
          <w:spacing w:val="-101"/>
        </w:rPr>
      </w:r>
      <w:r>
        <w:rPr/>
        <w:t>圳）有限公司董事、深圳市小鹿暖暖科技有限公司董事长。</w:t>
      </w:r>
    </w:p>
    <w:p>
      <w:pPr>
        <w:pStyle w:val="BodyText"/>
        <w:spacing w:line="240" w:lineRule="auto"/>
        <w:ind w:left="574" w:right="0"/>
        <w:jc w:val="left"/>
      </w:pPr>
      <w:r>
        <w:rPr>
          <w:rFonts w:ascii="宋体" w:hAnsi="宋体" w:cs="宋体" w:eastAsia="宋体" w:hint="default"/>
          <w:spacing w:val="-6"/>
        </w:rPr>
        <w:t>7</w:t>
      </w:r>
      <w:r>
        <w:rPr>
          <w:spacing w:val="-6"/>
        </w:rPr>
        <w:t>、黄天朗先生，男，</w:t>
      </w:r>
      <w:r>
        <w:rPr>
          <w:rFonts w:ascii="宋体" w:hAnsi="宋体" w:cs="宋体" w:eastAsia="宋体" w:hint="default"/>
          <w:spacing w:val="-6"/>
        </w:rPr>
        <w:t>1970</w:t>
      </w:r>
      <w:r>
        <w:rPr>
          <w:rFonts w:ascii="宋体" w:hAnsi="宋体" w:cs="宋体" w:eastAsia="宋体" w:hint="default"/>
          <w:spacing w:val="-46"/>
        </w:rPr>
        <w:t> </w:t>
      </w:r>
      <w:r>
        <w:rPr/>
        <w:t>年</w:t>
      </w:r>
      <w:r>
        <w:rPr>
          <w:spacing w:val="-46"/>
        </w:rPr>
        <w:t> </w:t>
      </w:r>
      <w:r>
        <w:rPr>
          <w:rFonts w:ascii="宋体" w:hAnsi="宋体" w:cs="宋体" w:eastAsia="宋体" w:hint="default"/>
        </w:rPr>
        <w:t>10</w:t>
      </w:r>
      <w:r>
        <w:rPr>
          <w:rFonts w:ascii="宋体" w:hAnsi="宋体" w:cs="宋体" w:eastAsia="宋体" w:hint="default"/>
          <w:spacing w:val="-45"/>
        </w:rPr>
        <w:t> </w:t>
      </w:r>
      <w:r>
        <w:rPr>
          <w:spacing w:val="-4"/>
        </w:rPr>
        <w:t>月出生，本科学历，会计师，注册税务师，信息产业部高级项目经理。</w:t>
      </w:r>
    </w:p>
    <w:p>
      <w:pPr>
        <w:pStyle w:val="BodyText"/>
        <w:spacing w:line="240" w:lineRule="auto" w:before="134"/>
        <w:ind w:right="1017"/>
        <w:jc w:val="left"/>
      </w:pPr>
      <w:r>
        <w:rPr>
          <w:rFonts w:ascii="宋体" w:hAnsi="宋体" w:cs="宋体" w:eastAsia="宋体" w:hint="default"/>
        </w:rPr>
        <w:t>1999</w:t>
      </w:r>
      <w:r>
        <w:rPr>
          <w:rFonts w:ascii="宋体" w:hAnsi="宋体" w:cs="宋体" w:eastAsia="宋体" w:hint="default"/>
          <w:spacing w:val="-54"/>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月进入本公司财务部，现任本公司财务总监。</w:t>
      </w:r>
    </w:p>
    <w:p>
      <w:pPr>
        <w:spacing w:line="240" w:lineRule="auto" w:before="9"/>
        <w:rPr>
          <w:rFonts w:ascii="宋体" w:hAnsi="宋体" w:cs="宋体" w:eastAsia="宋体" w:hint="default"/>
          <w:sz w:val="16"/>
          <w:szCs w:val="16"/>
        </w:rPr>
      </w:pPr>
    </w:p>
    <w:p>
      <w:pPr>
        <w:spacing w:before="0"/>
        <w:ind w:left="154" w:right="1017"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2732"/>
        <w:gridCol w:w="1847"/>
        <w:gridCol w:w="1625"/>
        <w:gridCol w:w="803"/>
        <w:gridCol w:w="1345"/>
      </w:tblGrid>
      <w:tr>
        <w:trPr>
          <w:trHeight w:val="75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1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737" w:right="197" w:hanging="540"/>
              <w:jc w:val="left"/>
              <w:rPr>
                <w:rFonts w:ascii="宋体" w:hAnsi="宋体" w:cs="宋体" w:eastAsia="宋体" w:hint="default"/>
                <w:sz w:val="18"/>
                <w:szCs w:val="18"/>
              </w:rPr>
            </w:pPr>
            <w:r>
              <w:rPr>
                <w:rFonts w:ascii="宋体" w:hAnsi="宋体" w:cs="宋体" w:eastAsia="宋体" w:hint="default"/>
                <w:sz w:val="18"/>
                <w:szCs w:val="18"/>
              </w:rPr>
              <w:t>在股东单位担任的 职务</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215"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27" w:right="3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拉萨市达实投资发展有限公司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43"/>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拉萨市达实投资发展有限公司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拉萨市达实投资发展有限公司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韩青树</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中国节能减排有限公司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产权管理部总经理</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曲震</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兖矿集团投资管理公司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财务部长</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6"/>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2715"/>
        <w:gridCol w:w="1847"/>
        <w:gridCol w:w="1625"/>
        <w:gridCol w:w="798"/>
        <w:gridCol w:w="1350"/>
      </w:tblGrid>
      <w:tr>
        <w:trPr>
          <w:trHeight w:val="75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1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827" w:right="107" w:hanging="720"/>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29" w:right="38"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合肥达实数字科技有限公司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4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上海达实自动化工程有限公司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深圳达实信息技术有限公司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深圳达实融资租赁有限公司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深圳达实信息技术有限公司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深圳市小鹿暖暖科技有限公司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江苏久信医疗科技有限公司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胜现科技（深圳）有限公司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深圳市智慧达实供应链有限公司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深圳市达实现代物流有限公司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合肥达实数字科技有限公司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深圳市诺达自动化技术有限公司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合肥中正物业管理有限公司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安徽达实商贸有限公司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4"/>
        <w:gridCol w:w="2715"/>
        <w:gridCol w:w="1847"/>
        <w:gridCol w:w="1625"/>
        <w:gridCol w:w="798"/>
        <w:gridCol w:w="1350"/>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界首达实置业有限公司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淮北市达实置业有限公司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深圳市英唐智能控制股份有限公 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7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韩青树</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中国节能减排有限公司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企业管理部总经理</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上海金杖房地产开发有限公司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上海臻龙投资管理合伙企业（有限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上海腾隆变配电设备管理有限公 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国浩律师集团事务所</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深圳南山热电股份有限公司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7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中国普天信息产业股份有限公司 国际事业本部（深圳）</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营运总监</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7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上海可鲁系统软件有限公司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东莞市雄林新材料科技股份有限 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7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深圳市中小微企业投资管理有限 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赵诚</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深圳华旗盛世投资管理有限公司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曲震</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兖矿集团投资管理公司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财务部长</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沈宏明</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北京达实德润能源科技有限公司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沈宏明</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北京启迪筑能建筑信息技术有限 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深圳市云玺互联网服务有限公司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北京达实德润能源科技有限公司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融智节能环保（深圳）有限公司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江苏久信医疗科技有限公司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黄德强</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江苏久信医疗科技有限公司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黄德强</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遵义达实绿色智慧发展有限公司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4"/>
        <w:gridCol w:w="2715"/>
        <w:gridCol w:w="1847"/>
        <w:gridCol w:w="1625"/>
        <w:gridCol w:w="798"/>
        <w:gridCol w:w="1350"/>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黄德强</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仁怀达实绿色智慧发展有限公司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深圳达实融资租赁有限公司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昌都市达实投资咨询有限公司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融智节能环保（深圳）有限公司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深圳市小鹿暖暖科技有限公司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017"/>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357" w:lineRule="auto" w:before="70"/>
        <w:ind w:right="1132" w:firstLine="421"/>
        <w:jc w:val="both"/>
      </w:pPr>
      <w:r>
        <w:rPr>
          <w:spacing w:val="-1"/>
        </w:rPr>
        <w:t>根据公司《董事、监事及高级管理人员薪酬管理制度》，公司董事、监事的薪酬由董事会薪酬与考核</w:t>
      </w:r>
      <w:r>
        <w:rPr/>
        <w:t> 委员会提出，经董事会审议通过后，提交股东大会审议批准。公司每年度给予每位独立董事津贴人民币</w:t>
      </w:r>
      <w:r>
        <w:rPr>
          <w:spacing w:val="-51"/>
        </w:rPr>
        <w:t> </w:t>
      </w:r>
      <w:r>
        <w:rPr>
          <w:rFonts w:ascii="宋体" w:hAnsi="宋体" w:cs="宋体" w:eastAsia="宋体" w:hint="default"/>
        </w:rPr>
        <w:t>8 </w:t>
      </w:r>
      <w:r>
        <w:rPr>
          <w:spacing w:val="-1"/>
        </w:rPr>
        <w:t>万元（税前）。高级管理人员实行年薪制，其薪酬由基本工资和绩效奖金两部分构成。基本工资结合行业</w:t>
      </w:r>
      <w:r>
        <w:rPr>
          <w:spacing w:val="-82"/>
        </w:rPr>
        <w:t> </w:t>
      </w:r>
      <w:r>
        <w:rPr>
          <w:spacing w:val="-82"/>
        </w:rPr>
      </w:r>
      <w:r>
        <w:rPr>
          <w:spacing w:val="-1"/>
        </w:rPr>
        <w:t>薪酬水平、岗位职责和履职情况，按月支付。绩效奖金是以年度目标绩效奖金为基础，与公司年度经营绩</w:t>
      </w:r>
      <w:r>
        <w:rPr>
          <w:spacing w:val="-86"/>
        </w:rPr>
        <w:t> </w:t>
      </w:r>
      <w:r>
        <w:rPr>
          <w:spacing w:val="-86"/>
        </w:rPr>
      </w:r>
      <w:r>
        <w:rPr/>
        <w:t>效相挂钩，年终根据当年考核结果统算兑付。</w:t>
      </w:r>
    </w:p>
    <w:p>
      <w:pPr>
        <w:pStyle w:val="BodyText"/>
        <w:spacing w:line="357" w:lineRule="auto" w:before="31"/>
        <w:ind w:left="154" w:right="1130" w:firstLine="420"/>
        <w:jc w:val="both"/>
      </w:pPr>
      <w:r>
        <w:rPr>
          <w:rFonts w:ascii="宋体" w:hAnsi="宋体" w:cs="宋体" w:eastAsia="宋体" w:hint="default"/>
        </w:rPr>
        <w:t>2015</w:t>
      </w:r>
      <w:r>
        <w:rPr>
          <w:rFonts w:ascii="宋体" w:hAnsi="宋体" w:cs="宋体" w:eastAsia="宋体" w:hint="default"/>
          <w:spacing w:val="-46"/>
        </w:rPr>
        <w:t> </w:t>
      </w:r>
      <w:r>
        <w:rPr>
          <w:spacing w:val="-2"/>
        </w:rPr>
        <w:t>年度，公司按照《董事、监事及高级管理人员薪酬管理制度》向独立董事发放了津贴，独立董事</w:t>
      </w:r>
      <w:r>
        <w:rPr/>
        <w:t> </w:t>
      </w:r>
      <w:r>
        <w:rPr>
          <w:spacing w:val="-1"/>
        </w:rPr>
        <w:t>包德元未领取独立董事津贴。公司非独立董事、监事未以董事、监事的职务在公司领取薪酬或津贴，按其</w:t>
      </w:r>
      <w:r>
        <w:rPr>
          <w:spacing w:val="-86"/>
        </w:rPr>
        <w:t> </w:t>
      </w:r>
      <w:r>
        <w:rPr>
          <w:spacing w:val="-86"/>
        </w:rPr>
      </w:r>
      <w:r>
        <w:rPr/>
        <w:t>在公司担任的职务领取薪酬。上述发放计划已经公司</w:t>
      </w:r>
      <w:r>
        <w:rPr>
          <w:spacing w:val="-52"/>
        </w:rPr>
        <w:t> </w:t>
      </w:r>
      <w:r>
        <w:rPr>
          <w:rFonts w:ascii="宋体" w:hAnsi="宋体" w:cs="宋体" w:eastAsia="宋体" w:hint="default"/>
        </w:rPr>
        <w:t>2014</w:t>
      </w:r>
      <w:r>
        <w:rPr>
          <w:rFonts w:ascii="宋体" w:hAnsi="宋体" w:cs="宋体" w:eastAsia="宋体" w:hint="default"/>
          <w:spacing w:val="-54"/>
        </w:rPr>
        <w:t> </w:t>
      </w:r>
      <w:r>
        <w:rPr/>
        <w:t>年度股东大会审议通过。</w:t>
      </w:r>
    </w:p>
    <w:p>
      <w:pPr>
        <w:spacing w:before="117"/>
        <w:ind w:left="153" w:right="1017"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韩青树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甘岱松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沈宏明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黄天朗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林步东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包德元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陆启惠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630.24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019" w:top="1100" w:bottom="120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580" w:bottom="760" w:left="980" w:right="0"/>
          <w:cols w:num="2" w:equalWidth="0">
            <w:col w:w="5195" w:space="3724"/>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71"/>
        <w:gridCol w:w="868"/>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21.90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15.76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21.90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15.76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21.90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15.76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黄德强</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21.90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15.76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176,000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8"/>
                <w:sz w:val="18"/>
                <w:szCs w:val="18"/>
              </w:rPr>
              <w:t>书、副总经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21.90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15.76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黄天朗</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21.90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15.76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陆启惠</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21.90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15.76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8"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3,476,000</w:t>
            </w:r>
          </w:p>
        </w:tc>
      </w:tr>
      <w:tr>
        <w:trPr>
          <w:trHeight w:val="1378"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4" w:right="21"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、上述人员期初持有的限制性股票，报告期内已全部解锁。解锁后的股份将按照深圳证券交易</w:t>
            </w:r>
            <w:r>
              <w:rPr>
                <w:rFonts w:ascii="宋体" w:hAnsi="宋体" w:cs="宋体" w:eastAsia="宋体" w:hint="default"/>
                <w:sz w:val="18"/>
                <w:szCs w:val="18"/>
              </w:rPr>
              <w:t> 所的相关要求进行了锁定。</w:t>
            </w:r>
          </w:p>
          <w:p>
            <w:pPr>
              <w:pStyle w:val="TableParagraph"/>
              <w:spacing w:line="302" w:lineRule="auto" w:before="71"/>
              <w:ind w:left="14" w:right="21"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、本期已解锁股份数量与期初持有限制性股票数量存在差异、报告期新授予的限制性股票数量</w:t>
            </w:r>
            <w:r>
              <w:rPr>
                <w:rFonts w:ascii="宋体" w:hAnsi="宋体" w:cs="宋体" w:eastAsia="宋体" w:hint="default"/>
                <w:sz w:val="18"/>
                <w:szCs w:val="18"/>
              </w:rPr>
              <w:t> 与期末持有限制性股票数量存在差异，是由于公司实施了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年度权益分配方案所致。</w:t>
            </w:r>
          </w:p>
        </w:tc>
      </w:tr>
    </w:tbl>
    <w:p>
      <w:pPr>
        <w:spacing w:line="240" w:lineRule="auto" w:before="2"/>
        <w:rPr>
          <w:rFonts w:ascii="宋体" w:hAnsi="宋体" w:cs="宋体" w:eastAsia="宋体" w:hint="default"/>
          <w:sz w:val="18"/>
          <w:szCs w:val="18"/>
        </w:rPr>
      </w:pPr>
    </w:p>
    <w:p>
      <w:pPr>
        <w:pStyle w:val="Heading2"/>
        <w:spacing w:line="240" w:lineRule="auto" w:before="26"/>
        <w:ind w:left="154" w:right="1017"/>
        <w:jc w:val="left"/>
        <w:rPr>
          <w:b w:val="0"/>
          <w:bCs w:val="0"/>
        </w:rPr>
      </w:pPr>
      <w:bookmarkStart w:name="五、公司员工情况" w:id="125"/>
      <w:bookmarkEnd w:id="125"/>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1、员工数量、专业构成及教育程度" w:id="126"/>
      <w:bookmarkEnd w:id="12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2,110</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60" w:left="980" w:right="0"/>
        </w:sectPr>
      </w:pPr>
    </w:p>
    <w:p>
      <w:pPr>
        <w:spacing w:line="240" w:lineRule="auto" w:before="6"/>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研究生</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2,110</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both"/>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left="154" w:right="1017" w:firstLine="421"/>
        <w:jc w:val="left"/>
      </w:pPr>
      <w:r>
        <w:rPr>
          <w:spacing w:val="-1"/>
        </w:rPr>
        <w:t>通过对战略目标、任务的管理，公司设计了具有竞争性的员工薪酬体系，建立了良好的内部级别认证</w:t>
      </w:r>
      <w:r>
        <w:rPr/>
        <w:t> 制度及晋升通道，实施了公平公正的绩效考核机制，不断提升员工对于薪酬的满意度。</w:t>
      </w:r>
    </w:p>
    <w:p>
      <w:pPr>
        <w:pStyle w:val="BodyText"/>
        <w:spacing w:line="570" w:lineRule="atLeast" w:before="71"/>
        <w:ind w:left="490" w:right="1176" w:hanging="336"/>
        <w:jc w:val="left"/>
      </w:pPr>
      <w:bookmarkStart w:name="3、培训计划" w:id="128"/>
      <w:bookmarkEnd w:id="128"/>
      <w:r>
        <w:rPr/>
      </w:r>
      <w:r>
        <w:rPr>
          <w:rFonts w:ascii="Times New Roman" w:hAnsi="Times New Roman" w:cs="Times New Roman" w:eastAsia="Times New Roman" w:hint="default"/>
          <w:b/>
          <w:bCs/>
        </w:rPr>
        <w:t>3</w:t>
      </w:r>
      <w:r>
        <w:rPr>
          <w:rFonts w:ascii="宋体" w:hAnsi="宋体" w:cs="宋体" w:eastAsia="宋体" w:hint="default"/>
          <w:b/>
          <w:bCs/>
        </w:rPr>
        <w:t>、培训计划</w:t>
      </w:r>
      <w:r>
        <w:rPr>
          <w:rFonts w:ascii="宋体" w:hAnsi="宋体" w:cs="宋体" w:eastAsia="宋体" w:hint="default"/>
          <w:b/>
          <w:bCs/>
          <w:w w:val="99"/>
        </w:rPr>
        <w:t> </w:t>
      </w:r>
      <w:r>
        <w:rPr/>
        <w:t>公司自上而下构建了完善的培训体系，培训内容涵盖了新员工培训、专项技术、管理技能、经验交流</w:t>
      </w:r>
    </w:p>
    <w:p>
      <w:pPr>
        <w:pStyle w:val="BodyText"/>
        <w:spacing w:line="357" w:lineRule="auto" w:before="134"/>
        <w:ind w:right="1130"/>
        <w:jc w:val="both"/>
      </w:pPr>
      <w:r>
        <w:rPr>
          <w:spacing w:val="-1"/>
        </w:rPr>
        <w:t>等多方面的内容，积极寻求各种有效的培训资源（如高校、政府、社会培训学校及内部优秀师资挖掘与培</w:t>
      </w:r>
      <w:r>
        <w:rPr>
          <w:spacing w:val="-86"/>
        </w:rPr>
        <w:t> </w:t>
      </w:r>
      <w:r>
        <w:rPr>
          <w:spacing w:val="-86"/>
        </w:rPr>
      </w:r>
      <w:r>
        <w:rPr>
          <w:spacing w:val="-1"/>
        </w:rPr>
        <w:t>养等），同时组织员工参加各类职业资格考试，提升员工的工作技术水平，将“分享”的理念贯穿于整个</w:t>
      </w:r>
      <w:r>
        <w:rPr>
          <w:spacing w:val="-82"/>
        </w:rPr>
        <w:t> </w:t>
      </w:r>
      <w:r>
        <w:rPr>
          <w:spacing w:val="-82"/>
        </w:rPr>
      </w:r>
      <w:r>
        <w:rPr/>
        <w:t>培训体系。</w:t>
      </w:r>
    </w:p>
    <w:p>
      <w:pPr>
        <w:spacing w:line="240" w:lineRule="auto" w:before="10"/>
        <w:rPr>
          <w:rFonts w:ascii="宋体" w:hAnsi="宋体" w:cs="宋体" w:eastAsia="宋体" w:hint="default"/>
          <w:sz w:val="26"/>
          <w:szCs w:val="26"/>
        </w:rPr>
      </w:pPr>
    </w:p>
    <w:p>
      <w:pPr>
        <w:pStyle w:val="Heading3"/>
        <w:spacing w:line="240" w:lineRule="auto"/>
        <w:ind w:left="153" w:right="0"/>
        <w:jc w:val="both"/>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7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12"/>
        <w:jc w:val="center"/>
        <w:rPr>
          <w:b w:val="0"/>
          <w:bCs w:val="0"/>
        </w:rPr>
      </w:pPr>
      <w:bookmarkStart w:name="第九节 公司治理" w:id="130"/>
      <w:bookmarkEnd w:id="130"/>
      <w:r>
        <w:rPr>
          <w:b w:val="0"/>
          <w:bCs w:val="0"/>
        </w:rPr>
      </w:r>
      <w:bookmarkStart w:name="_bookmark8" w:id="131"/>
      <w:bookmarkEnd w:id="131"/>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17"/>
        <w:jc w:val="left"/>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right="1131" w:firstLine="421"/>
        <w:jc w:val="both"/>
      </w:pPr>
      <w:r>
        <w:rPr>
          <w:spacing w:val="-1"/>
        </w:rPr>
        <w:t>报告期内，公司严格按照《公司法》、《证券法》、《深圳证券交易所股票上市规则》、《深圳证券</w:t>
      </w:r>
      <w:r>
        <w:rPr/>
        <w:t> </w:t>
      </w:r>
      <w:r>
        <w:rPr>
          <w:spacing w:val="-1"/>
        </w:rPr>
        <w:t>交易所中小企业板上市公司规范运作指引》和其他相关法律、法规的有关规定，不断完善公司法人治理结</w:t>
      </w:r>
      <w:r>
        <w:rPr>
          <w:spacing w:val="-83"/>
        </w:rPr>
        <w:t> </w:t>
      </w:r>
      <w:r>
        <w:rPr>
          <w:spacing w:val="-83"/>
        </w:rPr>
      </w:r>
      <w:r>
        <w:rPr>
          <w:spacing w:val="-1"/>
        </w:rPr>
        <w:t>构，健全内部控制体系，规范公司运作，保证公司高效运转。截至报告期末，公司治理的实际状况基本符</w:t>
      </w:r>
      <w:r>
        <w:rPr>
          <w:spacing w:val="-83"/>
        </w:rPr>
        <w:t> </w:t>
      </w:r>
      <w:r>
        <w:rPr>
          <w:spacing w:val="-83"/>
        </w:rPr>
      </w:r>
      <w:r>
        <w:rPr/>
        <w:t>合中国证监会发布的有关上市公司治理的规范性文件要求。</w:t>
      </w:r>
    </w:p>
    <w:p>
      <w:pPr>
        <w:pStyle w:val="BodyText"/>
        <w:spacing w:line="357" w:lineRule="auto"/>
        <w:ind w:left="154" w:right="1092" w:firstLine="420"/>
        <w:jc w:val="left"/>
      </w:pPr>
      <w:r>
        <w:rPr>
          <w:rFonts w:ascii="宋体" w:hAnsi="宋体" w:cs="宋体" w:eastAsia="宋体" w:hint="default"/>
        </w:rPr>
        <w:t>1</w:t>
      </w:r>
      <w:r>
        <w:rPr/>
        <w:t>、股东与股东大会 </w:t>
      </w:r>
      <w:r>
        <w:rPr>
          <w:spacing w:val="-1"/>
        </w:rPr>
        <w:t>公司严格按照《公司法》、《上市公司股东大会规则》、《公司章程》、《股东大会议事规则》等法律法</w:t>
      </w:r>
      <w:r>
        <w:rPr>
          <w:spacing w:val="-85"/>
        </w:rPr>
        <w:t> </w:t>
      </w:r>
      <w:r>
        <w:rPr>
          <w:spacing w:val="-85"/>
        </w:rPr>
      </w:r>
      <w:r>
        <w:rPr/>
        <w:t>则的要求，规范股东大会的召集、召开、表决程序，并聘请律师进行见证。股东大会会议记录保存完整， 提案审议程序符合规定。公司治理结构确保所有股东，特别是中小股东享有平等的权利。</w:t>
      </w:r>
    </w:p>
    <w:p>
      <w:pPr>
        <w:pStyle w:val="BodyText"/>
        <w:spacing w:line="357" w:lineRule="auto" w:before="31"/>
        <w:ind w:left="154" w:right="1023" w:firstLine="420"/>
        <w:jc w:val="left"/>
      </w:pPr>
      <w:r>
        <w:rPr>
          <w:rFonts w:ascii="宋体" w:hAnsi="宋体" w:cs="宋体" w:eastAsia="宋体" w:hint="default"/>
        </w:rPr>
        <w:t>2</w:t>
      </w:r>
      <w:r>
        <w:rPr/>
        <w:t>、控股股东与上市公司 公司严格根据《上市公司治理准则》、《深圳证券交易所股票上市规则》、《公司章程》等制度规范股东 行为，控股股东通过股东大会行使股东权利，不存在违规占用上市公司资产侵害公司权益的情形，未发生 </w:t>
      </w:r>
      <w:r>
        <w:rPr>
          <w:spacing w:val="-3"/>
        </w:rPr>
        <w:t>超越股东大会及董事会而直接干预公司经营与决策的行为。公司具有独立的业务和经营自主能力，在业务、</w:t>
      </w:r>
      <w:r>
        <w:rPr>
          <w:spacing w:val="-92"/>
        </w:rPr>
        <w:t> </w:t>
      </w:r>
      <w:r>
        <w:rPr>
          <w:spacing w:val="-92"/>
        </w:rPr>
      </w:r>
      <w:r>
        <w:rPr/>
        <w:t>资产、人员、机构、财务等方面均独立于控股股东。控股股东亦严格遵守相关承诺。</w:t>
      </w:r>
    </w:p>
    <w:p>
      <w:pPr>
        <w:pStyle w:val="BodyText"/>
        <w:spacing w:line="240" w:lineRule="auto" w:before="31"/>
        <w:ind w:left="574" w:right="1017"/>
        <w:jc w:val="left"/>
      </w:pPr>
      <w:r>
        <w:rPr>
          <w:rFonts w:ascii="宋体" w:hAnsi="宋体" w:cs="宋体" w:eastAsia="宋体" w:hint="default"/>
        </w:rPr>
        <w:t>3</w:t>
      </w:r>
      <w:r>
        <w:rPr/>
        <w:t>、董事与董事会</w:t>
      </w:r>
    </w:p>
    <w:p>
      <w:pPr>
        <w:pStyle w:val="BodyText"/>
        <w:spacing w:line="357" w:lineRule="auto" w:before="133"/>
        <w:ind w:left="154" w:right="1023" w:firstLine="421"/>
        <w:jc w:val="left"/>
      </w:pPr>
      <w:r>
        <w:rPr/>
        <w:t>公司董事会由</w:t>
      </w:r>
      <w:r>
        <w:rPr>
          <w:spacing w:val="-58"/>
        </w:rPr>
        <w:t> </w:t>
      </w:r>
      <w:r>
        <w:rPr>
          <w:rFonts w:ascii="宋体" w:hAnsi="宋体" w:cs="宋体" w:eastAsia="宋体" w:hint="default"/>
        </w:rPr>
        <w:t>9</w:t>
      </w:r>
      <w:r>
        <w:rPr>
          <w:rFonts w:ascii="宋体" w:hAnsi="宋体" w:cs="宋体" w:eastAsia="宋体" w:hint="default"/>
          <w:spacing w:val="-58"/>
        </w:rPr>
        <w:t> </w:t>
      </w:r>
      <w:r>
        <w:rPr/>
        <w:t>名董事组成，其中独立董事</w:t>
      </w:r>
      <w:r>
        <w:rPr>
          <w:spacing w:val="-58"/>
        </w:rPr>
        <w:t> </w:t>
      </w:r>
      <w:r>
        <w:rPr>
          <w:rFonts w:ascii="宋体" w:hAnsi="宋体" w:cs="宋体" w:eastAsia="宋体" w:hint="default"/>
        </w:rPr>
        <w:t>3</w:t>
      </w:r>
      <w:r>
        <w:rPr>
          <w:rFonts w:ascii="宋体" w:hAnsi="宋体" w:cs="宋体" w:eastAsia="宋体" w:hint="default"/>
          <w:spacing w:val="-58"/>
        </w:rPr>
        <w:t> </w:t>
      </w:r>
      <w:r>
        <w:rPr/>
        <w:t>名，董事会的人数、构成及选聘程序均符合法律、法规 和《公司章程》的规定。公司全体董事均能够按照相关法律、法规及《公司章程》的规定召开会议，依法 </w:t>
      </w:r>
      <w:r>
        <w:rPr>
          <w:spacing w:val="-3"/>
        </w:rPr>
        <w:t>履行职责。董事会下设战略发展委员会、审计委员会、薪酬与考核委员会、提名委员会等四个专门委员会。</w:t>
      </w:r>
      <w:r>
        <w:rPr>
          <w:spacing w:val="-96"/>
        </w:rPr>
        <w:t> </w:t>
      </w:r>
      <w:r>
        <w:rPr>
          <w:spacing w:val="-96"/>
        </w:rPr>
      </w:r>
      <w:r>
        <w:rPr/>
        <w:t>股东大会对董事会的授权权限合理合法，独立董事能够不受影响的独立履行职责。</w:t>
      </w:r>
    </w:p>
    <w:p>
      <w:pPr>
        <w:pStyle w:val="BodyText"/>
        <w:spacing w:line="240" w:lineRule="auto"/>
        <w:ind w:left="574" w:right="1017"/>
        <w:jc w:val="left"/>
      </w:pPr>
      <w:r>
        <w:rPr>
          <w:rFonts w:ascii="宋体" w:hAnsi="宋体" w:cs="宋体" w:eastAsia="宋体" w:hint="default"/>
        </w:rPr>
        <w:t>4</w:t>
      </w:r>
      <w:r>
        <w:rPr/>
        <w:t>、监事与监事会</w:t>
      </w:r>
    </w:p>
    <w:p>
      <w:pPr>
        <w:pStyle w:val="BodyText"/>
        <w:spacing w:line="357" w:lineRule="auto" w:before="133"/>
        <w:ind w:left="154" w:right="1109" w:firstLine="421"/>
        <w:jc w:val="both"/>
      </w:pPr>
      <w:r>
        <w:rPr/>
        <w:t>公司监事会由</w:t>
      </w:r>
      <w:r>
        <w:rPr>
          <w:spacing w:val="-54"/>
        </w:rPr>
        <w:t> </w:t>
      </w:r>
      <w:r>
        <w:rPr>
          <w:rFonts w:ascii="宋体" w:hAnsi="宋体" w:cs="宋体" w:eastAsia="宋体" w:hint="default"/>
        </w:rPr>
        <w:t>3</w:t>
      </w:r>
      <w:r>
        <w:rPr>
          <w:rFonts w:ascii="宋体" w:hAnsi="宋体" w:cs="宋体" w:eastAsia="宋体" w:hint="default"/>
          <w:spacing w:val="-54"/>
        </w:rPr>
        <w:t> </w:t>
      </w:r>
      <w:r>
        <w:rPr/>
        <w:t>名监事组成，其中职工代表监事</w:t>
      </w:r>
      <w:r>
        <w:rPr>
          <w:spacing w:val="-54"/>
        </w:rPr>
        <w:t> </w:t>
      </w:r>
      <w:r>
        <w:rPr>
          <w:rFonts w:ascii="宋体" w:hAnsi="宋体" w:cs="宋体" w:eastAsia="宋体" w:hint="default"/>
        </w:rPr>
        <w:t>2</w:t>
      </w:r>
      <w:r>
        <w:rPr>
          <w:rFonts w:ascii="宋体" w:hAnsi="宋体" w:cs="宋体" w:eastAsia="宋体" w:hint="default"/>
          <w:spacing w:val="-54"/>
        </w:rPr>
        <w:t> </w:t>
      </w:r>
      <w:r>
        <w:rPr/>
        <w:t>名。监事会的人数、构成及选聘程序均符合法律、 法规和《公司章程》的规定。公司全体监事均能够按照相关法律、法规及《公司章程》的规定召开会议， </w:t>
      </w:r>
      <w:r>
        <w:rPr>
          <w:spacing w:val="-1"/>
        </w:rPr>
        <w:t>依法履行职责，出席股东大会、列席现场董事会。按规定的程序对公司重大事项、财务状况、董事和高级</w:t>
      </w:r>
      <w:r>
        <w:rPr>
          <w:spacing w:val="-83"/>
        </w:rPr>
        <w:t> </w:t>
      </w:r>
      <w:r>
        <w:rPr>
          <w:spacing w:val="-83"/>
        </w:rPr>
      </w:r>
      <w:r>
        <w:rPr/>
        <w:t>管理人员履行职责的情况等事项进行了有效的监督，维护了公司及股东的合法权益。</w:t>
      </w:r>
    </w:p>
    <w:p>
      <w:pPr>
        <w:pStyle w:val="BodyText"/>
        <w:spacing w:line="357" w:lineRule="auto"/>
        <w:ind w:left="575" w:right="1017" w:hanging="2"/>
        <w:jc w:val="left"/>
      </w:pPr>
      <w:r>
        <w:rPr>
          <w:rFonts w:ascii="宋体" w:hAnsi="宋体" w:cs="宋体" w:eastAsia="宋体" w:hint="default"/>
        </w:rPr>
        <w:t>5</w:t>
      </w:r>
      <w:r>
        <w:rPr/>
        <w:t>、关于相关利益者 </w:t>
      </w:r>
      <w:r>
        <w:rPr>
          <w:spacing w:val="-1"/>
        </w:rPr>
        <w:t>公司能够充分尊重和维护客户、股东、员工等相关利益者的合法权益，积极与相关利益者合作，加强</w:t>
      </w:r>
    </w:p>
    <w:p>
      <w:pPr>
        <w:pStyle w:val="BodyText"/>
        <w:spacing w:line="357" w:lineRule="auto"/>
        <w:ind w:left="574" w:right="1017" w:hanging="420"/>
        <w:jc w:val="left"/>
      </w:pPr>
      <w:r>
        <w:rPr/>
        <w:t>与各方的沟通和交流，实现股东、员工、社会等各方利益的均衡，以推动公司持续、稳定、健康地发展。 </w:t>
      </w:r>
      <w:r>
        <w:rPr>
          <w:rFonts w:ascii="宋体" w:hAnsi="宋体" w:cs="宋体" w:eastAsia="宋体" w:hint="default"/>
        </w:rPr>
        <w:t>6</w:t>
      </w:r>
      <w:r>
        <w:rPr/>
        <w:t>、公司信息披露与透明度情况 </w:t>
      </w:r>
      <w:r>
        <w:rPr>
          <w:spacing w:val="-3"/>
        </w:rPr>
        <w:t>公司已建立《信息披露管理制度》及《重大信息内部报告制度》，公司重大事件的报告、传递、审核、</w:t>
      </w:r>
    </w:p>
    <w:p>
      <w:pPr>
        <w:pStyle w:val="BodyText"/>
        <w:spacing w:line="240" w:lineRule="auto"/>
        <w:ind w:left="154" w:right="1017"/>
        <w:jc w:val="left"/>
      </w:pPr>
      <w:r>
        <w:rPr/>
        <w:t>披露程序均根据《公司章程》、各项议事规则及上述制度的相关规定执行。公司所有信息披露均严格的审</w:t>
      </w:r>
    </w:p>
    <w:p>
      <w:pPr>
        <w:spacing w:after="0" w:line="240" w:lineRule="auto"/>
        <w:jc w:val="left"/>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5" w:lineRule="auto" w:before="35"/>
        <w:ind w:right="1017"/>
        <w:jc w:val="left"/>
      </w:pPr>
      <w:r>
        <w:rPr>
          <w:spacing w:val="-1"/>
        </w:rPr>
        <w:t>批程序，在中国证监会指定信息披露媒体上真实、准确、完整、及时地披露，确保所有投资者公平获取公</w:t>
      </w:r>
      <w:r>
        <w:rPr>
          <w:spacing w:val="-83"/>
        </w:rPr>
        <w:t> </w:t>
      </w:r>
      <w:r>
        <w:rPr>
          <w:spacing w:val="-83"/>
        </w:rPr>
      </w:r>
      <w:r>
        <w:rPr/>
        <w:t>司信息。</w:t>
      </w:r>
    </w:p>
    <w:p>
      <w:pPr>
        <w:pStyle w:val="BodyText"/>
        <w:spacing w:line="240" w:lineRule="auto" w:before="33"/>
        <w:ind w:left="574" w:right="1017"/>
        <w:jc w:val="left"/>
      </w:pPr>
      <w:r>
        <w:rPr>
          <w:rFonts w:ascii="宋体" w:hAnsi="宋体" w:cs="宋体" w:eastAsia="宋体" w:hint="default"/>
        </w:rPr>
        <w:t>7</w:t>
      </w:r>
      <w:r>
        <w:rPr/>
        <w:t>、公司与投资者</w:t>
      </w:r>
    </w:p>
    <w:p>
      <w:pPr>
        <w:pStyle w:val="BodyText"/>
        <w:spacing w:line="357" w:lineRule="auto" w:before="133"/>
        <w:ind w:left="154" w:right="1131" w:firstLine="421"/>
        <w:jc w:val="both"/>
      </w:pPr>
      <w:r>
        <w:rPr/>
        <w:t>公司指定董事会秘书为投资者关系工作的第一负责人，并将每月的</w:t>
      </w:r>
      <w:r>
        <w:rPr>
          <w:spacing w:val="-66"/>
        </w:rPr>
        <w:t> </w:t>
      </w:r>
      <w:r>
        <w:rPr>
          <w:rFonts w:ascii="宋体" w:hAnsi="宋体" w:cs="宋体" w:eastAsia="宋体" w:hint="default"/>
        </w:rPr>
        <w:t>8</w:t>
      </w:r>
      <w:r>
        <w:rPr>
          <w:rFonts w:ascii="宋体" w:hAnsi="宋体" w:cs="宋体" w:eastAsia="宋体" w:hint="default"/>
          <w:spacing w:val="-66"/>
        </w:rPr>
        <w:t> </w:t>
      </w:r>
      <w:r>
        <w:rPr/>
        <w:t>日作为“投资者接待日”，充分 </w:t>
      </w:r>
      <w:r>
        <w:rPr>
          <w:spacing w:val="-1"/>
        </w:rPr>
        <w:t>与投资者进行交流。证券部负责投资者关系管理工作的日常事务，通过电话、实地及公司网站等多种渠道</w:t>
      </w:r>
      <w:r>
        <w:rPr>
          <w:spacing w:val="-83"/>
        </w:rPr>
        <w:t> </w:t>
      </w:r>
      <w:r>
        <w:rPr>
          <w:spacing w:val="-83"/>
        </w:rPr>
      </w:r>
      <w:r>
        <w:rPr/>
        <w:t>保持与投资者的顺利沟通。</w:t>
      </w:r>
    </w:p>
    <w:p>
      <w:pPr>
        <w:spacing w:before="117"/>
        <w:ind w:left="154" w:right="1017"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6"/>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right="1017"/>
        <w:jc w:val="left"/>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2"/>
        <w:rPr>
          <w:rFonts w:ascii="宋体" w:hAnsi="宋体" w:cs="宋体" w:eastAsia="宋体" w:hint="default"/>
          <w:b/>
          <w:bCs/>
          <w:sz w:val="23"/>
          <w:szCs w:val="23"/>
        </w:rPr>
      </w:pPr>
    </w:p>
    <w:p>
      <w:pPr>
        <w:pStyle w:val="BodyText"/>
        <w:spacing w:line="355" w:lineRule="auto" w:before="0"/>
        <w:ind w:right="1131" w:firstLine="421"/>
        <w:jc w:val="both"/>
      </w:pPr>
      <w:r>
        <w:rPr>
          <w:spacing w:val="-1"/>
        </w:rPr>
        <w:t>公司严格按照《公司法》、《证券法》等有关法律、法规和《公司章程》的要求规范运作，与控股股</w:t>
      </w:r>
      <w:r>
        <w:rPr/>
        <w:t> 东在业务、人员、资产、机构、财务等方面完全分开，具有独立完整的业务及自主经营能力。</w:t>
      </w:r>
    </w:p>
    <w:p>
      <w:pPr>
        <w:pStyle w:val="BodyText"/>
        <w:spacing w:line="355" w:lineRule="auto" w:before="33"/>
        <w:ind w:left="154" w:right="1215" w:firstLine="420"/>
        <w:jc w:val="both"/>
      </w:pPr>
      <w:r>
        <w:rPr>
          <w:rFonts w:ascii="宋体" w:hAnsi="宋体" w:cs="宋体" w:eastAsia="宋体" w:hint="default"/>
        </w:rPr>
        <w:t>1</w:t>
      </w:r>
      <w:r>
        <w:rPr/>
        <w:t>、业务方面：公司业务结构完整，自主独立经营，与控股股东之间无同业竞争，控股股东未曾利用 控股股东地位干涉公司决策和生产经营活动；</w:t>
      </w:r>
    </w:p>
    <w:p>
      <w:pPr>
        <w:pStyle w:val="BodyText"/>
        <w:spacing w:line="357" w:lineRule="auto" w:before="32"/>
        <w:ind w:left="154" w:right="1215" w:firstLine="420"/>
        <w:jc w:val="both"/>
      </w:pPr>
      <w:r>
        <w:rPr>
          <w:rFonts w:ascii="宋体" w:hAnsi="宋体" w:cs="宋体" w:eastAsia="宋体" w:hint="default"/>
        </w:rPr>
        <w:t>2</w:t>
      </w:r>
      <w:r>
        <w:rPr/>
        <w:t>、人员方面：公司在劳动、人事及工资管理等各方面均独立于控股股东。高级管理人员均在公司领 取报酬，未在控股股东或股东关联单位担任除董事以外的任何职务；</w:t>
      </w:r>
    </w:p>
    <w:p>
      <w:pPr>
        <w:pStyle w:val="BodyText"/>
        <w:spacing w:line="357" w:lineRule="auto"/>
        <w:ind w:left="154" w:right="1215" w:firstLine="420"/>
        <w:jc w:val="both"/>
      </w:pPr>
      <w:r>
        <w:rPr>
          <w:rFonts w:ascii="宋体" w:hAnsi="宋体" w:cs="宋体" w:eastAsia="宋体" w:hint="default"/>
        </w:rPr>
        <w:t>3</w:t>
      </w:r>
      <w:r>
        <w:rPr/>
        <w:t>、资产方面：公司生产经营场所及土地使用权情况、商标注册及使用情况独立，各发起人投入股份 公司的资产权属明确；</w:t>
      </w:r>
    </w:p>
    <w:p>
      <w:pPr>
        <w:pStyle w:val="BodyText"/>
        <w:spacing w:line="357" w:lineRule="auto"/>
        <w:ind w:left="154" w:right="1214" w:firstLine="420"/>
        <w:jc w:val="both"/>
      </w:pPr>
      <w:r>
        <w:rPr>
          <w:rFonts w:ascii="宋体" w:hAnsi="宋体" w:cs="宋体" w:eastAsia="宋体" w:hint="default"/>
        </w:rPr>
        <w:t>4</w:t>
      </w:r>
      <w:r>
        <w:rPr/>
        <w:t>、机构方面：公司组织体系健全，董事会、监事会、管理层及部门运作独立，不存在与控股股东之 间的从属关系；</w:t>
      </w:r>
    </w:p>
    <w:p>
      <w:pPr>
        <w:pStyle w:val="BodyText"/>
        <w:spacing w:line="355" w:lineRule="auto"/>
        <w:ind w:left="154" w:right="1215" w:firstLine="420"/>
        <w:jc w:val="both"/>
      </w:pPr>
      <w:r>
        <w:rPr>
          <w:rFonts w:ascii="宋体" w:hAnsi="宋体" w:cs="宋体" w:eastAsia="宋体" w:hint="default"/>
        </w:rPr>
        <w:t>5</w:t>
      </w:r>
      <w:r>
        <w:rPr/>
        <w:t>、财务方面：设有独立的财务部门，并建立了独立的会计核算体系和财务管理制度，独立在银行开 户、并依法独立纳税。</w:t>
      </w:r>
    </w:p>
    <w:p>
      <w:pPr>
        <w:spacing w:line="240" w:lineRule="auto" w:before="4"/>
        <w:rPr>
          <w:rFonts w:ascii="宋体" w:hAnsi="宋体" w:cs="宋体" w:eastAsia="宋体" w:hint="default"/>
          <w:sz w:val="25"/>
          <w:szCs w:val="25"/>
        </w:rPr>
      </w:pPr>
    </w:p>
    <w:p>
      <w:pPr>
        <w:pStyle w:val="Heading2"/>
        <w:spacing w:line="240" w:lineRule="auto"/>
        <w:ind w:left="154" w:right="1017"/>
        <w:jc w:val="left"/>
        <w:rPr>
          <w:b w:val="0"/>
          <w:bCs w:val="0"/>
        </w:rPr>
      </w:pPr>
      <w:bookmarkStart w:name="三、同业竞争情况" w:id="134"/>
      <w:bookmarkEnd w:id="134"/>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017"/>
        <w:jc w:val="left"/>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017"/>
        <w:jc w:val="left"/>
        <w:rPr>
          <w:b w:val="0"/>
          <w:bCs w:val="0"/>
        </w:rPr>
      </w:pPr>
      <w:bookmarkStart w:name="1、本报告期股东大会情况" w:id="136"/>
      <w:bookmarkEnd w:id="13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1134"/>
        <w:gridCol w:w="1616"/>
        <w:gridCol w:w="1582"/>
        <w:gridCol w:w="2399"/>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81" w:right="111" w:hanging="270"/>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635" w:right="0"/>
              <w:jc w:val="left"/>
              <w:rPr>
                <w:rFonts w:ascii="Times New Roman" w:hAnsi="Times New Roman" w:cs="Times New Roman" w:eastAsia="Times New Roman" w:hint="default"/>
                <w:sz w:val="18"/>
                <w:szCs w:val="18"/>
              </w:rPr>
            </w:pPr>
            <w:r>
              <w:rPr>
                <w:rFonts w:ascii="Times New Roman"/>
                <w:sz w:val="18"/>
              </w:rPr>
              <w:t>0.01%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4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 </w:t>
            </w:r>
            <w:r>
              <w:rPr>
                <w:rFonts w:ascii="宋体" w:hAnsi="宋体" w:cs="宋体" w:eastAsia="宋体" w:hint="default"/>
                <w:spacing w:val="-8"/>
                <w:sz w:val="18"/>
                <w:szCs w:val="18"/>
              </w:rPr>
              <w:t>会决议公告》（公告编号：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7"/>
                <w:sz w:val="18"/>
                <w:szCs w:val="18"/>
              </w:rPr>
              <w:t>2015-001</w:t>
            </w:r>
            <w:r>
              <w:rPr>
                <w:rFonts w:ascii="宋体" w:hAnsi="宋体" w:cs="宋体" w:eastAsia="宋体" w:hint="default"/>
                <w:spacing w:val="-7"/>
                <w:sz w:val="18"/>
                <w:szCs w:val="18"/>
              </w:rPr>
              <w:t>），刊登于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bl>
    <w:p>
      <w:pPr>
        <w:spacing w:after="0" w:line="309" w:lineRule="auto"/>
        <w:jc w:val="lef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1134"/>
        <w:gridCol w:w="1616"/>
        <w:gridCol w:w="1582"/>
        <w:gridCol w:w="2399"/>
      </w:tblGrid>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日《证券时报》、《中国证</w:t>
            </w:r>
            <w:r>
              <w:rPr>
                <w:rFonts w:ascii="宋体" w:hAnsi="宋体" w:cs="宋体" w:eastAsia="宋体" w:hint="default"/>
                <w:sz w:val="18"/>
                <w:szCs w:val="18"/>
              </w:rPr>
              <w:t> 券报》及巨潮资讯网。</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 </w:t>
            </w:r>
            <w:r>
              <w:rPr>
                <w:rFonts w:ascii="宋体" w:hAnsi="宋体" w:cs="宋体" w:eastAsia="宋体" w:hint="default"/>
                <w:spacing w:val="-8"/>
                <w:sz w:val="18"/>
                <w:szCs w:val="18"/>
              </w:rPr>
              <w:t>会决议公告》（公告编号：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7"/>
                <w:sz w:val="18"/>
                <w:szCs w:val="18"/>
              </w:rPr>
              <w:t>2015-021</w:t>
            </w:r>
            <w:r>
              <w:rPr>
                <w:rFonts w:ascii="宋体" w:hAnsi="宋体" w:cs="宋体" w:eastAsia="宋体" w:hint="default"/>
                <w:spacing w:val="-7"/>
                <w:sz w:val="18"/>
                <w:szCs w:val="18"/>
              </w:rPr>
              <w:t>），刊登于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23"/>
                <w:sz w:val="18"/>
                <w:szCs w:val="18"/>
              </w:rPr>
              <w:t>日《证券时报》、《中国证</w:t>
            </w:r>
            <w:r>
              <w:rPr>
                <w:rFonts w:ascii="宋体" w:hAnsi="宋体" w:cs="宋体" w:eastAsia="宋体" w:hint="default"/>
                <w:sz w:val="18"/>
                <w:szCs w:val="18"/>
              </w:rPr>
              <w:t> 券报》及巨潮资讯网。</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年度股东大会决议公 </w:t>
            </w:r>
            <w:r>
              <w:rPr>
                <w:rFonts w:ascii="宋体" w:hAnsi="宋体" w:cs="宋体" w:eastAsia="宋体" w:hint="default"/>
                <w:spacing w:val="-15"/>
                <w:sz w:val="18"/>
                <w:szCs w:val="18"/>
              </w:rPr>
              <w:t>告》（公告编号：</w:t>
            </w:r>
            <w:r>
              <w:rPr>
                <w:rFonts w:ascii="Times New Roman" w:hAnsi="Times New Roman" w:cs="Times New Roman" w:eastAsia="Times New Roman" w:hint="default"/>
                <w:spacing w:val="-15"/>
                <w:sz w:val="18"/>
                <w:szCs w:val="18"/>
              </w:rPr>
              <w:t>2015-046</w:t>
            </w:r>
            <w:r>
              <w:rPr>
                <w:rFonts w:ascii="宋体" w:hAnsi="宋体" w:cs="宋体" w:eastAsia="宋体" w:hint="default"/>
                <w:spacing w:val="-15"/>
                <w:sz w:val="18"/>
                <w:szCs w:val="18"/>
              </w:rPr>
              <w:t>），</w:t>
            </w:r>
            <w:r>
              <w:rPr>
                <w:rFonts w:ascii="宋体" w:hAnsi="宋体" w:cs="宋体" w:eastAsia="宋体" w:hint="default"/>
                <w:spacing w:val="-90"/>
                <w:sz w:val="18"/>
                <w:szCs w:val="18"/>
              </w:rPr>
              <w:t> </w:t>
            </w:r>
            <w:r>
              <w:rPr>
                <w:rFonts w:ascii="宋体" w:hAnsi="宋体" w:cs="宋体" w:eastAsia="宋体" w:hint="default"/>
                <w:sz w:val="18"/>
                <w:szCs w:val="18"/>
              </w:rPr>
              <w:t>刊登于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日《证 </w:t>
            </w:r>
            <w:r>
              <w:rPr>
                <w:rFonts w:ascii="宋体" w:hAnsi="宋体" w:cs="宋体" w:eastAsia="宋体" w:hint="default"/>
                <w:spacing w:val="-13"/>
                <w:sz w:val="18"/>
                <w:szCs w:val="18"/>
              </w:rPr>
              <w:t>券时报》、《中国证券报》及巨</w:t>
            </w:r>
            <w:r>
              <w:rPr>
                <w:rFonts w:ascii="宋体" w:hAnsi="宋体" w:cs="宋体" w:eastAsia="宋体" w:hint="default"/>
                <w:sz w:val="18"/>
                <w:szCs w:val="18"/>
              </w:rPr>
              <w:t> 潮资讯网。</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 </w:t>
            </w:r>
            <w:r>
              <w:rPr>
                <w:rFonts w:ascii="宋体" w:hAnsi="宋体" w:cs="宋体" w:eastAsia="宋体" w:hint="default"/>
                <w:spacing w:val="-8"/>
                <w:sz w:val="18"/>
                <w:szCs w:val="18"/>
              </w:rPr>
              <w:t>会决议公告》（公告编号：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7"/>
                <w:sz w:val="18"/>
                <w:szCs w:val="18"/>
              </w:rPr>
              <w:t>2015-067</w:t>
            </w:r>
            <w:r>
              <w:rPr>
                <w:rFonts w:ascii="宋体" w:hAnsi="宋体" w:cs="宋体" w:eastAsia="宋体" w:hint="default"/>
                <w:spacing w:val="-7"/>
                <w:sz w:val="18"/>
                <w:szCs w:val="18"/>
              </w:rPr>
              <w:t>），刊登于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pacing w:val="-23"/>
                <w:sz w:val="18"/>
                <w:szCs w:val="18"/>
              </w:rPr>
              <w:t>日《证券时报》、《中国证</w:t>
            </w:r>
            <w:r>
              <w:rPr>
                <w:rFonts w:ascii="宋体" w:hAnsi="宋体" w:cs="宋体" w:eastAsia="宋体" w:hint="default"/>
                <w:sz w:val="18"/>
                <w:szCs w:val="18"/>
              </w:rPr>
              <w:t> 券报》及巨潮资讯网。</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 </w:t>
            </w:r>
            <w:r>
              <w:rPr>
                <w:rFonts w:ascii="宋体" w:hAnsi="宋体" w:cs="宋体" w:eastAsia="宋体" w:hint="default"/>
                <w:spacing w:val="-8"/>
                <w:sz w:val="18"/>
                <w:szCs w:val="18"/>
              </w:rPr>
              <w:t>会决议公告》（公告编号：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7"/>
                <w:sz w:val="18"/>
                <w:szCs w:val="18"/>
              </w:rPr>
              <w:t>2015-095</w:t>
            </w:r>
            <w:r>
              <w:rPr>
                <w:rFonts w:ascii="宋体" w:hAnsi="宋体" w:cs="宋体" w:eastAsia="宋体" w:hint="default"/>
                <w:spacing w:val="-7"/>
                <w:sz w:val="18"/>
                <w:szCs w:val="18"/>
              </w:rPr>
              <w:t>），刊登于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302" w:lineRule="auto" w:before="5"/>
              <w:ind w:left="22" w:right="2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日《证券时报》、《中国证</w:t>
            </w:r>
            <w:r>
              <w:rPr>
                <w:rFonts w:ascii="宋体" w:hAnsi="宋体" w:cs="宋体" w:eastAsia="宋体" w:hint="default"/>
                <w:sz w:val="18"/>
                <w:szCs w:val="18"/>
              </w:rPr>
              <w:t> 券报》及巨潮资讯网。</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 </w:t>
            </w:r>
            <w:r>
              <w:rPr>
                <w:rFonts w:ascii="宋体" w:hAnsi="宋体" w:cs="宋体" w:eastAsia="宋体" w:hint="default"/>
                <w:spacing w:val="-8"/>
                <w:sz w:val="18"/>
                <w:szCs w:val="18"/>
              </w:rPr>
              <w:t>会决议公告》（公告编号：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8"/>
                <w:sz w:val="18"/>
                <w:szCs w:val="18"/>
              </w:rPr>
              <w:t>2015-122</w:t>
            </w:r>
            <w:r>
              <w:rPr>
                <w:rFonts w:ascii="宋体" w:hAnsi="宋体" w:cs="宋体" w:eastAsia="宋体" w:hint="default"/>
                <w:spacing w:val="-8"/>
                <w:sz w:val="18"/>
                <w:szCs w:val="18"/>
              </w:rPr>
              <w:t>），刊登于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pacing w:val="-23"/>
                <w:sz w:val="18"/>
                <w:szCs w:val="18"/>
              </w:rPr>
              <w:t>日《证券时报》、《中国证</w:t>
            </w:r>
            <w:r>
              <w:rPr>
                <w:rFonts w:ascii="宋体" w:hAnsi="宋体" w:cs="宋体" w:eastAsia="宋体" w:hint="default"/>
                <w:sz w:val="18"/>
                <w:szCs w:val="18"/>
              </w:rPr>
              <w:t> 券报》及巨潮资讯网。</w:t>
            </w:r>
          </w:p>
        </w:tc>
      </w:tr>
    </w:tbl>
    <w:p>
      <w:pPr>
        <w:spacing w:line="240" w:lineRule="auto" w:before="2"/>
        <w:rPr>
          <w:rFonts w:ascii="宋体" w:hAnsi="宋体" w:cs="宋体" w:eastAsia="宋体" w:hint="default"/>
          <w:b/>
          <w:bCs/>
          <w:sz w:val="19"/>
          <w:szCs w:val="19"/>
        </w:rPr>
      </w:pPr>
    </w:p>
    <w:p>
      <w:pPr>
        <w:pStyle w:val="Heading3"/>
        <w:spacing w:line="240" w:lineRule="auto" w:before="35"/>
        <w:ind w:right="1017"/>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017"/>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017"/>
        <w:jc w:val="left"/>
        <w:rPr>
          <w:b w:val="0"/>
          <w:bCs w:val="0"/>
        </w:rPr>
      </w:pPr>
      <w:bookmarkStart w:name="1、独立董事出席董事会及股东大会的情况" w:id="139"/>
      <w:bookmarkEnd w:id="13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赵诚</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包德元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1017"/>
        <w:jc w:val="left"/>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1017"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6"/>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left="153" w:right="1017"/>
        <w:jc w:val="left"/>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297"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357" w:lineRule="auto" w:before="68"/>
        <w:ind w:right="1131" w:firstLine="421"/>
        <w:jc w:val="both"/>
      </w:pPr>
      <w:r>
        <w:rPr>
          <w:spacing w:val="-1"/>
        </w:rPr>
        <w:t>报告期内，公司独立董事能够主动、积极地了解和监督公司经营情况、内部控制情况以及董事会决议</w:t>
      </w:r>
      <w:r>
        <w:rPr/>
        <w:t> </w:t>
      </w:r>
      <w:r>
        <w:rPr>
          <w:spacing w:val="-1"/>
        </w:rPr>
        <w:t>和股东大会决议的执行情况，认真审阅了董事会的全部议案，独立、客观地发表了看法和观点，以维护公</w:t>
      </w:r>
      <w:r>
        <w:rPr>
          <w:spacing w:val="-85"/>
        </w:rPr>
        <w:t> </w:t>
      </w:r>
      <w:r>
        <w:rPr>
          <w:spacing w:val="-85"/>
        </w:rPr>
      </w:r>
      <w:r>
        <w:rPr/>
        <w:t>司整体利益特别是中小投资者权益。</w:t>
      </w:r>
    </w:p>
    <w:p>
      <w:pPr>
        <w:pStyle w:val="BodyText"/>
        <w:spacing w:line="357" w:lineRule="auto"/>
        <w:ind w:left="154" w:right="1215" w:firstLine="420"/>
        <w:jc w:val="both"/>
      </w:pPr>
      <w:r>
        <w:rPr>
          <w:rFonts w:ascii="宋体" w:hAnsi="宋体" w:cs="宋体" w:eastAsia="宋体" w:hint="default"/>
        </w:rPr>
        <w:t>1</w:t>
      </w:r>
      <w:r>
        <w:rPr/>
        <w:t>、在内控审计和年报审计中，独立董事重点关注了审计独立性以及公司支持程度。公司充分重视， 认真配合，</w:t>
      </w:r>
      <w:r>
        <w:rPr>
          <w:rFonts w:ascii="宋体" w:hAnsi="宋体" w:cs="宋体" w:eastAsia="宋体" w:hint="default"/>
        </w:rPr>
        <w:t>2014</w:t>
      </w:r>
      <w:r>
        <w:rPr>
          <w:rFonts w:ascii="宋体" w:hAnsi="宋体" w:cs="宋体" w:eastAsia="宋体" w:hint="default"/>
          <w:spacing w:val="-55"/>
        </w:rPr>
        <w:t> </w:t>
      </w:r>
      <w:r>
        <w:rPr/>
        <w:t>年度会计师已出具标准无保留意见的审计报告，且内控审计多次获得独立董事好评；</w:t>
      </w:r>
    </w:p>
    <w:p>
      <w:pPr>
        <w:pStyle w:val="BodyText"/>
        <w:spacing w:line="357" w:lineRule="auto"/>
        <w:ind w:left="154" w:right="1214" w:firstLine="420"/>
        <w:jc w:val="both"/>
      </w:pPr>
      <w:r>
        <w:rPr>
          <w:rFonts w:ascii="宋体" w:hAnsi="宋体" w:cs="宋体" w:eastAsia="宋体" w:hint="default"/>
        </w:rPr>
        <w:t>2</w:t>
      </w:r>
      <w:r>
        <w:rPr/>
        <w:t>、针对内审过程中发现的问题，独立董事提醒公司继续加强制度建设，规范项目实施过程中的设备 管理和私车公用事宜。公司已完善相应制度，并按照修订后的制度执行；</w:t>
      </w:r>
    </w:p>
    <w:p>
      <w:pPr>
        <w:pStyle w:val="BodyText"/>
        <w:spacing w:line="355" w:lineRule="auto"/>
        <w:ind w:right="1216" w:firstLine="420"/>
        <w:jc w:val="both"/>
      </w:pPr>
      <w:r>
        <w:rPr>
          <w:rFonts w:ascii="宋体" w:hAnsi="宋体" w:cs="宋体" w:eastAsia="宋体" w:hint="default"/>
        </w:rPr>
        <w:t>3</w:t>
      </w:r>
      <w:r>
        <w:rPr/>
        <w:t>、公司实施</w:t>
      </w:r>
      <w:r>
        <w:rPr>
          <w:spacing w:val="-55"/>
        </w:rPr>
        <w:t> </w:t>
      </w:r>
      <w:r>
        <w:rPr>
          <w:rFonts w:ascii="宋体" w:hAnsi="宋体" w:cs="宋体" w:eastAsia="宋体" w:hint="default"/>
        </w:rPr>
        <w:t>BT</w:t>
      </w:r>
      <w:r>
        <w:rPr>
          <w:rFonts w:ascii="宋体" w:hAnsi="宋体" w:cs="宋体" w:eastAsia="宋体" w:hint="default"/>
          <w:spacing w:val="-54"/>
        </w:rPr>
        <w:t> </w:t>
      </w:r>
      <w:r>
        <w:rPr/>
        <w:t>商业模式后，独立董事关注了公司</w:t>
      </w:r>
      <w:r>
        <w:rPr>
          <w:spacing w:val="-54"/>
        </w:rPr>
        <w:t> </w:t>
      </w:r>
      <w:r>
        <w:rPr>
          <w:rFonts w:ascii="宋体" w:hAnsi="宋体" w:cs="宋体" w:eastAsia="宋体" w:hint="default"/>
        </w:rPr>
        <w:t>BT</w:t>
      </w:r>
      <w:r>
        <w:rPr>
          <w:rFonts w:ascii="宋体" w:hAnsi="宋体" w:cs="宋体" w:eastAsia="宋体" w:hint="default"/>
          <w:spacing w:val="-54"/>
        </w:rPr>
        <w:t> </w:t>
      </w:r>
      <w:r>
        <w:rPr/>
        <w:t>项目的回款风险，建议公司充分调研、及时跟 踪回款进度。公司已按照合同约定，收到了相应款项。</w:t>
      </w:r>
    </w:p>
    <w:p>
      <w:pPr>
        <w:spacing w:line="240" w:lineRule="auto" w:before="4"/>
        <w:rPr>
          <w:rFonts w:ascii="宋体" w:hAnsi="宋体" w:cs="宋体" w:eastAsia="宋体" w:hint="default"/>
          <w:sz w:val="25"/>
          <w:szCs w:val="25"/>
        </w:rPr>
      </w:pPr>
    </w:p>
    <w:p>
      <w:pPr>
        <w:pStyle w:val="Heading2"/>
        <w:spacing w:line="240" w:lineRule="auto"/>
        <w:ind w:right="1017"/>
        <w:jc w:val="left"/>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right="1131" w:firstLine="421"/>
        <w:jc w:val="both"/>
      </w:pPr>
      <w:r>
        <w:rPr>
          <w:spacing w:val="-1"/>
        </w:rPr>
        <w:t>报告期内，公司董事会下设的各专门委员会根据《上市公司治理准则》、《公司章程》和公司董事会</w:t>
      </w:r>
      <w:r>
        <w:rPr/>
        <w:t> </w:t>
      </w:r>
      <w:r>
        <w:rPr>
          <w:spacing w:val="-1"/>
        </w:rPr>
        <w:t>各专业委员会工作细则，切实履职，规范了公司治理结构，为公司发展献言建策。各专门委员会具体工作</w:t>
      </w:r>
      <w:r>
        <w:rPr>
          <w:spacing w:val="-86"/>
        </w:rPr>
        <w:t> </w:t>
      </w:r>
      <w:r>
        <w:rPr>
          <w:spacing w:val="-86"/>
        </w:rPr>
      </w:r>
      <w:r>
        <w:rPr/>
        <w:t>如下：</w:t>
      </w:r>
    </w:p>
    <w:p>
      <w:pPr>
        <w:pStyle w:val="BodyText"/>
        <w:spacing w:line="357" w:lineRule="auto"/>
        <w:ind w:left="575" w:right="6341" w:hanging="2"/>
        <w:jc w:val="left"/>
      </w:pPr>
      <w:r>
        <w:rPr>
          <w:rFonts w:ascii="宋体" w:hAnsi="宋体" w:cs="宋体" w:eastAsia="宋体" w:hint="default"/>
        </w:rPr>
        <w:t>1</w:t>
      </w:r>
      <w:r>
        <w:rPr/>
        <w:t>、审计委员会履职情况 主任委员：王礼贵，委员：王晓东、程朋胜</w:t>
      </w:r>
    </w:p>
    <w:p>
      <w:pPr>
        <w:pStyle w:val="BodyText"/>
        <w:spacing w:line="240" w:lineRule="auto"/>
        <w:ind w:left="574" w:right="0"/>
        <w:jc w:val="left"/>
      </w:pPr>
      <w:r>
        <w:rPr>
          <w:rFonts w:ascii="宋体" w:hAnsi="宋体" w:cs="宋体" w:eastAsia="宋体" w:hint="default"/>
        </w:rPr>
        <w:t>2015</w:t>
      </w:r>
      <w:r>
        <w:rPr>
          <w:rFonts w:ascii="宋体" w:hAnsi="宋体" w:cs="宋体" w:eastAsia="宋体" w:hint="default"/>
          <w:spacing w:val="-50"/>
        </w:rPr>
        <w:t> </w:t>
      </w:r>
      <w:r>
        <w:rPr>
          <w:spacing w:val="-6"/>
        </w:rPr>
        <w:t>年度，审计委员会共召开</w:t>
      </w:r>
      <w:r>
        <w:rPr>
          <w:spacing w:val="-52"/>
        </w:rPr>
        <w:t> </w:t>
      </w:r>
      <w:r>
        <w:rPr>
          <w:rFonts w:ascii="宋体" w:hAnsi="宋体" w:cs="宋体" w:eastAsia="宋体" w:hint="default"/>
        </w:rPr>
        <w:t>6</w:t>
      </w:r>
      <w:r>
        <w:rPr>
          <w:rFonts w:ascii="宋体" w:hAnsi="宋体" w:cs="宋体" w:eastAsia="宋体" w:hint="default"/>
          <w:spacing w:val="-52"/>
        </w:rPr>
        <w:t> </w:t>
      </w:r>
      <w:r>
        <w:rPr>
          <w:spacing w:val="-4"/>
        </w:rPr>
        <w:t>次会议，按季度对公司及子公司的内部控制情况、募集资金使用情况、</w:t>
      </w:r>
    </w:p>
    <w:p>
      <w:pPr>
        <w:pStyle w:val="BodyText"/>
        <w:spacing w:line="240" w:lineRule="auto" w:before="133"/>
        <w:ind w:left="154" w:right="1017"/>
        <w:jc w:val="left"/>
      </w:pPr>
      <w:r>
        <w:rPr/>
        <w:t>对外投资、对外担保、关联交易的审批和实施情况进行了审计。同时，在</w:t>
      </w:r>
      <w:r>
        <w:rPr>
          <w:spacing w:val="-53"/>
        </w:rPr>
        <w:t> </w:t>
      </w:r>
      <w:r>
        <w:rPr>
          <w:rFonts w:ascii="宋体" w:hAnsi="宋体" w:cs="宋体" w:eastAsia="宋体" w:hint="default"/>
        </w:rPr>
        <w:t>2014</w:t>
      </w:r>
      <w:r>
        <w:rPr>
          <w:rFonts w:ascii="宋体" w:hAnsi="宋体" w:cs="宋体" w:eastAsia="宋体" w:hint="default"/>
          <w:spacing w:val="-53"/>
        </w:rPr>
        <w:t> </w:t>
      </w:r>
      <w:r>
        <w:rPr/>
        <w:t>年度报告编制过程中，认</w:t>
      </w:r>
    </w:p>
    <w:p>
      <w:pPr>
        <w:pStyle w:val="BodyText"/>
        <w:spacing w:line="355" w:lineRule="auto" w:before="134"/>
        <w:ind w:left="154" w:right="1017"/>
        <w:jc w:val="left"/>
      </w:pPr>
      <w:r>
        <w:rPr/>
        <w:t>真听取管理层的经营情况汇报，积极与年审会计师进行沟通，确定公司</w:t>
      </w:r>
      <w:r>
        <w:rPr>
          <w:spacing w:val="-53"/>
        </w:rPr>
        <w:t> </w:t>
      </w:r>
      <w:r>
        <w:rPr>
          <w:rFonts w:ascii="宋体" w:hAnsi="宋体" w:cs="宋体" w:eastAsia="宋体" w:hint="default"/>
        </w:rPr>
        <w:t>2014</w:t>
      </w:r>
      <w:r>
        <w:rPr>
          <w:rFonts w:ascii="宋体" w:hAnsi="宋体" w:cs="宋体" w:eastAsia="宋体" w:hint="default"/>
          <w:spacing w:val="-53"/>
        </w:rPr>
        <w:t> </w:t>
      </w:r>
      <w:r>
        <w:rPr/>
        <w:t>年度财务报告审计工作的时 </w:t>
      </w:r>
      <w:r>
        <w:rPr>
          <w:spacing w:val="-1"/>
        </w:rPr>
        <w:t>间安排及审计重点关注事项，跟进审计进度，并就审计过程中发现的问题进行了充分的沟通和交流，确保</w:t>
      </w:r>
    </w:p>
    <w:p>
      <w:pPr>
        <w:spacing w:after="0" w:line="355" w:lineRule="auto"/>
        <w:jc w:val="left"/>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7" w:lineRule="auto" w:before="35"/>
        <w:ind w:left="574" w:right="6972" w:hanging="420"/>
        <w:jc w:val="left"/>
      </w:pPr>
      <w:r>
        <w:rPr/>
        <w:t>年审工作的顺利开展。 </w:t>
      </w:r>
      <w:r>
        <w:rPr>
          <w:rFonts w:ascii="宋体" w:hAnsi="宋体" w:cs="宋体" w:eastAsia="宋体" w:hint="default"/>
        </w:rPr>
        <w:t>2</w:t>
      </w:r>
      <w:r>
        <w:rPr/>
        <w:t>、战略发展委员会履职情况 主任委员：刘磅，委员：赵诚、刘昂</w:t>
      </w:r>
    </w:p>
    <w:p>
      <w:pPr>
        <w:pStyle w:val="BodyText"/>
        <w:spacing w:line="357" w:lineRule="auto"/>
        <w:ind w:left="154" w:right="1110" w:firstLine="420"/>
        <w:jc w:val="both"/>
      </w:pPr>
      <w:r>
        <w:rPr>
          <w:rFonts w:ascii="宋体" w:hAnsi="宋体" w:cs="宋体" w:eastAsia="宋体" w:hint="default"/>
        </w:rPr>
        <w:t>2015</w:t>
      </w:r>
      <w:r>
        <w:rPr>
          <w:rFonts w:ascii="宋体" w:hAnsi="宋体" w:cs="宋体" w:eastAsia="宋体" w:hint="default"/>
          <w:spacing w:val="-64"/>
        </w:rPr>
        <w:t> </w:t>
      </w:r>
      <w:r>
        <w:rPr>
          <w:spacing w:val="-3"/>
        </w:rPr>
        <w:t>年度，战略发展委员会共召开</w:t>
      </w:r>
      <w:r>
        <w:rPr>
          <w:spacing w:val="-65"/>
        </w:rPr>
        <w:t> </w:t>
      </w:r>
      <w:r>
        <w:rPr>
          <w:rFonts w:ascii="宋体" w:hAnsi="宋体" w:cs="宋体" w:eastAsia="宋体" w:hint="default"/>
        </w:rPr>
        <w:t>5</w:t>
      </w:r>
      <w:r>
        <w:rPr>
          <w:rFonts w:ascii="宋体" w:hAnsi="宋体" w:cs="宋体" w:eastAsia="宋体" w:hint="default"/>
          <w:spacing w:val="-64"/>
        </w:rPr>
        <w:t> </w:t>
      </w:r>
      <w:r>
        <w:rPr/>
        <w:t>次会议，审议通过了对全资子公司达实信息增资事宜，保证其自 </w:t>
      </w:r>
      <w:r>
        <w:rPr>
          <w:spacing w:val="-1"/>
        </w:rPr>
        <w:t>有物业改扩建的顺利实施；审议通过了公司上市以来的首次重大资产重组方案，成功收购久信医疗，参股</w:t>
      </w:r>
      <w:r>
        <w:rPr>
          <w:spacing w:val="-83"/>
        </w:rPr>
        <w:t> </w:t>
      </w:r>
      <w:r>
        <w:rPr>
          <w:spacing w:val="-83"/>
        </w:rPr>
      </w:r>
      <w:r>
        <w:rPr/>
        <w:t>小鹿暖暖，全面布局医院核心系统，壮大公司智慧医疗业务，为实现公司</w:t>
      </w:r>
      <w:r>
        <w:rPr>
          <w:spacing w:val="-62"/>
        </w:rPr>
        <w:t> </w:t>
      </w:r>
      <w:r>
        <w:rPr>
          <w:rFonts w:ascii="宋体" w:hAnsi="宋体" w:cs="宋体" w:eastAsia="宋体" w:hint="default"/>
        </w:rPr>
        <w:t>B2H2C</w:t>
      </w:r>
      <w:r>
        <w:rPr>
          <w:rFonts w:ascii="宋体" w:hAnsi="宋体" w:cs="宋体" w:eastAsia="宋体" w:hint="default"/>
          <w:spacing w:val="-63"/>
        </w:rPr>
        <w:t> </w:t>
      </w:r>
      <w:r>
        <w:rPr/>
        <w:t>的智慧医疗战略打下坚实 </w:t>
      </w:r>
      <w:r>
        <w:rPr>
          <w:spacing w:val="-1"/>
        </w:rPr>
        <w:t>基础；审议通过了合资设立融智节能公司，实现了公司国际化发展的第一步，为公司的节能环保业务带来</w:t>
      </w:r>
      <w:r>
        <w:rPr>
          <w:spacing w:val="-83"/>
        </w:rPr>
        <w:t> </w:t>
      </w:r>
      <w:r>
        <w:rPr>
          <w:spacing w:val="-83"/>
        </w:rPr>
      </w:r>
      <w:r>
        <w:rPr/>
        <w:t>更多的市场机会。此外，审议通过了在淮南、仁怀、昌都、深圳设立子公司的事项，以进一步拓展业务、 加强项目实施能力。</w:t>
      </w:r>
    </w:p>
    <w:p>
      <w:pPr>
        <w:pStyle w:val="BodyText"/>
        <w:spacing w:line="355" w:lineRule="auto" w:before="31"/>
        <w:ind w:left="575" w:right="6551" w:hanging="2"/>
        <w:jc w:val="left"/>
      </w:pPr>
      <w:r>
        <w:rPr>
          <w:rFonts w:ascii="宋体" w:hAnsi="宋体" w:cs="宋体" w:eastAsia="宋体" w:hint="default"/>
        </w:rPr>
        <w:t>3</w:t>
      </w:r>
      <w:r>
        <w:rPr/>
        <w:t>、薪酬与考核委员会履职情况 主任委员：王晓东，委员：王礼贵、刘昂</w:t>
      </w:r>
    </w:p>
    <w:p>
      <w:pPr>
        <w:pStyle w:val="BodyText"/>
        <w:spacing w:line="240" w:lineRule="auto" w:before="33"/>
        <w:ind w:left="574" w:right="1017"/>
        <w:jc w:val="left"/>
      </w:pPr>
      <w:r>
        <w:rPr>
          <w:rFonts w:ascii="宋体" w:hAnsi="宋体" w:cs="宋体" w:eastAsia="宋体" w:hint="default"/>
        </w:rPr>
        <w:t>2015</w:t>
      </w:r>
      <w:r>
        <w:rPr>
          <w:rFonts w:ascii="宋体" w:hAnsi="宋体" w:cs="宋体" w:eastAsia="宋体" w:hint="default"/>
          <w:spacing w:val="-52"/>
        </w:rPr>
        <w:t> </w:t>
      </w:r>
      <w:r>
        <w:rPr/>
        <w:t>年度，薪酬与考核委员会共召开</w:t>
      </w:r>
      <w:r>
        <w:rPr>
          <w:spacing w:val="-53"/>
        </w:rPr>
        <w:t> </w:t>
      </w:r>
      <w:r>
        <w:rPr>
          <w:rFonts w:ascii="宋体" w:hAnsi="宋体" w:cs="宋体" w:eastAsia="宋体" w:hint="default"/>
        </w:rPr>
        <w:t>3</w:t>
      </w:r>
      <w:r>
        <w:rPr>
          <w:rFonts w:ascii="宋体" w:hAnsi="宋体" w:cs="宋体" w:eastAsia="宋体" w:hint="default"/>
          <w:spacing w:val="-53"/>
        </w:rPr>
        <w:t> </w:t>
      </w:r>
      <w:r>
        <w:rPr/>
        <w:t>次会议，听取了高级管理人员的</w:t>
      </w:r>
      <w:r>
        <w:rPr>
          <w:spacing w:val="-53"/>
        </w:rPr>
        <w:t> </w:t>
      </w:r>
      <w:r>
        <w:rPr>
          <w:rFonts w:ascii="宋体" w:hAnsi="宋体" w:cs="宋体" w:eastAsia="宋体" w:hint="default"/>
        </w:rPr>
        <w:t>2014</w:t>
      </w:r>
      <w:r>
        <w:rPr>
          <w:rFonts w:ascii="宋体" w:hAnsi="宋体" w:cs="宋体" w:eastAsia="宋体" w:hint="default"/>
          <w:spacing w:val="-55"/>
        </w:rPr>
        <w:t> </w:t>
      </w:r>
      <w:r>
        <w:rPr/>
        <w:t>年度工作述职，对公司</w:t>
      </w:r>
    </w:p>
    <w:p>
      <w:pPr>
        <w:pStyle w:val="BodyText"/>
        <w:spacing w:line="357" w:lineRule="auto" w:before="133"/>
        <w:ind w:right="1131"/>
        <w:jc w:val="both"/>
      </w:pPr>
      <w:r>
        <w:rPr/>
        <w:t>董事、高级管理人员</w:t>
      </w:r>
      <w:r>
        <w:rPr>
          <w:spacing w:val="-59"/>
        </w:rPr>
        <w:t> </w:t>
      </w:r>
      <w:r>
        <w:rPr>
          <w:rFonts w:ascii="宋体" w:hAnsi="宋体" w:cs="宋体" w:eastAsia="宋体" w:hint="default"/>
        </w:rPr>
        <w:t>2014</w:t>
      </w:r>
      <w:r>
        <w:rPr>
          <w:rFonts w:ascii="宋体" w:hAnsi="宋体" w:cs="宋体" w:eastAsia="宋体" w:hint="default"/>
          <w:spacing w:val="-60"/>
        </w:rPr>
        <w:t> </w:t>
      </w:r>
      <w:r>
        <w:rPr/>
        <w:t>年度的薪酬发放情况及</w:t>
      </w:r>
      <w:r>
        <w:rPr>
          <w:spacing w:val="-59"/>
        </w:rPr>
        <w:t> </w:t>
      </w:r>
      <w:r>
        <w:rPr>
          <w:rFonts w:ascii="宋体" w:hAnsi="宋体" w:cs="宋体" w:eastAsia="宋体" w:hint="default"/>
        </w:rPr>
        <w:t>2015</w:t>
      </w:r>
      <w:r>
        <w:rPr>
          <w:rFonts w:ascii="宋体" w:hAnsi="宋体" w:cs="宋体" w:eastAsia="宋体" w:hint="default"/>
          <w:spacing w:val="-60"/>
        </w:rPr>
        <w:t> </w:t>
      </w:r>
      <w:r>
        <w:rPr/>
        <w:t>年度的发放计划进行审议；确认了第一期限制性股 </w:t>
      </w:r>
      <w:r>
        <w:rPr>
          <w:spacing w:val="-1"/>
        </w:rPr>
        <w:t>票激励计划第三个解锁条件满足事宜，第一期限制性股股票激励计划全部解禁，未有激励对象离职，激励</w:t>
      </w:r>
      <w:r>
        <w:rPr>
          <w:spacing w:val="-83"/>
        </w:rPr>
        <w:t> </w:t>
      </w:r>
      <w:r>
        <w:rPr>
          <w:spacing w:val="-83"/>
        </w:rPr>
      </w:r>
      <w:r>
        <w:rPr/>
        <w:t>效果显著。</w:t>
      </w:r>
    </w:p>
    <w:p>
      <w:pPr>
        <w:pStyle w:val="BodyText"/>
        <w:spacing w:line="240" w:lineRule="auto"/>
        <w:ind w:left="574" w:right="1017"/>
        <w:jc w:val="left"/>
      </w:pPr>
      <w:r>
        <w:rPr>
          <w:rFonts w:ascii="宋体" w:hAnsi="宋体" w:cs="宋体" w:eastAsia="宋体" w:hint="default"/>
        </w:rPr>
        <w:t>4</w:t>
      </w:r>
      <w:r>
        <w:rPr/>
        <w:t>、提名委员会履职情况</w:t>
      </w:r>
    </w:p>
    <w:p>
      <w:pPr>
        <w:pStyle w:val="BodyText"/>
        <w:spacing w:line="357" w:lineRule="auto" w:before="134"/>
        <w:ind w:right="1117" w:firstLine="420"/>
        <w:jc w:val="left"/>
      </w:pPr>
      <w:r>
        <w:rPr>
          <w:rFonts w:ascii="宋体" w:hAnsi="宋体" w:cs="宋体" w:eastAsia="宋体" w:hint="default"/>
        </w:rPr>
        <w:t>2015</w:t>
      </w:r>
      <w:r>
        <w:rPr>
          <w:rFonts w:ascii="宋体" w:hAnsi="宋体" w:cs="宋体" w:eastAsia="宋体" w:hint="default"/>
          <w:spacing w:val="-66"/>
        </w:rPr>
        <w:t> </w:t>
      </w:r>
      <w:r>
        <w:rPr>
          <w:spacing w:val="-3"/>
        </w:rPr>
        <w:t>年度，提名委员会议召开</w:t>
      </w:r>
      <w:r>
        <w:rPr>
          <w:spacing w:val="-68"/>
        </w:rPr>
        <w:t> </w:t>
      </w:r>
      <w:r>
        <w:rPr>
          <w:rFonts w:ascii="宋体" w:hAnsi="宋体" w:cs="宋体" w:eastAsia="宋体" w:hint="default"/>
        </w:rPr>
        <w:t>1</w:t>
      </w:r>
      <w:r>
        <w:rPr>
          <w:rFonts w:ascii="宋体" w:hAnsi="宋体" w:cs="宋体" w:eastAsia="宋体" w:hint="default"/>
          <w:spacing w:val="-67"/>
        </w:rPr>
        <w:t> </w:t>
      </w:r>
      <w:r>
        <w:rPr/>
        <w:t>次会议，审议了补选赵诚先生为公司独立董事事项，对其任职资格和 工作经验进行了认真核查，确保了补选程序的规范。</w:t>
      </w:r>
    </w:p>
    <w:p>
      <w:pPr>
        <w:spacing w:line="240" w:lineRule="auto" w:before="2"/>
        <w:rPr>
          <w:rFonts w:ascii="宋体" w:hAnsi="宋体" w:cs="宋体" w:eastAsia="宋体" w:hint="default"/>
          <w:sz w:val="25"/>
          <w:szCs w:val="25"/>
        </w:rPr>
      </w:pPr>
    </w:p>
    <w:p>
      <w:pPr>
        <w:pStyle w:val="Heading2"/>
        <w:spacing w:line="240" w:lineRule="auto"/>
        <w:ind w:left="154" w:right="1017"/>
        <w:jc w:val="left"/>
        <w:rPr>
          <w:b w:val="0"/>
          <w:bCs w:val="0"/>
        </w:rPr>
      </w:pPr>
      <w:bookmarkStart w:name="七、监事会工作情况" w:id="143"/>
      <w:bookmarkEnd w:id="143"/>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1017"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6"/>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pStyle w:val="BodyText"/>
        <w:spacing w:line="357" w:lineRule="auto" w:before="0"/>
        <w:ind w:right="1013" w:firstLine="421"/>
        <w:jc w:val="left"/>
      </w:pPr>
      <w:r>
        <w:rPr>
          <w:spacing w:val="-5"/>
        </w:rPr>
        <w:t>按照《公司法》、《公司章程》及《监事会议事规则》等有关规定，</w:t>
      </w:r>
      <w:r>
        <w:rPr>
          <w:rFonts w:ascii="宋体" w:hAnsi="宋体" w:cs="宋体" w:eastAsia="宋体" w:hint="default"/>
          <w:spacing w:val="-5"/>
        </w:rPr>
        <w:t>2015</w:t>
      </w:r>
      <w:r>
        <w:rPr>
          <w:rFonts w:ascii="宋体" w:hAnsi="宋体" w:cs="宋体" w:eastAsia="宋体" w:hint="default"/>
          <w:spacing w:val="-66"/>
        </w:rPr>
        <w:t> </w:t>
      </w:r>
      <w:r>
        <w:rPr/>
        <w:t>年度，监事会本着恪尽职守、 勤勉尽责的工作态度，认真履行监督职责，依法独立行使职权，对公司股东大会、董事会的召开程序、决 策程序，董事会对股东大会决议的执行情况，公司高级管理人员的执行职务情况及公司管理制度执行情况 等进行了监督，督促公司董事会和管理层依法运作，科学决策，保障了公司财务规范运行，切实维护公司 利益和全体股东权益。现将公司监事会</w:t>
      </w:r>
      <w:r>
        <w:rPr>
          <w:spacing w:val="-53"/>
        </w:rPr>
        <w:t> </w:t>
      </w:r>
      <w:r>
        <w:rPr>
          <w:rFonts w:ascii="宋体" w:hAnsi="宋体" w:cs="宋体" w:eastAsia="宋体" w:hint="default"/>
        </w:rPr>
        <w:t>2015</w:t>
      </w:r>
      <w:r>
        <w:rPr>
          <w:rFonts w:ascii="宋体" w:hAnsi="宋体" w:cs="宋体" w:eastAsia="宋体" w:hint="default"/>
          <w:spacing w:val="-53"/>
        </w:rPr>
        <w:t> </w:t>
      </w:r>
      <w:r>
        <w:rPr/>
        <w:t>年度的工作情况汇报如下：</w:t>
      </w:r>
    </w:p>
    <w:p>
      <w:pPr>
        <w:pStyle w:val="BodyText"/>
        <w:spacing w:line="240" w:lineRule="auto"/>
        <w:ind w:left="575" w:right="1017"/>
        <w:jc w:val="left"/>
      </w:pPr>
      <w:r>
        <w:rPr/>
        <w:t>（一）</w:t>
      </w:r>
      <w:r>
        <w:rPr>
          <w:rFonts w:ascii="宋体" w:hAnsi="宋体" w:cs="宋体" w:eastAsia="宋体" w:hint="default"/>
        </w:rPr>
        <w:t>2015</w:t>
      </w:r>
      <w:r>
        <w:rPr>
          <w:rFonts w:ascii="宋体" w:hAnsi="宋体" w:cs="宋体" w:eastAsia="宋体" w:hint="default"/>
          <w:spacing w:val="-56"/>
        </w:rPr>
        <w:t> </w:t>
      </w:r>
      <w:r>
        <w:rPr/>
        <w:t>年度监事会日常运作情况</w:t>
      </w:r>
    </w:p>
    <w:p>
      <w:pPr>
        <w:pStyle w:val="BodyText"/>
        <w:spacing w:line="240" w:lineRule="auto" w:before="133"/>
        <w:ind w:left="574" w:right="1017"/>
        <w:jc w:val="left"/>
      </w:pPr>
      <w:r>
        <w:rPr>
          <w:rFonts w:ascii="宋体" w:hAnsi="宋体" w:cs="宋体" w:eastAsia="宋体" w:hint="default"/>
        </w:rPr>
        <w:t>2015</w:t>
      </w:r>
      <w:r>
        <w:rPr>
          <w:rFonts w:ascii="宋体" w:hAnsi="宋体" w:cs="宋体" w:eastAsia="宋体" w:hint="default"/>
          <w:spacing w:val="-53"/>
        </w:rPr>
        <w:t> </w:t>
      </w:r>
      <w:r>
        <w:rPr/>
        <w:t>年度，监事会共召开</w:t>
      </w:r>
      <w:r>
        <w:rPr>
          <w:spacing w:val="-55"/>
        </w:rPr>
        <w:t> </w:t>
      </w:r>
      <w:r>
        <w:rPr>
          <w:rFonts w:ascii="宋体" w:hAnsi="宋体" w:cs="宋体" w:eastAsia="宋体" w:hint="default"/>
        </w:rPr>
        <w:t>11</w:t>
      </w:r>
      <w:r>
        <w:rPr>
          <w:rFonts w:ascii="宋体" w:hAnsi="宋体" w:cs="宋体" w:eastAsia="宋体" w:hint="default"/>
          <w:spacing w:val="-54"/>
        </w:rPr>
        <w:t> </w:t>
      </w:r>
      <w:r>
        <w:rPr/>
        <w:t>次会议，具体召开情况如下：</w:t>
      </w:r>
    </w:p>
    <w:p>
      <w:pPr>
        <w:pStyle w:val="BodyText"/>
        <w:spacing w:line="357" w:lineRule="auto" w:before="134"/>
        <w:ind w:right="1153" w:firstLine="420"/>
        <w:jc w:val="left"/>
      </w:pP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日，公司召开了第五届监事会第十会议，审议通过了《关于对第二期限制性股票激 励计划进行调整的议案》、《关于向控股子公司提供财务资助的议案》；</w:t>
      </w:r>
    </w:p>
    <w:p>
      <w:pPr>
        <w:pStyle w:val="BodyText"/>
        <w:spacing w:line="355" w:lineRule="auto" w:before="31"/>
        <w:ind w:right="1121" w:firstLine="420"/>
        <w:jc w:val="left"/>
      </w:pPr>
      <w:r>
        <w:rPr>
          <w:rFonts w:ascii="宋体" w:hAnsi="宋体" w:cs="宋体" w:eastAsia="宋体" w:hint="default"/>
          <w:spacing w:val="-4"/>
        </w:rPr>
        <w:t>2</w:t>
      </w:r>
      <w:r>
        <w:rPr>
          <w:spacing w:val="-4"/>
        </w:rPr>
        <w:t>、</w:t>
      </w:r>
      <w:r>
        <w:rPr>
          <w:rFonts w:ascii="宋体" w:hAnsi="宋体" w:cs="宋体" w:eastAsia="宋体" w:hint="default"/>
          <w:spacing w:val="-4"/>
        </w:rPr>
        <w:t>2015</w:t>
      </w:r>
      <w:r>
        <w:rPr>
          <w:rFonts w:ascii="宋体" w:hAnsi="宋体" w:cs="宋体" w:eastAsia="宋体" w:hint="default"/>
          <w:spacing w:val="-64"/>
        </w:rPr>
        <w:t> </w:t>
      </w:r>
      <w:r>
        <w:rPr/>
        <w:t>年</w:t>
      </w:r>
      <w:r>
        <w:rPr>
          <w:spacing w:val="-64"/>
        </w:rPr>
        <w:t> </w:t>
      </w:r>
      <w:r>
        <w:rPr>
          <w:rFonts w:ascii="宋体" w:hAnsi="宋体" w:cs="宋体" w:eastAsia="宋体" w:hint="default"/>
        </w:rPr>
        <w:t>1</w:t>
      </w:r>
      <w:r>
        <w:rPr>
          <w:rFonts w:ascii="宋体" w:hAnsi="宋体" w:cs="宋体" w:eastAsia="宋体" w:hint="default"/>
          <w:spacing w:val="-63"/>
        </w:rPr>
        <w:t> </w:t>
      </w:r>
      <w:r>
        <w:rPr/>
        <w:t>月</w:t>
      </w:r>
      <w:r>
        <w:rPr>
          <w:spacing w:val="-65"/>
        </w:rPr>
        <w:t> </w:t>
      </w:r>
      <w:r>
        <w:rPr>
          <w:rFonts w:ascii="宋体" w:hAnsi="宋体" w:cs="宋体" w:eastAsia="宋体" w:hint="default"/>
        </w:rPr>
        <w:t>13</w:t>
      </w:r>
      <w:r>
        <w:rPr>
          <w:rFonts w:ascii="宋体" w:hAnsi="宋体" w:cs="宋体" w:eastAsia="宋体" w:hint="default"/>
          <w:spacing w:val="-63"/>
        </w:rPr>
        <w:t> </w:t>
      </w:r>
      <w:r>
        <w:rPr/>
        <w:t>日，公司召开了第五届监事会第十一次会议，审议通过了《关于对全资子公司增资 的议案》、《关于全资子公司物业改扩建的议案》；</w:t>
      </w:r>
    </w:p>
    <w:p>
      <w:pPr>
        <w:spacing w:after="0" w:line="355" w:lineRule="auto"/>
        <w:jc w:val="left"/>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7" w:lineRule="auto" w:before="35"/>
        <w:ind w:right="1130" w:firstLine="420"/>
        <w:jc w:val="both"/>
      </w:pPr>
      <w:r>
        <w:rPr>
          <w:rFonts w:ascii="宋体" w:hAnsi="宋体" w:cs="宋体" w:eastAsia="宋体" w:hint="default"/>
        </w:rPr>
        <w:t>3</w:t>
      </w:r>
      <w:r>
        <w:rPr/>
        <w:t>、</w:t>
      </w:r>
      <w:r>
        <w:rPr>
          <w:rFonts w:ascii="宋体" w:hAnsi="宋体" w:cs="宋体" w:eastAsia="宋体" w:hint="default"/>
        </w:rPr>
        <w:t>2015</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7"/>
        </w:rPr>
        <w:t> </w:t>
      </w:r>
      <w:r>
        <w:rPr/>
        <w:t>月</w:t>
      </w:r>
      <w:r>
        <w:rPr>
          <w:spacing w:val="-59"/>
        </w:rPr>
        <w:t> </w:t>
      </w:r>
      <w:r>
        <w:rPr>
          <w:rFonts w:ascii="宋体" w:hAnsi="宋体" w:cs="宋体" w:eastAsia="宋体" w:hint="default"/>
        </w:rPr>
        <w:t>5</w:t>
      </w:r>
      <w:r>
        <w:rPr>
          <w:rFonts w:ascii="宋体" w:hAnsi="宋体" w:cs="宋体" w:eastAsia="宋体" w:hint="default"/>
          <w:spacing w:val="-57"/>
        </w:rPr>
        <w:t> </w:t>
      </w:r>
      <w:r>
        <w:rPr/>
        <w:t>日，公司召开了第五届监事会第十二次会议，审议通过了《</w:t>
      </w:r>
      <w:r>
        <w:rPr>
          <w:rFonts w:ascii="宋体" w:hAnsi="宋体" w:cs="宋体" w:eastAsia="宋体" w:hint="default"/>
        </w:rPr>
        <w:t>2014</w:t>
      </w:r>
      <w:r>
        <w:rPr>
          <w:rFonts w:ascii="宋体" w:hAnsi="宋体" w:cs="宋体" w:eastAsia="宋体" w:hint="default"/>
          <w:spacing w:val="-58"/>
        </w:rPr>
        <w:t> </w:t>
      </w:r>
      <w:r>
        <w:rPr/>
        <w:t>年度监事会工作报 </w:t>
      </w:r>
      <w:r>
        <w:rPr>
          <w:spacing w:val="-6"/>
        </w:rPr>
        <w:t>告》、《</w:t>
      </w:r>
      <w:r>
        <w:rPr>
          <w:rFonts w:ascii="宋体" w:hAnsi="宋体" w:cs="宋体" w:eastAsia="宋体" w:hint="default"/>
          <w:spacing w:val="-6"/>
        </w:rPr>
        <w:t>2014</w:t>
      </w:r>
      <w:r>
        <w:rPr>
          <w:rFonts w:ascii="宋体" w:hAnsi="宋体" w:cs="宋体" w:eastAsia="宋体" w:hint="default"/>
          <w:spacing w:val="-45"/>
        </w:rPr>
        <w:t> </w:t>
      </w:r>
      <w:r>
        <w:rPr>
          <w:spacing w:val="-4"/>
        </w:rPr>
        <w:t>年度财务决算报告》、《</w:t>
      </w:r>
      <w:r>
        <w:rPr>
          <w:rFonts w:ascii="宋体" w:hAnsi="宋体" w:cs="宋体" w:eastAsia="宋体" w:hint="default"/>
          <w:spacing w:val="-4"/>
        </w:rPr>
        <w:t>2014</w:t>
      </w:r>
      <w:r>
        <w:rPr>
          <w:rFonts w:ascii="宋体" w:hAnsi="宋体" w:cs="宋体" w:eastAsia="宋体" w:hint="default"/>
          <w:spacing w:val="-43"/>
        </w:rPr>
        <w:t> </w:t>
      </w:r>
      <w:r>
        <w:rPr>
          <w:spacing w:val="-3"/>
        </w:rPr>
        <w:t>年度报告全文及摘要》、《</w:t>
      </w:r>
      <w:r>
        <w:rPr>
          <w:rFonts w:ascii="宋体" w:hAnsi="宋体" w:cs="宋体" w:eastAsia="宋体" w:hint="default"/>
          <w:spacing w:val="-3"/>
        </w:rPr>
        <w:t>2014</w:t>
      </w:r>
      <w:r>
        <w:rPr>
          <w:rFonts w:ascii="宋体" w:hAnsi="宋体" w:cs="宋体" w:eastAsia="宋体" w:hint="default"/>
          <w:spacing w:val="-45"/>
        </w:rPr>
        <w:t> </w:t>
      </w:r>
      <w:r>
        <w:rPr>
          <w:spacing w:val="-4"/>
        </w:rPr>
        <w:t>年度利润分配预案》、《</w:t>
      </w:r>
      <w:r>
        <w:rPr>
          <w:rFonts w:ascii="宋体" w:hAnsi="宋体" w:cs="宋体" w:eastAsia="宋体" w:hint="default"/>
          <w:spacing w:val="-4"/>
        </w:rPr>
        <w:t>2014</w:t>
      </w:r>
      <w:r>
        <w:rPr>
          <w:rFonts w:ascii="宋体" w:hAnsi="宋体" w:cs="宋体" w:eastAsia="宋体" w:hint="default"/>
          <w:spacing w:val="-103"/>
        </w:rPr>
        <w:t> </w:t>
      </w:r>
      <w:r>
        <w:rPr>
          <w:spacing w:val="-2"/>
        </w:rPr>
        <w:t>年度募集资金存放与使用情况的专项报告》、《</w:t>
      </w:r>
      <w:r>
        <w:rPr>
          <w:rFonts w:ascii="宋体" w:hAnsi="宋体" w:cs="宋体" w:eastAsia="宋体" w:hint="default"/>
          <w:spacing w:val="-2"/>
        </w:rPr>
        <w:t>2014</w:t>
      </w:r>
      <w:r>
        <w:rPr>
          <w:rFonts w:ascii="宋体" w:hAnsi="宋体" w:cs="宋体" w:eastAsia="宋体" w:hint="default"/>
          <w:spacing w:val="-35"/>
        </w:rPr>
        <w:t> </w:t>
      </w:r>
      <w:r>
        <w:rPr>
          <w:spacing w:val="-2"/>
        </w:rPr>
        <w:t>年度内部控制评价报告》、《关于续聘会计师事务所</w:t>
      </w:r>
      <w:r>
        <w:rPr>
          <w:spacing w:val="-103"/>
        </w:rPr>
        <w:t> </w:t>
      </w:r>
      <w:r>
        <w:rPr>
          <w:spacing w:val="-103"/>
        </w:rPr>
      </w:r>
      <w:r>
        <w:rPr/>
        <w:t>的议案》、《关于</w:t>
      </w:r>
      <w:r>
        <w:rPr>
          <w:spacing w:val="-52"/>
        </w:rPr>
        <w:t> </w:t>
      </w:r>
      <w:r>
        <w:rPr>
          <w:rFonts w:ascii="宋体" w:hAnsi="宋体" w:cs="宋体" w:eastAsia="宋体" w:hint="default"/>
        </w:rPr>
        <w:t>2015</w:t>
      </w:r>
      <w:r>
        <w:rPr>
          <w:rFonts w:ascii="宋体" w:hAnsi="宋体" w:cs="宋体" w:eastAsia="宋体" w:hint="default"/>
          <w:spacing w:val="-54"/>
        </w:rPr>
        <w:t> </w:t>
      </w:r>
      <w:r>
        <w:rPr/>
        <w:t>年度监事薪酬的议案》；</w:t>
      </w:r>
    </w:p>
    <w:p>
      <w:pPr>
        <w:pStyle w:val="BodyText"/>
        <w:spacing w:line="355" w:lineRule="auto" w:before="31"/>
        <w:ind w:right="1132" w:firstLine="420"/>
        <w:jc w:val="both"/>
      </w:pPr>
      <w:r>
        <w:rPr>
          <w:rFonts w:ascii="宋体" w:hAnsi="宋体" w:cs="宋体" w:eastAsia="宋体" w:hint="default"/>
          <w:spacing w:val="-4"/>
        </w:rPr>
        <w:t>4</w:t>
      </w:r>
      <w:r>
        <w:rPr>
          <w:spacing w:val="-4"/>
        </w:rPr>
        <w:t>、</w:t>
      </w:r>
      <w:r>
        <w:rPr>
          <w:rFonts w:ascii="宋体" w:hAnsi="宋体" w:cs="宋体" w:eastAsia="宋体" w:hint="default"/>
          <w:spacing w:val="-4"/>
        </w:rPr>
        <w:t>2015</w:t>
      </w:r>
      <w:r>
        <w:rPr>
          <w:rFonts w:ascii="宋体" w:hAnsi="宋体" w:cs="宋体" w:eastAsia="宋体" w:hint="default"/>
          <w:spacing w:val="-64"/>
        </w:rPr>
        <w:t> </w:t>
      </w:r>
      <w:r>
        <w:rPr/>
        <w:t>年</w:t>
      </w:r>
      <w:r>
        <w:rPr>
          <w:spacing w:val="-64"/>
        </w:rPr>
        <w:t> </w:t>
      </w:r>
      <w:r>
        <w:rPr>
          <w:rFonts w:ascii="宋体" w:hAnsi="宋体" w:cs="宋体" w:eastAsia="宋体" w:hint="default"/>
        </w:rPr>
        <w:t>3</w:t>
      </w:r>
      <w:r>
        <w:rPr>
          <w:rFonts w:ascii="宋体" w:hAnsi="宋体" w:cs="宋体" w:eastAsia="宋体" w:hint="default"/>
          <w:spacing w:val="-63"/>
        </w:rPr>
        <w:t> </w:t>
      </w:r>
      <w:r>
        <w:rPr/>
        <w:t>月</w:t>
      </w:r>
      <w:r>
        <w:rPr>
          <w:spacing w:val="-65"/>
        </w:rPr>
        <w:t> </w:t>
      </w:r>
      <w:r>
        <w:rPr>
          <w:rFonts w:ascii="宋体" w:hAnsi="宋体" w:cs="宋体" w:eastAsia="宋体" w:hint="default"/>
        </w:rPr>
        <w:t>24</w:t>
      </w:r>
      <w:r>
        <w:rPr>
          <w:rFonts w:ascii="宋体" w:hAnsi="宋体" w:cs="宋体" w:eastAsia="宋体" w:hint="default"/>
          <w:spacing w:val="-63"/>
        </w:rPr>
        <w:t> </w:t>
      </w:r>
      <w:r>
        <w:rPr/>
        <w:t>日，公司召开了第五届监事会第十三次会议，审议通过了《关于向控股子公司提供 财务资助的议案》；</w:t>
      </w:r>
    </w:p>
    <w:p>
      <w:pPr>
        <w:pStyle w:val="BodyText"/>
        <w:spacing w:line="355" w:lineRule="auto" w:before="33"/>
        <w:ind w:right="1163" w:firstLine="420"/>
        <w:jc w:val="both"/>
      </w:pPr>
      <w:r>
        <w:rPr>
          <w:rFonts w:ascii="宋体" w:hAnsi="宋体" w:cs="宋体" w:eastAsia="宋体" w:hint="default"/>
        </w:rPr>
        <w:t>5</w:t>
      </w:r>
      <w:r>
        <w:rPr/>
        <w:t>、</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日，公司召开了第五届监事会第十四次会议，审议通过了《公司</w:t>
      </w:r>
      <w:r>
        <w:rPr>
          <w:spacing w:val="-53"/>
        </w:rPr>
        <w:t> </w:t>
      </w:r>
      <w:r>
        <w:rPr>
          <w:rFonts w:ascii="宋体" w:hAnsi="宋体" w:cs="宋体" w:eastAsia="宋体" w:hint="default"/>
        </w:rPr>
        <w:t>2015</w:t>
      </w:r>
      <w:r>
        <w:rPr>
          <w:rFonts w:ascii="宋体" w:hAnsi="宋体" w:cs="宋体" w:eastAsia="宋体" w:hint="default"/>
          <w:spacing w:val="-54"/>
        </w:rPr>
        <w:t> </w:t>
      </w:r>
      <w:r>
        <w:rPr/>
        <w:t>年第一季度 报告》正文及全文；</w:t>
      </w:r>
    </w:p>
    <w:p>
      <w:pPr>
        <w:pStyle w:val="BodyText"/>
        <w:spacing w:line="357" w:lineRule="auto" w:before="32"/>
        <w:ind w:right="1017" w:firstLine="420"/>
        <w:jc w:val="left"/>
      </w:pPr>
      <w:r>
        <w:rPr>
          <w:rFonts w:ascii="宋体" w:hAnsi="宋体" w:cs="宋体" w:eastAsia="宋体" w:hint="default"/>
        </w:rPr>
        <w:t>6</w:t>
      </w:r>
      <w:r>
        <w:rPr/>
        <w:t>、</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4</w:t>
      </w:r>
      <w:r>
        <w:rPr>
          <w:rFonts w:ascii="宋体" w:hAnsi="宋体" w:cs="宋体" w:eastAsia="宋体" w:hint="default"/>
          <w:spacing w:val="-53"/>
        </w:rPr>
        <w:t> </w:t>
      </w:r>
      <w:r>
        <w:rPr/>
        <w:t>日，公司召开了第五届监事会第十五次会议，审议通过了《关于公司符合发行股份 及支付现金购买资产并募集配套资金条件的议案》、《关于公司发行股份及支付现金购买资产并募集配套 资金方案的议案》、《关于本次发行股份及支付现金购买资产构成关联交易的议案》、《关于本次发行股 份及支付现金购买资产符合</w:t>
      </w:r>
      <w:r>
        <w:rPr>
          <w:rFonts w:ascii="宋体" w:hAnsi="宋体" w:cs="宋体" w:eastAsia="宋体" w:hint="default"/>
        </w:rPr>
        <w:t>&lt;</w:t>
      </w:r>
      <w:r>
        <w:rPr/>
        <w:t>上市公司重大资产重组管理办法</w:t>
      </w:r>
      <w:r>
        <w:rPr>
          <w:rFonts w:ascii="宋体" w:hAnsi="宋体" w:cs="宋体" w:eastAsia="宋体" w:hint="default"/>
        </w:rPr>
        <w:t>&gt;</w:t>
      </w:r>
      <w:r>
        <w:rPr/>
        <w:t>相关规定的议案》、《关于本次发行股份及 支付现金购买资产符合</w:t>
      </w:r>
      <w:r>
        <w:rPr>
          <w:rFonts w:ascii="宋体" w:hAnsi="宋体" w:cs="宋体" w:eastAsia="宋体" w:hint="default"/>
        </w:rPr>
        <w:t>&lt;</w:t>
      </w:r>
      <w:r>
        <w:rPr/>
        <w:t>关于规范上市公司重大资产重组若干问题的规定</w:t>
      </w:r>
      <w:r>
        <w:rPr>
          <w:rFonts w:ascii="宋体" w:hAnsi="宋体" w:cs="宋体" w:eastAsia="宋体" w:hint="default"/>
        </w:rPr>
        <w:t>&gt;</w:t>
      </w:r>
      <w:r>
        <w:rPr/>
        <w:t>第四条规定的议案》、《关于与 </w:t>
      </w:r>
      <w:r>
        <w:rPr>
          <w:spacing w:val="-3"/>
        </w:rPr>
        <w:t>交易对方签署</w:t>
      </w:r>
      <w:r>
        <w:rPr>
          <w:rFonts w:ascii="宋体" w:hAnsi="宋体" w:cs="宋体" w:eastAsia="宋体" w:hint="default"/>
          <w:spacing w:val="-3"/>
        </w:rPr>
        <w:t>&lt;</w:t>
      </w:r>
      <w:r>
        <w:rPr>
          <w:spacing w:val="-3"/>
        </w:rPr>
        <w:t>深圳达实智能股份有限公司发行股份及支付现金购买资产协议</w:t>
      </w:r>
      <w:r>
        <w:rPr>
          <w:rFonts w:ascii="宋体" w:hAnsi="宋体" w:cs="宋体" w:eastAsia="宋体" w:hint="default"/>
          <w:spacing w:val="-3"/>
        </w:rPr>
        <w:t>&gt;</w:t>
      </w:r>
      <w:r>
        <w:rPr>
          <w:spacing w:val="-3"/>
        </w:rPr>
        <w:t>的议案》、《关于与房志刚、</w:t>
      </w:r>
      <w:r>
        <w:rPr>
          <w:spacing w:val="-92"/>
        </w:rPr>
        <w:t> </w:t>
      </w:r>
      <w:r>
        <w:rPr>
          <w:spacing w:val="-92"/>
        </w:rPr>
      </w:r>
      <w:r>
        <w:rPr/>
        <w:t>孙绍朋、周鸿坚、储元明、常州瑞信投资中心（有限合伙）、常州臻信投资中心（有限合伙）签订</w:t>
      </w:r>
      <w:r>
        <w:rPr>
          <w:rFonts w:ascii="宋体" w:hAnsi="宋体" w:cs="宋体" w:eastAsia="宋体" w:hint="default"/>
        </w:rPr>
        <w:t>&lt;</w:t>
      </w:r>
      <w:r>
        <w:rPr/>
        <w:t>深圳 达实智能股份有限公司与房志刚、孙绍朋、周鸿坚、储元明、常州瑞信投资中心（有限合伙）、常州臻信 </w:t>
      </w:r>
      <w:r>
        <w:rPr>
          <w:spacing w:val="-1"/>
        </w:rPr>
        <w:t>投资中心（有限合伙）之盈利补偿协议</w:t>
      </w:r>
      <w:r>
        <w:rPr>
          <w:rFonts w:ascii="宋体" w:hAnsi="宋体" w:cs="宋体" w:eastAsia="宋体" w:hint="default"/>
          <w:spacing w:val="-1"/>
        </w:rPr>
        <w:t>&gt;</w:t>
      </w:r>
      <w:r>
        <w:rPr>
          <w:spacing w:val="-1"/>
        </w:rPr>
        <w:t>的议案》、《关于公司与刘磅、程朋胜、苏俊锋、吕枫、林雨斌、</w:t>
      </w:r>
      <w:r>
        <w:rPr>
          <w:spacing w:val="-86"/>
        </w:rPr>
        <w:t> </w:t>
      </w:r>
      <w:r>
        <w:rPr>
          <w:spacing w:val="-86"/>
        </w:rPr>
      </w:r>
      <w:r>
        <w:rPr/>
        <w:t>黄天朗分别签署</w:t>
      </w:r>
      <w:r>
        <w:rPr>
          <w:rFonts w:ascii="宋体" w:hAnsi="宋体" w:cs="宋体" w:eastAsia="宋体" w:hint="default"/>
        </w:rPr>
        <w:t>&lt;</w:t>
      </w:r>
      <w:r>
        <w:rPr/>
        <w:t>附条件生效的股份认购协议</w:t>
      </w:r>
      <w:r>
        <w:rPr>
          <w:rFonts w:ascii="宋体" w:hAnsi="宋体" w:cs="宋体" w:eastAsia="宋体" w:hint="default"/>
        </w:rPr>
        <w:t>&gt;</w:t>
      </w:r>
      <w:r>
        <w:rPr/>
        <w:t>的议案》、《关于评估机构的独立性、评估假设前提的合理 性、评估方法与评估目的相关性及评估定价的公允性的议案》、《关于批准与本次重大资产重组相关的审 计报告、备考审阅报告及资产评估报告的议案》、《关于</w:t>
      </w:r>
      <w:r>
        <w:rPr>
          <w:rFonts w:ascii="宋体" w:hAnsi="宋体" w:cs="宋体" w:eastAsia="宋体" w:hint="default"/>
        </w:rPr>
        <w:t>&lt;</w:t>
      </w:r>
      <w:r>
        <w:rPr/>
        <w:t>深圳达实智能股份有限公司发行股份及支付现 金购买资产并募集配套资金暨关联交易报告书（草案）</w:t>
      </w:r>
      <w:r>
        <w:rPr>
          <w:rFonts w:ascii="宋体" w:hAnsi="宋体" w:cs="宋体" w:eastAsia="宋体" w:hint="default"/>
        </w:rPr>
        <w:t>&gt;</w:t>
      </w:r>
      <w:r>
        <w:rPr/>
        <w:t>及其摘要的议案》；</w:t>
      </w:r>
    </w:p>
    <w:p>
      <w:pPr>
        <w:pStyle w:val="BodyText"/>
        <w:spacing w:line="355" w:lineRule="auto"/>
        <w:ind w:right="1132" w:firstLine="420"/>
        <w:jc w:val="both"/>
      </w:pPr>
      <w:r>
        <w:rPr>
          <w:rFonts w:ascii="宋体" w:hAnsi="宋体" w:cs="宋体" w:eastAsia="宋体" w:hint="default"/>
          <w:spacing w:val="-4"/>
        </w:rPr>
        <w:t>7</w:t>
      </w:r>
      <w:r>
        <w:rPr>
          <w:spacing w:val="-4"/>
        </w:rPr>
        <w:t>、</w:t>
      </w:r>
      <w:r>
        <w:rPr>
          <w:rFonts w:ascii="宋体" w:hAnsi="宋体" w:cs="宋体" w:eastAsia="宋体" w:hint="default"/>
          <w:spacing w:val="-4"/>
        </w:rPr>
        <w:t>2015</w:t>
      </w:r>
      <w:r>
        <w:rPr>
          <w:rFonts w:ascii="宋体" w:hAnsi="宋体" w:cs="宋体" w:eastAsia="宋体" w:hint="default"/>
          <w:spacing w:val="-64"/>
        </w:rPr>
        <w:t> </w:t>
      </w:r>
      <w:r>
        <w:rPr/>
        <w:t>年</w:t>
      </w:r>
      <w:r>
        <w:rPr>
          <w:spacing w:val="-64"/>
        </w:rPr>
        <w:t> </w:t>
      </w:r>
      <w:r>
        <w:rPr>
          <w:rFonts w:ascii="宋体" w:hAnsi="宋体" w:cs="宋体" w:eastAsia="宋体" w:hint="default"/>
        </w:rPr>
        <w:t>6</w:t>
      </w:r>
      <w:r>
        <w:rPr>
          <w:rFonts w:ascii="宋体" w:hAnsi="宋体" w:cs="宋体" w:eastAsia="宋体" w:hint="default"/>
          <w:spacing w:val="-63"/>
        </w:rPr>
        <w:t> </w:t>
      </w:r>
      <w:r>
        <w:rPr/>
        <w:t>月</w:t>
      </w:r>
      <w:r>
        <w:rPr>
          <w:spacing w:val="-65"/>
        </w:rPr>
        <w:t> </w:t>
      </w:r>
      <w:r>
        <w:rPr>
          <w:rFonts w:ascii="宋体" w:hAnsi="宋体" w:cs="宋体" w:eastAsia="宋体" w:hint="default"/>
        </w:rPr>
        <w:t>16</w:t>
      </w:r>
      <w:r>
        <w:rPr>
          <w:rFonts w:ascii="宋体" w:hAnsi="宋体" w:cs="宋体" w:eastAsia="宋体" w:hint="default"/>
          <w:spacing w:val="-63"/>
        </w:rPr>
        <w:t> </w:t>
      </w:r>
      <w:r>
        <w:rPr/>
        <w:t>日，公司召开了第五届监事会第十六次会议，审议通过了《关于核查公司首次限制 性股票激励计划第三个解锁期可解锁激励对象名单的议案》；</w:t>
      </w:r>
    </w:p>
    <w:p>
      <w:pPr>
        <w:pStyle w:val="BodyText"/>
        <w:spacing w:line="355" w:lineRule="auto" w:before="33"/>
        <w:ind w:right="1163" w:firstLine="420"/>
        <w:jc w:val="both"/>
      </w:pPr>
      <w:r>
        <w:rPr>
          <w:rFonts w:ascii="宋体" w:hAnsi="宋体" w:cs="宋体" w:eastAsia="宋体" w:hint="default"/>
        </w:rPr>
        <w:t>8</w:t>
      </w:r>
      <w:r>
        <w:rPr/>
        <w:t>、</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日，公司召开了第五届监事会第十七次会议，审议通过了《关于</w:t>
      </w:r>
      <w:r>
        <w:rPr>
          <w:rFonts w:ascii="宋体" w:hAnsi="宋体" w:cs="宋体" w:eastAsia="宋体" w:hint="default"/>
        </w:rPr>
        <w:t>&lt;</w:t>
      </w:r>
      <w:r>
        <w:rPr/>
        <w:t>公司第一期员工 持股计划（草案）</w:t>
      </w:r>
      <w:r>
        <w:rPr>
          <w:rFonts w:ascii="宋体" w:hAnsi="宋体" w:cs="宋体" w:eastAsia="宋体" w:hint="default"/>
        </w:rPr>
        <w:t>&gt;</w:t>
      </w:r>
      <w:r>
        <w:rPr/>
        <w:t>及其摘要的议案》、《关于核实公司第一期员工持股计划之持有人名单的议案》；</w:t>
      </w:r>
    </w:p>
    <w:p>
      <w:pPr>
        <w:pStyle w:val="BodyText"/>
        <w:spacing w:line="355" w:lineRule="auto" w:before="33"/>
        <w:ind w:left="154" w:right="1216" w:firstLine="420"/>
        <w:jc w:val="both"/>
      </w:pPr>
      <w:r>
        <w:rPr>
          <w:rFonts w:ascii="宋体" w:hAnsi="宋体" w:cs="宋体" w:eastAsia="宋体" w:hint="default"/>
        </w:rPr>
        <w:t>9</w:t>
      </w:r>
      <w:r>
        <w:rPr/>
        <w:t>、</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日，公司召开了第五届监事会第十八次会议，审议通过了《</w:t>
      </w:r>
      <w:r>
        <w:rPr>
          <w:rFonts w:ascii="宋体" w:hAnsi="宋体" w:cs="宋体" w:eastAsia="宋体" w:hint="default"/>
        </w:rPr>
        <w:t>2015</w:t>
      </w:r>
      <w:r>
        <w:rPr>
          <w:rFonts w:ascii="宋体" w:hAnsi="宋体" w:cs="宋体" w:eastAsia="宋体" w:hint="default"/>
          <w:spacing w:val="-54"/>
        </w:rPr>
        <w:t> </w:t>
      </w:r>
      <w:r>
        <w:rPr/>
        <w:t>年半年度报告全 文》及摘要、《</w:t>
      </w:r>
      <w:r>
        <w:rPr>
          <w:rFonts w:ascii="宋体" w:hAnsi="宋体" w:cs="宋体" w:eastAsia="宋体" w:hint="default"/>
        </w:rPr>
        <w:t>2015</w:t>
      </w:r>
      <w:r>
        <w:rPr>
          <w:rFonts w:ascii="宋体" w:hAnsi="宋体" w:cs="宋体" w:eastAsia="宋体" w:hint="default"/>
          <w:spacing w:val="-53"/>
        </w:rPr>
        <w:t> </w:t>
      </w:r>
      <w:r>
        <w:rPr/>
        <w:t>年半年度募集资金存放与使用情况的专项报告》；</w:t>
      </w:r>
    </w:p>
    <w:p>
      <w:pPr>
        <w:pStyle w:val="BodyText"/>
        <w:spacing w:line="355" w:lineRule="auto" w:before="33"/>
        <w:ind w:left="154" w:right="1214" w:firstLine="420"/>
        <w:jc w:val="both"/>
      </w:pPr>
      <w:r>
        <w:rPr>
          <w:rFonts w:ascii="宋体" w:hAnsi="宋体" w:cs="宋体" w:eastAsia="宋体" w:hint="default"/>
        </w:rPr>
        <w:t>10</w:t>
      </w:r>
      <w:r>
        <w:rPr/>
        <w:t>、</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29</w:t>
      </w:r>
      <w:r>
        <w:rPr>
          <w:rFonts w:ascii="宋体" w:hAnsi="宋体" w:cs="宋体" w:eastAsia="宋体" w:hint="default"/>
          <w:spacing w:val="-54"/>
        </w:rPr>
        <w:t> </w:t>
      </w:r>
      <w:r>
        <w:rPr/>
        <w:t>日，公司召开了第五届监事会第十九次会议，审议通过了《</w:t>
      </w:r>
      <w:r>
        <w:rPr>
          <w:rFonts w:ascii="宋体" w:hAnsi="宋体" w:cs="宋体" w:eastAsia="宋体" w:hint="default"/>
        </w:rPr>
        <w:t>2015</w:t>
      </w:r>
      <w:r>
        <w:rPr>
          <w:rFonts w:ascii="宋体" w:hAnsi="宋体" w:cs="宋体" w:eastAsia="宋体" w:hint="default"/>
          <w:spacing w:val="-52"/>
        </w:rPr>
        <w:t> </w:t>
      </w:r>
      <w:r>
        <w:rPr/>
        <w:t>年第三季度报 告》正文及全文、《关于公司向北京银行申请买方信贷额度并为该额度提供担保的议案》；</w:t>
      </w:r>
    </w:p>
    <w:p>
      <w:pPr>
        <w:pStyle w:val="BodyText"/>
        <w:spacing w:line="357" w:lineRule="auto" w:before="32"/>
        <w:ind w:left="154" w:right="1132" w:firstLine="420"/>
        <w:jc w:val="both"/>
      </w:pPr>
      <w:r>
        <w:rPr>
          <w:rFonts w:ascii="宋体" w:hAnsi="宋体" w:cs="宋体" w:eastAsia="宋体" w:hint="default"/>
          <w:spacing w:val="-3"/>
        </w:rPr>
        <w:t>11</w:t>
      </w:r>
      <w:r>
        <w:rPr>
          <w:spacing w:val="-3"/>
        </w:rPr>
        <w:t>、</w:t>
      </w:r>
      <w:r>
        <w:rPr>
          <w:rFonts w:ascii="宋体" w:hAnsi="宋体" w:cs="宋体" w:eastAsia="宋体" w:hint="default"/>
          <w:spacing w:val="-3"/>
        </w:rPr>
        <w:t>2015</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25</w:t>
      </w:r>
      <w:r>
        <w:rPr>
          <w:rFonts w:ascii="宋体" w:hAnsi="宋体" w:cs="宋体" w:eastAsia="宋体" w:hint="default"/>
          <w:spacing w:val="-65"/>
        </w:rPr>
        <w:t> </w:t>
      </w:r>
      <w:r>
        <w:rPr/>
        <w:t>日，公司召开了第五届监事会第二十次会议，审议通过了《关于调整第二期限制 </w:t>
      </w:r>
      <w:r>
        <w:rPr>
          <w:spacing w:val="-1"/>
        </w:rPr>
        <w:t>性股票激励计划预留股份数量的议案》、《关于对第二期限制性股票激励计划预留股份的激励对象名单进</w:t>
      </w:r>
      <w:r>
        <w:rPr>
          <w:spacing w:val="-82"/>
        </w:rPr>
        <w:t> </w:t>
      </w:r>
      <w:r>
        <w:rPr>
          <w:spacing w:val="-82"/>
        </w:rPr>
      </w:r>
      <w:r>
        <w:rPr/>
        <w:t>行核查的议案》、《关于使用闲置募集资金和自有资金购买银行理财产品的议案》。</w:t>
      </w:r>
    </w:p>
    <w:p>
      <w:pPr>
        <w:pStyle w:val="BodyText"/>
        <w:spacing w:line="355" w:lineRule="auto" w:before="31"/>
        <w:ind w:left="574" w:right="1197" w:firstLine="1"/>
        <w:jc w:val="left"/>
      </w:pPr>
      <w:r>
        <w:rPr/>
        <w:t>（二）监事会对</w:t>
      </w:r>
      <w:r>
        <w:rPr>
          <w:spacing w:val="-53"/>
        </w:rPr>
        <w:t> </w:t>
      </w:r>
      <w:r>
        <w:rPr>
          <w:rFonts w:ascii="宋体" w:hAnsi="宋体" w:cs="宋体" w:eastAsia="宋体" w:hint="default"/>
        </w:rPr>
        <w:t>2015</w:t>
      </w:r>
      <w:r>
        <w:rPr>
          <w:rFonts w:ascii="宋体" w:hAnsi="宋体" w:cs="宋体" w:eastAsia="宋体" w:hint="default"/>
          <w:spacing w:val="-54"/>
        </w:rPr>
        <w:t> </w:t>
      </w:r>
      <w:r>
        <w:rPr/>
        <w:t>年度公司运作事项发表的核查意见 </w:t>
      </w:r>
      <w:r>
        <w:rPr>
          <w:rFonts w:ascii="宋体" w:hAnsi="宋体" w:cs="宋体" w:eastAsia="宋体" w:hint="default"/>
        </w:rPr>
        <w:t>1</w:t>
      </w:r>
      <w:r>
        <w:rPr/>
        <w:t>、公司依法运作情况。监事会依照有关法律、法规的规定，认真履行职责，出席了公司股东大会，</w:t>
      </w:r>
    </w:p>
    <w:p>
      <w:pPr>
        <w:spacing w:after="0" w:line="355" w:lineRule="auto"/>
        <w:jc w:val="left"/>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7" w:lineRule="auto" w:before="35"/>
        <w:ind w:right="1017"/>
        <w:jc w:val="left"/>
      </w:pPr>
      <w:r>
        <w:rPr/>
        <w:t>列席了部分董事会，对会议的召集、召开、决策程序以及</w:t>
      </w:r>
      <w:r>
        <w:rPr>
          <w:spacing w:val="-53"/>
        </w:rPr>
        <w:t> </w:t>
      </w:r>
      <w:r>
        <w:rPr>
          <w:rFonts w:ascii="宋体" w:hAnsi="宋体" w:cs="宋体" w:eastAsia="宋体" w:hint="default"/>
        </w:rPr>
        <w:t>2015</w:t>
      </w:r>
      <w:r>
        <w:rPr>
          <w:rFonts w:ascii="宋体" w:hAnsi="宋体" w:cs="宋体" w:eastAsia="宋体" w:hint="default"/>
          <w:spacing w:val="-54"/>
        </w:rPr>
        <w:t> </w:t>
      </w:r>
      <w:r>
        <w:rPr/>
        <w:t>年度董事会对股东大会决议的执行情况以 </w:t>
      </w:r>
      <w:r>
        <w:rPr>
          <w:spacing w:val="-1"/>
        </w:rPr>
        <w:t>及公司决策运作情况进行了监督。监事会认为，公司董事会、股东大会的召开、决策程序合法有效，董事</w:t>
      </w:r>
      <w:r>
        <w:rPr>
          <w:spacing w:val="-83"/>
        </w:rPr>
        <w:t> </w:t>
      </w:r>
      <w:r>
        <w:rPr>
          <w:spacing w:val="-83"/>
        </w:rPr>
      </w:r>
      <w:r>
        <w:rPr>
          <w:spacing w:val="-1"/>
        </w:rPr>
        <w:t>会能够认真执行股东大会的各项决议，公司董事、高级管理人员在履行公司职务时，均能够勤勉尽职，遵</w:t>
      </w:r>
      <w:r>
        <w:rPr>
          <w:spacing w:val="-85"/>
        </w:rPr>
        <w:t> </w:t>
      </w:r>
      <w:r>
        <w:rPr>
          <w:spacing w:val="-85"/>
        </w:rPr>
      </w:r>
      <w:r>
        <w:rPr/>
        <w:t>守国家法律法规和公司相关规定，不存在违反法律、法规、公司章程或损害公司利益的行为。</w:t>
      </w:r>
    </w:p>
    <w:p>
      <w:pPr>
        <w:pStyle w:val="BodyText"/>
        <w:spacing w:line="357" w:lineRule="auto" w:before="31"/>
        <w:ind w:right="1093" w:firstLine="420"/>
        <w:jc w:val="left"/>
      </w:pPr>
      <w:r>
        <w:rPr>
          <w:rFonts w:ascii="宋体" w:hAnsi="宋体" w:cs="宋体" w:eastAsia="宋体" w:hint="default"/>
        </w:rPr>
        <w:t>2</w:t>
      </w:r>
      <w:r>
        <w:rPr/>
        <w:t>、公司财务情况。</w:t>
      </w:r>
      <w:r>
        <w:rPr>
          <w:rFonts w:ascii="宋体" w:hAnsi="宋体" w:cs="宋体" w:eastAsia="宋体" w:hint="default"/>
        </w:rPr>
        <w:t>2015</w:t>
      </w:r>
      <w:r>
        <w:rPr>
          <w:rFonts w:ascii="宋体" w:hAnsi="宋体" w:cs="宋体" w:eastAsia="宋体" w:hint="default"/>
          <w:spacing w:val="-55"/>
        </w:rPr>
        <w:t> </w:t>
      </w:r>
      <w:r>
        <w:rPr/>
        <w:t>年度，监事会通过查阅公司财务报表、财务状况和内控制度等进行了监督检 查。监事会认为公司财务管理和内控制度健全，严格执行了企业会计准则，会计无重大遗漏和虚假记载， 中勤万信会计师事务所（特殊普通合伙）对公司</w:t>
      </w:r>
      <w:r>
        <w:rPr>
          <w:spacing w:val="-53"/>
        </w:rPr>
        <w:t> </w:t>
      </w:r>
      <w:r>
        <w:rPr>
          <w:rFonts w:ascii="宋体" w:hAnsi="宋体" w:cs="宋体" w:eastAsia="宋体" w:hint="default"/>
        </w:rPr>
        <w:t>2015</w:t>
      </w:r>
      <w:r>
        <w:rPr>
          <w:rFonts w:ascii="宋体" w:hAnsi="宋体" w:cs="宋体" w:eastAsia="宋体" w:hint="default"/>
          <w:spacing w:val="-54"/>
        </w:rPr>
        <w:t> </w:t>
      </w:r>
      <w:r>
        <w:rPr/>
        <w:t>年度财务报告出具了标准无保留意见的审计报告， 真实、公正地反映了公司的财务状况和经营成果。</w:t>
      </w:r>
    </w:p>
    <w:p>
      <w:pPr>
        <w:pStyle w:val="BodyText"/>
        <w:spacing w:line="357" w:lineRule="auto"/>
        <w:ind w:right="1131" w:firstLine="420"/>
        <w:jc w:val="both"/>
      </w:pPr>
      <w:r>
        <w:rPr>
          <w:rFonts w:ascii="宋体" w:hAnsi="宋体" w:cs="宋体" w:eastAsia="宋体" w:hint="default"/>
          <w:spacing w:val="-3"/>
        </w:rPr>
        <w:t>3</w:t>
      </w:r>
      <w:r>
        <w:rPr>
          <w:spacing w:val="-3"/>
        </w:rPr>
        <w:t>、检查募集资金的投入情况。</w:t>
      </w:r>
      <w:r>
        <w:rPr>
          <w:rFonts w:ascii="宋体" w:hAnsi="宋体" w:cs="宋体" w:eastAsia="宋体" w:hint="default"/>
          <w:spacing w:val="-3"/>
        </w:rPr>
        <w:t>2015</w:t>
      </w:r>
      <w:r>
        <w:rPr>
          <w:rFonts w:ascii="宋体" w:hAnsi="宋体" w:cs="宋体" w:eastAsia="宋体" w:hint="default"/>
          <w:spacing w:val="-52"/>
        </w:rPr>
        <w:t> </w:t>
      </w:r>
      <w:r>
        <w:rPr>
          <w:spacing w:val="-4"/>
        </w:rPr>
        <w:t>年度，公司使用</w:t>
      </w:r>
      <w:r>
        <w:rPr>
          <w:spacing w:val="-51"/>
        </w:rPr>
        <w:t> </w:t>
      </w:r>
      <w:r>
        <w:rPr>
          <w:rFonts w:ascii="宋体" w:hAnsi="宋体" w:cs="宋体" w:eastAsia="宋体" w:hint="default"/>
        </w:rPr>
        <w:t>2014</w:t>
      </w:r>
      <w:r>
        <w:rPr>
          <w:rFonts w:ascii="宋体" w:hAnsi="宋体" w:cs="宋体" w:eastAsia="宋体" w:hint="default"/>
          <w:spacing w:val="-53"/>
        </w:rPr>
        <w:t> </w:t>
      </w:r>
      <w:r>
        <w:rPr/>
        <w:t>年度非公开发行股票募集的资金募集的资金 </w:t>
      </w:r>
      <w:r>
        <w:rPr>
          <w:spacing w:val="-3"/>
        </w:rPr>
        <w:t>补充了营运资金，并进行了适当的现金管理；</w:t>
      </w:r>
      <w:r>
        <w:rPr>
          <w:rFonts w:ascii="宋体" w:hAnsi="宋体" w:cs="宋体" w:eastAsia="宋体" w:hint="default"/>
          <w:spacing w:val="-3"/>
        </w:rPr>
        <w:t>2015</w:t>
      </w:r>
      <w:r>
        <w:rPr>
          <w:rFonts w:ascii="宋体" w:hAnsi="宋体" w:cs="宋体" w:eastAsia="宋体" w:hint="default"/>
          <w:spacing w:val="-58"/>
        </w:rPr>
        <w:t> </w:t>
      </w:r>
      <w:r>
        <w:rPr/>
        <w:t>年重大资产重组的配套资金除支付中介费用外，未做使 </w:t>
      </w:r>
      <w:r>
        <w:rPr>
          <w:spacing w:val="-3"/>
        </w:rPr>
        <w:t>用。监事会认为公司使用募集资金履行了必要的决策程序，不会对公司主营业务和日常经营产生不良影响</w:t>
      </w:r>
      <w:r>
        <w:rPr>
          <w:rFonts w:ascii="宋体" w:hAnsi="宋体" w:cs="宋体" w:eastAsia="宋体" w:hint="default"/>
          <w:spacing w:val="-3"/>
        </w:rPr>
        <w:t>,</w:t>
      </w:r>
      <w:r>
        <w:rPr>
          <w:rFonts w:ascii="宋体" w:hAnsi="宋体" w:cs="宋体" w:eastAsia="宋体" w:hint="default"/>
          <w:spacing w:val="-91"/>
        </w:rPr>
        <w:t> </w:t>
      </w:r>
      <w:r>
        <w:rPr>
          <w:spacing w:val="-1"/>
        </w:rPr>
        <w:t>不存在变相改变募集资金用途和损害股东利益的情形，有利于提高资金使用效率，符合公司发展和股东的</w:t>
      </w:r>
      <w:r>
        <w:rPr>
          <w:spacing w:val="-81"/>
        </w:rPr>
        <w:t> </w:t>
      </w:r>
      <w:r>
        <w:rPr>
          <w:spacing w:val="-81"/>
        </w:rPr>
      </w:r>
      <w:r>
        <w:rPr/>
        <w:t>利益，符合中国证监会和深圳证券交易所的有关规定。</w:t>
      </w:r>
    </w:p>
    <w:p>
      <w:pPr>
        <w:pStyle w:val="BodyText"/>
        <w:spacing w:line="357" w:lineRule="auto" w:before="31"/>
        <w:ind w:right="1017" w:firstLine="420"/>
        <w:jc w:val="left"/>
      </w:pPr>
      <w:r>
        <w:rPr>
          <w:rFonts w:ascii="宋体" w:hAnsi="宋体" w:cs="宋体" w:eastAsia="宋体" w:hint="default"/>
        </w:rPr>
        <w:t>4</w:t>
      </w:r>
      <w:r>
        <w:rPr/>
        <w:t>、公司对外投资情况。</w:t>
      </w:r>
      <w:r>
        <w:rPr>
          <w:rFonts w:ascii="宋体" w:hAnsi="宋体" w:cs="宋体" w:eastAsia="宋体" w:hint="default"/>
        </w:rPr>
        <w:t>2015</w:t>
      </w:r>
      <w:r>
        <w:rPr>
          <w:rFonts w:ascii="宋体" w:hAnsi="宋体" w:cs="宋体" w:eastAsia="宋体" w:hint="default"/>
          <w:spacing w:val="-53"/>
        </w:rPr>
        <w:t> </w:t>
      </w:r>
      <w:r>
        <w:rPr/>
        <w:t>年度，公司实施了多笔对外投资，包括对全资子公司达实信息增资，保 </w:t>
      </w:r>
      <w:r>
        <w:rPr>
          <w:spacing w:val="-1"/>
        </w:rPr>
        <w:t>证其自有物业改扩建的顺利实施；通过重大资产重组收购久信医疗、参股小鹿暖暖布局医院核心系统，壮</w:t>
      </w:r>
      <w:r>
        <w:rPr>
          <w:spacing w:val="-83"/>
        </w:rPr>
        <w:t> </w:t>
      </w:r>
      <w:r>
        <w:rPr>
          <w:spacing w:val="-83"/>
        </w:rPr>
      </w:r>
      <w:r>
        <w:rPr>
          <w:spacing w:val="-1"/>
        </w:rPr>
        <w:t>大公司智慧医疗业务；合资设立融智节能公司，实现了公司国际化发展的第一步；以及在淮南、仁怀、昌</w:t>
      </w:r>
      <w:r>
        <w:rPr>
          <w:spacing w:val="-83"/>
        </w:rPr>
        <w:t> </w:t>
      </w:r>
      <w:r>
        <w:rPr>
          <w:spacing w:val="-83"/>
        </w:rPr>
      </w:r>
      <w:r>
        <w:rPr>
          <w:spacing w:val="-1"/>
        </w:rPr>
        <w:t>都、深圳设立子公司，进一步拓展业务、加强项目实施能力。经核查，上述对外投资均履行了必要的审批</w:t>
      </w:r>
      <w:r>
        <w:rPr>
          <w:spacing w:val="-83"/>
        </w:rPr>
        <w:t> </w:t>
      </w:r>
      <w:r>
        <w:rPr>
          <w:spacing w:val="-83"/>
        </w:rPr>
      </w:r>
      <w:r>
        <w:rPr/>
        <w:t>程序，符合公司的发展战略需要</w:t>
      </w:r>
      <w:r>
        <w:rPr>
          <w:rFonts w:ascii="宋体" w:hAnsi="宋体" w:cs="宋体" w:eastAsia="宋体" w:hint="default"/>
        </w:rPr>
        <w:t>,</w:t>
      </w:r>
      <w:r>
        <w:rPr/>
        <w:t>交易遵循了公开、公平、公正的原则，交易价格公允，未发现有侵害中 小股东利益的行为和情况，符合中国证监会和深圳证券交易所的有关规定。</w:t>
      </w:r>
    </w:p>
    <w:p>
      <w:pPr>
        <w:pStyle w:val="BodyText"/>
        <w:spacing w:line="357" w:lineRule="auto"/>
        <w:ind w:left="154" w:right="1017" w:firstLine="420"/>
        <w:jc w:val="left"/>
      </w:pPr>
      <w:r>
        <w:rPr>
          <w:rFonts w:ascii="宋体" w:hAnsi="宋体" w:cs="宋体" w:eastAsia="宋体" w:hint="default"/>
        </w:rPr>
        <w:t>5</w:t>
      </w:r>
      <w:r>
        <w:rPr/>
        <w:t>、公司内控制度情况。公司的内部控制活动涵盖了管理控制、生产过程控制、财务管理控制、人事 </w:t>
      </w:r>
      <w:r>
        <w:rPr>
          <w:spacing w:val="-1"/>
        </w:rPr>
        <w:t>和信息披露等公司所有营运环节，公司各职能部门以及相关岗位具有明确的目标、职责、权限，公司的架</w:t>
      </w:r>
      <w:r>
        <w:rPr>
          <w:spacing w:val="-86"/>
        </w:rPr>
        <w:t> </w:t>
      </w:r>
      <w:r>
        <w:rPr>
          <w:spacing w:val="-86"/>
        </w:rPr>
      </w:r>
      <w:r>
        <w:rPr>
          <w:spacing w:val="-1"/>
        </w:rPr>
        <w:t>构设置保证了公司董事会及管理层下达的指令被有效执行、经营活动健康地运行及控制目标的实现。监事</w:t>
      </w:r>
      <w:r>
        <w:rPr>
          <w:spacing w:val="-81"/>
        </w:rPr>
        <w:t> </w:t>
      </w:r>
      <w:r>
        <w:rPr>
          <w:spacing w:val="-81"/>
        </w:rPr>
      </w:r>
      <w:r>
        <w:rPr>
          <w:spacing w:val="-1"/>
        </w:rPr>
        <w:t>会认为公司内控制度体系的设计与运行符合我国有关法规和监管部门的要求，符合公司自身经营特点，在</w:t>
      </w:r>
      <w:r>
        <w:rPr>
          <w:spacing w:val="-81"/>
        </w:rPr>
        <w:t> </w:t>
      </w:r>
      <w:r>
        <w:rPr>
          <w:spacing w:val="-81"/>
        </w:rPr>
      </w:r>
      <w:r>
        <w:rPr/>
        <w:t>所有重大管理工作方面中制定了健全、合理的内部控制制度，并得到了有效遵循。</w:t>
      </w:r>
    </w:p>
    <w:p>
      <w:pPr>
        <w:pStyle w:val="BodyText"/>
        <w:spacing w:line="357" w:lineRule="auto"/>
        <w:ind w:left="154" w:right="1017" w:firstLine="420"/>
        <w:jc w:val="left"/>
      </w:pPr>
      <w:r>
        <w:rPr>
          <w:rFonts w:ascii="宋体" w:hAnsi="宋体" w:cs="宋体" w:eastAsia="宋体" w:hint="default"/>
        </w:rPr>
        <w:t>6</w:t>
      </w:r>
      <w:r>
        <w:rPr/>
        <w:t>、公司建立和实施内幕信息知情人管理制度情况。公司已建立《内幕信息知情人登记制度》，所有 </w:t>
      </w:r>
      <w:r>
        <w:rPr>
          <w:spacing w:val="-1"/>
        </w:rPr>
        <w:t>重大事项均能按照制度要求履行登记、备案程序。公司重大资产重组对所有知情人、事项进程均严格进行</w:t>
      </w:r>
      <w:r>
        <w:rPr>
          <w:spacing w:val="-83"/>
        </w:rPr>
        <w:t> </w:t>
      </w:r>
      <w:r>
        <w:rPr>
          <w:spacing w:val="-83"/>
        </w:rPr>
      </w:r>
      <w:r>
        <w:rPr/>
        <w:t>了登记、确认，并上报至中国证监会及深圳证券交易所通过了审核。</w:t>
      </w:r>
    </w:p>
    <w:p>
      <w:pPr>
        <w:pStyle w:val="BodyText"/>
        <w:spacing w:line="355" w:lineRule="auto" w:before="31"/>
        <w:ind w:left="154" w:right="1119" w:firstLine="420"/>
        <w:jc w:val="left"/>
      </w:pPr>
      <w:r>
        <w:rPr>
          <w:rFonts w:ascii="宋体" w:hAnsi="宋体" w:cs="宋体" w:eastAsia="宋体" w:hint="default"/>
        </w:rPr>
        <w:t>2016</w:t>
      </w:r>
      <w:r>
        <w:rPr>
          <w:rFonts w:ascii="宋体" w:hAnsi="宋体" w:cs="宋体" w:eastAsia="宋体" w:hint="default"/>
          <w:spacing w:val="-48"/>
        </w:rPr>
        <w:t> </w:t>
      </w:r>
      <w:r>
        <w:rPr>
          <w:spacing w:val="-2"/>
        </w:rPr>
        <w:t>年，监事会将按照上市公司治理要求，以提高监督水平为核心，持续推动公司各项法人治理结构</w:t>
      </w:r>
      <w:r>
        <w:rPr/>
        <w:t> 的完善。</w:t>
      </w:r>
    </w:p>
    <w:p>
      <w:pPr>
        <w:spacing w:line="240" w:lineRule="auto" w:before="3"/>
        <w:rPr>
          <w:rFonts w:ascii="宋体" w:hAnsi="宋体" w:cs="宋体" w:eastAsia="宋体" w:hint="default"/>
          <w:sz w:val="25"/>
          <w:szCs w:val="25"/>
        </w:rPr>
      </w:pPr>
    </w:p>
    <w:p>
      <w:pPr>
        <w:pStyle w:val="Heading2"/>
        <w:spacing w:line="240" w:lineRule="auto"/>
        <w:ind w:right="1017"/>
        <w:jc w:val="left"/>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2"/>
        <w:rPr>
          <w:rFonts w:ascii="宋体" w:hAnsi="宋体" w:cs="宋体" w:eastAsia="宋体" w:hint="default"/>
          <w:b/>
          <w:bCs/>
          <w:sz w:val="23"/>
          <w:szCs w:val="23"/>
        </w:rPr>
      </w:pPr>
    </w:p>
    <w:p>
      <w:pPr>
        <w:pStyle w:val="BodyText"/>
        <w:spacing w:line="355" w:lineRule="auto" w:before="0"/>
        <w:ind w:right="1110" w:firstLine="421"/>
        <w:jc w:val="both"/>
      </w:pPr>
      <w:r>
        <w:rPr>
          <w:spacing w:val="-1"/>
        </w:rPr>
        <w:t>根据《上市公司治理准则》的要求，公司建立了《董事、监事及高级管理人员薪酬管理制度》及考核</w:t>
      </w:r>
      <w:r>
        <w:rPr/>
        <w:t> </w:t>
      </w:r>
      <w:r>
        <w:rPr>
          <w:spacing w:val="-1"/>
        </w:rPr>
        <w:t>激励体系，高级管理人员全部由董事会聘任，直接对董事会负责，承担董事会下达的经营指标。董事会下</w:t>
      </w:r>
      <w:r>
        <w:rPr>
          <w:spacing w:val="-85"/>
        </w:rPr>
        <w:t> </w:t>
      </w:r>
      <w:r>
        <w:rPr>
          <w:spacing w:val="-85"/>
        </w:rPr>
      </w:r>
      <w:r>
        <w:rPr/>
        <w:t>设的薪酬与考核委员会负责对高级管理人员的工作能力、履职情况、责任目标完成情况等进行年终考评，</w:t>
      </w:r>
    </w:p>
    <w:p>
      <w:pPr>
        <w:spacing w:after="0" w:line="355" w:lineRule="auto"/>
        <w:jc w:val="both"/>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240" w:lineRule="auto" w:before="35"/>
        <w:ind w:right="1017"/>
        <w:jc w:val="left"/>
      </w:pPr>
      <w:r>
        <w:rPr/>
        <w:t>制定薪酬方案并报董事会审批。</w:t>
      </w:r>
    </w:p>
    <w:p>
      <w:pPr>
        <w:spacing w:line="240" w:lineRule="auto" w:before="0"/>
        <w:rPr>
          <w:rFonts w:ascii="宋体" w:hAnsi="宋体" w:cs="宋体" w:eastAsia="宋体" w:hint="default"/>
          <w:sz w:val="20"/>
          <w:szCs w:val="20"/>
        </w:rPr>
      </w:pPr>
    </w:p>
    <w:p>
      <w:pPr>
        <w:pStyle w:val="Heading2"/>
        <w:spacing w:line="240" w:lineRule="auto" w:before="169"/>
        <w:ind w:right="1017"/>
        <w:jc w:val="left"/>
        <w:rPr>
          <w:b w:val="0"/>
          <w:bCs w:val="0"/>
        </w:rPr>
      </w:pPr>
      <w:bookmarkStart w:name="九、内部控制评价报告" w:id="145"/>
      <w:bookmarkEnd w:id="145"/>
      <w:r>
        <w:rPr>
          <w:b w:val="0"/>
          <w:bCs w:val="0"/>
        </w:rPr>
      </w:r>
      <w:r>
        <w:rPr/>
        <w:t>九、内部控制评价报告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017"/>
        <w:jc w:val="left"/>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left="153" w:right="1017"/>
        <w:jc w:val="left"/>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49"/>
        <w:gridCol w:w="1622"/>
        <w:gridCol w:w="2784"/>
        <w:gridCol w:w="3602"/>
      </w:tblGrid>
      <w:tr>
        <w:trPr>
          <w:trHeight w:val="402" w:hRule="exact"/>
        </w:trPr>
        <w:tc>
          <w:tcPr>
            <w:tcW w:w="31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年度内部控制评价报告</w:t>
            </w:r>
            <w:r>
              <w:rPr>
                <w:rFonts w:ascii="宋体" w:hAnsi="宋体" w:cs="宋体" w:eastAsia="宋体" w:hint="default"/>
                <w:spacing w:val="-90"/>
                <w:sz w:val="18"/>
                <w:szCs w:val="18"/>
              </w:rPr>
              <w:t>》</w:t>
            </w:r>
            <w:r>
              <w:rPr>
                <w:rFonts w:ascii="宋体" w:hAnsi="宋体" w:cs="宋体" w:eastAsia="宋体" w:hint="default"/>
                <w:sz w:val="18"/>
                <w:szCs w:val="18"/>
              </w:rPr>
              <w:t>，刊登于巨潮资讯网（</w:t>
            </w:r>
            <w:hyperlink r:id="rId11">
              <w:r>
                <w:rPr>
                  <w:rFonts w:ascii="Times New Roman" w:hAnsi="Times New Roman" w:cs="Times New Roman" w:eastAsia="Times New Roman" w:hint="default"/>
                  <w:w w:val="99"/>
                  <w:sz w:val="18"/>
                  <w:szCs w:val="18"/>
                </w:rPr>
                <w:t>ww</w:t>
              </w:r>
              <w:r>
                <w:rPr>
                  <w:rFonts w:ascii="Times New Roman" w:hAnsi="Times New Roman" w:cs="Times New Roman" w:eastAsia="Times New Roman" w:hint="default"/>
                  <w:spacing w:val="-12"/>
                  <w:w w:val="99"/>
                  <w:sz w:val="18"/>
                  <w:szCs w:val="18"/>
                </w:rPr>
                <w:t>w</w:t>
              </w:r>
              <w:r>
                <w:rPr>
                  <w:rFonts w:ascii="Times New Roman" w:hAnsi="Times New Roman" w:cs="Times New Roman" w:eastAsia="Times New Roman" w:hint="default"/>
                  <w:sz w:val="18"/>
                  <w:szCs w:val="18"/>
                </w:rPr>
                <w:t>.cninfo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com.c</w:t>
              </w:r>
              <w:r>
                <w:rPr>
                  <w:rFonts w:ascii="Times New Roman" w:hAnsi="Times New Roman" w:cs="Times New Roman" w:eastAsia="Times New Roman" w:hint="default"/>
                  <w:spacing w:val="-1"/>
                  <w:sz w:val="18"/>
                  <w:szCs w:val="18"/>
                </w:rPr>
                <w:t>n</w:t>
              </w:r>
            </w:hyperlink>
            <w:r>
              <w:rPr>
                <w:rFonts w:ascii="宋体" w:hAnsi="宋体" w:cs="宋体" w:eastAsia="宋体" w:hint="default"/>
                <w:sz w:val="18"/>
                <w:szCs w:val="18"/>
              </w:rPr>
              <w:t>）</w:t>
            </w:r>
          </w:p>
        </w:tc>
      </w:tr>
      <w:tr>
        <w:trPr>
          <w:trHeight w:val="714" w:hRule="exact"/>
        </w:trPr>
        <w:tc>
          <w:tcPr>
            <w:tcW w:w="31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44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033" w:hRule="exact"/>
        </w:trPr>
        <w:tc>
          <w:tcPr>
            <w:tcW w:w="1549" w:type="dxa"/>
            <w:tcBorders>
              <w:top w:val="single" w:sz="4" w:space="0" w:color="000000"/>
              <w:left w:val="single" w:sz="4" w:space="0" w:color="000000"/>
              <w:bottom w:val="nil" w:sz="6" w:space="0" w:color="auto"/>
              <w:right w:val="single" w:sz="4" w:space="0" w:color="000000"/>
            </w:tcBorders>
            <w:shd w:val="clear" w:color="auto" w:fill="D2D2D2"/>
          </w:tcPr>
          <w:p>
            <w:pPr/>
          </w:p>
        </w:tc>
        <w:tc>
          <w:tcPr>
            <w:tcW w:w="4406" w:type="dxa"/>
            <w:gridSpan w:val="2"/>
            <w:vMerge w:val="restart"/>
            <w:tcBorders>
              <w:top w:val="single" w:sz="4" w:space="0" w:color="000000"/>
              <w:left w:val="single" w:sz="9" w:space="0" w:color="D2D2D2"/>
              <w:right w:val="single" w:sz="9" w:space="0" w:color="FFFFFF"/>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、财务报告重大缺陷的迹象包括：</w:t>
            </w:r>
          </w:p>
          <w:p>
            <w:pPr>
              <w:pStyle w:val="TableParagraph"/>
              <w:spacing w:line="240" w:lineRule="auto" w:before="103"/>
              <w:ind w:left="16" w:right="0"/>
              <w:jc w:val="left"/>
              <w:rPr>
                <w:rFonts w:ascii="宋体" w:hAnsi="宋体" w:cs="宋体" w:eastAsia="宋体" w:hint="default"/>
                <w:sz w:val="18"/>
                <w:szCs w:val="18"/>
              </w:rPr>
            </w:pPr>
            <w:r>
              <w:rPr>
                <w:rFonts w:ascii="宋体" w:hAnsi="宋体" w:cs="宋体" w:eastAsia="宋体" w:hint="default"/>
                <w:sz w:val="18"/>
                <w:szCs w:val="18"/>
              </w:rPr>
              <w:t>①控制环境无效。</w:t>
            </w:r>
          </w:p>
          <w:p>
            <w:pPr>
              <w:pStyle w:val="TableParagraph"/>
              <w:spacing w:line="319" w:lineRule="auto" w:before="115"/>
              <w:ind w:left="16" w:right="45"/>
              <w:jc w:val="left"/>
              <w:rPr>
                <w:rFonts w:ascii="宋体" w:hAnsi="宋体" w:cs="宋体" w:eastAsia="宋体" w:hint="default"/>
                <w:sz w:val="18"/>
                <w:szCs w:val="18"/>
              </w:rPr>
            </w:pPr>
            <w:r>
              <w:rPr>
                <w:rFonts w:ascii="宋体" w:hAnsi="宋体" w:cs="宋体" w:eastAsia="宋体" w:hint="default"/>
                <w:sz w:val="18"/>
                <w:szCs w:val="18"/>
              </w:rPr>
              <w:t>②公司董事、监事和高级管理人员舞弊并给企业造成重 大损失和不利影响。</w:t>
            </w:r>
          </w:p>
          <w:p>
            <w:pPr>
              <w:pStyle w:val="TableParagraph"/>
              <w:spacing w:line="319" w:lineRule="auto" w:before="55"/>
              <w:ind w:left="16" w:right="45"/>
              <w:jc w:val="left"/>
              <w:rPr>
                <w:rFonts w:ascii="宋体" w:hAnsi="宋体" w:cs="宋体" w:eastAsia="宋体" w:hint="default"/>
                <w:sz w:val="18"/>
                <w:szCs w:val="18"/>
              </w:rPr>
            </w:pPr>
            <w:r>
              <w:rPr>
                <w:rFonts w:ascii="宋体" w:hAnsi="宋体" w:cs="宋体" w:eastAsia="宋体" w:hint="default"/>
                <w:sz w:val="18"/>
                <w:szCs w:val="18"/>
              </w:rPr>
              <w:t>③注册会计师发现当期财务报告存在重大错报，而内部 控制在运行过程中未能发现该错报。</w:t>
            </w:r>
          </w:p>
          <w:p>
            <w:pPr>
              <w:pStyle w:val="TableParagraph"/>
              <w:spacing w:line="319" w:lineRule="auto" w:before="56"/>
              <w:ind w:left="16" w:right="45"/>
              <w:jc w:val="left"/>
              <w:rPr>
                <w:rFonts w:ascii="宋体" w:hAnsi="宋体" w:cs="宋体" w:eastAsia="宋体" w:hint="default"/>
                <w:sz w:val="18"/>
                <w:szCs w:val="18"/>
              </w:rPr>
            </w:pPr>
            <w:r>
              <w:rPr>
                <w:rFonts w:ascii="宋体" w:hAnsi="宋体" w:cs="宋体" w:eastAsia="宋体" w:hint="default"/>
                <w:sz w:val="18"/>
                <w:szCs w:val="18"/>
              </w:rPr>
              <w:t>④企业审计委员会和内部审计机构对内部控制的监督无 效。</w:t>
            </w:r>
          </w:p>
          <w:p>
            <w:pPr>
              <w:pStyle w:val="TableParagraph"/>
              <w:spacing w:line="319" w:lineRule="auto" w:before="55"/>
              <w:ind w:left="16" w:right="45"/>
              <w:jc w:val="left"/>
              <w:rPr>
                <w:rFonts w:ascii="宋体" w:hAnsi="宋体" w:cs="宋体" w:eastAsia="宋体" w:hint="default"/>
                <w:sz w:val="18"/>
                <w:szCs w:val="18"/>
              </w:rPr>
            </w:pPr>
            <w:r>
              <w:rPr>
                <w:rFonts w:ascii="宋体" w:hAnsi="宋体" w:cs="宋体" w:eastAsia="宋体" w:hint="default"/>
                <w:sz w:val="18"/>
                <w:szCs w:val="18"/>
              </w:rPr>
              <w:t>⑤已经发现并报告给管理层的重大缺陷在合理的时间后 未加以改正。</w:t>
            </w:r>
          </w:p>
          <w:p>
            <w:pPr>
              <w:pStyle w:val="TableParagraph"/>
              <w:spacing w:line="240" w:lineRule="auto" w:before="5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、重要缺陷的迹象包括：</w:t>
            </w:r>
          </w:p>
          <w:p>
            <w:pPr>
              <w:pStyle w:val="TableParagraph"/>
              <w:spacing w:line="240" w:lineRule="auto" w:before="103"/>
              <w:ind w:left="16" w:right="0"/>
              <w:jc w:val="left"/>
              <w:rPr>
                <w:rFonts w:ascii="宋体" w:hAnsi="宋体" w:cs="宋体" w:eastAsia="宋体" w:hint="default"/>
                <w:sz w:val="18"/>
                <w:szCs w:val="18"/>
              </w:rPr>
            </w:pPr>
            <w:r>
              <w:rPr>
                <w:rFonts w:ascii="宋体" w:hAnsi="宋体" w:cs="宋体" w:eastAsia="宋体" w:hint="default"/>
                <w:sz w:val="18"/>
                <w:szCs w:val="18"/>
              </w:rPr>
              <w:t>①未依照公认会计准则选择和应用会计政策。</w:t>
            </w:r>
          </w:p>
          <w:p>
            <w:pPr>
              <w:pStyle w:val="TableParagraph"/>
              <w:spacing w:line="240" w:lineRule="auto" w:before="116"/>
              <w:ind w:left="16" w:right="0"/>
              <w:jc w:val="left"/>
              <w:rPr>
                <w:rFonts w:ascii="宋体" w:hAnsi="宋体" w:cs="宋体" w:eastAsia="宋体" w:hint="default"/>
                <w:sz w:val="18"/>
                <w:szCs w:val="18"/>
              </w:rPr>
            </w:pPr>
            <w:r>
              <w:rPr>
                <w:rFonts w:ascii="宋体" w:hAnsi="宋体" w:cs="宋体" w:eastAsia="宋体" w:hint="default"/>
                <w:sz w:val="18"/>
                <w:szCs w:val="18"/>
              </w:rPr>
              <w:t>②未建立反舞弊程序和控制措施。</w:t>
            </w:r>
          </w:p>
          <w:p>
            <w:pPr>
              <w:pStyle w:val="TableParagraph"/>
              <w:spacing w:line="319" w:lineRule="auto" w:before="115"/>
              <w:ind w:left="16" w:right="45"/>
              <w:jc w:val="left"/>
              <w:rPr>
                <w:rFonts w:ascii="宋体" w:hAnsi="宋体" w:cs="宋体" w:eastAsia="宋体" w:hint="default"/>
                <w:sz w:val="18"/>
                <w:szCs w:val="18"/>
              </w:rPr>
            </w:pPr>
            <w:r>
              <w:rPr>
                <w:rFonts w:ascii="宋体" w:hAnsi="宋体" w:cs="宋体" w:eastAsia="宋体" w:hint="default"/>
                <w:sz w:val="18"/>
                <w:szCs w:val="18"/>
              </w:rPr>
              <w:t>③对于非常规或特殊交易的账务处理没有建立相应的控 制机制或没有实施且没有相应的补偿性控制；</w:t>
            </w:r>
          </w:p>
          <w:p>
            <w:pPr>
              <w:pStyle w:val="TableParagraph"/>
              <w:spacing w:line="338" w:lineRule="auto" w:before="56"/>
              <w:ind w:left="16" w:right="-44"/>
              <w:jc w:val="left"/>
              <w:rPr>
                <w:rFonts w:ascii="宋体" w:hAnsi="宋体" w:cs="宋体" w:eastAsia="宋体" w:hint="default"/>
                <w:sz w:val="18"/>
                <w:szCs w:val="18"/>
              </w:rPr>
            </w:pPr>
            <w:r>
              <w:rPr>
                <w:rFonts w:ascii="宋体" w:hAnsi="宋体" w:cs="宋体" w:eastAsia="宋体" w:hint="default"/>
                <w:sz w:val="18"/>
                <w:szCs w:val="18"/>
              </w:rPr>
              <w:t>④对于期末财务报告过程的控制存在一项或多项缺陷且 不能合理保证编制的财务报表 达到真实、完整的目标。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、一般缺陷是指未构成重大缺陷、重要缺陷标准的其他</w:t>
            </w:r>
          </w:p>
          <w:p>
            <w:pPr>
              <w:pStyle w:val="TableParagraph"/>
              <w:spacing w:line="218" w:lineRule="exact"/>
              <w:ind w:left="16" w:right="0"/>
              <w:jc w:val="left"/>
              <w:rPr>
                <w:rFonts w:ascii="宋体" w:hAnsi="宋体" w:cs="宋体" w:eastAsia="宋体" w:hint="default"/>
                <w:sz w:val="18"/>
                <w:szCs w:val="18"/>
              </w:rPr>
            </w:pPr>
            <w:r>
              <w:rPr>
                <w:rFonts w:ascii="宋体" w:hAnsi="宋体" w:cs="宋体" w:eastAsia="宋体" w:hint="default"/>
                <w:sz w:val="18"/>
                <w:szCs w:val="18"/>
              </w:rPr>
              <w:t>内部控制缺陷。</w:t>
            </w:r>
          </w:p>
        </w:tc>
        <w:tc>
          <w:tcPr>
            <w:tcW w:w="3602"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、重大缺陷的迹象包括：</w:t>
            </w:r>
          </w:p>
          <w:p>
            <w:pPr>
              <w:pStyle w:val="TableParagraph"/>
              <w:spacing w:line="319" w:lineRule="auto" w:before="102"/>
              <w:ind w:left="4" w:right="20"/>
              <w:jc w:val="both"/>
              <w:rPr>
                <w:rFonts w:ascii="宋体" w:hAnsi="宋体" w:cs="宋体" w:eastAsia="宋体" w:hint="default"/>
                <w:sz w:val="18"/>
                <w:szCs w:val="18"/>
              </w:rPr>
            </w:pPr>
            <w:r>
              <w:rPr>
                <w:rFonts w:ascii="宋体" w:hAnsi="宋体" w:cs="宋体" w:eastAsia="宋体" w:hint="default"/>
                <w:spacing w:val="-3"/>
                <w:sz w:val="18"/>
                <w:szCs w:val="18"/>
              </w:rPr>
              <w:t>①违反国家法律、法规或规范性文件；②决策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程序不科学导致重大决策失误；③重要业务制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度性缺失或系统性失效；④重大或重要缺陷不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能得到有效整改；⑤安全、环保事故对公司造</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成重大负面影响的情形；</w:t>
            </w:r>
          </w:p>
          <w:p>
            <w:pPr>
              <w:pStyle w:val="TableParagraph"/>
              <w:spacing w:line="240" w:lineRule="auto" w:before="56"/>
              <w:ind w:left="4" w:right="0"/>
              <w:jc w:val="both"/>
              <w:rPr>
                <w:rFonts w:ascii="宋体" w:hAnsi="宋体" w:cs="宋体" w:eastAsia="宋体" w:hint="default"/>
                <w:sz w:val="18"/>
                <w:szCs w:val="18"/>
              </w:rPr>
            </w:pPr>
            <w:r>
              <w:rPr>
                <w:rFonts w:ascii="宋体" w:hAnsi="宋体" w:cs="宋体" w:eastAsia="宋体" w:hint="default"/>
                <w:sz w:val="18"/>
                <w:szCs w:val="18"/>
              </w:rPr>
              <w:t>⑥其他对公司产生重大负面影响的情形。</w:t>
            </w:r>
          </w:p>
          <w:p>
            <w:pPr>
              <w:pStyle w:val="TableParagraph"/>
              <w:spacing w:line="240" w:lineRule="auto" w:before="117"/>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、重要缺陷的迹象包括：</w:t>
            </w:r>
          </w:p>
          <w:p>
            <w:pPr>
              <w:pStyle w:val="TableParagraph"/>
              <w:spacing w:line="240" w:lineRule="auto" w:before="102"/>
              <w:ind w:left="4" w:right="0"/>
              <w:jc w:val="both"/>
              <w:rPr>
                <w:rFonts w:ascii="宋体" w:hAnsi="宋体" w:cs="宋体" w:eastAsia="宋体" w:hint="default"/>
                <w:sz w:val="18"/>
                <w:szCs w:val="18"/>
              </w:rPr>
            </w:pPr>
            <w:r>
              <w:rPr>
                <w:rFonts w:ascii="宋体" w:hAnsi="宋体" w:cs="宋体" w:eastAsia="宋体" w:hint="default"/>
                <w:sz w:val="18"/>
                <w:szCs w:val="18"/>
              </w:rPr>
              <w:t>①重要业务制度或系统存在缺陷；</w:t>
            </w:r>
          </w:p>
          <w:p>
            <w:pPr>
              <w:pStyle w:val="TableParagraph"/>
              <w:spacing w:line="319" w:lineRule="auto" w:before="115"/>
              <w:ind w:left="4" w:right="159"/>
              <w:jc w:val="left"/>
              <w:rPr>
                <w:rFonts w:ascii="宋体" w:hAnsi="宋体" w:cs="宋体" w:eastAsia="宋体" w:hint="default"/>
                <w:sz w:val="18"/>
                <w:szCs w:val="18"/>
              </w:rPr>
            </w:pPr>
            <w:r>
              <w:rPr>
                <w:rFonts w:ascii="宋体" w:hAnsi="宋体" w:cs="宋体" w:eastAsia="宋体" w:hint="default"/>
                <w:sz w:val="18"/>
                <w:szCs w:val="18"/>
              </w:rPr>
              <w:t>②内部控制内部监督发现的重要缺陷未及时 整改；</w:t>
            </w:r>
          </w:p>
          <w:p>
            <w:pPr>
              <w:pStyle w:val="TableParagraph"/>
              <w:spacing w:line="240" w:lineRule="auto" w:before="58"/>
              <w:ind w:left="4" w:right="0"/>
              <w:jc w:val="both"/>
              <w:rPr>
                <w:rFonts w:ascii="宋体" w:hAnsi="宋体" w:cs="宋体" w:eastAsia="宋体" w:hint="default"/>
                <w:sz w:val="18"/>
                <w:szCs w:val="18"/>
              </w:rPr>
            </w:pPr>
            <w:r>
              <w:rPr>
                <w:rFonts w:ascii="宋体" w:hAnsi="宋体" w:cs="宋体" w:eastAsia="宋体" w:hint="default"/>
                <w:sz w:val="18"/>
                <w:szCs w:val="18"/>
              </w:rPr>
              <w:t>③其他对公司产生较大负面影响的情形。</w:t>
            </w:r>
          </w:p>
          <w:p>
            <w:pPr>
              <w:pStyle w:val="TableParagraph"/>
              <w:spacing w:line="240" w:lineRule="auto" w:before="116"/>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、一般缺陷迹象包括：</w:t>
            </w:r>
          </w:p>
          <w:p>
            <w:pPr>
              <w:pStyle w:val="TableParagraph"/>
              <w:spacing w:line="240" w:lineRule="auto" w:before="102"/>
              <w:ind w:left="4" w:right="0"/>
              <w:jc w:val="both"/>
              <w:rPr>
                <w:rFonts w:ascii="宋体" w:hAnsi="宋体" w:cs="宋体" w:eastAsia="宋体" w:hint="default"/>
                <w:sz w:val="18"/>
                <w:szCs w:val="18"/>
              </w:rPr>
            </w:pPr>
            <w:r>
              <w:rPr>
                <w:rFonts w:ascii="宋体" w:hAnsi="宋体" w:cs="宋体" w:eastAsia="宋体" w:hint="default"/>
                <w:sz w:val="18"/>
                <w:szCs w:val="18"/>
              </w:rPr>
              <w:t>①一般业务制度或系统存在缺陷；</w:t>
            </w:r>
          </w:p>
          <w:p>
            <w:pPr>
              <w:pStyle w:val="TableParagraph"/>
              <w:spacing w:line="319" w:lineRule="auto" w:before="116"/>
              <w:ind w:left="4" w:right="159"/>
              <w:jc w:val="left"/>
              <w:rPr>
                <w:rFonts w:ascii="宋体" w:hAnsi="宋体" w:cs="宋体" w:eastAsia="宋体" w:hint="default"/>
                <w:sz w:val="18"/>
                <w:szCs w:val="18"/>
              </w:rPr>
            </w:pPr>
            <w:r>
              <w:rPr>
                <w:rFonts w:ascii="宋体" w:hAnsi="宋体" w:cs="宋体" w:eastAsia="宋体" w:hint="default"/>
                <w:sz w:val="18"/>
                <w:szCs w:val="18"/>
              </w:rPr>
              <w:t>②内部控制内部监督发现的一般缺陷未及时 整改。</w:t>
            </w:r>
          </w:p>
        </w:tc>
      </w:tr>
      <w:tr>
        <w:trPr>
          <w:trHeight w:val="392" w:hRule="exact"/>
        </w:trPr>
        <w:tc>
          <w:tcPr>
            <w:tcW w:w="1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4406" w:type="dxa"/>
            <w:gridSpan w:val="2"/>
            <w:vMerge/>
            <w:tcBorders>
              <w:left w:val="single" w:sz="9" w:space="0" w:color="D2D2D2"/>
              <w:right w:val="single" w:sz="9" w:space="0" w:color="FFFFFF"/>
            </w:tcBorders>
          </w:tcPr>
          <w:p>
            <w:pPr/>
          </w:p>
        </w:tc>
        <w:tc>
          <w:tcPr>
            <w:tcW w:w="3602" w:type="dxa"/>
            <w:vMerge/>
            <w:tcBorders>
              <w:left w:val="single" w:sz="9" w:space="0" w:color="FFFFFF"/>
              <w:right w:val="single" w:sz="4" w:space="0" w:color="000000"/>
            </w:tcBorders>
          </w:tcPr>
          <w:p>
            <w:pPr/>
          </w:p>
        </w:tc>
      </w:tr>
      <w:tr>
        <w:trPr>
          <w:trHeight w:val="3033" w:hRule="exact"/>
        </w:trPr>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4406" w:type="dxa"/>
            <w:gridSpan w:val="2"/>
            <w:vMerge/>
            <w:tcBorders>
              <w:left w:val="single" w:sz="9" w:space="0" w:color="D2D2D2"/>
              <w:bottom w:val="single" w:sz="4" w:space="0" w:color="000000"/>
              <w:right w:val="single" w:sz="9" w:space="0" w:color="FFFFFF"/>
            </w:tcBorders>
          </w:tcPr>
          <w:p>
            <w:pPr/>
          </w:p>
        </w:tc>
        <w:tc>
          <w:tcPr>
            <w:tcW w:w="3602" w:type="dxa"/>
            <w:vMerge/>
            <w:tcBorders>
              <w:left w:val="single" w:sz="9" w:space="0" w:color="FFFFFF"/>
              <w:bottom w:val="single" w:sz="4" w:space="0" w:color="000000"/>
              <w:right w:val="single" w:sz="4" w:space="0" w:color="000000"/>
            </w:tcBorders>
          </w:tcPr>
          <w:p>
            <w:pPr/>
          </w:p>
        </w:tc>
      </w:tr>
      <w:tr>
        <w:trPr>
          <w:trHeight w:val="318" w:hRule="exact"/>
        </w:trPr>
        <w:tc>
          <w:tcPr>
            <w:tcW w:w="1549" w:type="dxa"/>
            <w:tcBorders>
              <w:top w:val="single" w:sz="4" w:space="0" w:color="000000"/>
              <w:left w:val="single" w:sz="4" w:space="0" w:color="000000"/>
              <w:bottom w:val="nil" w:sz="6" w:space="0" w:color="auto"/>
              <w:right w:val="single" w:sz="4" w:space="0" w:color="000000"/>
            </w:tcBorders>
            <w:shd w:val="clear" w:color="auto" w:fill="D2D2D2"/>
          </w:tcPr>
          <w:p>
            <w:pPr/>
          </w:p>
        </w:tc>
        <w:tc>
          <w:tcPr>
            <w:tcW w:w="4406" w:type="dxa"/>
            <w:gridSpan w:val="2"/>
            <w:vMerge w:val="restart"/>
            <w:tcBorders>
              <w:top w:val="single" w:sz="4" w:space="0" w:color="000000"/>
              <w:left w:val="single" w:sz="9" w:space="0" w:color="D2D2D2"/>
              <w:right w:val="single" w:sz="4" w:space="0" w:color="000000"/>
            </w:tcBorders>
          </w:tcPr>
          <w:p>
            <w:pPr>
              <w:pStyle w:val="TableParagraph"/>
              <w:spacing w:line="319" w:lineRule="auto" w:before="52"/>
              <w:ind w:left="16"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重大缺陷：错报金额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或错报金额</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营业 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或错报金额</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重要缺陷：资产总额的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3602" w:type="dxa"/>
            <w:vMerge w:val="restart"/>
            <w:tcBorders>
              <w:top w:val="single" w:sz="4" w:space="0" w:color="000000"/>
              <w:left w:val="single" w:sz="4" w:space="0" w:color="000000"/>
              <w:right w:val="single" w:sz="4" w:space="0" w:color="000000"/>
            </w:tcBorders>
          </w:tcPr>
          <w:p>
            <w:pPr>
              <w:pStyle w:val="TableParagraph"/>
              <w:spacing w:line="300" w:lineRule="auto" w:before="52"/>
              <w:ind w:left="11" w:right="20"/>
              <w:jc w:val="left"/>
              <w:rPr>
                <w:rFonts w:ascii="宋体" w:hAnsi="宋体" w:cs="宋体" w:eastAsia="宋体" w:hint="default"/>
                <w:sz w:val="18"/>
                <w:szCs w:val="18"/>
              </w:rPr>
            </w:pPr>
            <w:r>
              <w:rPr>
                <w:rFonts w:ascii="宋体" w:hAnsi="宋体" w:cs="宋体" w:eastAsia="宋体" w:hint="default"/>
                <w:sz w:val="18"/>
                <w:szCs w:val="18"/>
              </w:rPr>
              <w:t>重大缺陷：损失</w:t>
            </w:r>
            <w:r>
              <w:rPr>
                <w:rFonts w:ascii="Times New Roman" w:hAnsi="Times New Roman" w:cs="Times New Roman" w:eastAsia="Times New Roman" w:hint="default"/>
                <w:sz w:val="18"/>
                <w:szCs w:val="18"/>
              </w:rPr>
              <w:t>&gt;1000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万元，对公司造成较大 负面影响并以公告形式对外披露；</w:t>
            </w:r>
          </w:p>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pacing w:val="-4"/>
                <w:sz w:val="18"/>
                <w:szCs w:val="18"/>
              </w:rPr>
              <w:t>重要缺陷：</w:t>
            </w:r>
            <w:r>
              <w:rPr>
                <w:rFonts w:ascii="Times New Roman" w:hAnsi="Times New Roman" w:cs="Times New Roman" w:eastAsia="Times New Roman" w:hint="default"/>
                <w:spacing w:val="-4"/>
                <w:sz w:val="18"/>
                <w:szCs w:val="18"/>
              </w:rPr>
              <w:t>100  </w:t>
            </w:r>
            <w:r>
              <w:rPr>
                <w:rFonts w:ascii="宋体" w:hAnsi="宋体" w:cs="宋体" w:eastAsia="宋体" w:hint="default"/>
                <w:sz w:val="18"/>
                <w:szCs w:val="18"/>
              </w:rPr>
              <w:t>万元＜损失</w:t>
            </w:r>
            <w:r>
              <w:rPr>
                <w:rFonts w:ascii="Times New Roman" w:hAnsi="Times New Roman" w:cs="Times New Roman" w:eastAsia="Times New Roman" w:hint="default"/>
                <w:sz w:val="18"/>
                <w:szCs w:val="18"/>
              </w:rPr>
              <w:t>≤1000 </w:t>
            </w:r>
            <w:r>
              <w:rPr>
                <w:rFonts w:ascii="Times New Roman" w:hAnsi="Times New Roman" w:cs="Times New Roman" w:eastAsia="Times New Roman" w:hint="default"/>
                <w:spacing w:val="17"/>
                <w:sz w:val="18"/>
                <w:szCs w:val="18"/>
              </w:rPr>
              <w:t> </w:t>
            </w:r>
            <w:r>
              <w:rPr>
                <w:rFonts w:ascii="宋体" w:hAnsi="宋体" w:cs="宋体" w:eastAsia="宋体" w:hint="default"/>
                <w:spacing w:val="-6"/>
                <w:sz w:val="18"/>
                <w:szCs w:val="18"/>
              </w:rPr>
              <w:t>万元，受到</w:t>
            </w:r>
          </w:p>
        </w:tc>
      </w:tr>
      <w:tr>
        <w:trPr>
          <w:trHeight w:val="391" w:hRule="exact"/>
        </w:trPr>
        <w:tc>
          <w:tcPr>
            <w:tcW w:w="1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4406" w:type="dxa"/>
            <w:gridSpan w:val="2"/>
            <w:vMerge/>
            <w:tcBorders>
              <w:left w:val="single" w:sz="9" w:space="0" w:color="D2D2D2"/>
              <w:right w:val="single" w:sz="4" w:space="0" w:color="000000"/>
            </w:tcBorders>
          </w:tcPr>
          <w:p>
            <w:pPr/>
          </w:p>
        </w:tc>
        <w:tc>
          <w:tcPr>
            <w:tcW w:w="3602" w:type="dxa"/>
            <w:vMerge/>
            <w:tcBorders>
              <w:left w:val="single" w:sz="4" w:space="0" w:color="000000"/>
              <w:right w:val="single" w:sz="4" w:space="0" w:color="000000"/>
            </w:tcBorders>
          </w:tcPr>
          <w:p>
            <w:pPr/>
          </w:p>
        </w:tc>
      </w:tr>
      <w:tr>
        <w:trPr>
          <w:trHeight w:val="318" w:hRule="exact"/>
        </w:trPr>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4406" w:type="dxa"/>
            <w:gridSpan w:val="2"/>
            <w:vMerge/>
            <w:tcBorders>
              <w:left w:val="single" w:sz="9" w:space="0" w:color="D2D2D2"/>
              <w:bottom w:val="single" w:sz="4" w:space="0" w:color="000000"/>
              <w:right w:val="single" w:sz="4" w:space="0" w:color="000000"/>
            </w:tcBorders>
          </w:tcPr>
          <w:p>
            <w:pPr/>
          </w:p>
        </w:tc>
        <w:tc>
          <w:tcPr>
            <w:tcW w:w="360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019" w:top="1100" w:bottom="120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560"/>
        <w:gridCol w:w="4395"/>
        <w:gridCol w:w="3614"/>
      </w:tblGrid>
      <w:tr>
        <w:trPr>
          <w:trHeight w:val="165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或营业收入总额的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319" w:lineRule="auto" w:before="64"/>
              <w:ind w:left="22" w:right="25"/>
              <w:jc w:val="left"/>
              <w:rPr>
                <w:rFonts w:ascii="宋体" w:hAnsi="宋体" w:cs="宋体" w:eastAsia="宋体" w:hint="default"/>
                <w:sz w:val="18"/>
                <w:szCs w:val="18"/>
              </w:rPr>
            </w:pPr>
            <w:r>
              <w:rPr>
                <w:rFonts w:ascii="宋体" w:hAnsi="宋体" w:cs="宋体" w:eastAsia="宋体" w:hint="default"/>
                <w:sz w:val="18"/>
                <w:szCs w:val="18"/>
              </w:rPr>
              <w:t>或净利润的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一般缺陷：错报金额＜资产总额的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宋体" w:hAnsi="宋体" w:cs="宋体" w:eastAsia="宋体" w:hint="default"/>
                <w:sz w:val="18"/>
                <w:szCs w:val="18"/>
              </w:rPr>
              <w:t>错报金额＜营 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或错报金额 ＜净利润的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5"/>
              <w:jc w:val="both"/>
              <w:rPr>
                <w:rFonts w:ascii="宋体" w:hAnsi="宋体" w:cs="宋体" w:eastAsia="宋体" w:hint="default"/>
                <w:sz w:val="18"/>
                <w:szCs w:val="18"/>
              </w:rPr>
            </w:pPr>
            <w:r>
              <w:rPr>
                <w:rFonts w:ascii="宋体" w:hAnsi="宋体" w:cs="宋体" w:eastAsia="宋体" w:hint="default"/>
                <w:spacing w:val="6"/>
                <w:sz w:val="18"/>
                <w:szCs w:val="18"/>
              </w:rPr>
              <w:t>省级以上政府部门处罚但未对本公司定期报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告披露造成负面影响；</w:t>
            </w:r>
          </w:p>
          <w:p>
            <w:pPr>
              <w:pStyle w:val="TableParagraph"/>
              <w:spacing w:line="309" w:lineRule="auto" w:before="56"/>
              <w:ind w:left="22" w:right="20"/>
              <w:jc w:val="both"/>
              <w:rPr>
                <w:rFonts w:ascii="宋体" w:hAnsi="宋体" w:cs="宋体" w:eastAsia="宋体" w:hint="default"/>
                <w:sz w:val="18"/>
                <w:szCs w:val="18"/>
              </w:rPr>
            </w:pPr>
            <w:r>
              <w:rPr>
                <w:rFonts w:ascii="宋体" w:hAnsi="宋体" w:cs="宋体" w:eastAsia="宋体" w:hint="default"/>
                <w:sz w:val="18"/>
                <w:szCs w:val="18"/>
              </w:rPr>
              <w:t>一般缺陷：损失</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万元，受到省级（含省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级）以下政府部门处罚，但未对本公司定期报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告披露造成负面影响。</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财务报告重大缺陷 数量（个）</w:t>
            </w:r>
          </w:p>
        </w:tc>
        <w:tc>
          <w:tcPr>
            <w:tcW w:w="80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非财务报告重大缺 陷数量（个）</w:t>
            </w:r>
          </w:p>
        </w:tc>
        <w:tc>
          <w:tcPr>
            <w:tcW w:w="80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财务报告重要缺陷 数量（个）</w:t>
            </w:r>
          </w:p>
        </w:tc>
        <w:tc>
          <w:tcPr>
            <w:tcW w:w="80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非财务报告重要缺 陷数量（个）</w:t>
            </w:r>
          </w:p>
        </w:tc>
        <w:tc>
          <w:tcPr>
            <w:tcW w:w="80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17"/>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44"/>
        <w:ind w:left="0" w:right="1139" w:firstLine="0"/>
        <w:jc w:val="right"/>
        <w:rPr>
          <w:rFonts w:ascii="宋体" w:hAnsi="宋体" w:cs="宋体" w:eastAsia="宋体" w:hint="default"/>
          <w:sz w:val="18"/>
          <w:szCs w:val="18"/>
        </w:rPr>
      </w:pPr>
      <w:r>
        <w:rPr/>
        <w:pict>
          <v:shape style="position:absolute;margin-left:56.459999pt;margin-top:-96.868294pt;width:479.2pt;height:156.8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pacing w:val="-3"/>
                            <w:sz w:val="18"/>
                            <w:szCs w:val="18"/>
                          </w:rPr>
                          <w:t>我们认为，达实智能董事会按照财政部颁发的《企业内部控制基本规范》及相关具体规范的控制标准于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《深圳达实智能股份有限公司内部控制鉴证报告</w:t>
                        </w:r>
                        <w:r>
                          <w:rPr>
                            <w:rFonts w:ascii="宋体" w:hAnsi="宋体" w:cs="宋体" w:eastAsia="宋体" w:hint="default"/>
                            <w:spacing w:val="-81"/>
                            <w:sz w:val="18"/>
                            <w:szCs w:val="18"/>
                          </w:rPr>
                          <w:t>》</w:t>
                        </w:r>
                        <w:r>
                          <w:rPr>
                            <w:rFonts w:ascii="宋体" w:hAnsi="宋体" w:cs="宋体" w:eastAsia="宋体" w:hint="default"/>
                            <w:sz w:val="18"/>
                            <w:szCs w:val="18"/>
                          </w:rPr>
                          <w:t>刊登于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日巨潮资讯网</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154" w:right="1017"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38" w:lineRule="auto" w:before="117"/>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2"/>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12"/>
        <w:jc w:val="center"/>
        <w:rPr>
          <w:b w:val="0"/>
          <w:bCs w:val="0"/>
        </w:rPr>
      </w:pPr>
      <w:bookmarkStart w:name="第十节 财务报告" w:id="149"/>
      <w:bookmarkEnd w:id="149"/>
      <w:r>
        <w:rPr>
          <w:b w:val="0"/>
          <w:bCs w:val="0"/>
        </w:rPr>
      </w:r>
      <w:bookmarkStart w:name="_bookmark9" w:id="150"/>
      <w:bookmarkEnd w:id="150"/>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17"/>
        <w:jc w:val="left"/>
        <w:rPr>
          <w:b w:val="0"/>
          <w:bCs w:val="0"/>
        </w:rPr>
      </w:pPr>
      <w:bookmarkStart w:name="一、审计报告" w:id="151"/>
      <w:bookmarkEnd w:id="151"/>
      <w:r>
        <w:rPr>
          <w:b w:val="0"/>
          <w:bCs w:val="0"/>
        </w:rPr>
      </w:r>
      <w:r>
        <w:rPr/>
        <w:t>一、审计报告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p>
      <w:pPr>
        <w:spacing w:before="44"/>
        <w:ind w:left="0" w:right="1140" w:firstLine="0"/>
        <w:jc w:val="right"/>
        <w:rPr>
          <w:rFonts w:ascii="宋体" w:hAnsi="宋体" w:cs="宋体" w:eastAsia="宋体" w:hint="default"/>
          <w:sz w:val="18"/>
          <w:szCs w:val="18"/>
        </w:rPr>
      </w:pPr>
      <w:r>
        <w:rPr/>
        <w:pict>
          <v:shape style="position:absolute;margin-left:56.459999pt;margin-top:-324.628296pt;width:479.2pt;height:576.050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潘忠民、黄建军</w:t>
                        </w:r>
                      </w:p>
                    </w:tc>
                  </w:tr>
                  <w:tr>
                    <w:trPr>
                      <w:trHeight w:val="99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审计报告正文</w:t>
                        </w:r>
                      </w:p>
                      <w:p>
                        <w:pPr>
                          <w:pStyle w:val="TableParagraph"/>
                          <w:spacing w:line="240" w:lineRule="auto" w:before="116"/>
                          <w:ind w:left="7203" w:right="0"/>
                          <w:jc w:val="left"/>
                          <w:rPr>
                            <w:rFonts w:ascii="宋体" w:hAnsi="宋体" w:cs="宋体" w:eastAsia="宋体" w:hint="default"/>
                            <w:sz w:val="18"/>
                            <w:szCs w:val="18"/>
                          </w:rPr>
                        </w:pPr>
                        <w:r>
                          <w:rPr>
                            <w:rFonts w:ascii="宋体" w:hAnsi="宋体" w:cs="宋体" w:eastAsia="宋体" w:hint="default"/>
                            <w:sz w:val="18"/>
                            <w:szCs w:val="18"/>
                          </w:rPr>
                          <w:t>勤信审字【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11064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57" w:lineRule="auto"/>
                          <w:ind w:left="382" w:right="23" w:hanging="360"/>
                          <w:jc w:val="left"/>
                          <w:rPr>
                            <w:rFonts w:ascii="宋体" w:hAnsi="宋体" w:cs="宋体" w:eastAsia="宋体" w:hint="default"/>
                            <w:sz w:val="18"/>
                            <w:szCs w:val="18"/>
                          </w:rPr>
                        </w:pPr>
                        <w:r>
                          <w:rPr>
                            <w:rFonts w:ascii="宋体" w:hAnsi="宋体" w:cs="宋体" w:eastAsia="宋体" w:hint="default"/>
                            <w:sz w:val="18"/>
                            <w:szCs w:val="18"/>
                          </w:rPr>
                          <w:t>深圳达实智能股份有限公司全体股东： </w:t>
                        </w:r>
                        <w:r>
                          <w:rPr>
                            <w:rFonts w:ascii="宋体" w:hAnsi="宋体" w:cs="宋体" w:eastAsia="宋体" w:hint="default"/>
                            <w:spacing w:val="-1"/>
                            <w:sz w:val="18"/>
                            <w:szCs w:val="18"/>
                          </w:rPr>
                          <w:t>我们审计了后附的深圳达实智能股份有限公司（以下简称“贵公司”）财务报表，包括</w:t>
                        </w:r>
                        <w:r>
                          <w:rPr>
                            <w:rFonts w:ascii="宋体" w:hAnsi="宋体" w:cs="宋体" w:eastAsia="宋体" w:hint="default"/>
                            <w:spacing w:val="-1"/>
                            <w:sz w:val="18"/>
                            <w:szCs w:val="18"/>
                          </w:rPr>
                          <w:t>2015</w:t>
                        </w:r>
                        <w:r>
                          <w:rPr>
                            <w:rFonts w:ascii="宋体" w:hAnsi="宋体" w:cs="宋体" w:eastAsia="宋体" w:hint="default"/>
                            <w:spacing w:val="-1"/>
                            <w:sz w:val="18"/>
                            <w:szCs w:val="18"/>
                          </w:rPr>
                          <w:t>年</w:t>
                        </w:r>
                        <w:r>
                          <w:rPr>
                            <w:rFonts w:ascii="宋体" w:hAnsi="宋体" w:cs="宋体" w:eastAsia="宋体" w:hint="default"/>
                            <w:spacing w:val="-1"/>
                            <w:sz w:val="18"/>
                            <w:szCs w:val="18"/>
                          </w:rPr>
                          <w:t>12</w:t>
                        </w:r>
                        <w:r>
                          <w:rPr>
                            <w:rFonts w:ascii="宋体" w:hAnsi="宋体" w:cs="宋体" w:eastAsia="宋体" w:hint="default"/>
                            <w:spacing w:val="-1"/>
                            <w:sz w:val="18"/>
                            <w:szCs w:val="18"/>
                          </w:rPr>
                          <w:t>月</w:t>
                        </w:r>
                        <w:r>
                          <w:rPr>
                            <w:rFonts w:ascii="宋体" w:hAnsi="宋体" w:cs="宋体" w:eastAsia="宋体" w:hint="default"/>
                            <w:spacing w:val="-1"/>
                            <w:sz w:val="18"/>
                            <w:szCs w:val="18"/>
                          </w:rPr>
                          <w:t>31</w:t>
                        </w:r>
                        <w:r>
                          <w:rPr>
                            <w:rFonts w:ascii="宋体" w:hAnsi="宋体" w:cs="宋体" w:eastAsia="宋体" w:hint="default"/>
                            <w:spacing w:val="-1"/>
                            <w:sz w:val="18"/>
                            <w:szCs w:val="18"/>
                          </w:rPr>
                          <w:t>日的合并及母公</w:t>
                        </w:r>
                      </w:p>
                      <w:p>
                        <w:pPr>
                          <w:pStyle w:val="TableParagraph"/>
                          <w:spacing w:line="357" w:lineRule="auto" w:before="25"/>
                          <w:ind w:left="22" w:right="22"/>
                          <w:jc w:val="left"/>
                          <w:rPr>
                            <w:rFonts w:ascii="宋体" w:hAnsi="宋体" w:cs="宋体" w:eastAsia="宋体" w:hint="default"/>
                            <w:sz w:val="18"/>
                            <w:szCs w:val="18"/>
                          </w:rPr>
                        </w:pPr>
                        <w:r>
                          <w:rPr>
                            <w:rFonts w:ascii="宋体" w:hAnsi="宋体" w:cs="宋体" w:eastAsia="宋体" w:hint="default"/>
                            <w:spacing w:val="-1"/>
                            <w:sz w:val="18"/>
                            <w:szCs w:val="18"/>
                          </w:rPr>
                          <w:t>司资产负债表，</w:t>
                        </w:r>
                        <w:r>
                          <w:rPr>
                            <w:rFonts w:ascii="宋体" w:hAnsi="宋体" w:cs="宋体" w:eastAsia="宋体" w:hint="default"/>
                            <w:spacing w:val="-1"/>
                            <w:sz w:val="18"/>
                            <w:szCs w:val="18"/>
                          </w:rPr>
                          <w:t>2015</w:t>
                        </w:r>
                        <w:r>
                          <w:rPr>
                            <w:rFonts w:ascii="宋体" w:hAnsi="宋体" w:cs="宋体" w:eastAsia="宋体" w:hint="default"/>
                            <w:spacing w:val="-1"/>
                            <w:sz w:val="18"/>
                            <w:szCs w:val="18"/>
                          </w:rPr>
                          <w:t>年度的合并及母公司利润表、合并及母公司现金流量表、合并及母公司所有者权益变动表以及财务报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表附注。</w:t>
                        </w:r>
                      </w:p>
                      <w:p>
                        <w:pPr>
                          <w:pStyle w:val="TableParagraph"/>
                          <w:spacing w:line="357" w:lineRule="auto" w:before="26"/>
                          <w:ind w:left="382" w:right="83"/>
                          <w:jc w:val="left"/>
                          <w:rPr>
                            <w:rFonts w:ascii="宋体" w:hAnsi="宋体" w:cs="宋体" w:eastAsia="宋体" w:hint="default"/>
                            <w:sz w:val="18"/>
                            <w:szCs w:val="18"/>
                          </w:rPr>
                        </w:pPr>
                        <w:r>
                          <w:rPr>
                            <w:rFonts w:ascii="宋体" w:hAnsi="宋体" w:cs="宋体" w:eastAsia="宋体" w:hint="default"/>
                            <w:sz w:val="18"/>
                            <w:szCs w:val="18"/>
                          </w:rPr>
                          <w:t>一、管理层对财务报表的责任 编制和公允列报财务报表是贵公司管理层的责任，这种责任包括：（</w:t>
                        </w:r>
                        <w:r>
                          <w:rPr>
                            <w:rFonts w:ascii="宋体" w:hAnsi="宋体" w:cs="宋体" w:eastAsia="宋体" w:hint="default"/>
                            <w:sz w:val="18"/>
                            <w:szCs w:val="18"/>
                          </w:rPr>
                          <w:t>1</w:t>
                        </w:r>
                        <w:r>
                          <w:rPr>
                            <w:rFonts w:ascii="宋体" w:hAnsi="宋体" w:cs="宋体" w:eastAsia="宋体" w:hint="default"/>
                            <w:sz w:val="18"/>
                            <w:szCs w:val="18"/>
                          </w:rPr>
                          <w:t>）按照企业会计准则的规定编制财务报表，并</w:t>
                        </w:r>
                      </w:p>
                      <w:p>
                        <w:pPr>
                          <w:pStyle w:val="TableParagraph"/>
                          <w:spacing w:line="357" w:lineRule="auto" w:before="27"/>
                          <w:ind w:left="382" w:right="21" w:hanging="360"/>
                          <w:jc w:val="left"/>
                          <w:rPr>
                            <w:rFonts w:ascii="宋体" w:hAnsi="宋体" w:cs="宋体" w:eastAsia="宋体" w:hint="default"/>
                            <w:sz w:val="18"/>
                            <w:szCs w:val="18"/>
                          </w:rPr>
                        </w:pPr>
                        <w:r>
                          <w:rPr>
                            <w:rFonts w:ascii="宋体" w:hAnsi="宋体" w:cs="宋体" w:eastAsia="宋体" w:hint="default"/>
                            <w:sz w:val="18"/>
                            <w:szCs w:val="18"/>
                          </w:rPr>
                          <w:t>使其实现公允反映；（</w:t>
                        </w:r>
                        <w:r>
                          <w:rPr>
                            <w:rFonts w:ascii="宋体" w:hAnsi="宋体" w:cs="宋体" w:eastAsia="宋体" w:hint="default"/>
                            <w:sz w:val="18"/>
                            <w:szCs w:val="18"/>
                          </w:rPr>
                          <w:t>2</w:t>
                        </w:r>
                        <w:r>
                          <w:rPr>
                            <w:rFonts w:ascii="宋体" w:hAnsi="宋体" w:cs="宋体" w:eastAsia="宋体" w:hint="default"/>
                            <w:sz w:val="18"/>
                            <w:szCs w:val="18"/>
                          </w:rPr>
                          <w:t>）设计、执行和维护必要的内部控制，以使财务报表不存在由于舞弊或错误导致的重大错报。 二、注册会计师的责任 </w:t>
                        </w:r>
                        <w:r>
                          <w:rPr>
                            <w:rFonts w:ascii="宋体" w:hAnsi="宋体" w:cs="宋体" w:eastAsia="宋体" w:hint="default"/>
                            <w:spacing w:val="-1"/>
                            <w:sz w:val="18"/>
                            <w:szCs w:val="18"/>
                          </w:rPr>
                          <w:t>我们的责任是在执行审计工作的基础上对财务报表发表审计意见。我们按照中国注册会计师审计准则的规定执行了审</w:t>
                        </w:r>
                      </w:p>
                      <w:p>
                        <w:pPr>
                          <w:pStyle w:val="TableParagraph"/>
                          <w:spacing w:line="357" w:lineRule="auto" w:before="26"/>
                          <w:ind w:left="22" w:right="23"/>
                          <w:jc w:val="left"/>
                          <w:rPr>
                            <w:rFonts w:ascii="宋体" w:hAnsi="宋体" w:cs="宋体" w:eastAsia="宋体" w:hint="default"/>
                            <w:sz w:val="18"/>
                            <w:szCs w:val="18"/>
                          </w:rPr>
                        </w:pPr>
                        <w:r>
                          <w:rPr>
                            <w:rFonts w:ascii="宋体" w:hAnsi="宋体" w:cs="宋体" w:eastAsia="宋体" w:hint="default"/>
                            <w:spacing w:val="-1"/>
                            <w:sz w:val="18"/>
                            <w:szCs w:val="18"/>
                          </w:rPr>
                          <w:t>计工作。中国注册会计师审计准则要求我们遵守职业道德守则，计划和执行审计工作以对财务报表是否不存在重大错报获</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取合理保证。</w:t>
                        </w:r>
                      </w:p>
                      <w:p>
                        <w:pPr>
                          <w:pStyle w:val="TableParagraph"/>
                          <w:spacing w:line="357" w:lineRule="auto" w:before="26"/>
                          <w:ind w:left="22" w:right="23" w:firstLine="360"/>
                          <w:jc w:val="left"/>
                          <w:rPr>
                            <w:rFonts w:ascii="宋体" w:hAnsi="宋体" w:cs="宋体" w:eastAsia="宋体" w:hint="default"/>
                            <w:sz w:val="18"/>
                            <w:szCs w:val="18"/>
                          </w:rPr>
                        </w:pPr>
                        <w:r>
                          <w:rPr>
                            <w:rFonts w:ascii="宋体" w:hAnsi="宋体" w:cs="宋体" w:eastAsia="宋体" w:hint="default"/>
                            <w:spacing w:val="-3"/>
                            <w:sz w:val="18"/>
                            <w:szCs w:val="18"/>
                          </w:rPr>
                          <w:t>审计工作涉及实施审计程序，以获取有关财务报表金额和披露的审计证据。选择的审计程序取决于注册会计师的判断</w:t>
                        </w:r>
                        <w:r>
                          <w:rPr>
                            <w:rFonts w:ascii="宋体" w:hAnsi="宋体" w:cs="宋体" w:eastAsia="宋体" w:hint="default"/>
                            <w:sz w:val="18"/>
                            <w:szCs w:val="18"/>
                          </w:rPr>
                          <w:t> </w:t>
                        </w:r>
                        <w:r>
                          <w:rPr>
                            <w:rFonts w:ascii="宋体" w:hAnsi="宋体" w:cs="宋体" w:eastAsia="宋体" w:hint="default"/>
                            <w:spacing w:val="-1"/>
                            <w:sz w:val="18"/>
                            <w:szCs w:val="18"/>
                          </w:rPr>
                          <w:t>包括对由于舞弊或错误导致的财务报表重大错报风险的评估。在进行风险评估时，注册会计师考虑与财务报表编制和公允</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列报相关的内部控制，以设计恰当的审计程序，但目的并非对内部控制的有效性发表意见。审计工作还包括评价管理层选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用会计政策的恰当性和作出会计估计的合理性，以及评价财务报表的总体列报。</w:t>
                        </w:r>
                      </w:p>
                      <w:p>
                        <w:pPr>
                          <w:pStyle w:val="TableParagraph"/>
                          <w:spacing w:line="357" w:lineRule="auto" w:before="26"/>
                          <w:ind w:left="382" w:right="2874"/>
                          <w:jc w:val="left"/>
                          <w:rPr>
                            <w:rFonts w:ascii="宋体" w:hAnsi="宋体" w:cs="宋体" w:eastAsia="宋体" w:hint="default"/>
                            <w:sz w:val="18"/>
                            <w:szCs w:val="18"/>
                          </w:rPr>
                        </w:pPr>
                        <w:r>
                          <w:rPr>
                            <w:rFonts w:ascii="宋体" w:hAnsi="宋体" w:cs="宋体" w:eastAsia="宋体" w:hint="default"/>
                            <w:sz w:val="18"/>
                            <w:szCs w:val="18"/>
                          </w:rPr>
                          <w:t>我们相信，我们获取的审计证据是充分、适当的，为发表审计意见提供了基础。 三、审计意见</w:t>
                        </w:r>
                      </w:p>
                      <w:p>
                        <w:pPr>
                          <w:pStyle w:val="TableParagraph"/>
                          <w:spacing w:line="357" w:lineRule="auto" w:before="25"/>
                          <w:ind w:left="22" w:right="23" w:firstLine="360"/>
                          <w:jc w:val="left"/>
                          <w:rPr>
                            <w:rFonts w:ascii="宋体" w:hAnsi="宋体" w:cs="宋体" w:eastAsia="宋体" w:hint="default"/>
                            <w:sz w:val="18"/>
                            <w:szCs w:val="18"/>
                          </w:rPr>
                        </w:pPr>
                        <w:r>
                          <w:rPr>
                            <w:rFonts w:ascii="宋体" w:hAnsi="宋体" w:cs="宋体" w:eastAsia="宋体" w:hint="default"/>
                            <w:spacing w:val="-1"/>
                            <w:sz w:val="18"/>
                            <w:szCs w:val="18"/>
                          </w:rPr>
                          <w:t>我们认为，贵公司的财务报表在所有重大方面按照企业会计准则的规定编制，公允反映了贵公司</w:t>
                        </w:r>
                        <w:r>
                          <w:rPr>
                            <w:rFonts w:ascii="宋体" w:hAnsi="宋体" w:cs="宋体" w:eastAsia="宋体" w:hint="default"/>
                            <w:spacing w:val="-1"/>
                            <w:sz w:val="18"/>
                            <w:szCs w:val="18"/>
                          </w:rPr>
                          <w:t>2015</w:t>
                        </w:r>
                        <w:r>
                          <w:rPr>
                            <w:rFonts w:ascii="宋体" w:hAnsi="宋体" w:cs="宋体" w:eastAsia="宋体" w:hint="default"/>
                            <w:spacing w:val="-1"/>
                            <w:sz w:val="18"/>
                            <w:szCs w:val="18"/>
                          </w:rPr>
                          <w:t>年</w:t>
                        </w:r>
                        <w:r>
                          <w:rPr>
                            <w:rFonts w:ascii="宋体" w:hAnsi="宋体" w:cs="宋体" w:eastAsia="宋体" w:hint="default"/>
                            <w:spacing w:val="-1"/>
                            <w:sz w:val="18"/>
                            <w:szCs w:val="18"/>
                          </w:rPr>
                          <w:t>12</w:t>
                        </w:r>
                        <w:r>
                          <w:rPr>
                            <w:rFonts w:ascii="宋体" w:hAnsi="宋体" w:cs="宋体" w:eastAsia="宋体" w:hint="default"/>
                            <w:spacing w:val="-1"/>
                            <w:sz w:val="18"/>
                            <w:szCs w:val="18"/>
                          </w:rPr>
                          <w:t>月</w:t>
                        </w:r>
                        <w:r>
                          <w:rPr>
                            <w:rFonts w:ascii="宋体" w:hAnsi="宋体" w:cs="宋体" w:eastAsia="宋体" w:hint="default"/>
                            <w:spacing w:val="-1"/>
                            <w:sz w:val="18"/>
                            <w:szCs w:val="18"/>
                          </w:rPr>
                          <w:t>31</w:t>
                        </w:r>
                        <w:r>
                          <w:rPr>
                            <w:rFonts w:ascii="宋体" w:hAnsi="宋体" w:cs="宋体" w:eastAsia="宋体" w:hint="default"/>
                            <w:spacing w:val="-1"/>
                            <w:sz w:val="18"/>
                            <w:szCs w:val="18"/>
                          </w:rPr>
                          <w:t>日的合</w:t>
                        </w:r>
                        <w:r>
                          <w:rPr>
                            <w:rFonts w:ascii="宋体" w:hAnsi="宋体" w:cs="宋体" w:eastAsia="宋体" w:hint="default"/>
                            <w:sz w:val="18"/>
                            <w:szCs w:val="18"/>
                          </w:rPr>
                          <w:t> 并及母公司财务状况以及</w:t>
                        </w:r>
                        <w:r>
                          <w:rPr>
                            <w:rFonts w:ascii="宋体" w:hAnsi="宋体" w:cs="宋体" w:eastAsia="宋体" w:hint="default"/>
                            <w:sz w:val="18"/>
                            <w:szCs w:val="18"/>
                          </w:rPr>
                          <w:t>2015</w:t>
                        </w:r>
                        <w:r>
                          <w:rPr>
                            <w:rFonts w:ascii="宋体" w:hAnsi="宋体" w:cs="宋体" w:eastAsia="宋体" w:hint="default"/>
                            <w:sz w:val="18"/>
                            <w:szCs w:val="18"/>
                          </w:rPr>
                          <w:t>年度的合并及母公司经营成果和现金流量。</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tabs>
                            <w:tab w:pos="7556" w:val="left" w:leader="none"/>
                          </w:tabs>
                          <w:spacing w:line="357" w:lineRule="auto" w:before="135"/>
                          <w:ind w:left="4046" w:right="2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tab/>
                          <w:t>中国注册会计师：潘忠民 二○一六年四月二十一日</w:t>
                          <w:tab/>
                          <w:t>中国注册会计师：黄建军</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019" w:top="1100" w:bottom="120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017"/>
        <w:jc w:val="left"/>
        <w:rPr>
          <w:b w:val="0"/>
          <w:bCs w:val="0"/>
        </w:rPr>
      </w:pPr>
      <w:bookmarkStart w:name="二、财务报表" w:id="152"/>
      <w:bookmarkEnd w:id="152"/>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1017"/>
        <w:jc w:val="left"/>
        <w:rPr>
          <w:b w:val="0"/>
          <w:bCs w:val="0"/>
        </w:rPr>
      </w:pPr>
      <w:bookmarkStart w:name="1、合并资产负债表" w:id="153"/>
      <w:bookmarkEnd w:id="15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before="44"/>
        <w:ind w:left="153" w:right="1017" w:firstLine="0"/>
        <w:jc w:val="left"/>
        <w:rPr>
          <w:rFonts w:ascii="宋体" w:hAnsi="宋体" w:cs="宋体" w:eastAsia="宋体" w:hint="default"/>
          <w:sz w:val="18"/>
          <w:szCs w:val="18"/>
        </w:rPr>
      </w:pPr>
      <w:r>
        <w:rPr>
          <w:rFonts w:ascii="宋体" w:hAnsi="宋体" w:cs="宋体" w:eastAsia="宋体" w:hint="default"/>
          <w:sz w:val="18"/>
          <w:szCs w:val="18"/>
        </w:rPr>
        <w:t>编制单位：深圳达实智能股份有限公司</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1,090,179,000.77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470,419,138.75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60,926,028.30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45,738,461.01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1,229,460,544.51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632,771,644.49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78,247,392.72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42,168,779.08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69,930,387.24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52,829,732.96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294,496,369.83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253,564,231.34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38,810,061.40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32,059,277.78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504,353,924.97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2,894,109,062.55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2,050,845,912.60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666,036,742.64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126,519,994.10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19,403,292.95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113,013,845.20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129,985,581.31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135,375,799.64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93,165,816.14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161,348,936.17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9,466,668.89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46,664,966.44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2,356,937.01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3,078,822.79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773,311,610.01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168,565,083.46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13,096,919.59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12,051,186.62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18,115,497.14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7,428,178.59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1,949,446,432.57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549,539,446.12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4,843,555,495.12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2,600,385,358.72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224,310,105.05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216,605,376.27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42,449,018.49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765,484,715.54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443,690,703.14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158,738,856.71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126,836,443.42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31,758,533.67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17,890,339.14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89,659,141.12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33,090,340.58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2,752,713.31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1,462,833.35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462,272,418.68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28,103,302.19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22,724,894.00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1,952,132,860.35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743,589,874.31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2,170,522,860.35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852,939,874.31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642,482,792.00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1,491,909,229.59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994,533,987.65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91,408,000.00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46,670,773.17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33,849,518.69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447,138,080.02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333,486,030.83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2,536,792,874.78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1,617,669,537.17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136,239,759.99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129,775,947.24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2,673,032,634.77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1,747,445,484.41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4,843,555,495.12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2,600,385,358.72</w:t>
            </w:r>
          </w:p>
        </w:tc>
      </w:tr>
    </w:tbl>
    <w:p>
      <w:pPr>
        <w:spacing w:line="240" w:lineRule="auto" w:before="3"/>
        <w:rPr>
          <w:rFonts w:ascii="Times New Roman" w:hAnsi="Times New Roman" w:cs="Times New Roman" w:eastAsia="Times New Roman" w:hint="default"/>
          <w:sz w:val="23"/>
          <w:szCs w:val="23"/>
        </w:rPr>
      </w:pPr>
    </w:p>
    <w:p>
      <w:pPr>
        <w:tabs>
          <w:tab w:pos="333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法定代表人：刘磅</w:t>
        <w:tab/>
        <w:t>主管会计工作负责人：黄天朗</w:t>
        <w:tab/>
        <w:t>会计机构负责人：张长伟</w:t>
      </w:r>
    </w:p>
    <w:p>
      <w:pPr>
        <w:spacing w:line="240" w:lineRule="auto" w:before="11"/>
        <w:rPr>
          <w:rFonts w:ascii="宋体" w:hAnsi="宋体" w:cs="宋体" w:eastAsia="宋体" w:hint="default"/>
          <w:sz w:val="26"/>
          <w:szCs w:val="26"/>
        </w:rPr>
      </w:pPr>
    </w:p>
    <w:p>
      <w:pPr>
        <w:pStyle w:val="Heading3"/>
        <w:spacing w:line="240" w:lineRule="auto"/>
        <w:ind w:left="153" w:right="1017"/>
        <w:jc w:val="left"/>
        <w:rPr>
          <w:b w:val="0"/>
          <w:bCs w:val="0"/>
        </w:rPr>
      </w:pPr>
      <w:bookmarkStart w:name="2、母公司资产负债表" w:id="154"/>
      <w:bookmarkEnd w:id="15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726,416,539.56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144,537,426.96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53,829,176.96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42,863,317.76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681,307,365.72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443,317,920.95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40,036,336.60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35,695,303.47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28,459,623.15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58,126,704.21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170,330,097.54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233,280,492.54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203,444,250.99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2,065,677.69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503,320,670.44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1,823,521,916.43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1,543,508,988.11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72,859,054.76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16,295,748.00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1,441,363,903.86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370,604,109.17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67,717.88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152,087.36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51,983,904.79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59,006,003.82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63,152,823.68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2,847,968.00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5,588,208.73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2,329,466.46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2,033,922.38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7,800,046.66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7,496,500.99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10,934,678.04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5,729,492.19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1,655,784,260.78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464,461,375.99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3,479,306,177.21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2,007,970,364.10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71,548,730.46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35,895,334.49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463,473,788.74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303,585,446.75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79,435,983.35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100,756,691.72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16,418,081.74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10,789,749.07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56,392,991.27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12,089,111.85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387,593,881.08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23,402,524.03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22,724,894.00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1,075,414,456.64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509,585,751.91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1,093,804,456.64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518,935,751.91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642,482,792.00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1,493,560,461.92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994,420,690.38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91,408,000.00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46,510,405.58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33,689,151.10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294,356,061.07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205,124,770.71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2,385,501,720.57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1,489,034,612.19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3,479,306,177.21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2,007,970,364.10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17"/>
        <w:jc w:val="left"/>
        <w:rPr>
          <w:b w:val="0"/>
          <w:bCs w:val="0"/>
        </w:rPr>
      </w:pPr>
      <w:bookmarkStart w:name="3、合并利润表" w:id="155"/>
      <w:bookmarkEnd w:id="15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1,711,308,669.07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1,263,062,267.04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1,711,308,669.07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1,263,062,267.04</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1,534,263,062.69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1,098,128,739.72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1,219,609,059.92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863,544,244.30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212.119995pt;margin-top:380.599976pt;width:157.7pt;height:19.650pt;mso-position-horizontal-relative:page;mso-position-vertical-relative:page;z-index:-955720" coordorigin="4242,7612" coordsize="3154,393">
            <v:shape style="position:absolute;left:4242;top:7612;width:3154;height:393" coordorigin="4242,7612" coordsize="3154,393" path="m4242,8004l7396,8004,7396,7612,4242,7612,4242,8004xe" filled="true" fillcolor="#ffffff" stroked="false">
              <v:path arrowok="t"/>
              <v:fill type="solid"/>
            </v:shape>
            <w10:wrap type="none"/>
          </v:group>
        </w:pict>
      </w:r>
      <w:r>
        <w:rPr/>
        <w:pict>
          <v:group style="position:absolute;margin-left:212.119995pt;margin-top:501.219971pt;width:157.7pt;height:19.650pt;mso-position-horizontal-relative:page;mso-position-vertical-relative:page;z-index:-955696" coordorigin="4242,10024" coordsize="3154,393">
            <v:shape style="position:absolute;left:4242;top:10024;width:3154;height:393" coordorigin="4242,10024" coordsize="3154,393" path="m4242,10417l7396,10417,7396,10024,4242,10024,4242,10417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42,327,094.89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35,874,743.95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123,421,155.91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92,787,515.45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129,194,710.24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91,129,317.19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-16,497,231.81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4,511,042.52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36,208,273.54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10,281,876.31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-596,707.05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-596,707.05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176,448,899.33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164,933,527.32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15,516,459.21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10,611,988.24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220,442.39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562,526.36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446,628.11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45,085.17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107,676.18</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191,402,832.18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175,098,887.45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31,476,400.88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27,359,113.90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159,926,431.30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147,739,773.55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152,633,303.67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112,167,858.11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7,293,127.63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35,571,915.44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159,926,431.30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147,739,773.55</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152,633,303.67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112,167,858.11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7,293,127.63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35,571,915.44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0.2312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0.2312</w:t>
            </w:r>
          </w:p>
        </w:tc>
      </w:tr>
    </w:tbl>
    <w:p>
      <w:pPr>
        <w:tabs>
          <w:tab w:pos="3484" w:val="left" w:leader="none"/>
          <w:tab w:pos="7715" w:val="left" w:leader="none"/>
        </w:tabs>
        <w:spacing w:line="592" w:lineRule="auto" w:before="51"/>
        <w:ind w:left="153"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法定代表人：刘磅</w:t>
        <w:tab/>
        <w:t>主管会计工作负责人：黄天朗</w:t>
        <w:tab/>
        <w:t>会计机构负责人：张长伟 </w:t>
      </w:r>
      <w:bookmarkStart w:name="4、母公司利润表" w:id="156"/>
      <w:bookmarkEnd w:id="156"/>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1,206,391,005.27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779,287,916.92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929,384,454.77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582,846,728.49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27,783,890.09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21,458,438.48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92,012,343.11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70,860,506.25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49,627,736.42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41,195,305.03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-18,473,298.23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3,303,601.78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15,219,810.95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6,605,026.50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27,916,309.04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18,815,032.13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-596,707.05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138,752,377.20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71,833,342.52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6,936,231.89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3,425,117.59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15,400.21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521,247.68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409,384.91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21,247.68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82,213.68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145,167,361.41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74,849,075.20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16,954,816.57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7,993,225.71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128,212,544.84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66,855,849.49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128,212,544.84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66,855,849.49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17"/>
        <w:jc w:val="left"/>
        <w:rPr>
          <w:b w:val="0"/>
          <w:bCs w:val="0"/>
        </w:rPr>
      </w:pPr>
      <w:bookmarkStart w:name="5、合并现金流量表" w:id="157"/>
      <w:bookmarkEnd w:id="15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1,386,868,687.22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1,142,161,598.34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3,390,095.20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3,898,403.95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44,748,740.61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19,024,948.39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1,435,007,523.03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1,165,084,950.68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963,172,394.28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766,300,659.01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186,625,914.25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136,047,446.42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75,852,582.83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66,406,618.16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72,351,974.01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82,222,455.51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1,298,002,865.37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1,050,977,179.10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137,004,657.66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114,107,771.58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34,982,124.27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12,392,781.07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615,524.54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381,304.00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1,453,200,116.45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1,500,956,325.79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150,615,759.54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135,921,195.16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169,930,698.33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417,778,652.35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140,843,238.67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30,868,515.83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10,141,367.47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955,897,792.97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1,540,466,156.31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820,915,304.47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-39,509,830.52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-670,299,544.93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349,916,646.56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770,454,813.76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24,814,973.04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17,644,813.76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274,625,600.97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624,542,247.53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1,017,454,813.76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58,315,495.92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58,221,757.86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45,491,777.79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27,408,817.54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18,092,214.40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113,304,531.76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52,070,082.17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229,841,785.54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217,561,859.96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394,700,461.99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799,892,953.80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492,195,289.13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243,701,180.45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462,532,191.09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218,831,010.64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954,727,480.22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462,532,191.09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17"/>
        <w:jc w:val="left"/>
        <w:rPr>
          <w:b w:val="0"/>
          <w:bCs w:val="0"/>
        </w:rPr>
      </w:pPr>
      <w:bookmarkStart w:name="6、母公司现金流量表" w:id="158"/>
      <w:bookmarkEnd w:id="15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972,770,085.44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760,560,929.19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318,227.51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198,273.60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22,495,569.17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11,491,670.94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995,583,882.12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772,250,873.73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800,722,013.06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588,712,630.82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93,334,744.63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74,001,982.67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24,105,142.65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29,053,285.38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42,443,220.09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44,905,742.08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960,605,120.43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736,673,640.95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34,978,761.69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35,577,232.78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12,192,229.51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19,238,046.03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1,532,224,229.51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49,238,046.03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47,201,583.23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12,202,568.52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277,329,645.74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84,256,858.26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962,897,792.97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632,900,000.00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1,287,429,021.94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729,359,426.78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244,795,207.57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-680,121,380.75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325,101,673.52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752,810,000.00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325,101,673.52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852,810,000.00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25,951,000.00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25,951,463.39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69,120.76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36,627,721.06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26,020,120.76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167,579,184.45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299,081,552.76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685,230,815.55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578,855,522.02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40,686,667.58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141,791,321.36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101,104,653.78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720,646,843.38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141,791,321.36</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7、合并所有者权益变动表" w:id="159"/>
      <w:bookmarkEnd w:id="15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101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255,80</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994,533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,987.65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33,849,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518.69</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333,486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,030.83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129,775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,947.24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1,747,4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45,484.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255,80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994,533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,987.65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33,849,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518.69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333,486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,030.83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129,775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,947.24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1,747,4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45,484.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386,68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2,792.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497,375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,241.94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91,408,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12,821,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254.48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113,652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,049.19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6,463,8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12.75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925,587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,150.36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152,633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,303.67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7,293,1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27.63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159,926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,431.30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72,762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,792.0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811,295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,241.94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91,408,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26,579,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502.66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819,229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,536.60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72,762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,792.0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796,978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,717.25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91,408,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24,854,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931.19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803,188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,440.44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14,316,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524.69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1,724,5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71.47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16,041,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096.16</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12,821,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254.48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-38,981,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254.48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-27,408,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817.54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-53,568,</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817.54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12,821,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254.48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-12,821,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254.48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-26,160,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-27,408,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817.54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-53,568,</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817.54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313,92</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-313,92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313,92</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-313,92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642,48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2,792.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1,491,9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09,229.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91,408,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46,670,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773.17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447,138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,080.02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136,239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,759.99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32,634.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208,80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288,998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,524.67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27,163,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933.74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248,883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,757.67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94,661,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230.70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868,507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,446.78</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208,80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288,998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,524.67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27,163,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933.74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248,883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,757.67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94,661,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230.70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868,507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,446.78</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705,535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,462.98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6,685,5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84.95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84,602,</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273.16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35,114,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716.54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878,938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,037.63</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left"/>
              <w:rPr>
                <w:rFonts w:ascii="Times New Roman" w:hAnsi="Times New Roman" w:cs="Times New Roman" w:eastAsia="Times New Roman" w:hint="default"/>
                <w:sz w:val="18"/>
                <w:szCs w:val="18"/>
              </w:rPr>
            </w:pPr>
            <w:r>
              <w:rPr>
                <w:rFonts w:ascii="Times New Roman"/>
                <w:sz w:val="18"/>
              </w:rPr>
              <w:t>112,167</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,858.11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35,571,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915.44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147,739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,773.55</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47,000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left"/>
              <w:rPr>
                <w:rFonts w:ascii="Times New Roman" w:hAnsi="Times New Roman" w:cs="Times New Roman" w:eastAsia="Times New Roman" w:hint="default"/>
                <w:sz w:val="18"/>
                <w:szCs w:val="18"/>
              </w:rPr>
            </w:pPr>
            <w:r>
              <w:rPr>
                <w:rFonts w:ascii="Times New Roman"/>
                <w:sz w:val="18"/>
              </w:rPr>
              <w:t>705,535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17,635,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 w:right="0"/>
              <w:jc w:val="left"/>
              <w:rPr>
                <w:rFonts w:ascii="Times New Roman" w:hAnsi="Times New Roman" w:cs="Times New Roman" w:eastAsia="Times New Roman" w:hint="default"/>
                <w:sz w:val="18"/>
                <w:szCs w:val="18"/>
              </w:rPr>
            </w:pPr>
            <w:r>
              <w:rPr>
                <w:rFonts w:ascii="Times New Roman"/>
                <w:sz w:val="18"/>
              </w:rPr>
              <w:t>770,170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Times New Roman"/>
                <w:sz w:val="18"/>
              </w:rPr>
              <w:t>,462.98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015.50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sz w:val="18"/>
              </w:rPr>
              <w:t>,478.48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704,314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,530.03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17,635,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015.50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768,949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,545.53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1,220,9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32.95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1,220,9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32.95</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6,685,5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84.95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-27,565,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584.95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-18,092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,214.40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-38,972,</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214.40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6,685,5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84.95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-6,685,5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84.95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-20,880,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-18,092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,214.40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-38,972,</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214.40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255,80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994,533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,987.65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33,849,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518.69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333,486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,030.83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129,775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,947.24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1,747,4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45,484.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left="153" w:right="1017"/>
        <w:jc w:val="left"/>
        <w:rPr>
          <w:b w:val="0"/>
          <w:bCs w:val="0"/>
        </w:rPr>
      </w:pPr>
      <w:bookmarkStart w:name="8、母公司所有者权益变动表" w:id="160"/>
      <w:bookmarkEnd w:id="16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3" w:right="101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255,800,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994,420,6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90.38</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33,689,15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1.10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205,124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,770.71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1,489,034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,612.19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255,800,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994,420,6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90.38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33,689,15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1.10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205,124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,770.71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1,489,034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,612.19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386,682,</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792.00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499,139,7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71.54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91,408,00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12,821,25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4.48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89,231,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290.36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896,467,1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08.38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128,212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,544.84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128,212,5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44.84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72,762,7</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92.00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813,059,7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71.54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91,408,00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794,414,5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63.54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72,762,7</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92.00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797,018,6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75.40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91,408,00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778,373,4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67.40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16,041,09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16,041,09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6.14</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12,821,25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4.48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-38,981,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254.48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-26,160,0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12,821,25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4.48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-12,821,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254.48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-26,160,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-26,160,0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313,920,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-313,920,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313,920,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-313,920,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642,482,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792.00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1,493,560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,461.92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91,408,00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46,510,40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294,356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,061.07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2,385,501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,720.57</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208,800,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288,895,0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25.66</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27,003,56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6.15</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165,834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,506.17</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690,533,0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97.98</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208,800,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288,895,0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25.66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27,003,56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6.15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165,834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,506.17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690,533,0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97.98</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47,000,0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705,525,6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64.72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6,685,584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39,290,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264.54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798,501,5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14.21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66,855,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849.49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66,855,84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9.49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47,000,0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705,525,6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64.72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752,525,6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64.72</w:t>
            </w:r>
          </w:p>
        </w:tc>
      </w:tr>
      <w:tr>
        <w:trPr>
          <w:trHeight w:val="40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20" w:right="0"/>
              <w:jc w:val="left"/>
              <w:rPr>
                <w:rFonts w:ascii="Times New Roman" w:hAnsi="Times New Roman" w:cs="Times New Roman" w:eastAsia="Times New Roman" w:hint="default"/>
                <w:sz w:val="18"/>
                <w:szCs w:val="18"/>
              </w:rPr>
            </w:pPr>
            <w:r>
              <w:rPr>
                <w:rFonts w:ascii="Times New Roman"/>
                <w:sz w:val="18"/>
              </w:rPr>
              <w:t>47,000,0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704,304,7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751,304,7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31.77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31.77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1,220,932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1,220,932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6,685,584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-27,565,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584.95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-20,880,0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6,685,584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-6,685,5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84.95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-20,880,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-20,880,0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255,800,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994,420,6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90.38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33,689,15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205,124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,770.71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1,489,034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,612.19</w:t>
            </w:r>
          </w:p>
        </w:tc>
      </w:tr>
    </w:tbl>
    <w:p>
      <w:pPr>
        <w:spacing w:line="240" w:lineRule="auto" w:before="2"/>
        <w:rPr>
          <w:rFonts w:ascii="宋体" w:hAnsi="宋体" w:cs="宋体" w:eastAsia="宋体" w:hint="default"/>
          <w:sz w:val="18"/>
          <w:szCs w:val="18"/>
        </w:rPr>
      </w:pPr>
    </w:p>
    <w:p>
      <w:pPr>
        <w:pStyle w:val="Heading2"/>
        <w:spacing w:line="240" w:lineRule="auto" w:before="26"/>
        <w:ind w:left="154" w:right="1017"/>
        <w:jc w:val="left"/>
        <w:rPr>
          <w:b w:val="0"/>
          <w:bCs w:val="0"/>
        </w:rPr>
      </w:pPr>
      <w:bookmarkStart w:name="三、公司基本情况" w:id="161"/>
      <w:bookmarkEnd w:id="161"/>
      <w:r>
        <w:rPr>
          <w:b w:val="0"/>
          <w:bCs w:val="0"/>
        </w:rPr>
      </w:r>
      <w:r>
        <w:rPr/>
        <w:t>三、公司基本情况</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left="574" w:right="7917" w:firstLine="1"/>
        <w:jc w:val="left"/>
      </w:pPr>
      <w:r>
        <w:rPr/>
        <w:t>（一）公司概况 </w:t>
      </w:r>
      <w:r>
        <w:rPr>
          <w:rFonts w:ascii="宋体" w:hAnsi="宋体" w:cs="宋体" w:eastAsia="宋体" w:hint="default"/>
        </w:rPr>
        <w:t>1</w:t>
      </w:r>
      <w:r>
        <w:rPr/>
        <w:t>、企业注册地和总部地址</w:t>
      </w:r>
    </w:p>
    <w:p>
      <w:pPr>
        <w:pStyle w:val="BodyText"/>
        <w:spacing w:line="355" w:lineRule="auto" w:before="34"/>
        <w:ind w:right="1017" w:firstLine="421"/>
        <w:jc w:val="left"/>
      </w:pPr>
      <w:r>
        <w:rPr>
          <w:spacing w:val="-1"/>
        </w:rPr>
        <w:t>深圳达实智能股份有限公司（以下简称“公司”、“本公司”或“达实智能”），持深圳市工商行政</w:t>
      </w:r>
      <w:r>
        <w:rPr/>
        <w:t> 管理局核发的统一社会信用代码为</w:t>
      </w:r>
      <w:r>
        <w:rPr>
          <w:spacing w:val="-54"/>
        </w:rPr>
        <w:t> </w:t>
      </w:r>
      <w:r>
        <w:rPr>
          <w:rFonts w:ascii="宋体" w:hAnsi="宋体" w:cs="宋体" w:eastAsia="宋体" w:hint="default"/>
        </w:rPr>
        <w:t>914403006188861815</w:t>
      </w:r>
      <w:r>
        <w:rPr>
          <w:rFonts w:ascii="宋体" w:hAnsi="宋体" w:cs="宋体" w:eastAsia="宋体" w:hint="default"/>
          <w:spacing w:val="-54"/>
        </w:rPr>
        <w:t> </w:t>
      </w:r>
      <w:r>
        <w:rPr/>
        <w:t>的企业法人营业执照。</w:t>
      </w:r>
    </w:p>
    <w:p>
      <w:pPr>
        <w:pStyle w:val="BodyText"/>
        <w:spacing w:line="355" w:lineRule="auto" w:before="33"/>
        <w:ind w:left="575" w:right="4771"/>
        <w:jc w:val="left"/>
      </w:pPr>
      <w:r>
        <w:rPr/>
        <w:t>公司注册地址：深圳市南山区高新技术工业村</w:t>
      </w:r>
      <w:r>
        <w:rPr>
          <w:spacing w:val="-53"/>
        </w:rPr>
        <w:t> </w:t>
      </w:r>
      <w:r>
        <w:rPr>
          <w:rFonts w:ascii="宋体" w:hAnsi="宋体" w:cs="宋体" w:eastAsia="宋体" w:hint="default"/>
        </w:rPr>
        <w:t>W1</w:t>
      </w:r>
      <w:r>
        <w:rPr>
          <w:rFonts w:ascii="宋体" w:hAnsi="宋体" w:cs="宋体" w:eastAsia="宋体" w:hint="default"/>
          <w:spacing w:val="-53"/>
        </w:rPr>
        <w:t> </w:t>
      </w:r>
      <w:r>
        <w:rPr/>
        <w:t>栋</w:t>
      </w:r>
      <w:r>
        <w:rPr>
          <w:spacing w:val="-55"/>
        </w:rPr>
        <w:t> </w:t>
      </w:r>
      <w:r>
        <w:rPr>
          <w:rFonts w:ascii="宋体" w:hAnsi="宋体" w:cs="宋体" w:eastAsia="宋体" w:hint="default"/>
        </w:rPr>
        <w:t>A</w:t>
      </w:r>
      <w:r>
        <w:rPr>
          <w:rFonts w:ascii="宋体" w:hAnsi="宋体" w:cs="宋体" w:eastAsia="宋体" w:hint="default"/>
          <w:spacing w:val="-54"/>
        </w:rPr>
        <w:t> </w:t>
      </w:r>
      <w:r>
        <w:rPr/>
        <w:t>座五楼 公司总部地址：深圳市南山区高新技术产业园达实智能大厦</w:t>
      </w:r>
    </w:p>
    <w:p>
      <w:pPr>
        <w:spacing w:after="0" w:line="355" w:lineRule="auto"/>
        <w:jc w:val="left"/>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7" w:lineRule="auto" w:before="35"/>
        <w:ind w:left="574" w:right="7656" w:firstLine="1"/>
        <w:jc w:val="left"/>
      </w:pPr>
      <w:r>
        <w:rPr/>
        <w:t>法定代表人：刘磅 注册资本：</w:t>
      </w:r>
      <w:r>
        <w:rPr>
          <w:rFonts w:ascii="宋体" w:hAnsi="宋体" w:cs="宋体" w:eastAsia="宋体" w:hint="default"/>
        </w:rPr>
        <w:t>64,248.2792</w:t>
      </w:r>
      <w:r>
        <w:rPr>
          <w:rFonts w:ascii="宋体" w:hAnsi="宋体" w:cs="宋体" w:eastAsia="宋体" w:hint="default"/>
          <w:spacing w:val="-54"/>
        </w:rPr>
        <w:t> </w:t>
      </w:r>
      <w:r>
        <w:rPr/>
        <w:t>万元 </w:t>
      </w:r>
      <w:r>
        <w:rPr>
          <w:rFonts w:ascii="宋体" w:hAnsi="宋体" w:cs="宋体" w:eastAsia="宋体" w:hint="default"/>
        </w:rPr>
        <w:t>2</w:t>
      </w:r>
      <w:r>
        <w:rPr/>
        <w:t>、企业的业务性质 信息技术服务业。 </w:t>
      </w:r>
      <w:r>
        <w:rPr>
          <w:rFonts w:ascii="宋体" w:hAnsi="宋体" w:cs="宋体" w:eastAsia="宋体" w:hint="default"/>
        </w:rPr>
        <w:t>3</w:t>
      </w:r>
      <w:r>
        <w:rPr/>
        <w:t>、主要经营活动</w:t>
      </w:r>
    </w:p>
    <w:p>
      <w:pPr>
        <w:pStyle w:val="BodyText"/>
        <w:spacing w:line="357" w:lineRule="auto"/>
        <w:ind w:right="1109" w:firstLine="421"/>
        <w:jc w:val="both"/>
      </w:pPr>
      <w:r>
        <w:rPr>
          <w:spacing w:val="-2"/>
        </w:rPr>
        <w:t>公司处于建筑智能化行业。所提供的主要产品或服务包括：组装生产、研发能源管理产品；</w:t>
      </w:r>
      <w:r>
        <w:rPr>
          <w:rFonts w:ascii="宋体" w:hAnsi="宋体" w:cs="宋体" w:eastAsia="宋体" w:hint="default"/>
          <w:spacing w:val="-2"/>
        </w:rPr>
        <w:t>IC</w:t>
      </w:r>
      <w:r>
        <w:rPr>
          <w:rFonts w:ascii="宋体" w:hAnsi="宋体" w:cs="宋体" w:eastAsia="宋体" w:hint="default"/>
          <w:spacing w:val="-51"/>
        </w:rPr>
        <w:t> </w:t>
      </w:r>
      <w:r>
        <w:rPr/>
        <w:t>卡读写 </w:t>
      </w:r>
      <w:r>
        <w:rPr>
          <w:spacing w:val="-1"/>
        </w:rPr>
        <w:t>机具产品、安防监控设备和信息终端、智能大厦监控系统、现场网络控制设备、机电设备和仪器仪表的技</w:t>
      </w:r>
      <w:r>
        <w:rPr>
          <w:spacing w:val="-86"/>
        </w:rPr>
        <w:t> </w:t>
      </w:r>
      <w:r>
        <w:rPr>
          <w:spacing w:val="-86"/>
        </w:rPr>
      </w:r>
      <w:r>
        <w:rPr/>
        <w:t>术开发及相关系统软件的销售；承接建筑智能化系统和工业自动化系统的设计、集成、安装、技术咨询； 提供能源监测、节能咨询服务；电气系统网络开发、电气产品及设备开发、销售、安装。</w:t>
      </w:r>
    </w:p>
    <w:p>
      <w:pPr>
        <w:pStyle w:val="BodyText"/>
        <w:spacing w:line="240" w:lineRule="auto" w:before="31"/>
        <w:ind w:left="574" w:right="1017"/>
        <w:jc w:val="left"/>
      </w:pPr>
      <w:r>
        <w:rPr>
          <w:rFonts w:ascii="宋体" w:hAnsi="宋体" w:cs="宋体" w:eastAsia="宋体" w:hint="default"/>
        </w:rPr>
        <w:t>4</w:t>
      </w:r>
      <w:r>
        <w:rPr/>
        <w:t>、财务报告的批准报出日</w:t>
      </w:r>
    </w:p>
    <w:p>
      <w:pPr>
        <w:pStyle w:val="BodyText"/>
        <w:spacing w:line="357" w:lineRule="auto" w:before="133"/>
        <w:ind w:left="575" w:right="2989"/>
        <w:jc w:val="left"/>
      </w:pPr>
      <w:r>
        <w:rPr/>
        <w:t>本财务报表于</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21</w:t>
      </w:r>
      <w:r>
        <w:rPr>
          <w:rFonts w:ascii="宋体" w:hAnsi="宋体" w:cs="宋体" w:eastAsia="宋体" w:hint="default"/>
          <w:spacing w:val="-53"/>
        </w:rPr>
        <w:t> </w:t>
      </w:r>
      <w:r>
        <w:rPr/>
        <w:t>日经公司第五届董事会第三十六次会议批准报出。 本报告合并财务报表范围详见附注八、附注九。</w:t>
      </w:r>
    </w:p>
    <w:p>
      <w:pPr>
        <w:spacing w:line="240" w:lineRule="auto" w:before="1"/>
        <w:rPr>
          <w:rFonts w:ascii="宋体" w:hAnsi="宋体" w:cs="宋体" w:eastAsia="宋体" w:hint="default"/>
          <w:sz w:val="25"/>
          <w:szCs w:val="25"/>
        </w:rPr>
      </w:pPr>
    </w:p>
    <w:p>
      <w:pPr>
        <w:pStyle w:val="Heading2"/>
        <w:spacing w:line="240" w:lineRule="auto"/>
        <w:ind w:left="154" w:right="1017"/>
        <w:jc w:val="left"/>
        <w:rPr>
          <w:b w:val="0"/>
          <w:bCs w:val="0"/>
        </w:rPr>
      </w:pPr>
      <w:bookmarkStart w:name="四、财务报表的编制基础" w:id="162"/>
      <w:bookmarkEnd w:id="162"/>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编制基础" w:id="163"/>
      <w:bookmarkEnd w:id="16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right="1017" w:firstLine="421"/>
        <w:jc w:val="left"/>
      </w:pPr>
      <w:r>
        <w:rPr>
          <w:spacing w:val="-1"/>
        </w:rPr>
        <w:t>本公司以持续经营为基础，根据实际发生的交易和事项，按照《企业会计准则――基本准则》和其他</w:t>
      </w:r>
      <w:r>
        <w:rPr/>
        <w:t> 各项会计准则的规定进行确认和计量，在此基础上编制财务报表。</w:t>
      </w:r>
    </w:p>
    <w:p>
      <w:pPr>
        <w:spacing w:line="240" w:lineRule="auto" w:before="10"/>
        <w:rPr>
          <w:rFonts w:ascii="宋体" w:hAnsi="宋体" w:cs="宋体" w:eastAsia="宋体" w:hint="default"/>
          <w:sz w:val="26"/>
          <w:szCs w:val="26"/>
        </w:rPr>
      </w:pPr>
    </w:p>
    <w:p>
      <w:pPr>
        <w:pStyle w:val="Heading3"/>
        <w:spacing w:line="240" w:lineRule="auto"/>
        <w:ind w:left="153" w:right="1017"/>
        <w:jc w:val="left"/>
        <w:rPr>
          <w:b w:val="0"/>
          <w:bCs w:val="0"/>
        </w:rPr>
      </w:pPr>
      <w:bookmarkStart w:name="2、持续经营" w:id="164"/>
      <w:bookmarkEnd w:id="164"/>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575" w:right="1017"/>
        <w:jc w:val="left"/>
      </w:pPr>
      <w:r>
        <w:rPr/>
        <w:t>本公司自本报告期末起</w:t>
      </w:r>
      <w:r>
        <w:rPr>
          <w:spacing w:val="-55"/>
        </w:rPr>
        <w:t> </w:t>
      </w:r>
      <w:r>
        <w:rPr>
          <w:rFonts w:ascii="宋体" w:hAnsi="宋体" w:cs="宋体" w:eastAsia="宋体" w:hint="default"/>
        </w:rPr>
        <w:t>12</w:t>
      </w:r>
      <w:r>
        <w:rPr>
          <w:rFonts w:ascii="宋体" w:hAnsi="宋体" w:cs="宋体" w:eastAsia="宋体" w:hint="default"/>
          <w:spacing w:val="-55"/>
        </w:rPr>
        <w:t> </w:t>
      </w:r>
      <w:r>
        <w:rPr/>
        <w:t>个月内不存在对本公司持续经营能力产生重大疑虑的事项或情况。</w:t>
      </w:r>
    </w:p>
    <w:p>
      <w:pPr>
        <w:spacing w:line="240" w:lineRule="auto" w:before="0"/>
        <w:rPr>
          <w:rFonts w:ascii="宋体" w:hAnsi="宋体" w:cs="宋体" w:eastAsia="宋体" w:hint="default"/>
          <w:sz w:val="20"/>
          <w:szCs w:val="20"/>
        </w:rPr>
      </w:pPr>
    </w:p>
    <w:p>
      <w:pPr>
        <w:pStyle w:val="Heading2"/>
        <w:spacing w:line="240" w:lineRule="auto" w:before="170"/>
        <w:ind w:left="154" w:right="1017"/>
        <w:jc w:val="left"/>
        <w:rPr>
          <w:b w:val="0"/>
          <w:bCs w:val="0"/>
        </w:rPr>
      </w:pPr>
      <w:bookmarkStart w:name="五、重要会计政策及会计估计" w:id="165"/>
      <w:bookmarkEnd w:id="165"/>
      <w:r>
        <w:rPr>
          <w:b w:val="0"/>
          <w:bCs w:val="0"/>
        </w:rPr>
      </w:r>
      <w:r>
        <w:rPr/>
        <w:t>五、重要会计政策及会计估计</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154" w:right="1017"/>
        <w:jc w:val="left"/>
      </w:pPr>
      <w:r>
        <w:rPr/>
        <w:t>无</w:t>
      </w:r>
    </w:p>
    <w:p>
      <w:pPr>
        <w:spacing w:line="570" w:lineRule="atLeast" w:before="59"/>
        <w:ind w:left="575" w:right="1115" w:hanging="422"/>
        <w:jc w:val="left"/>
        <w:rPr>
          <w:rFonts w:ascii="宋体" w:hAnsi="宋体" w:cs="宋体" w:eastAsia="宋体" w:hint="default"/>
          <w:sz w:val="21"/>
          <w:szCs w:val="21"/>
        </w:rPr>
      </w:pPr>
      <w:bookmarkStart w:name="1、遵循企业会计准则的声明" w:id="166"/>
      <w:bookmarkEnd w:id="16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2"/>
          <w:sz w:val="21"/>
          <w:szCs w:val="21"/>
        </w:rPr>
        <w:t>本公司基于上述编制基础编制的财务报表符合企业会计准则的要求，真实、完整地反映了本公司</w:t>
      </w:r>
      <w:r>
        <w:rPr>
          <w:rFonts w:ascii="宋体" w:hAnsi="宋体" w:cs="宋体" w:eastAsia="宋体" w:hint="default"/>
          <w:spacing w:val="-45"/>
          <w:sz w:val="21"/>
          <w:szCs w:val="21"/>
        </w:rPr>
        <w:t> </w:t>
      </w:r>
      <w:r>
        <w:rPr>
          <w:rFonts w:ascii="宋体" w:hAnsi="宋体" w:cs="宋体" w:eastAsia="宋体" w:hint="default"/>
          <w:sz w:val="21"/>
          <w:szCs w:val="21"/>
        </w:rPr>
        <w:t>2015</w:t>
      </w:r>
    </w:p>
    <w:p>
      <w:pPr>
        <w:pStyle w:val="BodyText"/>
        <w:spacing w:line="240" w:lineRule="auto" w:before="133"/>
        <w:ind w:left="154" w:right="1017"/>
        <w:jc w:val="left"/>
      </w:pP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日的财务状况，以及</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1-12</w:t>
      </w:r>
      <w:r>
        <w:rPr>
          <w:rFonts w:ascii="宋体" w:hAnsi="宋体" w:cs="宋体" w:eastAsia="宋体" w:hint="default"/>
          <w:spacing w:val="-53"/>
        </w:rPr>
        <w:t> </w:t>
      </w:r>
      <w:r>
        <w:rPr/>
        <w:t>月经营成果和现金流量等有关信息。</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right="1017"/>
        <w:jc w:val="left"/>
        <w:rPr>
          <w:b w:val="0"/>
          <w:bCs w:val="0"/>
        </w:rPr>
      </w:pPr>
      <w:bookmarkStart w:name="2、会计期间" w:id="167"/>
      <w:bookmarkEnd w:id="167"/>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5" w:right="1017"/>
        <w:jc w:val="left"/>
      </w:pPr>
      <w:r>
        <w:rPr/>
        <w:t>本公司会计年度自公历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8"/>
        <w:rPr>
          <w:rFonts w:ascii="宋体" w:hAnsi="宋体" w:cs="宋体" w:eastAsia="宋体" w:hint="default"/>
          <w:sz w:val="24"/>
          <w:szCs w:val="24"/>
        </w:rPr>
      </w:pPr>
    </w:p>
    <w:p>
      <w:pPr>
        <w:pStyle w:val="Heading3"/>
        <w:spacing w:line="240" w:lineRule="auto"/>
        <w:ind w:right="1017"/>
        <w:jc w:val="left"/>
        <w:rPr>
          <w:b w:val="0"/>
          <w:bCs w:val="0"/>
        </w:rPr>
      </w:pPr>
      <w:bookmarkStart w:name="3、营业周期" w:id="168"/>
      <w:bookmarkEnd w:id="168"/>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575" w:right="1017"/>
        <w:jc w:val="left"/>
      </w:pPr>
      <w:r>
        <w:rPr/>
        <w:t>正常营业周期是指本公司从购买用于加工的资产起至收回现金或现金等价物的期间。本公司以</w:t>
      </w:r>
      <w:r>
        <w:rPr>
          <w:spacing w:val="-54"/>
        </w:rPr>
        <w:t> </w:t>
      </w:r>
      <w:r>
        <w:rPr>
          <w:rFonts w:ascii="宋体" w:hAnsi="宋体" w:cs="宋体" w:eastAsia="宋体" w:hint="default"/>
        </w:rPr>
        <w:t>12</w:t>
      </w:r>
      <w:r>
        <w:rPr>
          <w:rFonts w:ascii="宋体" w:hAnsi="宋体" w:cs="宋体" w:eastAsia="宋体" w:hint="default"/>
          <w:spacing w:val="-54"/>
        </w:rPr>
        <w:t> </w:t>
      </w:r>
      <w:r>
        <w:rPr/>
        <w:t>个</w:t>
      </w:r>
    </w:p>
    <w:p>
      <w:pPr>
        <w:spacing w:after="0" w:line="240" w:lineRule="auto"/>
        <w:jc w:val="left"/>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240" w:lineRule="auto" w:before="35"/>
        <w:ind w:right="1017"/>
        <w:jc w:val="left"/>
      </w:pPr>
      <w:r>
        <w:rPr/>
        <w:t>月作为一个营业周期，并以其作为资产和负债的流动性划分标准。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line="489" w:lineRule="auto" w:before="0"/>
        <w:ind w:left="321" w:right="7645" w:hanging="168"/>
        <w:jc w:val="left"/>
        <w:rPr>
          <w:rFonts w:ascii="宋体" w:hAnsi="宋体" w:cs="宋体" w:eastAsia="宋体" w:hint="default"/>
          <w:sz w:val="21"/>
          <w:szCs w:val="21"/>
        </w:rPr>
      </w:pPr>
      <w:bookmarkStart w:name="4、记账本位币" w:id="169"/>
      <w:bookmarkEnd w:id="16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本公司以为人民币记账本位币。</w:t>
      </w:r>
    </w:p>
    <w:p>
      <w:pPr>
        <w:spacing w:line="240" w:lineRule="auto" w:before="13"/>
        <w:rPr>
          <w:rFonts w:ascii="宋体" w:hAnsi="宋体" w:cs="宋体" w:eastAsia="宋体" w:hint="default"/>
          <w:sz w:val="17"/>
          <w:szCs w:val="17"/>
        </w:rPr>
      </w:pPr>
    </w:p>
    <w:p>
      <w:pPr>
        <w:pStyle w:val="Heading3"/>
        <w:spacing w:line="240" w:lineRule="auto"/>
        <w:ind w:right="1017"/>
        <w:jc w:val="left"/>
        <w:rPr>
          <w:b w:val="0"/>
          <w:bCs w:val="0"/>
        </w:rPr>
      </w:pPr>
      <w:bookmarkStart w:name="5、同一控制下和非同一控制下企业合并的会计处理方法" w:id="170"/>
      <w:bookmarkEnd w:id="17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left="575" w:right="1017"/>
        <w:jc w:val="left"/>
      </w:pPr>
      <w:r>
        <w:rPr/>
        <w:t>（</w:t>
      </w:r>
      <w:r>
        <w:rPr>
          <w:rFonts w:ascii="宋体" w:hAnsi="宋体" w:cs="宋体" w:eastAsia="宋体" w:hint="default"/>
        </w:rPr>
        <w:t>1</w:t>
      </w:r>
      <w:r>
        <w:rPr/>
        <w:t>）同一控制下企业合并的会计处理方法 </w:t>
      </w:r>
      <w:r>
        <w:rPr>
          <w:spacing w:val="-1"/>
        </w:rPr>
        <w:t>参与合并的企业在合并前后均受同一方或相同的多方最终控制，且该控制并非暂时性的，为同一控制</w:t>
      </w:r>
    </w:p>
    <w:p>
      <w:pPr>
        <w:pStyle w:val="BodyText"/>
        <w:spacing w:line="355" w:lineRule="auto" w:before="33"/>
        <w:ind w:left="154" w:right="1017"/>
        <w:jc w:val="left"/>
      </w:pPr>
      <w:r>
        <w:rPr>
          <w:spacing w:val="-1"/>
        </w:rPr>
        <w:t>下的企业合并。同一控制下的企业合并，在合并日取得对其他参与合并企业控制权的一方为合并方，参与</w:t>
      </w:r>
      <w:r>
        <w:rPr>
          <w:spacing w:val="-83"/>
        </w:rPr>
        <w:t> </w:t>
      </w:r>
      <w:r>
        <w:rPr>
          <w:spacing w:val="-83"/>
        </w:rPr>
      </w:r>
      <w:r>
        <w:rPr/>
        <w:t>合并的其他企业为被合并方。合并日，是指合并方实际取得对被合并方控制权的日期。</w:t>
      </w:r>
    </w:p>
    <w:p>
      <w:pPr>
        <w:pStyle w:val="BodyText"/>
        <w:spacing w:line="357" w:lineRule="auto" w:before="33"/>
        <w:ind w:left="154" w:right="1017" w:firstLine="421"/>
        <w:jc w:val="left"/>
      </w:pPr>
      <w:r>
        <w:rPr/>
        <w:t>本公司在一次交易取得或通过多次交易分步实现同一控制下企业合并，企业合并中取得的资产和负 </w:t>
      </w:r>
      <w:r>
        <w:rPr>
          <w:spacing w:val="-1"/>
        </w:rPr>
        <w:t>债，按照合并日被合并方所有者权益在最终控制方合并财务报表的账面价值的份额计量。本公司取得的净</w:t>
      </w:r>
      <w:r>
        <w:rPr>
          <w:spacing w:val="-81"/>
        </w:rPr>
        <w:t> </w:t>
      </w:r>
      <w:r>
        <w:rPr>
          <w:spacing w:val="-81"/>
        </w:rPr>
      </w:r>
      <w:r>
        <w:rPr>
          <w:spacing w:val="-1"/>
        </w:rPr>
        <w:t>资产账面价值与支付的合并对价账面价值（或发行股份面值总额）的差额，调整资本公积；资本公积不足</w:t>
      </w:r>
      <w:r>
        <w:rPr>
          <w:spacing w:val="-86"/>
        </w:rPr>
        <w:t> </w:t>
      </w:r>
      <w:r>
        <w:rPr>
          <w:spacing w:val="-86"/>
        </w:rPr>
      </w:r>
      <w:r>
        <w:rPr/>
        <w:t>冲减的，调整留存收益。</w:t>
      </w:r>
    </w:p>
    <w:p>
      <w:pPr>
        <w:pStyle w:val="BodyText"/>
        <w:spacing w:line="357" w:lineRule="auto"/>
        <w:ind w:left="575" w:right="3821"/>
        <w:jc w:val="left"/>
      </w:pPr>
      <w:r>
        <w:rPr/>
        <w:t>合并方为进行企业合并发生的各项直接费用，于发生时计入当期损益。 合并财务报表的会计处理</w:t>
      </w:r>
    </w:p>
    <w:p>
      <w:pPr>
        <w:pStyle w:val="BodyText"/>
        <w:spacing w:line="357" w:lineRule="auto"/>
        <w:ind w:left="154" w:right="1131" w:firstLine="421"/>
        <w:jc w:val="both"/>
      </w:pPr>
      <w:r>
        <w:rPr>
          <w:spacing w:val="-1"/>
        </w:rPr>
        <w:t>合并方在达到合并之前持有的长期股权投资，在取得日与合并方与被合并方同处于同一方最终控制之</w:t>
      </w:r>
      <w:r>
        <w:rPr/>
        <w:t> </w:t>
      </w:r>
      <w:r>
        <w:rPr>
          <w:spacing w:val="-1"/>
        </w:rPr>
        <w:t>日孰晚日与合并日之间已确认有关损益、其他综合收益和其他所有者权益变动，应分别冲减比较报表期间</w:t>
      </w:r>
      <w:r>
        <w:rPr>
          <w:spacing w:val="-81"/>
        </w:rPr>
        <w:t> </w:t>
      </w:r>
      <w:r>
        <w:rPr>
          <w:spacing w:val="-81"/>
        </w:rPr>
      </w:r>
      <w:r>
        <w:rPr/>
        <w:t>的期初留存收益或当期损益。</w:t>
      </w:r>
    </w:p>
    <w:p>
      <w:pPr>
        <w:pStyle w:val="BodyText"/>
        <w:spacing w:line="355" w:lineRule="auto" w:before="31"/>
        <w:ind w:left="575" w:right="1017"/>
        <w:jc w:val="left"/>
      </w:pPr>
      <w:r>
        <w:rPr/>
        <w:t>（</w:t>
      </w:r>
      <w:r>
        <w:rPr>
          <w:rFonts w:ascii="宋体" w:hAnsi="宋体" w:cs="宋体" w:eastAsia="宋体" w:hint="default"/>
        </w:rPr>
        <w:t>2</w:t>
      </w:r>
      <w:r>
        <w:rPr/>
        <w:t>）非同一控制下企业合并的会计处理方法 </w:t>
      </w:r>
      <w:r>
        <w:rPr>
          <w:spacing w:val="-1"/>
        </w:rPr>
        <w:t>参与合并的企业在合并前后不受同一方或相同的多方最终控制的，为非同一控制下的企业合并。非同</w:t>
      </w:r>
    </w:p>
    <w:p>
      <w:pPr>
        <w:pStyle w:val="BodyText"/>
        <w:spacing w:line="357" w:lineRule="auto" w:before="32"/>
        <w:ind w:left="154" w:right="1017"/>
        <w:jc w:val="left"/>
      </w:pPr>
      <w:r>
        <w:rPr>
          <w:spacing w:val="-1"/>
        </w:rPr>
        <w:t>一控制下的企业合并，在购买日取得对其他参与合并企业控制权的一方为购买方，参与合并的其他企业为</w:t>
      </w:r>
      <w:r>
        <w:rPr>
          <w:spacing w:val="-81"/>
        </w:rPr>
        <w:t> </w:t>
      </w:r>
      <w:r>
        <w:rPr>
          <w:spacing w:val="-81"/>
        </w:rPr>
      </w:r>
      <w:r>
        <w:rPr/>
        <w:t>被购买方。购买日，是指为购买方实际取得对被购买方控制权的日期。</w:t>
      </w:r>
    </w:p>
    <w:p>
      <w:pPr>
        <w:pStyle w:val="BodyText"/>
        <w:spacing w:line="357" w:lineRule="auto"/>
        <w:ind w:left="154" w:right="1131" w:firstLine="421"/>
        <w:jc w:val="both"/>
      </w:pPr>
      <w:r>
        <w:rPr>
          <w:spacing w:val="-1"/>
        </w:rPr>
        <w:t>本公司在购买日对合并成本大于合并中取得的被购买方可辨认净资产公允价值份额的差额，确认为商</w:t>
      </w:r>
      <w:r>
        <w:rPr/>
        <w:t> </w:t>
      </w:r>
      <w:r>
        <w:rPr>
          <w:spacing w:val="-1"/>
        </w:rPr>
        <w:t>誉；如果合并成本小于合并中取得的被购买方可辨认净资产公允价值份额，首先对取得的被购买方各项可</w:t>
      </w:r>
      <w:r>
        <w:rPr>
          <w:spacing w:val="-81"/>
        </w:rPr>
        <w:t> </w:t>
      </w:r>
      <w:r>
        <w:rPr>
          <w:spacing w:val="-81"/>
        </w:rPr>
      </w:r>
      <w:r>
        <w:rPr>
          <w:spacing w:val="-1"/>
        </w:rPr>
        <w:t>辨认资产、负债及或有负债的公允价值以及合并成本的计量进行复核，经复核后合并成本仍小于合并中取</w:t>
      </w:r>
      <w:r>
        <w:rPr>
          <w:spacing w:val="-81"/>
        </w:rPr>
        <w:t> </w:t>
      </w:r>
      <w:r>
        <w:rPr>
          <w:spacing w:val="-81"/>
        </w:rPr>
      </w:r>
      <w:r>
        <w:rPr/>
        <w:t>得的被购买方可辨认净资产公允价值份额的，其差额计入当期损益。</w:t>
      </w:r>
    </w:p>
    <w:p>
      <w:pPr>
        <w:pStyle w:val="BodyText"/>
        <w:spacing w:line="357" w:lineRule="auto"/>
        <w:ind w:left="154" w:right="1023" w:firstLine="421"/>
        <w:jc w:val="left"/>
      </w:pPr>
      <w:r>
        <w:rPr/>
        <w:t>购买方取得被购买方的可抵扣暂时性差异，在购买日因不符合递延所得税资产确认条件而未予确认 的，在购买日后</w:t>
      </w:r>
      <w:r>
        <w:rPr>
          <w:spacing w:val="-53"/>
        </w:rPr>
        <w:t> </w:t>
      </w:r>
      <w:r>
        <w:rPr>
          <w:rFonts w:ascii="宋体" w:hAnsi="宋体" w:cs="宋体" w:eastAsia="宋体" w:hint="default"/>
        </w:rPr>
        <w:t>12</w:t>
      </w:r>
      <w:r>
        <w:rPr>
          <w:rFonts w:ascii="宋体" w:hAnsi="宋体" w:cs="宋体" w:eastAsia="宋体" w:hint="default"/>
          <w:spacing w:val="-53"/>
        </w:rPr>
        <w:t> </w:t>
      </w:r>
      <w:r>
        <w:rPr/>
        <w:t>个月内，如取得新的或进一步的信息表明购买日的相关情况已经存在，预期被购买方 在购买日可抵扣暂时性差异带来的经济利益能够实现的，则确认相关的递延所得税资产，同时减少商誉， </w:t>
      </w:r>
      <w:r>
        <w:rPr>
          <w:spacing w:val="-3"/>
        </w:rPr>
        <w:t>商誉不足冲减的，差额部分确认为当期损益；除上述情况以外，确认与企业合并相关的递延所得税资产的，</w:t>
      </w:r>
      <w:r>
        <w:rPr>
          <w:spacing w:val="-90"/>
        </w:rPr>
        <w:t> </w:t>
      </w:r>
      <w:r>
        <w:rPr>
          <w:spacing w:val="-90"/>
        </w:rPr>
      </w:r>
      <w:r>
        <w:rPr/>
        <w:t>计入当期损益。</w:t>
      </w:r>
    </w:p>
    <w:p>
      <w:pPr>
        <w:pStyle w:val="BodyText"/>
        <w:spacing w:line="357" w:lineRule="auto"/>
        <w:ind w:right="1117" w:firstLine="421"/>
        <w:jc w:val="left"/>
      </w:pPr>
      <w:r>
        <w:rPr/>
        <w:t>通过多次交易分步实现的非同一控制下企业合并，根据《财政部关于印发企业会计准则解释第</w:t>
      </w:r>
      <w:r>
        <w:rPr>
          <w:spacing w:val="-65"/>
        </w:rPr>
        <w:t> </w:t>
      </w:r>
      <w:r>
        <w:rPr>
          <w:rFonts w:ascii="宋体" w:hAnsi="宋体" w:cs="宋体" w:eastAsia="宋体" w:hint="default"/>
        </w:rPr>
        <w:t>5</w:t>
      </w:r>
      <w:r>
        <w:rPr>
          <w:rFonts w:ascii="宋体" w:hAnsi="宋体" w:cs="宋体" w:eastAsia="宋体" w:hint="default"/>
          <w:spacing w:val="-65"/>
        </w:rPr>
        <w:t> </w:t>
      </w:r>
      <w:r>
        <w:rPr/>
        <w:t>号的</w:t>
      </w:r>
      <w:r>
        <w:rPr>
          <w:spacing w:val="-2"/>
        </w:rPr>
        <w:t> </w:t>
      </w:r>
      <w:r>
        <w:rPr/>
        <w:t>通知》（财会〔</w:t>
      </w:r>
      <w:r>
        <w:rPr>
          <w:rFonts w:ascii="宋体" w:hAnsi="宋体" w:cs="宋体" w:eastAsia="宋体" w:hint="default"/>
        </w:rPr>
        <w:t>2012</w:t>
      </w:r>
      <w:r>
        <w:rPr/>
        <w:t>〕</w:t>
      </w:r>
      <w:r>
        <w:rPr>
          <w:rFonts w:ascii="宋体" w:hAnsi="宋体" w:cs="宋体" w:eastAsia="宋体" w:hint="default"/>
        </w:rPr>
        <w:t>19</w:t>
      </w:r>
      <w:r>
        <w:rPr>
          <w:rFonts w:ascii="宋体" w:hAnsi="宋体" w:cs="宋体" w:eastAsia="宋体" w:hint="default"/>
          <w:spacing w:val="-55"/>
        </w:rPr>
        <w:t> </w:t>
      </w:r>
      <w:r>
        <w:rPr/>
        <w:t>号）和《企业会计准则第</w:t>
      </w:r>
      <w:r>
        <w:rPr>
          <w:spacing w:val="-55"/>
        </w:rPr>
        <w:t> </w:t>
      </w:r>
      <w:r>
        <w:rPr>
          <w:rFonts w:ascii="宋体" w:hAnsi="宋体" w:cs="宋体" w:eastAsia="宋体" w:hint="default"/>
        </w:rPr>
        <w:t>33</w:t>
      </w:r>
      <w:r>
        <w:rPr>
          <w:rFonts w:ascii="宋体" w:hAnsi="宋体" w:cs="宋体" w:eastAsia="宋体" w:hint="default"/>
          <w:spacing w:val="-55"/>
        </w:rPr>
        <w:t> </w:t>
      </w:r>
      <w:r>
        <w:rPr/>
        <w:t>号——合并财务报表》第五十一条关于“一揽子交</w:t>
      </w:r>
    </w:p>
    <w:p>
      <w:pPr>
        <w:spacing w:after="0" w:line="357" w:lineRule="auto"/>
        <w:jc w:val="left"/>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7" w:lineRule="auto" w:before="35"/>
        <w:ind w:right="1130"/>
        <w:jc w:val="both"/>
      </w:pPr>
      <w:r>
        <w:rPr>
          <w:spacing w:val="-1"/>
        </w:rPr>
        <w:t>易”的判断标准，判断该多次交易是否属于“一揽子交易”。属于“一揽子交易”的，参考本部分前面各</w:t>
      </w:r>
      <w:r>
        <w:rPr>
          <w:spacing w:val="-87"/>
        </w:rPr>
        <w:t> </w:t>
      </w:r>
      <w:r>
        <w:rPr>
          <w:spacing w:val="-87"/>
        </w:rPr>
      </w:r>
      <w:r>
        <w:rPr>
          <w:spacing w:val="-1"/>
        </w:rPr>
        <w:t>段描述及《长期股权投资》准则进行会计处理；不属于“一揽子交易”的，区分个别财务报表和合并财务</w:t>
      </w:r>
      <w:r>
        <w:rPr>
          <w:spacing w:val="-82"/>
        </w:rPr>
        <w:t> </w:t>
      </w:r>
      <w:r>
        <w:rPr>
          <w:spacing w:val="-82"/>
        </w:rPr>
      </w:r>
      <w:r>
        <w:rPr/>
        <w:t>报表进行相关会计处理：</w:t>
      </w:r>
    </w:p>
    <w:p>
      <w:pPr>
        <w:pStyle w:val="BodyText"/>
        <w:spacing w:line="357" w:lineRule="auto"/>
        <w:ind w:right="1110" w:firstLine="421"/>
        <w:jc w:val="both"/>
      </w:pPr>
      <w:r>
        <w:rPr/>
        <w:t>在个别财务报表中，以购买日之前所持被购买方的股权投资的账面价值与购买日新增投资成本之和， </w:t>
      </w:r>
      <w:r>
        <w:rPr>
          <w:spacing w:val="-1"/>
        </w:rPr>
        <w:t>作为该项投资的初始投资成本；购买日之前持有的被购买方的股权涉及其他综合收益的，在处置该项投资</w:t>
      </w:r>
      <w:r>
        <w:rPr>
          <w:spacing w:val="-81"/>
        </w:rPr>
        <w:t> </w:t>
      </w:r>
      <w:r>
        <w:rPr>
          <w:spacing w:val="-81"/>
        </w:rPr>
      </w:r>
      <w:r>
        <w:rPr>
          <w:spacing w:val="-1"/>
        </w:rPr>
        <w:t>时将与其相关的其他综合收益采用与被购买方直接处置相关资产或负债相同的基础进行会计处理（即，除</w:t>
      </w:r>
      <w:r>
        <w:rPr>
          <w:spacing w:val="-81"/>
        </w:rPr>
        <w:t> </w:t>
      </w:r>
      <w:r>
        <w:rPr>
          <w:spacing w:val="-81"/>
        </w:rPr>
      </w:r>
      <w:r>
        <w:rPr>
          <w:spacing w:val="-1"/>
        </w:rPr>
        <w:t>了按照权益法核算的在被购买方重新计量设定受益计划净负债或净资产导致的变动中的相应份额以外，其</w:t>
      </w:r>
      <w:r>
        <w:rPr>
          <w:spacing w:val="-81"/>
        </w:rPr>
        <w:t> </w:t>
      </w:r>
      <w:r>
        <w:rPr>
          <w:spacing w:val="-81"/>
        </w:rPr>
      </w:r>
      <w:r>
        <w:rPr/>
        <w:t>余转入当期投资收益）。</w:t>
      </w:r>
    </w:p>
    <w:p>
      <w:pPr>
        <w:pStyle w:val="BodyText"/>
        <w:spacing w:line="357" w:lineRule="auto"/>
        <w:ind w:right="1131" w:firstLine="421"/>
        <w:jc w:val="both"/>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新计量，公允价值与其账面价值的差额计入当期投资收益；购买日之前持有的被购买方的股权涉及其他综</w:t>
      </w:r>
      <w:r>
        <w:rPr>
          <w:spacing w:val="-81"/>
        </w:rPr>
        <w:t> </w:t>
      </w:r>
      <w:r>
        <w:rPr>
          <w:spacing w:val="-81"/>
        </w:rPr>
      </w:r>
      <w:r>
        <w:rPr>
          <w:spacing w:val="-1"/>
        </w:rPr>
        <w:t>合收益的，与其相关的其他综合收益应当采用与被购买方直接处置相关资产或负债相同的基础进行会计处</w:t>
      </w:r>
      <w:r>
        <w:rPr>
          <w:spacing w:val="-81"/>
        </w:rPr>
        <w:t> </w:t>
      </w:r>
      <w:r>
        <w:rPr>
          <w:spacing w:val="-81"/>
        </w:rPr>
      </w:r>
      <w:r>
        <w:rPr>
          <w:spacing w:val="-1"/>
        </w:rPr>
        <w:t>理（即，除了按照权益法核算的在被购买方重新计量设定受益计划净负债或净资产导致的变动中的相应份</w:t>
      </w:r>
      <w:r>
        <w:rPr>
          <w:spacing w:val="-81"/>
        </w:rPr>
        <w:t> </w:t>
      </w:r>
      <w:r>
        <w:rPr>
          <w:spacing w:val="-81"/>
        </w:rPr>
      </w:r>
      <w:r>
        <w:rPr/>
        <w:t>额以外，其余转为购买日所属当期投资收益）。</w:t>
      </w:r>
    </w:p>
    <w:p>
      <w:pPr>
        <w:spacing w:line="240" w:lineRule="auto" w:before="12"/>
        <w:rPr>
          <w:rFonts w:ascii="宋体" w:hAnsi="宋体" w:cs="宋体" w:eastAsia="宋体" w:hint="default"/>
          <w:sz w:val="26"/>
          <w:szCs w:val="26"/>
        </w:rPr>
      </w:pPr>
    </w:p>
    <w:p>
      <w:pPr>
        <w:pStyle w:val="Heading3"/>
        <w:spacing w:line="240" w:lineRule="auto"/>
        <w:ind w:left="153" w:right="0"/>
        <w:jc w:val="both"/>
        <w:rPr>
          <w:b w:val="0"/>
          <w:bCs w:val="0"/>
        </w:rPr>
      </w:pPr>
      <w:bookmarkStart w:name="6、合并财务报表的编制方法" w:id="171"/>
      <w:bookmarkEnd w:id="171"/>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left="575" w:right="1017"/>
        <w:jc w:val="left"/>
      </w:pPr>
      <w:r>
        <w:rPr/>
        <w:t>（</w:t>
      </w:r>
      <w:r>
        <w:rPr>
          <w:rFonts w:ascii="宋体" w:hAnsi="宋体" w:cs="宋体" w:eastAsia="宋体" w:hint="default"/>
        </w:rPr>
        <w:t>1</w:t>
      </w:r>
      <w:r>
        <w:rPr/>
        <w:t>）合并财务报表范围的确定原则 </w:t>
      </w:r>
      <w:r>
        <w:rPr>
          <w:spacing w:val="-1"/>
        </w:rPr>
        <w:t>合并财务报表的合并范围以控制为基础予以确定。控制是指本公司拥有对被投资方的权力，通过参与</w:t>
      </w:r>
    </w:p>
    <w:p>
      <w:pPr>
        <w:pStyle w:val="BodyText"/>
        <w:spacing w:line="355" w:lineRule="auto" w:before="34"/>
        <w:ind w:right="1131"/>
        <w:jc w:val="both"/>
      </w:pPr>
      <w:r>
        <w:rPr>
          <w:spacing w:val="-1"/>
        </w:rPr>
        <w:t>被投资方的相关活动而享有可变回报，并且有能力运用对被投资方的权力影响其回报金额。相关活动是指</w:t>
      </w:r>
      <w:r>
        <w:rPr>
          <w:spacing w:val="-81"/>
        </w:rPr>
        <w:t> </w:t>
      </w:r>
      <w:r>
        <w:rPr>
          <w:spacing w:val="-81"/>
        </w:rPr>
      </w:r>
      <w:r>
        <w:rPr>
          <w:spacing w:val="-1"/>
        </w:rPr>
        <w:t>对被投资方的回报产生重大影响的活动。被投资方的相关活动根据具体情况进行判断，通常包括商品或劳</w:t>
      </w:r>
      <w:r>
        <w:rPr>
          <w:spacing w:val="-81"/>
        </w:rPr>
        <w:t> </w:t>
      </w:r>
      <w:r>
        <w:rPr>
          <w:spacing w:val="-81"/>
        </w:rPr>
      </w:r>
      <w:r>
        <w:rPr/>
        <w:t>务的销售和购买、金融资产的管理、资产的购买和处置、研究与开发活动以及融资活动等。</w:t>
      </w:r>
    </w:p>
    <w:p>
      <w:pPr>
        <w:pStyle w:val="BodyText"/>
        <w:spacing w:line="355" w:lineRule="auto" w:before="33"/>
        <w:ind w:right="1131" w:firstLine="421"/>
        <w:jc w:val="both"/>
      </w:pPr>
      <w:r>
        <w:rPr>
          <w:spacing w:val="-1"/>
        </w:rPr>
        <w:t>合并范围包括本公司及全部子公司。子公司，是指被本公司控制的企业或主体。一旦相关事实和情况</w:t>
      </w:r>
      <w:r>
        <w:rPr/>
        <w:t> 的变化导致上述控制定义涉及的相关要素发生了变化，本公司将进行重新评估。</w:t>
      </w:r>
    </w:p>
    <w:p>
      <w:pPr>
        <w:pStyle w:val="BodyText"/>
        <w:spacing w:line="357" w:lineRule="auto" w:before="33"/>
        <w:ind w:left="575" w:right="1017"/>
        <w:jc w:val="left"/>
      </w:pPr>
      <w:r>
        <w:rPr/>
        <w:t>（</w:t>
      </w:r>
      <w:r>
        <w:rPr>
          <w:rFonts w:ascii="宋体" w:hAnsi="宋体" w:cs="宋体" w:eastAsia="宋体" w:hint="default"/>
        </w:rPr>
        <w:t>2</w:t>
      </w:r>
      <w:r>
        <w:rPr/>
        <w:t>）合并财务报表编制的方法 本公司以自身和子公司的财务报表为基础，根据其他有关资料，编制合并财务报表。 </w:t>
      </w:r>
      <w:r>
        <w:rPr>
          <w:spacing w:val="-1"/>
        </w:rPr>
        <w:t>从取得子公司的净资产和生产经营决策的实际控制权之日起，本公司开始将其纳入合并范围；从丧失</w:t>
      </w:r>
    </w:p>
    <w:p>
      <w:pPr>
        <w:pStyle w:val="BodyText"/>
        <w:spacing w:line="357" w:lineRule="auto"/>
        <w:ind w:right="1131"/>
        <w:jc w:val="both"/>
      </w:pPr>
      <w:r>
        <w:rPr>
          <w:spacing w:val="-1"/>
        </w:rPr>
        <w:t>实际控制权之日起停止纳入合并范围。对于处置的子公司，处置日前的经营成果和现金流量已经适当地包</w:t>
      </w:r>
      <w:r>
        <w:rPr>
          <w:spacing w:val="-81"/>
        </w:rPr>
        <w:t> </w:t>
      </w:r>
      <w:r>
        <w:rPr>
          <w:spacing w:val="-81"/>
        </w:rPr>
      </w:r>
      <w:r>
        <w:rPr>
          <w:spacing w:val="-1"/>
        </w:rPr>
        <w:t>括在合并利润表和合并现金流量表中；当期处置的子公司，不调整合并资产负债表的期初数。非同一控制</w:t>
      </w:r>
      <w:r>
        <w:rPr>
          <w:spacing w:val="-83"/>
        </w:rPr>
        <w:t> </w:t>
      </w:r>
      <w:r>
        <w:rPr>
          <w:spacing w:val="-83"/>
        </w:rPr>
      </w:r>
      <w:r>
        <w:rPr>
          <w:spacing w:val="-1"/>
        </w:rPr>
        <w:t>下企业合并增加的子公司，其购买日后的经营成果及现金流量已经适当地包括在合并利润表和合并现金流</w:t>
      </w:r>
      <w:r>
        <w:rPr>
          <w:spacing w:val="-81"/>
        </w:rPr>
        <w:t> </w:t>
      </w:r>
      <w:r>
        <w:rPr>
          <w:spacing w:val="-81"/>
        </w:rPr>
      </w:r>
      <w:r>
        <w:rPr>
          <w:spacing w:val="-1"/>
        </w:rPr>
        <w:t>量表中，且不调整合并财务报表的期初数和对比数。同一控制下企业合并增加的子公司，其自合并当期期</w:t>
      </w:r>
      <w:r>
        <w:rPr>
          <w:spacing w:val="-83"/>
        </w:rPr>
        <w:t> </w:t>
      </w:r>
      <w:r>
        <w:rPr>
          <w:spacing w:val="-83"/>
        </w:rPr>
      </w:r>
      <w:r>
        <w:rPr>
          <w:spacing w:val="-1"/>
        </w:rPr>
        <w:t>初至合并日的经营成果和现金流量已经适当地包括在合并利润表和合并现金流量表中，并且同时调整合并</w:t>
      </w:r>
      <w:r>
        <w:rPr>
          <w:spacing w:val="-81"/>
        </w:rPr>
        <w:t> </w:t>
      </w:r>
      <w:r>
        <w:rPr>
          <w:spacing w:val="-81"/>
        </w:rPr>
      </w:r>
      <w:r>
        <w:rPr/>
        <w:t>财务报表的对比数。</w:t>
      </w:r>
    </w:p>
    <w:p>
      <w:pPr>
        <w:pStyle w:val="BodyText"/>
        <w:spacing w:line="355" w:lineRule="auto" w:before="32"/>
        <w:ind w:right="1131" w:firstLine="421"/>
        <w:jc w:val="both"/>
      </w:pPr>
      <w:r>
        <w:rPr>
          <w:spacing w:val="-1"/>
        </w:rPr>
        <w:t>在编制合并财务报表时，子公司与本公司采用的会计政策或会计期间不一致的，按照本公司的会计政</w:t>
      </w:r>
      <w:r>
        <w:rPr/>
        <w:t> </w:t>
      </w: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spacing w:after="0" w:line="355" w:lineRule="auto"/>
        <w:jc w:val="both"/>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5" w:lineRule="auto" w:before="35"/>
        <w:ind w:left="575" w:right="1301"/>
        <w:jc w:val="left"/>
      </w:pPr>
      <w:r>
        <w:rPr/>
        <w:t>公司内所有重大往来余额、交易及未实现利润在合并财务报表编制时予以抵销。 子公司的股东权益及当期净损益中不属于本公司所拥有的部分分别作为少数股东权益及少数股东损</w:t>
      </w:r>
    </w:p>
    <w:p>
      <w:pPr>
        <w:pStyle w:val="BodyText"/>
        <w:spacing w:line="357" w:lineRule="auto" w:before="33"/>
        <w:ind w:right="1131"/>
        <w:jc w:val="both"/>
      </w:pPr>
      <w:r>
        <w:rPr>
          <w:spacing w:val="-1"/>
        </w:rPr>
        <w:t>益在合并财务报表中股东权益及净利润项下单独列示。子公司当期净损益中属于少数股东权益的份额，在</w:t>
      </w:r>
      <w:r>
        <w:rPr>
          <w:spacing w:val="-81"/>
        </w:rPr>
        <w:t> </w:t>
      </w:r>
      <w:r>
        <w:rPr>
          <w:spacing w:val="-81"/>
        </w:rPr>
      </w:r>
      <w:r>
        <w:rPr>
          <w:spacing w:val="-1"/>
        </w:rPr>
        <w:t>合并利润表中净利润项目下以“少数股东损益”项目列示。少数股东分担的子公司的亏损超过了少数股东</w:t>
      </w:r>
      <w:r>
        <w:rPr>
          <w:spacing w:val="-83"/>
        </w:rPr>
        <w:t> </w:t>
      </w:r>
      <w:r>
        <w:rPr>
          <w:spacing w:val="-83"/>
        </w:rPr>
      </w:r>
      <w:r>
        <w:rPr/>
        <w:t>在该子公司期初股东权益中所享有的份额，冲减少数股东权益。</w:t>
      </w:r>
    </w:p>
    <w:p>
      <w:pPr>
        <w:pStyle w:val="BodyText"/>
        <w:spacing w:line="357" w:lineRule="auto"/>
        <w:ind w:right="1024" w:firstLine="421"/>
        <w:jc w:val="left"/>
      </w:pPr>
      <w:r>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w:t>
      </w:r>
      <w:r>
        <w:rPr>
          <w:spacing w:val="-3"/>
        </w:rPr>
        <w:t>同的基础进行会计处理（即，除了在该原有子公司重新计量设定受益计划净负债或净资产导致的变动以外，</w:t>
      </w:r>
      <w:r>
        <w:rPr>
          <w:spacing w:val="-92"/>
        </w:rPr>
        <w:t> </w:t>
      </w:r>
      <w:r>
        <w:rPr>
          <w:spacing w:val="-92"/>
        </w:rPr>
      </w:r>
      <w:r>
        <w:rPr/>
        <w:t>其余一并转为当期投资收益）。其后，对该部分剩余股权按照《企业会计准则第</w:t>
      </w:r>
      <w:r>
        <w:rPr>
          <w:spacing w:val="-52"/>
        </w:rPr>
        <w:t> </w:t>
      </w:r>
      <w:r>
        <w:rPr>
          <w:rFonts w:ascii="宋体" w:hAnsi="宋体" w:cs="宋体" w:eastAsia="宋体" w:hint="default"/>
        </w:rPr>
        <w:t>2</w:t>
      </w:r>
      <w:r>
        <w:rPr>
          <w:rFonts w:ascii="宋体" w:hAnsi="宋体" w:cs="宋体" w:eastAsia="宋体" w:hint="default"/>
          <w:spacing w:val="-53"/>
        </w:rPr>
        <w:t> </w:t>
      </w:r>
      <w:r>
        <w:rPr/>
        <w:t>号——长期股权投资》</w:t>
      </w:r>
    </w:p>
    <w:p>
      <w:pPr>
        <w:pStyle w:val="BodyText"/>
        <w:spacing w:line="357" w:lineRule="auto" w:before="31"/>
        <w:ind w:left="154" w:right="1017"/>
        <w:jc w:val="left"/>
      </w:pPr>
      <w:r>
        <w:rPr/>
        <w:t>或《企业会计准则第</w:t>
      </w:r>
      <w:r>
        <w:rPr>
          <w:spacing w:val="-52"/>
        </w:rPr>
        <w:t> </w:t>
      </w:r>
      <w:r>
        <w:rPr>
          <w:rFonts w:ascii="宋体" w:hAnsi="宋体" w:cs="宋体" w:eastAsia="宋体" w:hint="default"/>
        </w:rPr>
        <w:t>22</w:t>
      </w:r>
      <w:r>
        <w:rPr>
          <w:rFonts w:ascii="宋体" w:hAnsi="宋体" w:cs="宋体" w:eastAsia="宋体" w:hint="default"/>
          <w:spacing w:val="-53"/>
        </w:rPr>
        <w:t> </w:t>
      </w:r>
      <w:r>
        <w:rPr/>
        <w:t>号——金融工具确认和计量》等相关规定进行后续计量。 </w:t>
      </w:r>
      <w:r>
        <w:rPr>
          <w:spacing w:val="-1"/>
        </w:rPr>
        <w:t>本公司通过多次交易分步处置对子公司股权投资直至丧失控制权的，需区分处置对子公司股权投资直至丧</w:t>
      </w:r>
      <w:r>
        <w:rPr>
          <w:spacing w:val="-80"/>
        </w:rPr>
        <w:t> </w:t>
      </w:r>
      <w:r>
        <w:rPr>
          <w:spacing w:val="-80"/>
        </w:rPr>
      </w:r>
      <w:r>
        <w:rPr>
          <w:spacing w:val="-1"/>
        </w:rPr>
        <w:t>失控制权的各项交易是否属于一揽子交易。处置对子公司股权投资的各项交易的条款、条件以及经济影响</w:t>
      </w:r>
      <w:r>
        <w:rPr>
          <w:spacing w:val="-81"/>
        </w:rPr>
        <w:t> </w:t>
      </w:r>
      <w:r>
        <w:rPr>
          <w:spacing w:val="-81"/>
        </w:rPr>
      </w:r>
      <w:r>
        <w:rPr/>
        <w:t>符合以下一种或多种情况，通常表明应将多次交易事项作为一揽子交易进行会计处理：</w:t>
      </w:r>
    </w:p>
    <w:p>
      <w:pPr>
        <w:pStyle w:val="BodyText"/>
        <w:spacing w:line="240" w:lineRule="auto"/>
        <w:ind w:left="575" w:right="1017"/>
        <w:jc w:val="left"/>
      </w:pPr>
      <w:r>
        <w:rPr/>
        <w:t>（</w:t>
      </w:r>
      <w:r>
        <w:rPr>
          <w:rFonts w:ascii="宋体" w:hAnsi="宋体" w:cs="宋体" w:eastAsia="宋体" w:hint="default"/>
        </w:rPr>
        <w:t>1</w:t>
      </w:r>
      <w:r>
        <w:rPr/>
        <w:t>）这些交易是同时或者在考虑了彼此影响的情况下订立的；</w:t>
      </w:r>
    </w:p>
    <w:p>
      <w:pPr>
        <w:pStyle w:val="BodyText"/>
        <w:spacing w:line="240" w:lineRule="auto" w:before="134"/>
        <w:ind w:left="575" w:right="1017"/>
        <w:jc w:val="left"/>
      </w:pPr>
      <w:r>
        <w:rPr/>
        <w:t>（</w:t>
      </w:r>
      <w:r>
        <w:rPr>
          <w:rFonts w:ascii="宋体" w:hAnsi="宋体" w:cs="宋体" w:eastAsia="宋体" w:hint="default"/>
        </w:rPr>
        <w:t>2</w:t>
      </w:r>
      <w:r>
        <w:rPr/>
        <w:t>）这些交易整体才能达成一项完整的商业结果；</w:t>
      </w:r>
    </w:p>
    <w:p>
      <w:pPr>
        <w:pStyle w:val="BodyText"/>
        <w:spacing w:line="240" w:lineRule="auto" w:before="133"/>
        <w:ind w:left="575" w:right="1017"/>
        <w:jc w:val="left"/>
      </w:pPr>
      <w:r>
        <w:rPr/>
        <w:t>（</w:t>
      </w:r>
      <w:r>
        <w:rPr>
          <w:rFonts w:ascii="宋体" w:hAnsi="宋体" w:cs="宋体" w:eastAsia="宋体" w:hint="default"/>
        </w:rPr>
        <w:t>3</w:t>
      </w:r>
      <w:r>
        <w:rPr/>
        <w:t>）一项交易的发生取决于其他至少一项交易的发生；</w:t>
      </w:r>
    </w:p>
    <w:p>
      <w:pPr>
        <w:pStyle w:val="BodyText"/>
        <w:spacing w:line="355" w:lineRule="auto" w:before="134"/>
        <w:ind w:left="575" w:right="1017"/>
        <w:jc w:val="left"/>
      </w:pPr>
      <w:r>
        <w:rPr/>
        <w:t>（</w:t>
      </w:r>
      <w:r>
        <w:rPr>
          <w:rFonts w:ascii="宋体" w:hAnsi="宋体" w:cs="宋体" w:eastAsia="宋体" w:hint="default"/>
        </w:rPr>
        <w:t>4</w:t>
      </w:r>
      <w:r>
        <w:rPr/>
        <w:t>）一项交易单独看是不经济的，但是和其他交易一并考虑时是经济的。 </w:t>
      </w:r>
      <w:r>
        <w:rPr>
          <w:spacing w:val="-1"/>
        </w:rPr>
        <w:t>不属于一揽子交易的，对其中的每一项交易视情况分别按照“不丧失控制权的情况下部分处置对子公</w:t>
      </w:r>
    </w:p>
    <w:p>
      <w:pPr>
        <w:pStyle w:val="BodyText"/>
        <w:spacing w:line="357" w:lineRule="auto" w:before="33"/>
        <w:ind w:left="154" w:right="1131"/>
        <w:jc w:val="both"/>
      </w:pPr>
      <w:r>
        <w:rPr>
          <w:spacing w:val="-1"/>
        </w:rPr>
        <w:t>司的长期股权投资”适用的原则进行会计处理。处置对子公司股权投资直至丧失控制权的各项交易属于一</w:t>
      </w:r>
      <w:r>
        <w:rPr>
          <w:spacing w:val="-81"/>
        </w:rPr>
        <w:t> </w:t>
      </w:r>
      <w:r>
        <w:rPr>
          <w:spacing w:val="-81"/>
        </w:rPr>
      </w:r>
      <w:r>
        <w:rPr>
          <w:spacing w:val="-1"/>
        </w:rPr>
        <w:t>揽子交易的，将各项交易作为一项处置子公司并丧失控制权的交易进行会计处理；但是，在丧失控制权之</w:t>
      </w:r>
      <w:r>
        <w:rPr>
          <w:spacing w:val="-83"/>
        </w:rPr>
        <w:t> </w:t>
      </w:r>
      <w:r>
        <w:rPr>
          <w:spacing w:val="-83"/>
        </w:rPr>
      </w:r>
      <w:r>
        <w:rPr>
          <w:spacing w:val="-1"/>
        </w:rPr>
        <w:t>前每一次处置价款与处置投资对应的享有该子公司净资产份额的差额，在合并财务报表中确认为其他综合</w:t>
      </w:r>
      <w:r>
        <w:rPr>
          <w:spacing w:val="-81"/>
        </w:rPr>
        <w:t> </w:t>
      </w:r>
      <w:r>
        <w:rPr>
          <w:spacing w:val="-81"/>
        </w:rPr>
      </w:r>
      <w:r>
        <w:rPr/>
        <w:t>收益，在丧失控制权时一并转入丧失控制权当期的损益。</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7、合营安排分类及共同经营会计处理方法" w:id="172"/>
      <w:bookmarkEnd w:id="172"/>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left="575" w:right="1016" w:hanging="86"/>
        <w:jc w:val="left"/>
      </w:pPr>
      <w:r>
        <w:rPr/>
        <w:t>（</w:t>
      </w:r>
      <w:r>
        <w:rPr>
          <w:rFonts w:ascii="宋体" w:hAnsi="宋体" w:cs="宋体" w:eastAsia="宋体" w:hint="default"/>
        </w:rPr>
        <w:t>1</w:t>
      </w:r>
      <w:r>
        <w:rPr/>
        <w:t>）合营安排分类 </w:t>
      </w:r>
      <w:r>
        <w:rPr>
          <w:spacing w:val="-3"/>
        </w:rPr>
        <w:t>合营安排是指一项由两个或两个以上的参与方共同控制的安排，分为共同经营和合营企业。共同经营，</w:t>
      </w:r>
    </w:p>
    <w:p>
      <w:pPr>
        <w:pStyle w:val="BodyText"/>
        <w:spacing w:line="357" w:lineRule="auto"/>
        <w:ind w:left="154" w:right="1131"/>
        <w:jc w:val="both"/>
      </w:pPr>
      <w:r>
        <w:rPr>
          <w:spacing w:val="-1"/>
        </w:rPr>
        <w:t>是指合营方享有该安排相关资产且承担该安排相关负债的合营安排。合营企业，是指合营方仅对该安排的</w:t>
      </w:r>
      <w:r>
        <w:rPr>
          <w:spacing w:val="-81"/>
        </w:rPr>
        <w:t> </w:t>
      </w:r>
      <w:r>
        <w:rPr>
          <w:spacing w:val="-81"/>
        </w:rPr>
      </w:r>
      <w:r>
        <w:rPr/>
        <w:t>净资产享有权利的合营安排。</w:t>
      </w:r>
    </w:p>
    <w:p>
      <w:pPr>
        <w:pStyle w:val="BodyText"/>
        <w:spacing w:line="357" w:lineRule="auto"/>
        <w:ind w:left="575" w:right="3401"/>
        <w:jc w:val="left"/>
      </w:pPr>
      <w:r>
        <w:rPr/>
        <w:t>（</w:t>
      </w:r>
      <w:r>
        <w:rPr>
          <w:rFonts w:ascii="宋体" w:hAnsi="宋体" w:cs="宋体" w:eastAsia="宋体" w:hint="default"/>
        </w:rPr>
        <w:t>2</w:t>
      </w:r>
      <w:r>
        <w:rPr/>
        <w:t>）共同经营会计处理方法 当公司为共同经营的合营方时，确认与共同经营利益份额相关的下列项目：</w:t>
      </w:r>
    </w:p>
    <w:p>
      <w:pPr>
        <w:pStyle w:val="BodyText"/>
        <w:spacing w:line="240" w:lineRule="auto"/>
        <w:ind w:left="575" w:right="1017"/>
        <w:jc w:val="left"/>
      </w:pPr>
      <w:r>
        <w:rPr/>
        <w:t>①确认单独所持有的资产，以及按持有份额确认共同持有的资产；</w:t>
      </w:r>
    </w:p>
    <w:p>
      <w:pPr>
        <w:pStyle w:val="BodyText"/>
        <w:spacing w:line="240" w:lineRule="auto" w:before="133"/>
        <w:ind w:left="575" w:right="1017"/>
        <w:jc w:val="left"/>
      </w:pPr>
      <w:r>
        <w:rPr/>
        <w:t>②确认单独所承担的负债，以及按持有份额确认共同承担的负债；</w:t>
      </w:r>
    </w:p>
    <w:p>
      <w:pPr>
        <w:spacing w:after="0" w:line="240" w:lineRule="auto"/>
        <w:jc w:val="left"/>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240" w:lineRule="auto" w:before="35"/>
        <w:ind w:left="575" w:right="1017"/>
        <w:jc w:val="left"/>
      </w:pPr>
      <w:r>
        <w:rPr/>
        <w:t>③确认出售公司享有的共同经营产出份额所产生的收入；</w:t>
      </w:r>
    </w:p>
    <w:p>
      <w:pPr>
        <w:pStyle w:val="BodyText"/>
        <w:spacing w:line="240" w:lineRule="auto" w:before="133"/>
        <w:ind w:left="575" w:right="1017"/>
        <w:jc w:val="left"/>
      </w:pPr>
      <w:r>
        <w:rPr/>
        <w:t>④按公司持有份额确认共同经营因出售资产所产生的收入；</w:t>
      </w:r>
    </w:p>
    <w:p>
      <w:pPr>
        <w:pStyle w:val="BodyText"/>
        <w:spacing w:line="240" w:lineRule="auto" w:before="134"/>
        <w:ind w:left="575" w:right="1017"/>
        <w:jc w:val="left"/>
      </w:pPr>
      <w:r>
        <w:rPr/>
        <w:t>⑤确认单独所发生的费用，以及按公司持有份额确认共同经营发生的费用。</w:t>
      </w:r>
    </w:p>
    <w:p>
      <w:pPr>
        <w:pStyle w:val="BodyText"/>
        <w:spacing w:line="240" w:lineRule="auto" w:before="133"/>
        <w:ind w:left="575" w:right="1017"/>
        <w:jc w:val="left"/>
      </w:pPr>
      <w:r>
        <w:rPr/>
        <w:t>（</w:t>
      </w:r>
      <w:r>
        <w:rPr>
          <w:rFonts w:ascii="宋体" w:hAnsi="宋体" w:cs="宋体" w:eastAsia="宋体" w:hint="default"/>
        </w:rPr>
        <w:t>3</w:t>
      </w:r>
      <w:r>
        <w:rPr/>
        <w:t>）当公司为合营企业的合营方时，将对合营企业的投资确认为长期股权投资。</w:t>
      </w:r>
    </w:p>
    <w:p>
      <w:pPr>
        <w:spacing w:line="570" w:lineRule="atLeast" w:before="175"/>
        <w:ind w:left="575" w:right="1017" w:hanging="422"/>
        <w:jc w:val="left"/>
        <w:rPr>
          <w:rFonts w:ascii="宋体" w:hAnsi="宋体" w:cs="宋体" w:eastAsia="宋体" w:hint="default"/>
          <w:sz w:val="21"/>
          <w:szCs w:val="21"/>
        </w:rPr>
      </w:pPr>
      <w:bookmarkStart w:name="8、现金及现金等价物的确定标准" w:id="173"/>
      <w:bookmarkEnd w:id="17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现金流量表的现金指企业库存现金及可以随时用于支付的存款。现金等价物指持有的期限短（一般是</w:t>
      </w:r>
    </w:p>
    <w:p>
      <w:pPr>
        <w:pStyle w:val="BodyText"/>
        <w:spacing w:line="240" w:lineRule="auto" w:before="133"/>
        <w:ind w:left="154" w:right="0"/>
        <w:jc w:val="both"/>
      </w:pPr>
      <w:r>
        <w:rPr/>
        <w:t>指从购买日起三个月内到期）、流动性强、易于转换为已知金额现金、价值变动风险很小的投资。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right="0"/>
        <w:jc w:val="both"/>
        <w:rPr>
          <w:b w:val="0"/>
          <w:bCs w:val="0"/>
        </w:rPr>
      </w:pPr>
      <w:bookmarkStart w:name="9、外币业务和外币报表折算" w:id="174"/>
      <w:bookmarkEnd w:id="174"/>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left="575" w:right="1196"/>
        <w:jc w:val="left"/>
      </w:pPr>
      <w:r>
        <w:rPr/>
        <w:t>（</w:t>
      </w:r>
      <w:r>
        <w:rPr>
          <w:rFonts w:ascii="宋体" w:hAnsi="宋体" w:cs="宋体" w:eastAsia="宋体" w:hint="default"/>
        </w:rPr>
        <w:t>1</w:t>
      </w:r>
      <w:r>
        <w:rPr/>
        <w:t>）外币业务折算 外币交易在初始确认时，采用交易发生日的即期汇率</w:t>
      </w:r>
      <w:r>
        <w:rPr>
          <w:rFonts w:ascii="宋体" w:hAnsi="宋体" w:cs="宋体" w:eastAsia="宋体" w:hint="default"/>
        </w:rPr>
        <w:t>/</w:t>
      </w:r>
      <w:r>
        <w:rPr/>
        <w:t>交易发生日即期汇率的近似汇率折算为人民币</w:t>
      </w:r>
    </w:p>
    <w:p>
      <w:pPr>
        <w:pStyle w:val="BodyText"/>
        <w:spacing w:line="357" w:lineRule="auto" w:before="33"/>
        <w:ind w:left="154" w:right="1110"/>
        <w:jc w:val="both"/>
      </w:pPr>
      <w:r>
        <w:rPr/>
        <w:t>金额。资产负债表日，外币货币性项目采用资产负债表日即期汇率折算，因汇率不同而产生的汇兑差额， </w:t>
      </w:r>
      <w:r>
        <w:rPr>
          <w:spacing w:val="-1"/>
        </w:rPr>
        <w:t>除与购建符合资本化条件资产有关的外币专门借款本金及利息的汇兑差额外，计入当期损益；以历史成本</w:t>
      </w:r>
      <w:r>
        <w:rPr>
          <w:spacing w:val="-81"/>
        </w:rPr>
        <w:t> </w:t>
      </w:r>
      <w:r>
        <w:rPr>
          <w:spacing w:val="-81"/>
        </w:rPr>
      </w:r>
      <w:r>
        <w:rPr>
          <w:spacing w:val="-1"/>
        </w:rPr>
        <w:t>计量的外币非货币性项目仍采用交易发生日的即期汇率折算，不改变其人民币金额；以公允价值计量的外</w:t>
      </w:r>
      <w:r>
        <w:rPr>
          <w:spacing w:val="-81"/>
        </w:rPr>
        <w:t> </w:t>
      </w:r>
      <w:r>
        <w:rPr>
          <w:spacing w:val="-81"/>
        </w:rPr>
      </w:r>
      <w:r>
        <w:rPr/>
        <w:t>币非货币性项目，采用公允价值确定日的即期汇率折算，差额计入当期损益或其他综合收益。</w:t>
      </w:r>
    </w:p>
    <w:p>
      <w:pPr>
        <w:pStyle w:val="BodyText"/>
        <w:spacing w:line="357" w:lineRule="auto"/>
        <w:ind w:left="575" w:right="1017"/>
        <w:jc w:val="left"/>
      </w:pPr>
      <w:r>
        <w:rPr/>
        <w:t>（</w:t>
      </w:r>
      <w:r>
        <w:rPr>
          <w:rFonts w:ascii="宋体" w:hAnsi="宋体" w:cs="宋体" w:eastAsia="宋体" w:hint="default"/>
        </w:rPr>
        <w:t>2</w:t>
      </w:r>
      <w:r>
        <w:rPr/>
        <w:t>）外币财务报表折算 </w:t>
      </w:r>
      <w:r>
        <w:rPr>
          <w:spacing w:val="-1"/>
        </w:rPr>
        <w:t>资产负债表中的资产和负债项目，采用资产负债表日的即期汇率折算；所有者权益项目除“未分配利</w:t>
      </w:r>
    </w:p>
    <w:p>
      <w:pPr>
        <w:pStyle w:val="BodyText"/>
        <w:spacing w:line="357" w:lineRule="auto"/>
        <w:ind w:left="154" w:right="1017"/>
        <w:jc w:val="left"/>
      </w:pPr>
      <w:r>
        <w:rPr>
          <w:spacing w:val="-1"/>
        </w:rPr>
        <w:t>润”项目外，其他项目采用交易发生日的即期汇率折算；利润表中的收入和费用项目，采用交易发生日的</w:t>
      </w:r>
      <w:r>
        <w:rPr>
          <w:spacing w:val="-86"/>
        </w:rPr>
        <w:t> </w:t>
      </w:r>
      <w:r>
        <w:rPr>
          <w:spacing w:val="-86"/>
        </w:rPr>
      </w:r>
      <w:r>
        <w:rPr/>
        <w:t>即期汇率</w:t>
      </w:r>
      <w:r>
        <w:rPr>
          <w:rFonts w:ascii="宋体" w:hAnsi="宋体" w:cs="宋体" w:eastAsia="宋体" w:hint="default"/>
        </w:rPr>
        <w:t>/</w:t>
      </w:r>
      <w:r>
        <w:rPr/>
        <w:t>交易发生日即期汇率的近似汇率折算。按照上述折算产生的外币财务报表折算差额，在资产负 债表中所有者权益项目下其他综合收益中列示。</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10、金融工具" w:id="175"/>
      <w:bookmarkEnd w:id="175"/>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3"/>
          <w:szCs w:val="23"/>
        </w:rPr>
      </w:pPr>
    </w:p>
    <w:p>
      <w:pPr>
        <w:pStyle w:val="BodyText"/>
        <w:spacing w:line="355" w:lineRule="auto" w:before="0"/>
        <w:ind w:left="154" w:right="1131" w:firstLine="421"/>
        <w:jc w:val="both"/>
      </w:pPr>
      <w:r>
        <w:rPr>
          <w:spacing w:val="-1"/>
        </w:rPr>
        <w:t>在本公司成为金融工具合同的一方时确认一项金融资产或金融负债。金融资产和金融负债在初始确认</w:t>
      </w:r>
      <w:r>
        <w:rPr/>
        <w:t> </w:t>
      </w:r>
      <w:r>
        <w:rPr>
          <w:spacing w:val="-1"/>
        </w:rPr>
        <w:t>时以公允价值计量。对于以公允价值计量且其变动计入当期损益的金融资产和金融负债，相关的交易费用</w:t>
      </w:r>
      <w:r>
        <w:rPr>
          <w:spacing w:val="-81"/>
        </w:rPr>
        <w:t> </w:t>
      </w:r>
      <w:r>
        <w:rPr>
          <w:spacing w:val="-81"/>
        </w:rPr>
      </w:r>
      <w:r>
        <w:rPr/>
        <w:t>直接计入损益，对于其他类别的金融资产和金融负债，相关交易费用计入初始确认金额。</w:t>
      </w:r>
    </w:p>
    <w:p>
      <w:pPr>
        <w:pStyle w:val="BodyText"/>
        <w:spacing w:line="355" w:lineRule="auto" w:before="33"/>
        <w:ind w:left="575" w:right="1017"/>
        <w:jc w:val="left"/>
      </w:pPr>
      <w:r>
        <w:rPr/>
        <w:t>（</w:t>
      </w:r>
      <w:r>
        <w:rPr>
          <w:rFonts w:ascii="宋体" w:hAnsi="宋体" w:cs="宋体" w:eastAsia="宋体" w:hint="default"/>
        </w:rPr>
        <w:t>1</w:t>
      </w:r>
      <w:r>
        <w:rPr/>
        <w:t>）金融资产和金融负债的公允价值确定方法 </w:t>
      </w:r>
      <w:r>
        <w:rPr>
          <w:spacing w:val="-1"/>
        </w:rPr>
        <w:t>公允价值，是指市场参与者在计量日发生的有序交易中，出售一项资产所能收到或者转移一项负债所</w:t>
      </w:r>
    </w:p>
    <w:p>
      <w:pPr>
        <w:pStyle w:val="BodyText"/>
        <w:spacing w:line="357" w:lineRule="auto" w:before="33"/>
        <w:ind w:left="154" w:right="1131"/>
        <w:jc w:val="both"/>
      </w:pPr>
      <w:r>
        <w:rPr>
          <w:spacing w:val="-1"/>
        </w:rPr>
        <w:t>需支付的价格。金融工具存在活跃市场的，本公司采用活跃市场中的报价确定其公允价值。活跃市场中的</w:t>
      </w:r>
      <w:r>
        <w:rPr>
          <w:spacing w:val="-83"/>
        </w:rPr>
        <w:t> </w:t>
      </w:r>
      <w:r>
        <w:rPr>
          <w:spacing w:val="-83"/>
        </w:rPr>
      </w:r>
      <w:r>
        <w:rPr>
          <w:spacing w:val="-1"/>
        </w:rPr>
        <w:t>报价是指易于定期从交易所、经纪商、行业协会、定价服务机构等获得的价格，且代表了在公平交易中实</w:t>
      </w:r>
      <w:r>
        <w:rPr>
          <w:spacing w:val="-86"/>
        </w:rPr>
        <w:t> </w:t>
      </w:r>
      <w:r>
        <w:rPr>
          <w:spacing w:val="-86"/>
        </w:rPr>
      </w:r>
      <w:r>
        <w:rPr>
          <w:spacing w:val="-1"/>
        </w:rPr>
        <w:t>际发生的市场交易的价格。金融工具不存在活跃市场的，本公司采用估值技术确定其公允价值。估值技术</w:t>
      </w:r>
      <w:r>
        <w:rPr>
          <w:spacing w:val="-83"/>
        </w:rPr>
        <w:t> </w:t>
      </w:r>
      <w:r>
        <w:rPr>
          <w:spacing w:val="-83"/>
        </w:rPr>
      </w:r>
      <w:r>
        <w:rPr>
          <w:spacing w:val="-1"/>
        </w:rPr>
        <w:t>包括参考熟悉情况并自愿交易的各方最近进行的市场交易中使用的价格、参照实质上相同的其他金融工具</w:t>
      </w:r>
      <w:r>
        <w:rPr>
          <w:spacing w:val="-81"/>
        </w:rPr>
        <w:t> </w:t>
      </w:r>
      <w:r>
        <w:rPr>
          <w:spacing w:val="-81"/>
        </w:rPr>
      </w:r>
      <w:r>
        <w:rPr/>
        <w:t>当前的公允价值、现金流量折现法和期权定价模型等。</w:t>
      </w:r>
    </w:p>
    <w:p>
      <w:pPr>
        <w:spacing w:after="0" w:line="357" w:lineRule="auto"/>
        <w:jc w:val="both"/>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5" w:lineRule="auto" w:before="35"/>
        <w:ind w:left="575" w:right="1017"/>
        <w:jc w:val="left"/>
      </w:pPr>
      <w:r>
        <w:rPr/>
        <w:t>（</w:t>
      </w:r>
      <w:r>
        <w:rPr>
          <w:rFonts w:ascii="宋体" w:hAnsi="宋体" w:cs="宋体" w:eastAsia="宋体" w:hint="default"/>
        </w:rPr>
        <w:t>2</w:t>
      </w:r>
      <w:r>
        <w:rPr/>
        <w:t>）金融资产的分类、确认和计量 </w:t>
      </w:r>
      <w:r>
        <w:rPr>
          <w:spacing w:val="-1"/>
        </w:rPr>
        <w:t>以常规方式买卖金融资产，按交易日进行会计确认和终止确认。金融资产在初始确认时划分为以公允</w:t>
      </w:r>
    </w:p>
    <w:p>
      <w:pPr>
        <w:pStyle w:val="BodyText"/>
        <w:spacing w:line="240" w:lineRule="auto" w:before="33"/>
        <w:ind w:left="154" w:right="0"/>
        <w:jc w:val="both"/>
      </w:pPr>
      <w:r>
        <w:rPr/>
        <w:t>价值计量且其变动计入当期损益的金融资产、持有至到期投资、贷款和应收款项以及可供出售金融资产。</w:t>
      </w:r>
    </w:p>
    <w:p>
      <w:pPr>
        <w:pStyle w:val="BodyText"/>
        <w:spacing w:line="357" w:lineRule="auto" w:before="133"/>
        <w:ind w:left="575" w:right="1017"/>
        <w:jc w:val="left"/>
      </w:pPr>
      <w:r>
        <w:rPr/>
        <w:t>①以公允价值计量且其变动计入当期损益的金融资产 包括交易性金融资产和指定为以公允价值计量且其变动计入当期损益的金融资产。 </w:t>
      </w:r>
      <w:r>
        <w:rPr>
          <w:spacing w:val="-1"/>
        </w:rPr>
        <w:t>交易性金融资产是指满足下列条件之一的金融资产：</w:t>
      </w:r>
      <w:r>
        <w:rPr>
          <w:rFonts w:ascii="宋体" w:hAnsi="宋体" w:cs="宋体" w:eastAsia="宋体" w:hint="default"/>
          <w:spacing w:val="-1"/>
        </w:rPr>
        <w:t>A.</w:t>
      </w:r>
      <w:r>
        <w:rPr>
          <w:spacing w:val="-1"/>
        </w:rPr>
        <w:t>取得该金融资产的目的，主要是为了近期内出</w:t>
      </w:r>
    </w:p>
    <w:p>
      <w:pPr>
        <w:pStyle w:val="BodyText"/>
        <w:spacing w:line="357" w:lineRule="auto" w:before="31"/>
        <w:ind w:right="1131"/>
        <w:jc w:val="both"/>
      </w:pPr>
      <w:r>
        <w:rPr>
          <w:spacing w:val="-1"/>
        </w:rPr>
        <w:t>售；</w:t>
      </w:r>
      <w:r>
        <w:rPr>
          <w:rFonts w:ascii="宋体" w:hAnsi="宋体" w:cs="宋体" w:eastAsia="宋体" w:hint="default"/>
          <w:spacing w:val="-1"/>
        </w:rPr>
        <w:t>B.</w:t>
      </w:r>
      <w:r>
        <w:rPr>
          <w:spacing w:val="-1"/>
        </w:rPr>
        <w:t>属于进行集中管理的可辨认金融工具组合的一部分，且有客观证据表明本公司近期采用短期获利方</w:t>
      </w:r>
      <w:r>
        <w:rPr>
          <w:spacing w:val="-81"/>
        </w:rPr>
        <w:t> </w:t>
      </w:r>
      <w:r>
        <w:rPr>
          <w:spacing w:val="-81"/>
        </w:rPr>
      </w:r>
      <w:r>
        <w:rPr>
          <w:spacing w:val="-1"/>
        </w:rPr>
        <w:t>式对该组合进行管理；</w:t>
      </w:r>
      <w:r>
        <w:rPr>
          <w:rFonts w:ascii="宋体" w:hAnsi="宋体" w:cs="宋体" w:eastAsia="宋体" w:hint="default"/>
          <w:spacing w:val="-1"/>
        </w:rPr>
        <w:t>C.</w:t>
      </w:r>
      <w:r>
        <w:rPr>
          <w:spacing w:val="-1"/>
        </w:rPr>
        <w:t>属于衍生工具，但是，被指定且为有效套期工具的衍生工具、属于财务担保合同</w:t>
      </w:r>
      <w:r>
        <w:rPr>
          <w:spacing w:val="-85"/>
        </w:rPr>
        <w:t> </w:t>
      </w:r>
      <w:r>
        <w:rPr>
          <w:spacing w:val="-85"/>
        </w:rPr>
      </w:r>
      <w:r>
        <w:rPr>
          <w:spacing w:val="-1"/>
        </w:rPr>
        <w:t>的衍生工具、与在活跃市场中没有报价且其公允价值不能可靠计量的权益工具投资挂钩并须通过交付该权</w:t>
      </w:r>
      <w:r>
        <w:rPr>
          <w:spacing w:val="-81"/>
        </w:rPr>
        <w:t> </w:t>
      </w:r>
      <w:r>
        <w:rPr>
          <w:spacing w:val="-81"/>
        </w:rPr>
      </w:r>
      <w:r>
        <w:rPr/>
        <w:t>益工具结算的衍生工具除外。</w:t>
      </w:r>
    </w:p>
    <w:p>
      <w:pPr>
        <w:pStyle w:val="BodyText"/>
        <w:spacing w:line="357" w:lineRule="auto"/>
        <w:ind w:right="1131" w:firstLine="421"/>
        <w:jc w:val="both"/>
      </w:pPr>
      <w:r>
        <w:rPr>
          <w:spacing w:val="-1"/>
        </w:rPr>
        <w:t>符合下述条件之一的金融资产，在初始确认时可指定为以公允价值计量且其变动计入当期损益的金融</w:t>
      </w:r>
      <w:r>
        <w:rPr/>
        <w:t> </w:t>
      </w:r>
      <w:r>
        <w:rPr>
          <w:spacing w:val="-1"/>
        </w:rPr>
        <w:t>资产：</w:t>
      </w:r>
      <w:r>
        <w:rPr>
          <w:rFonts w:ascii="宋体" w:hAnsi="宋体" w:cs="宋体" w:eastAsia="宋体" w:hint="default"/>
          <w:spacing w:val="-1"/>
        </w:rPr>
        <w:t>A.</w:t>
      </w:r>
      <w:r>
        <w:rPr>
          <w:spacing w:val="-1"/>
        </w:rPr>
        <w:t>该指定可以消除或明显减少由于该金融资产的计量基础不同所导致的相关利得或损失在确认或计</w:t>
      </w:r>
      <w:r>
        <w:rPr>
          <w:spacing w:val="-82"/>
        </w:rPr>
        <w:t> </w:t>
      </w:r>
      <w:r>
        <w:rPr>
          <w:spacing w:val="-82"/>
        </w:rPr>
      </w:r>
      <w:r>
        <w:rPr>
          <w:spacing w:val="-1"/>
        </w:rPr>
        <w:t>量方面不一致的情况；</w:t>
      </w:r>
      <w:r>
        <w:rPr>
          <w:rFonts w:ascii="宋体" w:hAnsi="宋体" w:cs="宋体" w:eastAsia="宋体" w:hint="default"/>
          <w:spacing w:val="-1"/>
        </w:rPr>
        <w:t>B.</w:t>
      </w:r>
      <w:r>
        <w:rPr>
          <w:spacing w:val="-1"/>
        </w:rPr>
        <w:t>本公司风险管理或投资策略的正式书面文件已载明，对该金融资产所在的金融资</w:t>
      </w:r>
      <w:r>
        <w:rPr>
          <w:spacing w:val="-83"/>
        </w:rPr>
        <w:t> </w:t>
      </w:r>
      <w:r>
        <w:rPr>
          <w:spacing w:val="-83"/>
        </w:rPr>
      </w:r>
      <w:r>
        <w:rPr/>
        <w:t>产组合或金融资产和金融负债组合以公允价值为基础进行管理、评价并向关键管理人员报告。</w:t>
      </w:r>
    </w:p>
    <w:p>
      <w:pPr>
        <w:pStyle w:val="BodyText"/>
        <w:spacing w:line="355" w:lineRule="auto"/>
        <w:ind w:right="1132" w:firstLine="421"/>
        <w:jc w:val="both"/>
      </w:pPr>
      <w:r>
        <w:rPr>
          <w:spacing w:val="-1"/>
        </w:rPr>
        <w:t>以公允价值计量且其变动计入当期损益的金融资产采用公允价值进行后续计量，公允价值变动形成的</w:t>
      </w:r>
      <w:r>
        <w:rPr/>
        <w:t> 利得或损失以及与该等金融资产相关的股利和利息收入计入当期损益。</w:t>
      </w:r>
    </w:p>
    <w:p>
      <w:pPr>
        <w:pStyle w:val="BodyText"/>
        <w:spacing w:line="357" w:lineRule="auto" w:before="33"/>
        <w:ind w:left="575" w:right="1016"/>
        <w:jc w:val="left"/>
      </w:pPr>
      <w:r>
        <w:rPr/>
        <w:t>②持有至到期投资 </w:t>
      </w:r>
      <w:r>
        <w:rPr>
          <w:spacing w:val="-3"/>
        </w:rPr>
        <w:t>是指到期日固定、回收金额固定或可确定，且本公司有明确意图和能力持有至到期的非衍生金融资产。</w:t>
      </w:r>
    </w:p>
    <w:p>
      <w:pPr>
        <w:pStyle w:val="BodyText"/>
        <w:spacing w:line="355" w:lineRule="auto" w:before="31"/>
        <w:ind w:right="1130"/>
        <w:jc w:val="both"/>
      </w:pPr>
      <w:r>
        <w:rPr>
          <w:spacing w:val="-1"/>
        </w:rPr>
        <w:t>持有至到期投资采用实际利率法，按摊余成本进行后续计量，在终止确认、发生减值或摊销时产生的利得</w:t>
      </w:r>
      <w:r>
        <w:rPr>
          <w:spacing w:val="-82"/>
        </w:rPr>
        <w:t> </w:t>
      </w:r>
      <w:r>
        <w:rPr>
          <w:spacing w:val="-82"/>
        </w:rPr>
      </w:r>
      <w:r>
        <w:rPr/>
        <w:t>或损失，计入当期损益。</w:t>
      </w:r>
    </w:p>
    <w:p>
      <w:pPr>
        <w:pStyle w:val="BodyText"/>
        <w:spacing w:line="357" w:lineRule="auto" w:before="33"/>
        <w:ind w:right="1131" w:firstLine="421"/>
        <w:jc w:val="both"/>
      </w:pPr>
      <w:r>
        <w:rPr>
          <w:spacing w:val="-1"/>
        </w:rPr>
        <w:t>实际利率法是指按照金融资产或金融负债（含一组金融资产或金融负债）的实际利率计算其摊余成本</w:t>
      </w:r>
      <w:r>
        <w:rPr/>
        <w:t> </w:t>
      </w:r>
      <w:r>
        <w:rPr>
          <w:spacing w:val="-1"/>
        </w:rPr>
        <w:t>及各期利息收入或支出的方法。实际利率是指将金融资产或金融负债在预期存续期间或适用的更短期间内</w:t>
      </w:r>
      <w:r>
        <w:rPr>
          <w:spacing w:val="-81"/>
        </w:rPr>
        <w:t> </w:t>
      </w:r>
      <w:r>
        <w:rPr>
          <w:spacing w:val="-81"/>
        </w:rPr>
      </w:r>
      <w:r>
        <w:rPr>
          <w:spacing w:val="-1"/>
        </w:rPr>
        <w:t>的未来现金流量，折现为该金融资产或金融负债当前账面价值所使用的利率。在计算实际利率时，本公司</w:t>
      </w:r>
      <w:r>
        <w:rPr>
          <w:spacing w:val="-83"/>
        </w:rPr>
        <w:t> </w:t>
      </w:r>
      <w:r>
        <w:rPr>
          <w:spacing w:val="-83"/>
        </w:rPr>
      </w:r>
      <w:r>
        <w:rPr>
          <w:spacing w:val="-1"/>
        </w:rPr>
        <w:t>将在考虑金融资产或金融负债所有合同条款的基础上预计未来现金流量（不考虑未来的信用损失），同时</w:t>
      </w:r>
      <w:r>
        <w:rPr>
          <w:spacing w:val="-83"/>
        </w:rPr>
        <w:t> </w:t>
      </w:r>
      <w:r>
        <w:rPr>
          <w:spacing w:val="-83"/>
        </w:rPr>
      </w:r>
      <w:r>
        <w:rPr>
          <w:spacing w:val="-1"/>
        </w:rPr>
        <w:t>还将考虑金融资产或金融负债合同各方之间支付或收取的、属于实际利率组成部分的各项收费、交易费用</w:t>
      </w:r>
      <w:r>
        <w:rPr>
          <w:spacing w:val="-81"/>
        </w:rPr>
        <w:t> </w:t>
      </w:r>
      <w:r>
        <w:rPr>
          <w:spacing w:val="-81"/>
        </w:rPr>
      </w:r>
      <w:r>
        <w:rPr/>
        <w:t>及折价或溢价等。</w:t>
      </w:r>
    </w:p>
    <w:p>
      <w:pPr>
        <w:pStyle w:val="BodyText"/>
        <w:spacing w:line="357" w:lineRule="auto"/>
        <w:ind w:left="575" w:right="1017"/>
        <w:jc w:val="left"/>
      </w:pPr>
      <w:r>
        <w:rPr/>
        <w:t>③贷款和应收款项 </w:t>
      </w:r>
      <w:r>
        <w:rPr>
          <w:spacing w:val="-1"/>
        </w:rPr>
        <w:t>是指在活跃市场中没有报价、回收金额固定或可确定的非衍生金融资产。本公司划分为贷款和应收款</w:t>
      </w:r>
    </w:p>
    <w:p>
      <w:pPr>
        <w:pStyle w:val="BodyText"/>
        <w:spacing w:line="355" w:lineRule="auto"/>
        <w:ind w:left="575" w:right="1017" w:hanging="422"/>
        <w:jc w:val="left"/>
      </w:pPr>
      <w:r>
        <w:rPr/>
        <w:t>的金融资产包括应收票据、应收账款、应收利息、应收股利及其他应收款等。 </w:t>
      </w:r>
      <w:r>
        <w:rPr>
          <w:spacing w:val="-1"/>
        </w:rPr>
        <w:t>贷款和应收款项采用实际利率法，按摊余成本进行后续计量，在终止确认、发生减值或摊销时产生的</w:t>
      </w:r>
    </w:p>
    <w:p>
      <w:pPr>
        <w:pStyle w:val="BodyText"/>
        <w:spacing w:line="240" w:lineRule="auto" w:before="33"/>
        <w:ind w:right="0"/>
        <w:jc w:val="both"/>
      </w:pPr>
      <w:r>
        <w:rPr/>
        <w:t>利得或损失，计入当期损益。</w:t>
      </w:r>
    </w:p>
    <w:p>
      <w:pPr>
        <w:pStyle w:val="BodyText"/>
        <w:spacing w:line="357" w:lineRule="auto" w:before="133"/>
        <w:ind w:left="575" w:right="1017"/>
        <w:jc w:val="left"/>
      </w:pPr>
      <w:r>
        <w:rPr/>
        <w:t>④可供出售金融资产 </w:t>
      </w:r>
      <w:r>
        <w:rPr>
          <w:spacing w:val="-1"/>
        </w:rPr>
        <w:t>包括初始确认时即被指定为可供出售的非衍生金融资产，以及除了以公允价值计量且其变动计入当期</w:t>
      </w:r>
    </w:p>
    <w:p>
      <w:pPr>
        <w:pStyle w:val="BodyText"/>
        <w:spacing w:line="240" w:lineRule="auto"/>
        <w:ind w:right="0"/>
        <w:jc w:val="both"/>
      </w:pPr>
      <w:r>
        <w:rPr/>
        <w:t>损益的金融资产、贷款和应收款项、持有至到期投资以外的金融资产。</w:t>
      </w:r>
    </w:p>
    <w:p>
      <w:pPr>
        <w:spacing w:after="0" w:line="240" w:lineRule="auto"/>
        <w:jc w:val="both"/>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7" w:lineRule="auto" w:before="35"/>
        <w:ind w:right="1110" w:firstLine="421"/>
        <w:jc w:val="both"/>
      </w:pPr>
      <w:r>
        <w:rPr>
          <w:spacing w:val="-1"/>
        </w:rPr>
        <w:t>可供出售债务工具投资的期末成本按照其摊余成本法确定，即初始确认金额扣除已偿还的本金，加上</w:t>
      </w:r>
      <w:r>
        <w:rPr/>
        <w:t> </w:t>
      </w:r>
      <w:r>
        <w:rPr>
          <w:spacing w:val="-1"/>
        </w:rPr>
        <w:t>或减去采用实际利率法将该初始确认金额与到期日金额之间的差额进行摊销形成的累计摊销额，并扣除已</w:t>
      </w:r>
      <w:r>
        <w:rPr>
          <w:spacing w:val="-81"/>
        </w:rPr>
        <w:t> </w:t>
      </w:r>
      <w:r>
        <w:rPr>
          <w:spacing w:val="-81"/>
        </w:rPr>
      </w:r>
      <w:r>
        <w:rPr>
          <w:spacing w:val="-1"/>
        </w:rPr>
        <w:t>发生的减值损失后的金额。可供出售权益工具投资的期末成本为其初始取得成本。可供出售金融资产采用</w:t>
      </w:r>
      <w:r>
        <w:rPr>
          <w:spacing w:val="-81"/>
        </w:rPr>
        <w:t> </w:t>
      </w:r>
      <w:r>
        <w:rPr>
          <w:spacing w:val="-81"/>
        </w:rPr>
      </w:r>
      <w:r>
        <w:rPr>
          <w:spacing w:val="-1"/>
        </w:rPr>
        <w:t>公允价值进行后续计量，公允价值变动形成的利得或损失，除减值损失和外币货币性金融资产与摊余成本</w:t>
      </w:r>
      <w:r>
        <w:rPr>
          <w:spacing w:val="-81"/>
        </w:rPr>
        <w:t> </w:t>
      </w:r>
      <w:r>
        <w:rPr>
          <w:spacing w:val="-81"/>
        </w:rPr>
      </w:r>
      <w:r>
        <w:rPr/>
        <w:t>相关的汇兑差额计入当期损益外，确认为其他综合收益，在该金融资产终止确认时转出，计入当期损益。 </w:t>
      </w:r>
      <w:r>
        <w:rPr>
          <w:spacing w:val="-1"/>
        </w:rPr>
        <w:t>但是，在活跃市场中没有报价且其公允价值不能可靠计量的权益工具投资，以及与该权益工具挂钩并须通</w:t>
      </w:r>
      <w:r>
        <w:rPr>
          <w:spacing w:val="-81"/>
        </w:rPr>
        <w:t> </w:t>
      </w:r>
      <w:r>
        <w:rPr>
          <w:spacing w:val="-81"/>
        </w:rPr>
      </w:r>
      <w:r>
        <w:rPr>
          <w:spacing w:val="-1"/>
        </w:rPr>
        <w:t>过交付该权益工具结算的衍生金融资产，按照成本进行后续计量。可供出售金融资产持有期间取得的利息</w:t>
      </w:r>
      <w:r>
        <w:rPr>
          <w:spacing w:val="-81"/>
        </w:rPr>
        <w:t> </w:t>
      </w:r>
      <w:r>
        <w:rPr>
          <w:spacing w:val="-81"/>
        </w:rPr>
      </w:r>
      <w:r>
        <w:rPr/>
        <w:t>及被投资单位宣告发放的现金股利，计入投资收益。</w:t>
      </w:r>
    </w:p>
    <w:p>
      <w:pPr>
        <w:pStyle w:val="BodyText"/>
        <w:spacing w:line="357" w:lineRule="auto"/>
        <w:ind w:left="575" w:right="1017"/>
        <w:jc w:val="left"/>
      </w:pPr>
      <w:r>
        <w:rPr/>
        <w:t>（</w:t>
      </w:r>
      <w:r>
        <w:rPr>
          <w:rFonts w:ascii="宋体" w:hAnsi="宋体" w:cs="宋体" w:eastAsia="宋体" w:hint="default"/>
        </w:rPr>
        <w:t>3</w:t>
      </w:r>
      <w:r>
        <w:rPr/>
        <w:t>）金融资产减值 </w:t>
      </w:r>
      <w:r>
        <w:rPr>
          <w:spacing w:val="-1"/>
        </w:rPr>
        <w:t>除了以公允价值计量且其变动计入当期损益的金融资产外，本公司在每个资产负债表日对其他金融资</w:t>
      </w:r>
    </w:p>
    <w:p>
      <w:pPr>
        <w:pStyle w:val="BodyText"/>
        <w:spacing w:line="357" w:lineRule="auto"/>
        <w:ind w:left="575" w:right="1017" w:hanging="422"/>
        <w:jc w:val="left"/>
      </w:pPr>
      <w:r>
        <w:rPr/>
        <w:t>产的账面价值进行检查，有客观证据表明金融资产发生减值的，计提减值准备。 </w:t>
      </w:r>
      <w:r>
        <w:rPr>
          <w:spacing w:val="-1"/>
        </w:rPr>
        <w:t>本公司对单项金额重大的金融资产单独进行减值测试；对单项金额不重大的金融资产，单独进行减值</w:t>
      </w:r>
    </w:p>
    <w:p>
      <w:pPr>
        <w:pStyle w:val="BodyText"/>
        <w:spacing w:line="240" w:lineRule="auto"/>
        <w:ind w:left="154" w:right="0"/>
        <w:jc w:val="both"/>
      </w:pPr>
      <w:r>
        <w:rPr/>
        <w:t>测试或包括在具有类似信用风险特征的金融资产组合中进行减值测试。单独测试未发生减值的金融资产</w:t>
      </w:r>
    </w:p>
    <w:p>
      <w:pPr>
        <w:pStyle w:val="BodyText"/>
        <w:spacing w:line="355" w:lineRule="auto" w:before="134"/>
        <w:ind w:left="154" w:right="1023"/>
        <w:jc w:val="left"/>
      </w:pPr>
      <w:r>
        <w:rPr/>
        <w:t>（包括单项金额重大和不重大的金融资产），包括在具有类似信用风险特征的金融资产组合中再进行减值 </w:t>
      </w:r>
      <w:r>
        <w:rPr>
          <w:spacing w:val="-3"/>
        </w:rPr>
        <w:t>测试。已单项确认减值损失的金融资产，不包括在具有类似信用风险特征的金融资产组合中进行减值测试。</w:t>
      </w:r>
    </w:p>
    <w:p>
      <w:pPr>
        <w:pStyle w:val="BodyText"/>
        <w:spacing w:line="357" w:lineRule="auto" w:before="32"/>
        <w:ind w:left="680" w:right="1196" w:hanging="105"/>
        <w:jc w:val="left"/>
      </w:pPr>
      <w:r>
        <w:rPr/>
        <w:t>①持有至到期投资、贷款和应收款项减值 以成本或摊余成本计量的金融资产将其账面价值减记至预计未来现金流量现值，减记金额确认为减</w:t>
      </w:r>
    </w:p>
    <w:p>
      <w:pPr>
        <w:pStyle w:val="BodyText"/>
        <w:spacing w:line="357" w:lineRule="auto"/>
        <w:ind w:left="154" w:right="1131"/>
        <w:jc w:val="both"/>
      </w:pPr>
      <w:r>
        <w:rPr>
          <w:spacing w:val="-1"/>
        </w:rPr>
        <w:t>值损失，计入当期损益。金融资产在确认减值损失后，如有客观证据表明该金融资产价值已恢复，且客观</w:t>
      </w:r>
      <w:r>
        <w:rPr>
          <w:spacing w:val="-86"/>
        </w:rPr>
        <w:t> </w:t>
      </w:r>
      <w:r>
        <w:rPr>
          <w:spacing w:val="-86"/>
        </w:rPr>
      </w:r>
      <w:r>
        <w:rPr>
          <w:spacing w:val="-1"/>
        </w:rPr>
        <w:t>上与确认该损失后发生的事项有关，原确认的减值损失予以转回，金融资产转回减值损失后的账面价值不</w:t>
      </w:r>
      <w:r>
        <w:rPr>
          <w:spacing w:val="-81"/>
        </w:rPr>
        <w:t> </w:t>
      </w:r>
      <w:r>
        <w:rPr>
          <w:spacing w:val="-81"/>
        </w:rPr>
      </w:r>
      <w:r>
        <w:rPr/>
        <w:t>超过假定不计提减值准备情况下该金融资产在转回日的摊余成本。</w:t>
      </w:r>
    </w:p>
    <w:p>
      <w:pPr>
        <w:pStyle w:val="BodyText"/>
        <w:spacing w:line="355" w:lineRule="auto" w:before="31"/>
        <w:ind w:left="575" w:right="1017"/>
        <w:jc w:val="left"/>
      </w:pPr>
      <w:r>
        <w:rPr/>
        <w:t>②可供出售金融资产减值 </w:t>
      </w:r>
      <w:r>
        <w:rPr>
          <w:spacing w:val="-1"/>
        </w:rPr>
        <w:t>当综合相关因素判断可供出售权益工具投资公允价值下跌是严重或非暂时性下跌时，表明该可供出售</w:t>
      </w:r>
    </w:p>
    <w:p>
      <w:pPr>
        <w:pStyle w:val="BodyText"/>
        <w:spacing w:line="357" w:lineRule="auto" w:before="32"/>
        <w:ind w:right="1162"/>
        <w:jc w:val="both"/>
      </w:pPr>
      <w:r>
        <w:rPr/>
        <w:t>权益工具投资发生减值。其中“严重下跌”是指公允价值下跌幅度累计超过</w:t>
      </w:r>
      <w:r>
        <w:rPr>
          <w:spacing w:val="-56"/>
        </w:rPr>
        <w:t> </w:t>
      </w:r>
      <w:r>
        <w:rPr>
          <w:rFonts w:ascii="宋体" w:hAnsi="宋体" w:cs="宋体" w:eastAsia="宋体" w:hint="default"/>
        </w:rPr>
        <w:t>20%</w:t>
      </w:r>
      <w:r>
        <w:rPr/>
        <w:t>；“非暂时性下跌”是指 公允价值连续下跌时间超过</w:t>
      </w:r>
      <w:r>
        <w:rPr>
          <w:spacing w:val="-54"/>
        </w:rPr>
        <w:t> </w:t>
      </w:r>
      <w:r>
        <w:rPr>
          <w:rFonts w:ascii="宋体" w:hAnsi="宋体" w:cs="宋体" w:eastAsia="宋体" w:hint="default"/>
        </w:rPr>
        <w:t>12</w:t>
      </w:r>
      <w:r>
        <w:rPr>
          <w:rFonts w:ascii="宋体" w:hAnsi="宋体" w:cs="宋体" w:eastAsia="宋体" w:hint="default"/>
          <w:spacing w:val="-54"/>
        </w:rPr>
        <w:t> </w:t>
      </w:r>
      <w:r>
        <w:rPr/>
        <w:t>个月。</w:t>
      </w:r>
    </w:p>
    <w:p>
      <w:pPr>
        <w:pStyle w:val="BodyText"/>
        <w:spacing w:line="357" w:lineRule="auto"/>
        <w:ind w:right="1131" w:firstLine="421"/>
        <w:jc w:val="both"/>
      </w:pPr>
      <w:r>
        <w:rPr>
          <w:spacing w:val="-1"/>
        </w:rPr>
        <w:t>可供出售金融资产发生减值时，将原计入其他综合收益的因公允价值下降形成的累计损失予以转出并</w:t>
      </w:r>
      <w:r>
        <w:rPr/>
        <w:t> </w:t>
      </w:r>
      <w:r>
        <w:rPr>
          <w:spacing w:val="-1"/>
        </w:rPr>
        <w:t>计入当期损益，该转出的累计损失为该资产初始取得成本扣除已收回本金和已摊销金额、当前公允价值和</w:t>
      </w:r>
      <w:r>
        <w:rPr>
          <w:spacing w:val="-81"/>
        </w:rPr>
        <w:t> </w:t>
      </w:r>
      <w:r>
        <w:rPr>
          <w:spacing w:val="-81"/>
        </w:rPr>
      </w:r>
      <w:r>
        <w:rPr/>
        <w:t>原已计入损益的减值损失后的余额。</w:t>
      </w:r>
    </w:p>
    <w:p>
      <w:pPr>
        <w:pStyle w:val="BodyText"/>
        <w:spacing w:line="355" w:lineRule="auto" w:before="31"/>
        <w:ind w:right="1131" w:firstLine="421"/>
        <w:jc w:val="both"/>
      </w:pPr>
      <w:r>
        <w:rPr>
          <w:spacing w:val="-1"/>
        </w:rPr>
        <w:t>在确认减值损失后，期后如有客观证据表明该金融资产价值已恢复，且客观上与确认该损失后发生的</w:t>
      </w:r>
      <w:r>
        <w:rPr/>
        <w:t> </w:t>
      </w:r>
      <w:r>
        <w:rPr>
          <w:spacing w:val="-1"/>
        </w:rPr>
        <w:t>事项有关，原确认的减值损失予以转回，可供出售权益工具投资的减值损失转回确认为其他综合收益，可</w:t>
      </w:r>
      <w:r>
        <w:rPr>
          <w:spacing w:val="-83"/>
        </w:rPr>
        <w:t> </w:t>
      </w:r>
      <w:r>
        <w:rPr>
          <w:spacing w:val="-83"/>
        </w:rPr>
      </w:r>
      <w:r>
        <w:rPr/>
        <w:t>供出售债务工具的减值损失转回计入当期损益。</w:t>
      </w:r>
    </w:p>
    <w:p>
      <w:pPr>
        <w:pStyle w:val="BodyText"/>
        <w:spacing w:line="357" w:lineRule="auto" w:before="33"/>
        <w:ind w:left="154" w:right="1132" w:firstLine="421"/>
        <w:jc w:val="both"/>
      </w:pPr>
      <w:r>
        <w:rPr>
          <w:spacing w:val="-1"/>
        </w:rPr>
        <w:t>在活跃市场中没有报价且其公允价值不能可靠计量的权益工具投资，或与该权益工具挂钩并须通过交</w:t>
      </w:r>
      <w:r>
        <w:rPr/>
        <w:t> 付该权益工具结算的衍生金融资产的减值损失，不予转回。</w:t>
      </w:r>
    </w:p>
    <w:p>
      <w:pPr>
        <w:pStyle w:val="BodyText"/>
        <w:spacing w:line="240" w:lineRule="auto" w:before="31"/>
        <w:ind w:left="575" w:right="1017"/>
        <w:jc w:val="left"/>
      </w:pPr>
      <w:r>
        <w:rPr/>
        <w:t>（</w:t>
      </w:r>
      <w:r>
        <w:rPr>
          <w:rFonts w:ascii="宋体" w:hAnsi="宋体" w:cs="宋体" w:eastAsia="宋体" w:hint="default"/>
        </w:rPr>
        <w:t>4</w:t>
      </w:r>
      <w:r>
        <w:rPr/>
        <w:t>）金融资产转移的确认依据和计量方法</w:t>
      </w:r>
    </w:p>
    <w:p>
      <w:pPr>
        <w:pStyle w:val="BodyText"/>
        <w:spacing w:line="240" w:lineRule="auto" w:before="133"/>
        <w:ind w:left="575" w:right="1017"/>
        <w:jc w:val="left"/>
      </w:pPr>
      <w:r>
        <w:rPr/>
        <w:t>满足下列条件之一的金融资产，予以终止确认：① 收取该金融资产现金流量的合同权利终止；②</w:t>
      </w:r>
      <w:r>
        <w:rPr>
          <w:spacing w:val="-26"/>
        </w:rPr>
        <w:t> </w:t>
      </w:r>
      <w:r>
        <w:rPr/>
        <w:t>该</w:t>
      </w:r>
    </w:p>
    <w:p>
      <w:pPr>
        <w:spacing w:after="0" w:line="240" w:lineRule="auto"/>
        <w:jc w:val="left"/>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7" w:lineRule="auto" w:before="35"/>
        <w:ind w:left="0" w:right="1110"/>
        <w:jc w:val="right"/>
      </w:pPr>
      <w:r>
        <w:rPr>
          <w:spacing w:val="-1"/>
        </w:rPr>
        <w:t>金融资产已转移，且将金融资产所有权上几乎所有的风险和报酬转移给转入方；③该金融资产已转移，虽</w:t>
      </w:r>
      <w:r>
        <w:rPr/>
        <w:t> 然企业既没有转移也没有保留金融资产所有权上几乎所有的风险和报酬，但是放弃了对该金融资产控制。 </w:t>
      </w:r>
      <w:r>
        <w:rPr>
          <w:spacing w:val="-1"/>
        </w:rPr>
        <w:t>若企业既没有转移也没有保留金融资产所有权上几乎所有的风险和报酬，且未放弃对该金融资产的控</w:t>
      </w:r>
      <w:r>
        <w:rPr/>
        <w:t> </w:t>
      </w:r>
      <w:r>
        <w:rPr>
          <w:spacing w:val="-1"/>
        </w:rPr>
        <w:t>制的，则按照继续涉入所转移金融资产的程度确认有关金融资产，并相应确认有关负债。继续涉入所转移</w:t>
      </w:r>
    </w:p>
    <w:p>
      <w:pPr>
        <w:pStyle w:val="BodyText"/>
        <w:spacing w:line="355" w:lineRule="auto" w:before="31"/>
        <w:ind w:left="575" w:right="1017" w:hanging="422"/>
        <w:jc w:val="left"/>
      </w:pPr>
      <w:r>
        <w:rPr/>
        <w:t>金融资产的程度，是指该金融资产价值变动使企业面临的风险水平。 </w:t>
      </w:r>
      <w:r>
        <w:rPr>
          <w:spacing w:val="-1"/>
        </w:rPr>
        <w:t>金融资产整体转移满足终止确认条件的，将所转移金融资产的账面价值及因转移而收到的对价与原计</w:t>
      </w:r>
    </w:p>
    <w:p>
      <w:pPr>
        <w:pStyle w:val="BodyText"/>
        <w:spacing w:line="355" w:lineRule="auto" w:before="33"/>
        <w:ind w:left="575" w:right="1017" w:hanging="422"/>
        <w:jc w:val="left"/>
      </w:pPr>
      <w:r>
        <w:rPr/>
        <w:t>入其他综合收益的公允价值变动累计额之和的差额计入当期损益。 </w:t>
      </w:r>
      <w:r>
        <w:rPr>
          <w:spacing w:val="-1"/>
        </w:rPr>
        <w:t>金融资产部分转移满足终止确认条件的，将所转移金融资产的账面价值在终止确认及未终止确认部分</w:t>
      </w:r>
    </w:p>
    <w:p>
      <w:pPr>
        <w:pStyle w:val="BodyText"/>
        <w:spacing w:line="357" w:lineRule="auto" w:before="32"/>
        <w:ind w:left="154" w:right="1017"/>
        <w:jc w:val="left"/>
      </w:pPr>
      <w:r>
        <w:rPr>
          <w:spacing w:val="-1"/>
        </w:rPr>
        <w:t>之间按其相对的公允价值进行分摊，并将因转移而收到的对价与应分摊至终止确认部分的原计入其他综合</w:t>
      </w:r>
      <w:r>
        <w:rPr>
          <w:spacing w:val="-81"/>
        </w:rPr>
        <w:t> </w:t>
      </w:r>
      <w:r>
        <w:rPr>
          <w:spacing w:val="-81"/>
        </w:rPr>
      </w:r>
      <w:r>
        <w:rPr/>
        <w:t>收益的公允价值变动累计额之和与分摊的前述账面金额之差额计入当期损益。</w:t>
      </w:r>
    </w:p>
    <w:p>
      <w:pPr>
        <w:pStyle w:val="BodyText"/>
        <w:spacing w:line="357" w:lineRule="auto"/>
        <w:ind w:left="154" w:right="1110" w:firstLine="421"/>
        <w:jc w:val="both"/>
      </w:pPr>
      <w:r>
        <w:rPr>
          <w:spacing w:val="-1"/>
        </w:rPr>
        <w:t>本公司对采用附追索权方式出售的金融资产，或将持有的金融资产背书转让，需确定该金融资产所有</w:t>
      </w:r>
      <w:r>
        <w:rPr/>
        <w:t> </w:t>
      </w:r>
      <w:r>
        <w:rPr>
          <w:spacing w:val="-1"/>
        </w:rPr>
        <w:t>权上几乎所有的风险和报酬是否已经转移。已将该金融资产所有权上几乎所有的风险和报酬转移给转入方</w:t>
      </w:r>
      <w:r>
        <w:rPr>
          <w:spacing w:val="-81"/>
        </w:rPr>
        <w:t> </w:t>
      </w:r>
      <w:r>
        <w:rPr>
          <w:spacing w:val="-81"/>
        </w:rPr>
      </w:r>
      <w:r>
        <w:rPr/>
        <w:t>的，终止确认该金融资产；保留了金融资产所有权上几乎所有的风险和报酬的，不终止确认该金融资产； </w:t>
      </w:r>
      <w:r>
        <w:rPr>
          <w:spacing w:val="-1"/>
        </w:rPr>
        <w:t>既没有转移也没有保留金融资产所有权上几乎所有的风险和报酬的，则继续判断企业是否对该资产保留了</w:t>
      </w:r>
      <w:r>
        <w:rPr>
          <w:spacing w:val="-81"/>
        </w:rPr>
        <w:t> </w:t>
      </w:r>
      <w:r>
        <w:rPr>
          <w:spacing w:val="-81"/>
        </w:rPr>
      </w:r>
      <w:r>
        <w:rPr/>
        <w:t>控制，并根据前面各段所述的原则进行会计处理。</w:t>
      </w:r>
    </w:p>
    <w:p>
      <w:pPr>
        <w:pStyle w:val="BodyText"/>
        <w:spacing w:line="357" w:lineRule="auto"/>
        <w:ind w:left="575" w:right="1017"/>
        <w:jc w:val="left"/>
      </w:pPr>
      <w:r>
        <w:rPr/>
        <w:t>（</w:t>
      </w:r>
      <w:r>
        <w:rPr>
          <w:rFonts w:ascii="宋体" w:hAnsi="宋体" w:cs="宋体" w:eastAsia="宋体" w:hint="default"/>
        </w:rPr>
        <w:t>5</w:t>
      </w:r>
      <w:r>
        <w:rPr/>
        <w:t>）金融负债的分类和计量 </w:t>
      </w:r>
      <w:r>
        <w:rPr>
          <w:spacing w:val="-1"/>
        </w:rPr>
        <w:t>金融负债在初始确认时划分为以公允价值计量且其变动计入当期损益的金融负债和其他金融负债。初</w:t>
      </w:r>
    </w:p>
    <w:p>
      <w:pPr>
        <w:pStyle w:val="BodyText"/>
        <w:spacing w:line="357" w:lineRule="auto"/>
        <w:ind w:left="154" w:right="1017"/>
        <w:jc w:val="left"/>
      </w:pPr>
      <w:r>
        <w:rPr>
          <w:spacing w:val="-1"/>
        </w:rPr>
        <w:t>始确认金融负债，以公允价值计量。对于以公允价值计量且其变动计入当期损益的金融负债，相关的交易</w:t>
      </w:r>
      <w:r>
        <w:rPr>
          <w:spacing w:val="-83"/>
        </w:rPr>
        <w:t> </w:t>
      </w:r>
      <w:r>
        <w:rPr>
          <w:spacing w:val="-83"/>
        </w:rPr>
      </w:r>
      <w:r>
        <w:rPr/>
        <w:t>费用直接计入当期损益，对于其他金融负债，相关交易费用计入初始确认金额。</w:t>
      </w:r>
    </w:p>
    <w:p>
      <w:pPr>
        <w:pStyle w:val="BodyText"/>
        <w:spacing w:line="357" w:lineRule="auto"/>
        <w:ind w:left="575" w:right="1301"/>
        <w:jc w:val="left"/>
      </w:pPr>
      <w:r>
        <w:rPr/>
        <w:t>①以公允价值计量且其变动计入当期损益的金融负债 分类为交易性金融负债和在初始确认时指定为以公允价值计量且其变动计入当期损益的金融负债的</w:t>
      </w:r>
    </w:p>
    <w:p>
      <w:pPr>
        <w:pStyle w:val="BodyText"/>
        <w:spacing w:line="357" w:lineRule="auto"/>
        <w:ind w:right="1017"/>
        <w:jc w:val="left"/>
      </w:pPr>
      <w:r>
        <w:rPr/>
        <w:t>条件与分类为交易性金融资产和在初始确认时指定为以公允价值计量且其变动计入当期损益的金融资产 </w:t>
      </w:r>
      <w:r>
        <w:rPr>
          <w:spacing w:val="-1"/>
        </w:rPr>
        <w:t>的条件一致。以公允价值计量且其变动计入当期损益的金融负债采用公允价值进行后续计量，公允价值的</w:t>
      </w:r>
      <w:r>
        <w:rPr>
          <w:spacing w:val="-81"/>
        </w:rPr>
        <w:t> </w:t>
      </w:r>
      <w:r>
        <w:rPr>
          <w:spacing w:val="-81"/>
        </w:rPr>
      </w:r>
      <w:r>
        <w:rPr/>
        <w:t>变动形成的利得或损失以及与该等金融负债相关的股利和利息支出计入当期损益。</w:t>
      </w:r>
    </w:p>
    <w:p>
      <w:pPr>
        <w:pStyle w:val="BodyText"/>
        <w:spacing w:line="357" w:lineRule="auto"/>
        <w:ind w:left="575" w:right="1017"/>
        <w:jc w:val="left"/>
      </w:pPr>
      <w:r>
        <w:rPr/>
        <w:t>②其他金融负债 </w:t>
      </w:r>
      <w:r>
        <w:rPr>
          <w:spacing w:val="-1"/>
        </w:rPr>
        <w:t>与在活跃市场中没有报价、公允价值不能可靠计量的权益工具挂钩并须通过交付该权益工具结算的衍</w:t>
      </w:r>
    </w:p>
    <w:p>
      <w:pPr>
        <w:pStyle w:val="BodyText"/>
        <w:spacing w:line="357" w:lineRule="auto"/>
        <w:ind w:right="1017"/>
        <w:jc w:val="left"/>
      </w:pPr>
      <w:r>
        <w:rPr>
          <w:spacing w:val="-1"/>
        </w:rPr>
        <w:t>生金融负债，按照成本进行后续计量。其他金融负债采用实际利率法，按摊余成本进行后续计量，终止确</w:t>
      </w:r>
      <w:r>
        <w:rPr>
          <w:spacing w:val="-86"/>
        </w:rPr>
        <w:t> </w:t>
      </w:r>
      <w:r>
        <w:rPr>
          <w:spacing w:val="-86"/>
        </w:rPr>
      </w:r>
      <w:r>
        <w:rPr/>
        <w:t>认或摊销产生的利得或损失计入当期损益。</w:t>
      </w:r>
    </w:p>
    <w:p>
      <w:pPr>
        <w:pStyle w:val="BodyText"/>
        <w:spacing w:line="355" w:lineRule="auto"/>
        <w:ind w:left="575" w:right="1016"/>
        <w:jc w:val="left"/>
      </w:pPr>
      <w:r>
        <w:rPr/>
        <w:t>（</w:t>
      </w:r>
      <w:r>
        <w:rPr>
          <w:rFonts w:ascii="宋体" w:hAnsi="宋体" w:cs="宋体" w:eastAsia="宋体" w:hint="default"/>
        </w:rPr>
        <w:t>6</w:t>
      </w:r>
      <w:r>
        <w:rPr/>
        <w:t>）金融负债的终止确认 </w:t>
      </w:r>
      <w:r>
        <w:rPr>
          <w:spacing w:val="-3"/>
        </w:rPr>
        <w:t>金融负债的现时义务全部或部分已经解除的，才能终止确认该金融负债或其一部分。本公司（债务人）</w:t>
      </w:r>
    </w:p>
    <w:p>
      <w:pPr>
        <w:pStyle w:val="BodyText"/>
        <w:spacing w:line="357" w:lineRule="auto" w:before="33"/>
        <w:ind w:right="1017"/>
        <w:jc w:val="left"/>
      </w:pPr>
      <w:r>
        <w:rPr>
          <w:spacing w:val="-1"/>
        </w:rPr>
        <w:t>与债权人之间签订协议，以承担新金融负债方式替换现存金融负债，且新金融负债与现存金融负债的合同</w:t>
      </w:r>
      <w:r>
        <w:rPr>
          <w:spacing w:val="-80"/>
        </w:rPr>
        <w:t> </w:t>
      </w:r>
      <w:r>
        <w:rPr>
          <w:spacing w:val="-80"/>
        </w:rPr>
      </w:r>
      <w:r>
        <w:rPr/>
        <w:t>条款实质上不同的，终止确认现存金融负债，并同时确认新金融负债。</w:t>
      </w:r>
    </w:p>
    <w:p>
      <w:pPr>
        <w:pStyle w:val="BodyText"/>
        <w:spacing w:line="355" w:lineRule="auto" w:before="31"/>
        <w:ind w:right="1131" w:firstLine="421"/>
        <w:jc w:val="both"/>
      </w:pPr>
      <w:r>
        <w:rPr>
          <w:spacing w:val="-1"/>
        </w:rPr>
        <w:t>金融负债全部或部分终止确认的，将终止确认部分的账面价值与支付的对价（包括转出的非现金资产</w:t>
      </w:r>
      <w:r>
        <w:rPr/>
        <w:t> 或承担的新金融负债）之间的差额，计入当期损益。</w:t>
      </w:r>
    </w:p>
    <w:p>
      <w:pPr>
        <w:spacing w:after="0" w:line="355" w:lineRule="auto"/>
        <w:jc w:val="both"/>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5" w:lineRule="auto" w:before="35"/>
        <w:ind w:left="575" w:right="1017"/>
        <w:jc w:val="left"/>
      </w:pPr>
      <w:r>
        <w:rPr/>
        <w:t>（</w:t>
      </w:r>
      <w:r>
        <w:rPr>
          <w:rFonts w:ascii="宋体" w:hAnsi="宋体" w:cs="宋体" w:eastAsia="宋体" w:hint="default"/>
        </w:rPr>
        <w:t>7</w:t>
      </w:r>
      <w:r>
        <w:rPr/>
        <w:t>）金融资产和金融负债的抵销 </w:t>
      </w:r>
      <w:r>
        <w:rPr>
          <w:spacing w:val="-1"/>
        </w:rPr>
        <w:t>当本公司具有抵销已确认金融资产和金融负债的法定权利，且目前可执行该种法定权利，同时本公司</w:t>
      </w:r>
    </w:p>
    <w:p>
      <w:pPr>
        <w:pStyle w:val="BodyText"/>
        <w:spacing w:line="357" w:lineRule="auto" w:before="33"/>
        <w:ind w:left="154" w:right="1017"/>
        <w:jc w:val="left"/>
      </w:pPr>
      <w:r>
        <w:rPr>
          <w:spacing w:val="-1"/>
        </w:rPr>
        <w:t>计划以净额结算或同时变现该金融资产和清偿该金融负债时，金融资产和金融负债以相互抵销后的金额在</w:t>
      </w:r>
      <w:r>
        <w:rPr>
          <w:spacing w:val="-81"/>
        </w:rPr>
        <w:t> </w:t>
      </w:r>
      <w:r>
        <w:rPr>
          <w:spacing w:val="-81"/>
        </w:rPr>
      </w:r>
      <w:r>
        <w:rPr/>
        <w:t>资产负债表内列示。除此以外，金融资产和金融负债在资产负债表内分别列示，不予相互抵销。</w:t>
      </w:r>
    </w:p>
    <w:p>
      <w:pPr>
        <w:pStyle w:val="BodyText"/>
        <w:spacing w:line="355" w:lineRule="auto" w:before="31"/>
        <w:ind w:left="575" w:right="1017"/>
        <w:jc w:val="left"/>
      </w:pPr>
      <w:r>
        <w:rPr/>
        <w:t>（</w:t>
      </w:r>
      <w:r>
        <w:rPr>
          <w:rFonts w:ascii="宋体" w:hAnsi="宋体" w:cs="宋体" w:eastAsia="宋体" w:hint="default"/>
        </w:rPr>
        <w:t>8</w:t>
      </w:r>
      <w:r>
        <w:rPr/>
        <w:t>）权益工具 </w:t>
      </w:r>
      <w:r>
        <w:rPr>
          <w:spacing w:val="-1"/>
        </w:rPr>
        <w:t>权益工具是指能证明拥有本公司在扣除所有负债后的资产中的剩余权益的合同。企业合并中合并方发</w:t>
      </w:r>
    </w:p>
    <w:p>
      <w:pPr>
        <w:pStyle w:val="BodyText"/>
        <w:spacing w:line="355" w:lineRule="auto" w:before="33"/>
        <w:ind w:left="154" w:right="1023"/>
        <w:jc w:val="left"/>
      </w:pPr>
      <w:r>
        <w:rPr/>
        <w:t>行权益工具发生的交易费用抵减权益工具的溢价收入，不足抵减的，冲减留存收益。其余权益工具，在发 </w:t>
      </w:r>
      <w:r>
        <w:rPr>
          <w:spacing w:val="-3"/>
        </w:rPr>
        <w:t>行时收到的对价扣除交易费用后增加股东权益。本公司对权益工具持有方的各种分配（不包括股票股利），</w:t>
      </w:r>
      <w:r>
        <w:rPr>
          <w:spacing w:val="-90"/>
        </w:rPr>
        <w:t> </w:t>
      </w:r>
      <w:r>
        <w:rPr>
          <w:spacing w:val="-90"/>
        </w:rPr>
      </w:r>
      <w:r>
        <w:rPr/>
        <w:t>减少股东权益。本公司不确认权益工具的公允价值变动额。</w:t>
      </w:r>
    </w:p>
    <w:p>
      <w:pPr>
        <w:spacing w:line="240" w:lineRule="auto" w:before="1"/>
        <w:rPr>
          <w:rFonts w:ascii="宋体" w:hAnsi="宋体" w:cs="宋体" w:eastAsia="宋体" w:hint="default"/>
          <w:sz w:val="27"/>
          <w:szCs w:val="27"/>
        </w:rPr>
      </w:pPr>
    </w:p>
    <w:p>
      <w:pPr>
        <w:pStyle w:val="Heading3"/>
        <w:spacing w:line="240" w:lineRule="auto"/>
        <w:ind w:left="153" w:right="1017"/>
        <w:jc w:val="left"/>
        <w:rPr>
          <w:b w:val="0"/>
          <w:bCs w:val="0"/>
        </w:rPr>
      </w:pPr>
      <w:bookmarkStart w:name="11、应收款项" w:id="176"/>
      <w:bookmarkEnd w:id="176"/>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单项金额重大并单独计提坏账准备的应收款项" w:id="177"/>
      <w:bookmarkEnd w:id="177"/>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29"/>
        <w:gridCol w:w="5740"/>
      </w:tblGrid>
      <w:tr>
        <w:trPr>
          <w:trHeight w:val="714"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单项金额重大的应收账款标准为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75"/>
                <w:sz w:val="18"/>
                <w:szCs w:val="18"/>
              </w:rPr>
              <w:t>。</w:t>
            </w:r>
            <w:r>
              <w:rPr>
                <w:rFonts w:ascii="宋体" w:hAnsi="宋体" w:cs="宋体" w:eastAsia="宋体" w:hint="default"/>
                <w:sz w:val="18"/>
                <w:szCs w:val="18"/>
              </w:rPr>
              <w:t>单项金额重大的其他应收款标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准为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单独进行减值测试，如有客观证据表明其发生了减值的，根据其未来现金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流量现值低于其账面价值的差额，确认减值损失，计提坏账准备。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5"/>
        <w:ind w:right="1017"/>
        <w:jc w:val="left"/>
        <w:rPr>
          <w:b w:val="0"/>
          <w:bCs w:val="0"/>
        </w:rPr>
      </w:pPr>
      <w:bookmarkStart w:name="（2）按信用风险特征组合计提坏账准备的应收款项" w:id="178"/>
      <w:bookmarkEnd w:id="178"/>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2"/>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153" w:right="1017"/>
        <w:jc w:val="left"/>
        <w:rPr>
          <w:b w:val="0"/>
          <w:bCs w:val="0"/>
        </w:rPr>
      </w:pPr>
      <w:bookmarkStart w:name="（3）单项金额不重大但单独计提坏账准备的应收款项" w:id="179"/>
      <w:bookmarkEnd w:id="179"/>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2"/>
        <w:gridCol w:w="6376"/>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有客观原因表明未来现金流量现值有可能低于其账面价值。</w:t>
            </w:r>
          </w:p>
        </w:tc>
      </w:tr>
      <w:tr>
        <w:trPr>
          <w:trHeight w:val="714"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3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单独进行减值测试，根据其未来现金流量现值低于其账面价值的差额，确认减值 损失，计提坏账准备。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1017"/>
        <w:jc w:val="left"/>
        <w:rPr>
          <w:b w:val="0"/>
          <w:bCs w:val="0"/>
        </w:rPr>
      </w:pPr>
      <w:bookmarkStart w:name="12、存货" w:id="180"/>
      <w:bookmarkEnd w:id="180"/>
      <w:r>
        <w:rPr>
          <w:b w:val="0"/>
          <w:bCs w:val="0"/>
        </w:rPr>
      </w:r>
      <w:r>
        <w:rPr>
          <w:rFonts w:ascii="Times New Roman" w:hAnsi="Times New Roman" w:cs="Times New Roman" w:eastAsia="Times New Roman" w:hint="default"/>
        </w:rPr>
        <w:t>12</w:t>
      </w:r>
      <w:r>
        <w:rPr/>
        <w:t>、存货</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left="574" w:right="1017"/>
        <w:jc w:val="left"/>
      </w:pPr>
      <w:r>
        <w:rPr/>
        <w:t>（</w:t>
      </w:r>
      <w:r>
        <w:rPr>
          <w:rFonts w:ascii="宋体" w:hAnsi="宋体" w:cs="宋体" w:eastAsia="宋体" w:hint="default"/>
        </w:rPr>
        <w:t>1</w:t>
      </w:r>
      <w:r>
        <w:rPr/>
        <w:t>）存货的分类 </w:t>
      </w:r>
      <w:r>
        <w:rPr>
          <w:spacing w:val="-3"/>
        </w:rPr>
        <w:t>存货分为原材料、生产成本、工程施工、库存商品、发出商品、低值易耗品、委托加工材料等七大类。</w:t>
      </w:r>
    </w:p>
    <w:p>
      <w:pPr>
        <w:pStyle w:val="BodyText"/>
        <w:spacing w:line="357" w:lineRule="auto"/>
        <w:ind w:left="154" w:right="1017"/>
        <w:jc w:val="left"/>
      </w:pPr>
      <w:r>
        <w:rPr>
          <w:spacing w:val="-1"/>
        </w:rPr>
        <w:t>其中生产成本用于核算公司产品生产加工等业务的在产品，工程施工用于归集建造工程施工项目的成本费</w:t>
      </w:r>
      <w:r>
        <w:rPr>
          <w:spacing w:val="-81"/>
        </w:rPr>
        <w:t> </w:t>
      </w:r>
      <w:r>
        <w:rPr>
          <w:spacing w:val="-81"/>
        </w:rPr>
      </w:r>
      <w:r>
        <w:rPr/>
        <w:t>用支出。</w:t>
      </w:r>
    </w:p>
    <w:p>
      <w:pPr>
        <w:pStyle w:val="BodyText"/>
        <w:spacing w:line="357" w:lineRule="auto"/>
        <w:ind w:left="574" w:right="3612"/>
        <w:jc w:val="left"/>
      </w:pPr>
      <w:r>
        <w:rPr/>
        <w:t>（</w:t>
      </w:r>
      <w:r>
        <w:rPr>
          <w:rFonts w:ascii="宋体" w:hAnsi="宋体" w:cs="宋体" w:eastAsia="宋体" w:hint="default"/>
        </w:rPr>
        <w:t>2</w:t>
      </w:r>
      <w:r>
        <w:rPr/>
        <w:t>）发出存货的计价方法 各类存货的购入与入库按实际成本计价，发出采用移动加权平均法计价。</w:t>
      </w:r>
    </w:p>
    <w:p>
      <w:pPr>
        <w:pStyle w:val="BodyText"/>
        <w:spacing w:line="357" w:lineRule="auto"/>
        <w:ind w:right="1018" w:firstLine="420"/>
        <w:jc w:val="left"/>
      </w:pPr>
      <w:r>
        <w:rPr>
          <w:spacing w:val="-3"/>
        </w:rPr>
        <w:t>工程施工成本的具体核算方法为：按照单个项目为核算对象，分别核算工程施工成本；项目未完工前，</w:t>
      </w:r>
      <w:r>
        <w:rPr/>
        <w:t> 按单个项目归集所发生的实际成本。期末按完工百分比法确认合同收入，按配比原则结转营业成本。项目 </w:t>
      </w:r>
      <w:r>
        <w:rPr>
          <w:spacing w:val="-3"/>
        </w:rPr>
        <w:t>完工时，按照累计实际发生的合同成本扣除以前会计期间累计已确认成本后的金额，确认为当期合同成本，</w:t>
      </w:r>
      <w:r>
        <w:rPr>
          <w:spacing w:val="-92"/>
        </w:rPr>
        <w:t> </w:t>
      </w:r>
      <w:r>
        <w:rPr>
          <w:spacing w:val="-92"/>
        </w:rPr>
      </w:r>
      <w:r>
        <w:rPr/>
        <w:t>并结转工程施工成本。</w:t>
      </w:r>
    </w:p>
    <w:p>
      <w:pPr>
        <w:pStyle w:val="BodyText"/>
        <w:spacing w:line="357" w:lineRule="auto" w:before="31"/>
        <w:ind w:right="1017" w:firstLine="420"/>
        <w:jc w:val="left"/>
      </w:pPr>
      <w:r>
        <w:rPr/>
        <w:t>本公司累计已发生的工程施工成本和累计已确认的工程施工毛利之和大于累计已办理结算的合同价 </w:t>
      </w:r>
      <w:r>
        <w:rPr>
          <w:spacing w:val="-1"/>
        </w:rPr>
        <w:t>款的差额为已完工未结算款，在存货中列示；累计已发生的施工成本和累计已确认的毛利之和小于累计已</w:t>
      </w:r>
      <w:r>
        <w:rPr>
          <w:spacing w:val="-81"/>
        </w:rPr>
        <w:t> </w:t>
      </w:r>
      <w:r>
        <w:rPr>
          <w:spacing w:val="-81"/>
        </w:rPr>
      </w:r>
      <w:r>
        <w:rPr/>
        <w:t>办理结算的合同价款的差额为已结算未完工款，在预收款项中反映。</w:t>
      </w:r>
    </w:p>
    <w:p>
      <w:pPr>
        <w:pStyle w:val="BodyText"/>
        <w:spacing w:line="357" w:lineRule="auto"/>
        <w:ind w:left="573" w:right="1017"/>
        <w:jc w:val="left"/>
      </w:pPr>
      <w:r>
        <w:rPr/>
        <w:t>（</w:t>
      </w:r>
      <w:r>
        <w:rPr>
          <w:rFonts w:ascii="宋体" w:hAnsi="宋体" w:cs="宋体" w:eastAsia="宋体" w:hint="default"/>
        </w:rPr>
        <w:t>3</w:t>
      </w:r>
      <w:r>
        <w:rPr/>
        <w:t>）存货可变现净值的确定依据及存货跌价准备的计提方法 </w:t>
      </w:r>
      <w:r>
        <w:rPr>
          <w:spacing w:val="-1"/>
        </w:rPr>
        <w:t>存货可变现净值系根据本公司在正常经营过程中，以估计售价减去至完工时估计将要发生的成本及销</w:t>
      </w:r>
    </w:p>
    <w:p>
      <w:pPr>
        <w:pStyle w:val="BodyText"/>
        <w:spacing w:line="355" w:lineRule="auto"/>
        <w:ind w:left="574" w:right="1017" w:hanging="420"/>
        <w:jc w:val="left"/>
      </w:pPr>
      <w:r>
        <w:rPr/>
        <w:t>售所必须的估计费用后的价值。 </w:t>
      </w:r>
      <w:r>
        <w:rPr>
          <w:spacing w:val="-1"/>
        </w:rPr>
        <w:t>存货跌价准备的计提方法：本公司于每年中期期末及年度终了在对存货进行全面盘点的基础上，对遭</w:t>
      </w:r>
    </w:p>
    <w:p>
      <w:pPr>
        <w:pStyle w:val="BodyText"/>
        <w:spacing w:line="357" w:lineRule="auto" w:before="33"/>
        <w:ind w:right="1024"/>
        <w:jc w:val="left"/>
      </w:pPr>
      <w:r>
        <w:rPr/>
        <w:t>受损失，全部或部分陈旧过时或销售价格低于成本的存货，根据存货成本与可变现净值孰低计量，按单个 存货项目对同类存货项目的可变现净值低于存货成本的差额计提存货跌价准备，并计入当期损益。对于工 </w:t>
      </w:r>
      <w:r>
        <w:rPr>
          <w:spacing w:val="-3"/>
        </w:rPr>
        <w:t>程施工成本，对预计工程总成本超过预计总收入的工程项目，按照预计工程总成本超过预计总收入的部分，</w:t>
      </w:r>
      <w:r>
        <w:rPr>
          <w:spacing w:val="-92"/>
        </w:rPr>
        <w:t> </w:t>
      </w:r>
      <w:r>
        <w:rPr>
          <w:spacing w:val="-92"/>
        </w:rPr>
      </w:r>
      <w:r>
        <w:rPr/>
        <w:t>计提存货跌价准备。确定可变现净值时，除考虑持有目的和资产负债表日该存货的价格与成本波动外，还</w:t>
      </w:r>
      <w:r>
        <w:rPr>
          <w:spacing w:val="-8"/>
        </w:rPr>
        <w:t> </w:t>
      </w:r>
      <w:r>
        <w:rPr/>
        <w:t>需要考虑未来事项的影响。</w:t>
      </w:r>
    </w:p>
    <w:p>
      <w:pPr>
        <w:pStyle w:val="BodyText"/>
        <w:spacing w:line="355" w:lineRule="auto"/>
        <w:ind w:left="573" w:right="7183"/>
        <w:jc w:val="left"/>
      </w:pPr>
      <w:r>
        <w:rPr/>
        <w:t>（</w:t>
      </w:r>
      <w:r>
        <w:rPr>
          <w:rFonts w:ascii="宋体" w:hAnsi="宋体" w:cs="宋体" w:eastAsia="宋体" w:hint="default"/>
        </w:rPr>
        <w:t>4</w:t>
      </w:r>
      <w:r>
        <w:rPr/>
        <w:t>）存货的盘存制度 存货的盘存制度采用永续盘存制。</w:t>
      </w:r>
    </w:p>
    <w:p>
      <w:pPr>
        <w:pStyle w:val="BodyText"/>
        <w:spacing w:line="357" w:lineRule="auto" w:before="34"/>
        <w:ind w:left="573" w:right="4663"/>
        <w:jc w:val="left"/>
      </w:pPr>
      <w:r>
        <w:rPr/>
        <w:t>（</w:t>
      </w:r>
      <w:r>
        <w:rPr>
          <w:rFonts w:ascii="宋体" w:hAnsi="宋体" w:cs="宋体" w:eastAsia="宋体" w:hint="default"/>
        </w:rPr>
        <w:t>5</w:t>
      </w:r>
      <w:r>
        <w:rPr/>
        <w:t>）低值易耗品和包装物的摊销方法 低值易耗品：低值易耗品于其领用时采用一次性摊销法摊销。 包装物：包装物于其领用时采用一次性摊销法摊销。</w:t>
      </w:r>
    </w:p>
    <w:p>
      <w:pPr>
        <w:spacing w:after="0" w:line="357" w:lineRule="auto"/>
        <w:jc w:val="left"/>
        <w:sectPr>
          <w:pgSz w:w="11910" w:h="16840"/>
          <w:pgMar w:header="877" w:footer="1019" w:top="1100" w:bottom="120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153" w:right="1017"/>
        <w:jc w:val="left"/>
        <w:rPr>
          <w:b w:val="0"/>
          <w:bCs w:val="0"/>
        </w:rPr>
      </w:pPr>
      <w:bookmarkStart w:name="13、长期股权投资" w:id="181"/>
      <w:bookmarkEnd w:id="181"/>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left="154" w:right="1131" w:firstLine="420"/>
        <w:jc w:val="both"/>
      </w:pPr>
      <w:r>
        <w:rPr>
          <w:spacing w:val="-1"/>
        </w:rPr>
        <w:t>长期股权投资是指本公司对被投资单位具有控制、重大影响的权益性投资，以及对其合营企业的权益</w:t>
      </w:r>
      <w:r>
        <w:rPr/>
        <w:t> </w:t>
      </w:r>
      <w:r>
        <w:rPr>
          <w:spacing w:val="-1"/>
        </w:rPr>
        <w:t>性投资。本公司对被投资单位不具有控制、共同控制或重大影响的权益性投资，作为可供出售金融资产或</w:t>
      </w:r>
      <w:r>
        <w:rPr>
          <w:spacing w:val="-83"/>
        </w:rPr>
        <w:t> </w:t>
      </w:r>
      <w:r>
        <w:rPr>
          <w:spacing w:val="-83"/>
        </w:rPr>
      </w:r>
      <w:r>
        <w:rPr/>
        <w:t>以公允价值计量且其变动计入当期损益的金融资产核算。</w:t>
      </w:r>
    </w:p>
    <w:p>
      <w:pPr>
        <w:pStyle w:val="BodyText"/>
        <w:spacing w:line="357" w:lineRule="auto"/>
        <w:ind w:left="154" w:right="1131" w:firstLine="420"/>
        <w:jc w:val="both"/>
      </w:pPr>
      <w:r>
        <w:rPr>
          <w:spacing w:val="-1"/>
        </w:rPr>
        <w:t>共同控制，是指本公司按照相关约定对某项安排所共有的控制，并且该安排的相关活动必须经过分享</w:t>
      </w:r>
      <w:r>
        <w:rPr/>
        <w:t> </w:t>
      </w:r>
      <w:r>
        <w:rPr>
          <w:spacing w:val="-1"/>
        </w:rPr>
        <w:t>控制权的参与方一致同意后才能决策。重大影响，是指本公司对被投资单位的财务和经营政策有参与决策</w:t>
      </w:r>
      <w:r>
        <w:rPr>
          <w:spacing w:val="-81"/>
        </w:rPr>
        <w:t> </w:t>
      </w:r>
      <w:r>
        <w:rPr>
          <w:spacing w:val="-81"/>
        </w:rPr>
      </w:r>
      <w:r>
        <w:rPr/>
        <w:t>的权力，但并不能够控制或者与其他方一起共同控制这些政策的制定。</w:t>
      </w:r>
    </w:p>
    <w:p>
      <w:pPr>
        <w:pStyle w:val="BodyText"/>
        <w:spacing w:line="355" w:lineRule="auto" w:before="31"/>
        <w:ind w:left="573" w:right="1017"/>
        <w:jc w:val="left"/>
      </w:pPr>
      <w:r>
        <w:rPr/>
        <w:t>（</w:t>
      </w:r>
      <w:r>
        <w:rPr>
          <w:rFonts w:ascii="宋体" w:hAnsi="宋体" w:cs="宋体" w:eastAsia="宋体" w:hint="default"/>
        </w:rPr>
        <w:t>1</w:t>
      </w:r>
      <w:r>
        <w:rPr/>
        <w:t>）投资成本的确定 </w:t>
      </w:r>
      <w:r>
        <w:rPr>
          <w:spacing w:val="-1"/>
        </w:rPr>
        <w:t>对于同一控制下的企业合并取得的长期股权投资，在合并日按照被合并方所有者权益在最终控制方合</w:t>
      </w:r>
    </w:p>
    <w:p>
      <w:pPr>
        <w:pStyle w:val="BodyText"/>
        <w:spacing w:line="357" w:lineRule="auto" w:before="33"/>
        <w:ind w:right="1024"/>
        <w:jc w:val="left"/>
      </w:pPr>
      <w:r>
        <w:rPr/>
        <w:t>并财务报表中的账面价值的份额作为长期股权投资的初始投资成本。长期股权投资初始投资成本与支付的 现金、转让的非现金资产以及所承担债务账面价值之间的差额，调整资本公积；资本公积不足冲减的，调 整留存收益。以发行权益性证券作为合并对价的，在合并日按照被合并方股东权益</w:t>
      </w:r>
      <w:r>
        <w:rPr>
          <w:rFonts w:ascii="宋体" w:hAnsi="宋体" w:cs="宋体" w:eastAsia="宋体" w:hint="default"/>
        </w:rPr>
        <w:t>/</w:t>
      </w:r>
      <w:r>
        <w:rPr/>
        <w:t>所有者权益在最终控 制方合并财务报表中的账面价值的份额作为长期股权投资的初始投资成本，按照发行股份的面值总额作为 股本，长期股权投资初始投资成本与所发行股份面值总额之间的差额，调整资本公积；资本公积不足冲减 </w:t>
      </w:r>
      <w:r>
        <w:rPr>
          <w:spacing w:val="-3"/>
        </w:rPr>
        <w:t>的，调整留存收益（通过多次交易分步取得同一控制下被合并方的股权，最终形成同一控制下企业合并的，</w:t>
      </w:r>
      <w:r>
        <w:rPr>
          <w:spacing w:val="-90"/>
        </w:rPr>
        <w:t> </w:t>
      </w:r>
      <w:r>
        <w:rPr>
          <w:spacing w:val="-90"/>
        </w:rPr>
      </w:r>
      <w:r>
        <w:rPr/>
        <w:t>应分别是否属于“一揽子交易”进行处理：属于“一揽子交易”的，将各项交易作为一项取得控制权的交</w:t>
      </w:r>
      <w:r>
        <w:rPr/>
        <w:t> 易进行会计处理。不属于“一揽子交易”的，在合并日按照应享有被合并方股东权益</w:t>
      </w:r>
      <w:r>
        <w:rPr>
          <w:rFonts w:ascii="宋体" w:hAnsi="宋体" w:cs="宋体" w:eastAsia="宋体" w:hint="default"/>
        </w:rPr>
        <w:t>/</w:t>
      </w:r>
      <w:r>
        <w:rPr/>
        <w:t>所有者权益在最终 控制方合并财务报表中的账面价值的份额作为长期股权投资的初始投资成本，长期股权投资初始投资成本 与达到合并前的长期股权投资账面价值加上合并日进一步取得股份新支付对价的账面价值之和的差额，调 整资本公积；资本公积不足冲减的，调整留存收益。合并日之前持有的股权投资因采用权益法核算或为可 供出售金融资产而确认的其他综合收益，暂不进行会计处理）。</w:t>
      </w:r>
    </w:p>
    <w:p>
      <w:pPr>
        <w:pStyle w:val="BodyText"/>
        <w:spacing w:line="357" w:lineRule="auto" w:before="31"/>
        <w:ind w:right="1110" w:firstLine="420"/>
        <w:jc w:val="both"/>
      </w:pPr>
      <w:r>
        <w:rPr>
          <w:spacing w:val="-1"/>
        </w:rPr>
        <w:t>对于非同一控制下的企业合并取得的长期股权投资，在购买日按照合并成本作为长期股权投资的初始</w:t>
      </w:r>
      <w:r>
        <w:rPr/>
        <w:t> </w:t>
      </w:r>
      <w:r>
        <w:rPr>
          <w:spacing w:val="-1"/>
        </w:rPr>
        <w:t>投资成本，合并成本包括购买方付出的资产、发生或承担的负债、发行的权益性证券的公允价值之和（通</w:t>
      </w:r>
      <w:r>
        <w:rPr>
          <w:spacing w:val="-85"/>
        </w:rPr>
        <w:t> </w:t>
      </w:r>
      <w:r>
        <w:rPr>
          <w:spacing w:val="-85"/>
        </w:rPr>
      </w:r>
      <w:r>
        <w:rPr>
          <w:spacing w:val="-1"/>
        </w:rPr>
        <w:t>过多次交易分步取得被购买方的股权，最终形成非同一控制下的企业合并的，应分别是否属于“一揽子交</w:t>
      </w:r>
      <w:r>
        <w:rPr>
          <w:spacing w:val="-83"/>
        </w:rPr>
        <w:t> </w:t>
      </w:r>
      <w:r>
        <w:rPr>
          <w:spacing w:val="-83"/>
        </w:rPr>
      </w:r>
      <w:r>
        <w:rPr>
          <w:spacing w:val="-6"/>
        </w:rPr>
        <w:t>易”进行处理：属于“一揽子交易”的，将各项交易作为一项取得控制权的交易进行会计处理。不属于“一</w:t>
      </w:r>
      <w:r>
        <w:rPr>
          <w:spacing w:val="-60"/>
        </w:rPr>
        <w:t> </w:t>
      </w:r>
      <w:r>
        <w:rPr>
          <w:spacing w:val="-60"/>
        </w:rPr>
      </w:r>
      <w:r>
        <w:rPr>
          <w:spacing w:val="-1"/>
        </w:rPr>
        <w:t>揽子交易”的，按照原持有被购买方的股权投资账面价值加上新增投资成本之和，作为改按成本法核算的</w:t>
      </w:r>
      <w:r>
        <w:rPr>
          <w:spacing w:val="-83"/>
        </w:rPr>
        <w:t> </w:t>
      </w:r>
      <w:r>
        <w:rPr>
          <w:spacing w:val="-83"/>
        </w:rPr>
      </w:r>
      <w:r>
        <w:rPr/>
        <w:t>长期股权投资的初始投资成本。原持有的股权采用权益法核算的，相关其他综合收益暂不进行会计处理。 </w:t>
      </w:r>
      <w:r>
        <w:rPr>
          <w:spacing w:val="-1"/>
        </w:rPr>
        <w:t>原持有股权投资为可供出售金融资产的，其公允价值与账面价值之间的差额，以及原计入其他综合收益的</w:t>
      </w:r>
      <w:r>
        <w:rPr>
          <w:spacing w:val="-81"/>
        </w:rPr>
        <w:t> </w:t>
      </w:r>
      <w:r>
        <w:rPr>
          <w:spacing w:val="-81"/>
        </w:rPr>
      </w:r>
      <w:r>
        <w:rPr/>
        <w:t>累计公允价值变动转入当期损益）。</w:t>
      </w:r>
    </w:p>
    <w:p>
      <w:pPr>
        <w:pStyle w:val="BodyText"/>
        <w:spacing w:line="357" w:lineRule="auto"/>
        <w:ind w:right="1131" w:firstLine="420"/>
        <w:jc w:val="both"/>
      </w:pPr>
      <w:r>
        <w:rPr>
          <w:spacing w:val="-1"/>
        </w:rPr>
        <w:t>合并方或购买方为企业合并发生的审计、法律服务、评估咨询等中介费用以及其他相关管理费用，于</w:t>
      </w:r>
      <w:r>
        <w:rPr/>
        <w:t> 发生时计入当期损益。</w:t>
      </w:r>
    </w:p>
    <w:p>
      <w:pPr>
        <w:pStyle w:val="BodyText"/>
        <w:spacing w:line="355" w:lineRule="auto"/>
        <w:ind w:right="1131" w:firstLine="420"/>
        <w:jc w:val="both"/>
      </w:pPr>
      <w:r>
        <w:rPr>
          <w:spacing w:val="-1"/>
        </w:rPr>
        <w:t>除企业合并形成的长期股权投资外的其他股权投资，按成本进行初始计量，该成本视长期股权投资取</w:t>
      </w:r>
      <w:r>
        <w:rPr/>
        <w:t> </w:t>
      </w:r>
      <w:r>
        <w:rPr>
          <w:spacing w:val="-1"/>
        </w:rPr>
        <w:t>得方式的不同，分别按照本公司实际支付的现金购买价款、本公司发行的权益性证券的公允价值、投资合</w:t>
      </w:r>
    </w:p>
    <w:p>
      <w:pPr>
        <w:spacing w:after="0" w:line="355" w:lineRule="auto"/>
        <w:jc w:val="both"/>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7" w:lineRule="auto" w:before="35"/>
        <w:ind w:right="1110"/>
        <w:jc w:val="both"/>
      </w:pPr>
      <w:r>
        <w:rPr>
          <w:spacing w:val="-1"/>
        </w:rPr>
        <w:t>同或协议约定的价值、非货币性资产交换交易中换出资产的公允价值或原账面价值、该项长期股权投资自</w:t>
      </w:r>
      <w:r>
        <w:rPr>
          <w:spacing w:val="-81"/>
        </w:rPr>
        <w:t> </w:t>
      </w:r>
      <w:r>
        <w:rPr>
          <w:spacing w:val="-81"/>
        </w:rPr>
      </w:r>
      <w:r>
        <w:rPr/>
        <w:t>身的公允价值等方式确定。与取得长期股权投资直接相关的费用、税金及其他必要支出也计入投资成本。 </w:t>
      </w:r>
      <w:r>
        <w:rPr>
          <w:spacing w:val="-1"/>
        </w:rPr>
        <w:t>对于因追加投资能够对被投资单位实施重大影响或实施共同控制但不构成控制的，长期股权投资成本为按</w:t>
      </w:r>
      <w:r>
        <w:rPr>
          <w:spacing w:val="-81"/>
        </w:rPr>
        <w:t> </w:t>
      </w:r>
      <w:r>
        <w:rPr>
          <w:spacing w:val="-81"/>
        </w:rPr>
      </w:r>
      <w:r>
        <w:rPr>
          <w:spacing w:val="-1"/>
        </w:rPr>
        <w:t>照《企业会计准则第</w:t>
      </w:r>
      <w:r>
        <w:rPr>
          <w:rFonts w:ascii="宋体" w:hAnsi="宋体" w:cs="宋体" w:eastAsia="宋体" w:hint="default"/>
          <w:spacing w:val="-1"/>
        </w:rPr>
        <w:t>22</w:t>
      </w:r>
      <w:r>
        <w:rPr>
          <w:spacing w:val="-1"/>
        </w:rPr>
        <w:t>号——金融工具确认和计量》确定的原持有股权投资的公允价值加上新增投资成本</w:t>
      </w:r>
      <w:r>
        <w:rPr>
          <w:spacing w:val="-81"/>
        </w:rPr>
        <w:t> </w:t>
      </w:r>
      <w:r>
        <w:rPr>
          <w:spacing w:val="-81"/>
        </w:rPr>
      </w:r>
      <w:r>
        <w:rPr/>
        <w:t>之和。</w:t>
      </w:r>
    </w:p>
    <w:p>
      <w:pPr>
        <w:pStyle w:val="BodyText"/>
        <w:spacing w:line="357" w:lineRule="auto"/>
        <w:ind w:left="574" w:right="1092"/>
        <w:jc w:val="left"/>
      </w:pPr>
      <w:r>
        <w:rPr/>
        <w:t>（</w:t>
      </w:r>
      <w:r>
        <w:rPr>
          <w:rFonts w:ascii="宋体" w:hAnsi="宋体" w:cs="宋体" w:eastAsia="宋体" w:hint="default"/>
        </w:rPr>
        <w:t>2</w:t>
      </w:r>
      <w:r>
        <w:rPr/>
        <w:t>）后续计量及损益确认方法 对被投资单位具有共同控制（构成共同经营者除外）或重大影响的长期股权投资，采用权益法核算。</w:t>
      </w:r>
    </w:p>
    <w:p>
      <w:pPr>
        <w:pStyle w:val="BodyText"/>
        <w:spacing w:line="240" w:lineRule="auto"/>
        <w:ind w:left="154" w:right="0"/>
        <w:jc w:val="both"/>
      </w:pPr>
      <w:r>
        <w:rPr/>
        <w:t>此外，公司财务报表采用成本法核算能够对被投资单位实施控制的长期股权投资。</w:t>
      </w:r>
    </w:p>
    <w:p>
      <w:pPr>
        <w:pStyle w:val="BodyText"/>
        <w:spacing w:line="357" w:lineRule="auto" w:before="133"/>
        <w:ind w:left="573" w:right="1093" w:firstLine="106"/>
        <w:jc w:val="left"/>
      </w:pPr>
      <w:r>
        <w:rPr/>
        <w:t>①成本法核算的长期股权投资 采用成本法核算时，长期股权投资按初始投资成本计价，追加或收回投资调整长期股权投资的成本。</w:t>
      </w:r>
    </w:p>
    <w:p>
      <w:pPr>
        <w:pStyle w:val="BodyText"/>
        <w:spacing w:line="357" w:lineRule="auto"/>
        <w:ind w:right="1131"/>
        <w:jc w:val="both"/>
      </w:pPr>
      <w:r>
        <w:rPr>
          <w:spacing w:val="-1"/>
        </w:rPr>
        <w:t>除取得投资时实际支付的价款或者对价中包含的已宣告但尚未发放的现金股利或者利润外，当期投资收益</w:t>
      </w:r>
      <w:r>
        <w:rPr>
          <w:spacing w:val="-81"/>
        </w:rPr>
        <w:t> </w:t>
      </w:r>
      <w:r>
        <w:rPr>
          <w:spacing w:val="-81"/>
        </w:rPr>
      </w:r>
      <w:r>
        <w:rPr/>
        <w:t>按照享有被投资单位宣告发放的现金股利或利润确认。</w:t>
      </w:r>
    </w:p>
    <w:p>
      <w:pPr>
        <w:pStyle w:val="BodyText"/>
        <w:spacing w:line="357" w:lineRule="auto"/>
        <w:ind w:left="574" w:right="1017"/>
        <w:jc w:val="left"/>
      </w:pPr>
      <w:r>
        <w:rPr/>
        <w:t>②权益法核算的长期股权投资 </w:t>
      </w:r>
      <w:r>
        <w:rPr>
          <w:spacing w:val="-1"/>
        </w:rPr>
        <w:t>采用权益法核算时，长期股权投资的初始投资成本大于投资时应享有被投资单位可辨认净资产公允价</w:t>
      </w:r>
    </w:p>
    <w:p>
      <w:pPr>
        <w:pStyle w:val="BodyText"/>
        <w:spacing w:line="355" w:lineRule="auto"/>
        <w:ind w:left="154" w:right="1131"/>
        <w:jc w:val="both"/>
      </w:pPr>
      <w:r>
        <w:rPr>
          <w:spacing w:val="-1"/>
        </w:rPr>
        <w:t>值份额的，不调整长期股权投资的初始投资成本；初始投资成本小于投资时应享有被投资单位可辨认净资</w:t>
      </w:r>
      <w:r>
        <w:rPr>
          <w:spacing w:val="-81"/>
        </w:rPr>
        <w:t> </w:t>
      </w:r>
      <w:r>
        <w:rPr>
          <w:spacing w:val="-81"/>
        </w:rPr>
      </w:r>
      <w:r>
        <w:rPr/>
        <w:t>产公允价值份额的，其差额计入当期损益，同时调整长期股权投资的成本。</w:t>
      </w:r>
    </w:p>
    <w:p>
      <w:pPr>
        <w:pStyle w:val="BodyText"/>
        <w:spacing w:line="357" w:lineRule="auto" w:before="33"/>
        <w:ind w:right="1130" w:firstLine="420"/>
        <w:jc w:val="both"/>
      </w:pPr>
      <w:r>
        <w:rPr>
          <w:spacing w:val="-1"/>
        </w:rPr>
        <w:t>采用权益法核算时，按照应享有或应分担的被投资单位实现的净损益和其他综合收益的份额，分别确</w:t>
      </w:r>
      <w:r>
        <w:rPr/>
        <w:t>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股利计算应享有的部分，相应减少长期股权投资的账面价值；对于被投资单位除净损益、其他综合收益和</w:t>
      </w:r>
      <w:r>
        <w:rPr>
          <w:spacing w:val="-83"/>
        </w:rPr>
        <w:t> </w:t>
      </w:r>
      <w:r>
        <w:rPr>
          <w:spacing w:val="-83"/>
        </w:rPr>
      </w:r>
      <w:r>
        <w:rPr>
          <w:spacing w:val="-1"/>
        </w:rPr>
        <w:t>利润分配以外所有者权益的其他变动，调整长期股权投资的账面价值并计入资本公积。在确认应享有被投</w:t>
      </w:r>
      <w:r>
        <w:rPr>
          <w:spacing w:val="-81"/>
        </w:rPr>
        <w:t> </w:t>
      </w:r>
      <w:r>
        <w:rPr>
          <w:spacing w:val="-81"/>
        </w:rPr>
      </w:r>
      <w:r>
        <w:rPr>
          <w:spacing w:val="-1"/>
        </w:rPr>
        <w:t>资单位净损益的份额时，以取得投资时被投资单位各项可辨认资产等的公允价值为基础，对被投资单位的</w:t>
      </w:r>
      <w:r>
        <w:rPr>
          <w:spacing w:val="-81"/>
        </w:rPr>
        <w:t> </w:t>
      </w:r>
      <w:r>
        <w:rPr>
          <w:spacing w:val="-81"/>
        </w:rPr>
      </w:r>
      <w:r>
        <w:rPr>
          <w:spacing w:val="-1"/>
        </w:rPr>
        <w:t>净利润进行调整后确认。被投资单位采用的会计政策及会计期间与本公司不一致的，按照本公司的会计政</w:t>
      </w:r>
      <w:r>
        <w:rPr>
          <w:spacing w:val="-81"/>
        </w:rPr>
        <w:t> </w:t>
      </w:r>
      <w:r>
        <w:rPr>
          <w:spacing w:val="-81"/>
        </w:rPr>
      </w:r>
      <w:r>
        <w:rPr>
          <w:spacing w:val="-1"/>
        </w:rPr>
        <w:t>策及会计期间对被投资单位的财务报表进行调整，并据以确认投资收益和其他综合收益。对于本公司与联</w:t>
      </w:r>
      <w:r>
        <w:rPr>
          <w:spacing w:val="-80"/>
        </w:rPr>
        <w:t> </w:t>
      </w:r>
      <w:r>
        <w:rPr>
          <w:spacing w:val="-80"/>
        </w:rPr>
      </w:r>
      <w:r>
        <w:rPr>
          <w:spacing w:val="-1"/>
        </w:rPr>
        <w:t>营企业及合营企业之间发生的交易，投出或出售的资产不构成业务的，未实现内部交易损益按照享有的比</w:t>
      </w:r>
      <w:r>
        <w:rPr>
          <w:spacing w:val="-81"/>
        </w:rPr>
        <w:t> </w:t>
      </w:r>
      <w:r>
        <w:rPr>
          <w:spacing w:val="-81"/>
        </w:rPr>
      </w:r>
      <w:r>
        <w:rPr>
          <w:spacing w:val="-1"/>
        </w:rPr>
        <w:t>例计算归属于本公司的部分予以抵销，在此基础上确认投资损益。但本公司与被投资单位发生的未实现内</w:t>
      </w:r>
      <w:r>
        <w:rPr>
          <w:spacing w:val="-81"/>
        </w:rPr>
        <w:t> </w:t>
      </w:r>
      <w:r>
        <w:rPr>
          <w:spacing w:val="-81"/>
        </w:rPr>
      </w:r>
      <w:r>
        <w:rPr>
          <w:spacing w:val="-1"/>
        </w:rPr>
        <w:t>部交易损失，属于所转让资产减值损失的，不予以抵销。本公司向合营企业或联营企业投出的资产构成业</w:t>
      </w:r>
      <w:r>
        <w:rPr>
          <w:spacing w:val="-83"/>
        </w:rPr>
        <w:t> </w:t>
      </w:r>
      <w:r>
        <w:rPr>
          <w:spacing w:val="-83"/>
        </w:rPr>
      </w:r>
      <w:r>
        <w:rPr>
          <w:spacing w:val="-1"/>
        </w:rPr>
        <w:t>务的，投资方因此取得长期股权投资但未取得控制权的，以投出业务的公允价值作为新增长期股权投资的</w:t>
      </w:r>
      <w:r>
        <w:rPr>
          <w:spacing w:val="-81"/>
        </w:rPr>
        <w:t> </w:t>
      </w:r>
      <w:r>
        <w:rPr>
          <w:spacing w:val="-81"/>
        </w:rPr>
      </w:r>
      <w:r>
        <w:rPr>
          <w:spacing w:val="-1"/>
        </w:rPr>
        <w:t>初始投资成本，初始投资成本与投出业务的账面价值之差，全额计入当期损益。本公司向合营企业或联营</w:t>
      </w:r>
      <w:r>
        <w:rPr>
          <w:spacing w:val="-83"/>
        </w:rPr>
        <w:t> </w:t>
      </w:r>
      <w:r>
        <w:rPr>
          <w:spacing w:val="-83"/>
        </w:rPr>
      </w:r>
      <w:r>
        <w:rPr>
          <w:spacing w:val="-1"/>
        </w:rPr>
        <w:t>企业出售的资产构成业务的，取得的对价与业务的账面价值之差，全额计入当期损益。本公司自联营企业</w:t>
      </w:r>
      <w:r>
        <w:rPr>
          <w:spacing w:val="-83"/>
        </w:rPr>
        <w:t> </w:t>
      </w:r>
      <w:r>
        <w:rPr>
          <w:spacing w:val="-83"/>
        </w:rPr>
      </w:r>
      <w:r>
        <w:rPr>
          <w:spacing w:val="-1"/>
        </w:rPr>
        <w:t>及合营企业购入的资产构成业务的，按《企业会计准则第</w:t>
      </w:r>
      <w:r>
        <w:rPr>
          <w:rFonts w:ascii="宋体" w:hAnsi="宋体" w:cs="宋体" w:eastAsia="宋体" w:hint="default"/>
          <w:spacing w:val="-1"/>
        </w:rPr>
        <w:t>20</w:t>
      </w:r>
      <w:r>
        <w:rPr>
          <w:spacing w:val="-1"/>
        </w:rPr>
        <w:t>号——企业合并》的规定进行会计处理，全额</w:t>
      </w:r>
      <w:r>
        <w:rPr>
          <w:spacing w:val="-86"/>
        </w:rPr>
        <w:t> </w:t>
      </w:r>
      <w:r>
        <w:rPr>
          <w:spacing w:val="-86"/>
        </w:rPr>
      </w:r>
      <w:r>
        <w:rPr/>
        <w:t>确认与交易相关的利得或损失。</w:t>
      </w:r>
    </w:p>
    <w:p>
      <w:pPr>
        <w:pStyle w:val="BodyText"/>
        <w:spacing w:line="357" w:lineRule="auto"/>
        <w:ind w:left="154" w:right="1131" w:firstLine="420"/>
        <w:jc w:val="both"/>
      </w:pPr>
      <w:r>
        <w:rPr>
          <w:spacing w:val="-1"/>
        </w:rPr>
        <w:t>在确认应分担被投资单位发生的净亏损时，以长期股权投资的账面价值和其他实质上构成对被投资单</w:t>
      </w:r>
      <w:r>
        <w:rPr/>
        <w:t> </w:t>
      </w:r>
      <w:r>
        <w:rPr>
          <w:spacing w:val="-1"/>
        </w:rPr>
        <w:t>位净投资的长期权益减记至零为限。此外，如本公司对被投资单位负有承担额外损失的义务，则按预计承</w:t>
      </w:r>
      <w:r>
        <w:rPr>
          <w:spacing w:val="-83"/>
        </w:rPr>
        <w:t> </w:t>
      </w:r>
      <w:r>
        <w:rPr>
          <w:spacing w:val="-83"/>
        </w:rPr>
      </w:r>
      <w:r>
        <w:rPr>
          <w:spacing w:val="-1"/>
        </w:rPr>
        <w:t>担的义务确认预计负债，计入当期投资损失。被投资单位以后期间实现净利润的，本公司在收益分享额弥</w:t>
      </w:r>
    </w:p>
    <w:p>
      <w:pPr>
        <w:spacing w:after="0" w:line="357" w:lineRule="auto"/>
        <w:jc w:val="both"/>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240" w:lineRule="auto" w:before="35"/>
        <w:ind w:right="1017"/>
        <w:jc w:val="left"/>
      </w:pPr>
      <w:r>
        <w:rPr/>
        <w:t>补未确认的亏损分担额后，恢复确认收益分享额。</w:t>
      </w:r>
    </w:p>
    <w:p>
      <w:pPr>
        <w:pStyle w:val="BodyText"/>
        <w:spacing w:line="357" w:lineRule="auto" w:before="133"/>
        <w:ind w:left="574" w:right="1017"/>
        <w:jc w:val="left"/>
      </w:pPr>
      <w:r>
        <w:rPr/>
        <w:t>③收购少数股权 </w:t>
      </w:r>
      <w:r>
        <w:rPr>
          <w:spacing w:val="-1"/>
        </w:rPr>
        <w:t>在编制合并财务报表时，因购买少数股权新增的长期股权投资与按照新增持股比例计算应享有子公司</w:t>
      </w:r>
    </w:p>
    <w:p>
      <w:pPr>
        <w:pStyle w:val="BodyText"/>
        <w:spacing w:line="357" w:lineRule="auto"/>
        <w:ind w:left="154" w:right="1017"/>
        <w:jc w:val="left"/>
      </w:pPr>
      <w:r>
        <w:rPr>
          <w:spacing w:val="-1"/>
        </w:rPr>
        <w:t>自购买日（或合并日）开始持续计算的净资产份额之间的差额，调整资本公积，资本公积不足冲减的，调</w:t>
      </w:r>
      <w:r>
        <w:rPr>
          <w:spacing w:val="-83"/>
        </w:rPr>
        <w:t> </w:t>
      </w:r>
      <w:r>
        <w:rPr>
          <w:spacing w:val="-83"/>
        </w:rPr>
      </w:r>
      <w:r>
        <w:rPr/>
        <w:t>整留存收益。</w:t>
      </w:r>
    </w:p>
    <w:p>
      <w:pPr>
        <w:pStyle w:val="BodyText"/>
        <w:spacing w:line="357" w:lineRule="auto"/>
        <w:ind w:left="574" w:right="1017"/>
        <w:jc w:val="left"/>
      </w:pPr>
      <w:r>
        <w:rPr/>
        <w:t>④处置长期股权投资 </w:t>
      </w:r>
      <w:r>
        <w:rPr>
          <w:spacing w:val="-1"/>
        </w:rPr>
        <w:t>在合并财务报表中，母公司在不丧失控制权的情况下部分处置对子公司的长期股权投资，处置价款与</w:t>
      </w:r>
    </w:p>
    <w:p>
      <w:pPr>
        <w:pStyle w:val="BodyText"/>
        <w:spacing w:line="355" w:lineRule="auto"/>
        <w:ind w:left="154" w:right="1017"/>
        <w:jc w:val="left"/>
      </w:pPr>
      <w:r>
        <w:rPr>
          <w:spacing w:val="-1"/>
        </w:rPr>
        <w:t>处置长期股权投资相对应享有子公司净资产的差额计入股东权益；母公司部分处置对子公司的长期股权投</w:t>
      </w:r>
      <w:r>
        <w:rPr>
          <w:spacing w:val="-81"/>
        </w:rPr>
        <w:t> </w:t>
      </w:r>
      <w:r>
        <w:rPr>
          <w:spacing w:val="-81"/>
        </w:rPr>
      </w:r>
      <w:r>
        <w:rPr/>
        <w:t>资导致丧失对子公司控制权的，按本附注</w:t>
      </w:r>
      <w:r>
        <w:rPr>
          <w:spacing w:val="-1"/>
        </w:rPr>
        <w:t> </w:t>
      </w:r>
      <w:r>
        <w:rPr/>
        <w:t>“合并财务报表的编制方法”中所述的相关会计政策处理。</w:t>
      </w:r>
    </w:p>
    <w:p>
      <w:pPr>
        <w:pStyle w:val="BodyText"/>
        <w:spacing w:line="355" w:lineRule="auto" w:before="33"/>
        <w:ind w:left="154" w:right="1131" w:firstLine="420"/>
        <w:jc w:val="both"/>
      </w:pPr>
      <w:r>
        <w:rPr>
          <w:spacing w:val="-1"/>
        </w:rPr>
        <w:t>其他情形下的长期股权投资处置，对于处置的股权，其账面价值与实际取得价款的差额，计入当期损</w:t>
      </w:r>
      <w:r>
        <w:rPr/>
        <w:t> 益。</w:t>
      </w:r>
    </w:p>
    <w:p>
      <w:pPr>
        <w:pStyle w:val="BodyText"/>
        <w:spacing w:line="357" w:lineRule="auto" w:before="33"/>
        <w:ind w:left="154" w:right="1017" w:firstLine="420"/>
        <w:jc w:val="left"/>
      </w:pPr>
      <w:r>
        <w:rPr>
          <w:spacing w:val="-1"/>
        </w:rPr>
        <w:t>采用权益法核算的长期股权投资，处置后的剩余股权仍采用权益法核算的，在处置时将原计入股东权</w:t>
      </w:r>
      <w:r>
        <w:rPr/>
        <w:t> 益的其他综合收益部分按相应的比例采用与被投资单位直接处置相关资产或负债相同的基础进行会计处 </w:t>
      </w:r>
      <w:r>
        <w:rPr>
          <w:spacing w:val="-1"/>
        </w:rPr>
        <w:t>理。因被投资方除净损益、其他综合收益和利润分配以外的其他所有者权益变动而确认的所有者权益，按</w:t>
      </w:r>
      <w:r>
        <w:rPr>
          <w:spacing w:val="-83"/>
        </w:rPr>
        <w:t> </w:t>
      </w:r>
      <w:r>
        <w:rPr>
          <w:spacing w:val="-83"/>
        </w:rPr>
      </w:r>
      <w:r>
        <w:rPr/>
        <w:t>比例结转入当期损益。</w:t>
      </w:r>
    </w:p>
    <w:p>
      <w:pPr>
        <w:pStyle w:val="BodyText"/>
        <w:spacing w:line="357" w:lineRule="auto"/>
        <w:ind w:left="154" w:right="1131" w:firstLine="420"/>
        <w:jc w:val="both"/>
      </w:pPr>
      <w:r>
        <w:rPr>
          <w:spacing w:val="-1"/>
        </w:rPr>
        <w:t>采用成本法核算的长期股权投资，处置后剩余股权仍采用成本法核算的，其在取得对被投资单位的控</w:t>
      </w:r>
      <w:r>
        <w:rPr/>
        <w:t> </w:t>
      </w:r>
      <w:r>
        <w:rPr>
          <w:spacing w:val="-1"/>
        </w:rPr>
        <w:t>制之前因采用权益法核算或金融工具确认和计量准则核算而确认的其他综合收益，采用与被投资单位直接</w:t>
      </w:r>
      <w:r>
        <w:rPr>
          <w:spacing w:val="-81"/>
        </w:rPr>
        <w:t> </w:t>
      </w:r>
      <w:r>
        <w:rPr>
          <w:spacing w:val="-81"/>
        </w:rPr>
      </w:r>
      <w:r>
        <w:rPr>
          <w:spacing w:val="-1"/>
        </w:rPr>
        <w:t>处置相关资产或负债相同的基础进行会计处理，并按比例结转当期损益；因采用权益法核算而确认的被投</w:t>
      </w:r>
      <w:r>
        <w:rPr>
          <w:spacing w:val="-81"/>
        </w:rPr>
        <w:t> </w:t>
      </w:r>
      <w:r>
        <w:rPr>
          <w:spacing w:val="-81"/>
        </w:rPr>
      </w:r>
      <w:r>
        <w:rPr/>
        <w:t>资单位净资产中除净损益、其他综合收益和利润分配以外的其他所有者权益变动按比例结转当期损益。</w:t>
      </w:r>
    </w:p>
    <w:p>
      <w:pPr>
        <w:pStyle w:val="BodyText"/>
        <w:spacing w:line="357" w:lineRule="auto"/>
        <w:ind w:right="1130" w:firstLine="420"/>
        <w:jc w:val="both"/>
      </w:pPr>
      <w:r>
        <w:rPr>
          <w:spacing w:val="-1"/>
        </w:rPr>
        <w:t>本公司因处置部分股权投资丧失了对被投资单位的控制的，在编制个别财务报表时，处置后的剩余股</w:t>
      </w:r>
      <w:r>
        <w:rPr/>
        <w:t> </w:t>
      </w:r>
      <w:r>
        <w:rPr>
          <w:spacing w:val="-1"/>
        </w:rPr>
        <w:t>权能够对被投资单位实施共同控制或施加重大影响的，改按权益法核算，并对该剩余股权视同自取得时即</w:t>
      </w:r>
      <w:r>
        <w:rPr>
          <w:spacing w:val="-81"/>
        </w:rPr>
        <w:t> </w:t>
      </w:r>
      <w:r>
        <w:rPr>
          <w:spacing w:val="-81"/>
        </w:rPr>
      </w:r>
      <w:r>
        <w:rPr>
          <w:spacing w:val="-1"/>
        </w:rPr>
        <w:t>采用权益法核算进行调整；处置后的剩余股权不能对被投资单位实施共同控制或施加重大影响的，改按金</w:t>
      </w:r>
      <w:r>
        <w:rPr>
          <w:spacing w:val="-81"/>
        </w:rPr>
        <w:t> </w:t>
      </w:r>
      <w:r>
        <w:rPr>
          <w:spacing w:val="-81"/>
        </w:rPr>
      </w:r>
      <w:r>
        <w:rPr>
          <w:spacing w:val="-1"/>
        </w:rPr>
        <w:t>融工具确认和计量准则的有关规定进行会计处理，其在丧失控制之日的公允价值与账面价值之间的差额计</w:t>
      </w:r>
      <w:r>
        <w:rPr>
          <w:spacing w:val="-81"/>
        </w:rPr>
        <w:t> </w:t>
      </w:r>
      <w:r>
        <w:rPr>
          <w:spacing w:val="-81"/>
        </w:rPr>
      </w:r>
      <w:r>
        <w:rPr>
          <w:spacing w:val="-1"/>
        </w:rPr>
        <w:t>入当期损益。对于本公司取得对被投资单位的控制之前，因采用权益法核算或金融工具确认和计量准则核</w:t>
      </w:r>
      <w:r>
        <w:rPr>
          <w:spacing w:val="-81"/>
        </w:rPr>
        <w:t> </w:t>
      </w:r>
      <w:r>
        <w:rPr>
          <w:spacing w:val="-81"/>
        </w:rPr>
      </w:r>
      <w:r>
        <w:rPr>
          <w:spacing w:val="-1"/>
        </w:rPr>
        <w:t>算而确认的其他综合收益，在丧失对被投资单位控制时采用与被投资单位直接处置相关资产或负债相同的</w:t>
      </w:r>
      <w:r>
        <w:rPr>
          <w:spacing w:val="-81"/>
        </w:rPr>
        <w:t> </w:t>
      </w:r>
      <w:r>
        <w:rPr>
          <w:spacing w:val="-81"/>
        </w:rPr>
      </w:r>
      <w:r>
        <w:rPr>
          <w:spacing w:val="-1"/>
        </w:rPr>
        <w:t>基础进行会计处理，因采用权益法核算而确认的被投资单位净资产中除净损益、其他综合收益和利润分配</w:t>
      </w:r>
      <w:r>
        <w:rPr>
          <w:spacing w:val="-81"/>
        </w:rPr>
        <w:t> </w:t>
      </w:r>
      <w:r>
        <w:rPr>
          <w:spacing w:val="-81"/>
        </w:rPr>
      </w:r>
      <w:r>
        <w:rPr>
          <w:spacing w:val="-1"/>
        </w:rPr>
        <w:t>以外的其他所有者权益变动在丧失对被投资单位控制时结转入当期损益。其中，处置后的剩余股权采用权</w:t>
      </w:r>
      <w:r>
        <w:rPr>
          <w:spacing w:val="-81"/>
        </w:rPr>
        <w:t> </w:t>
      </w:r>
      <w:r>
        <w:rPr>
          <w:spacing w:val="-81"/>
        </w:rPr>
      </w:r>
      <w:r>
        <w:rPr>
          <w:spacing w:val="-1"/>
        </w:rPr>
        <w:t>益法核算的，其他综合收益和其他所有者权益按比例结转；处置后的剩余股权改按金融工具确认和计量准</w:t>
      </w:r>
      <w:r>
        <w:rPr>
          <w:spacing w:val="-80"/>
        </w:rPr>
        <w:t> </w:t>
      </w:r>
      <w:r>
        <w:rPr>
          <w:spacing w:val="-80"/>
        </w:rPr>
      </w:r>
      <w:r>
        <w:rPr/>
        <w:t>则进行会计处理的，其他综合收益和其他所有者权益全部结转。</w:t>
      </w:r>
    </w:p>
    <w:p>
      <w:pPr>
        <w:pStyle w:val="BodyText"/>
        <w:spacing w:line="357" w:lineRule="auto"/>
        <w:ind w:right="1131" w:firstLine="420"/>
        <w:jc w:val="both"/>
      </w:pPr>
      <w:r>
        <w:rPr>
          <w:spacing w:val="-1"/>
        </w:rPr>
        <w:t>本公司因处置部分股权投资丧失了对被投资单位的共同控制或重大影响的，处置后的剩余股权改按金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外的其他所有者权益变动而确认的所有者权益，在终止采用权益法时全部转入当期投资收益。</w:t>
      </w:r>
    </w:p>
    <w:p>
      <w:pPr>
        <w:spacing w:after="0" w:line="357" w:lineRule="auto"/>
        <w:jc w:val="both"/>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7" w:lineRule="auto" w:before="35"/>
        <w:ind w:right="1110" w:firstLine="420"/>
        <w:jc w:val="both"/>
      </w:pPr>
      <w:r>
        <w:rPr/>
        <w:t>本公司通过多次交易分步处置对子公司股权投资直至丧失控制权，如果上述交易属于一揽子交易的， </w:t>
      </w:r>
      <w:r>
        <w:rPr>
          <w:spacing w:val="-1"/>
        </w:rPr>
        <w:t>将各项交易作为一项处置子公司股权投资并丧失控制权的交易进行会计处理，在丧失控制权之前每一次处</w:t>
      </w:r>
      <w:r>
        <w:rPr>
          <w:spacing w:val="-81"/>
        </w:rPr>
        <w:t> </w:t>
      </w:r>
      <w:r>
        <w:rPr>
          <w:spacing w:val="-81"/>
        </w:rPr>
      </w:r>
      <w:r>
        <w:rPr>
          <w:spacing w:val="-1"/>
        </w:rPr>
        <w:t>置价款与所处置的股权对应的长期股权投资账面价值之间的差额，先确认为其他综合收益，到丧失控制权</w:t>
      </w:r>
      <w:r>
        <w:rPr>
          <w:spacing w:val="-81"/>
        </w:rPr>
        <w:t> </w:t>
      </w:r>
      <w:r>
        <w:rPr>
          <w:spacing w:val="-81"/>
        </w:rPr>
      </w:r>
      <w:r>
        <w:rPr/>
        <w:t>时再一并转入丧失控制权的当期损益。</w:t>
      </w:r>
    </w:p>
    <w:p>
      <w:pPr>
        <w:spacing w:line="240" w:lineRule="auto" w:before="12"/>
        <w:rPr>
          <w:rFonts w:ascii="宋体" w:hAnsi="宋体" w:cs="宋体" w:eastAsia="宋体" w:hint="default"/>
          <w:sz w:val="26"/>
          <w:szCs w:val="26"/>
        </w:rPr>
      </w:pPr>
    </w:p>
    <w:p>
      <w:pPr>
        <w:pStyle w:val="Heading3"/>
        <w:spacing w:line="240" w:lineRule="auto"/>
        <w:ind w:left="153" w:right="1017"/>
        <w:jc w:val="left"/>
        <w:rPr>
          <w:b w:val="0"/>
          <w:bCs w:val="0"/>
        </w:rPr>
      </w:pPr>
      <w:bookmarkStart w:name="14、投资性房地产" w:id="182"/>
      <w:bookmarkEnd w:id="182"/>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left="574" w:right="8232"/>
        <w:jc w:val="left"/>
      </w:pPr>
      <w:r>
        <w:rPr/>
        <w:t>投资性房地产计量模式 成本法计量 折旧或摊销方法</w:t>
      </w:r>
    </w:p>
    <w:p>
      <w:pPr>
        <w:pStyle w:val="BodyText"/>
        <w:spacing w:line="357" w:lineRule="auto"/>
        <w:ind w:left="154" w:right="1131" w:firstLine="420"/>
        <w:jc w:val="both"/>
      </w:pPr>
      <w:r>
        <w:rPr>
          <w:spacing w:val="-1"/>
        </w:rPr>
        <w:t>本公司投资性房地产中出租的建筑物采用年限平均法计提折旧，其折旧政策与固定资产部分相同。投</w:t>
      </w:r>
      <w:r>
        <w:rPr/>
        <w:t> </w:t>
      </w:r>
      <w:r>
        <w:rPr>
          <w:spacing w:val="-1"/>
        </w:rPr>
        <w:t>资性房地产中出租的土地使用权、持有并准备增值后转让的土地使用权采用直线法摊销，具体核算政策与</w:t>
      </w:r>
      <w:r>
        <w:rPr>
          <w:spacing w:val="-81"/>
        </w:rPr>
        <w:t> </w:t>
      </w:r>
      <w:r>
        <w:rPr>
          <w:spacing w:val="-81"/>
        </w:rPr>
      </w:r>
      <w:r>
        <w:rPr/>
        <w:t>无形资产部分相同。</w:t>
      </w:r>
    </w:p>
    <w:p>
      <w:pPr>
        <w:spacing w:line="240" w:lineRule="auto" w:before="10"/>
        <w:rPr>
          <w:rFonts w:ascii="宋体" w:hAnsi="宋体" w:cs="宋体" w:eastAsia="宋体" w:hint="default"/>
          <w:sz w:val="26"/>
          <w:szCs w:val="26"/>
        </w:rPr>
      </w:pPr>
    </w:p>
    <w:p>
      <w:pPr>
        <w:pStyle w:val="Heading3"/>
        <w:spacing w:line="240" w:lineRule="auto"/>
        <w:ind w:right="1017"/>
        <w:jc w:val="left"/>
        <w:rPr>
          <w:b w:val="0"/>
          <w:bCs w:val="0"/>
        </w:rPr>
      </w:pPr>
      <w:bookmarkStart w:name="15、固定资产" w:id="183"/>
      <w:bookmarkEnd w:id="183"/>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确认条件" w:id="184"/>
      <w:bookmarkEnd w:id="18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3"/>
          <w:szCs w:val="23"/>
        </w:rPr>
      </w:pPr>
    </w:p>
    <w:p>
      <w:pPr>
        <w:pStyle w:val="BodyText"/>
        <w:spacing w:line="357" w:lineRule="auto" w:before="0"/>
        <w:ind w:left="154" w:right="1131" w:firstLine="420"/>
        <w:jc w:val="both"/>
      </w:pPr>
      <w:r>
        <w:rPr>
          <w:spacing w:val="-1"/>
        </w:rPr>
        <w:t>为生产商品、提供劳务、出租或经营管理而持有的、使用寿命超过一个会计年度的有形资产。固定资</w:t>
      </w:r>
      <w:r>
        <w:rPr/>
        <w:t> </w:t>
      </w:r>
      <w:r>
        <w:rPr>
          <w:spacing w:val="-1"/>
        </w:rPr>
        <w:t>产同时满足下列条件的，才能予以确认：①与该固定资产有关的经济利益很可能流入企业；②该固定资产</w:t>
      </w:r>
      <w:r>
        <w:rPr>
          <w:spacing w:val="-83"/>
        </w:rPr>
        <w:t> </w:t>
      </w:r>
      <w:r>
        <w:rPr>
          <w:spacing w:val="-83"/>
        </w:rPr>
      </w:r>
      <w:r>
        <w:rPr/>
        <w:t>的成本能够可靠地计量。</w:t>
      </w:r>
    </w:p>
    <w:p>
      <w:pPr>
        <w:spacing w:line="240" w:lineRule="auto" w:before="12"/>
        <w:rPr>
          <w:rFonts w:ascii="宋体" w:hAnsi="宋体" w:cs="宋体" w:eastAsia="宋体" w:hint="default"/>
          <w:sz w:val="26"/>
          <w:szCs w:val="26"/>
        </w:rPr>
      </w:pPr>
    </w:p>
    <w:p>
      <w:pPr>
        <w:pStyle w:val="Heading3"/>
        <w:spacing w:line="240" w:lineRule="auto"/>
        <w:ind w:right="1017"/>
        <w:jc w:val="left"/>
        <w:rPr>
          <w:b w:val="0"/>
          <w:bCs w:val="0"/>
        </w:rPr>
      </w:pPr>
      <w:bookmarkStart w:name="（2）折旧方法" w:id="185"/>
      <w:bookmarkEnd w:id="18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节能专用设备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主要受益期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before="0"/>
        <w:ind w:left="154" w:right="1017"/>
        <w:jc w:val="left"/>
      </w:pPr>
      <w:r>
        <w:rPr/>
        <w:t>固定资产的减值测试方法、减值准备计提方法</w:t>
      </w:r>
    </w:p>
    <w:p>
      <w:pPr>
        <w:pStyle w:val="BodyText"/>
        <w:spacing w:line="357" w:lineRule="auto" w:before="134"/>
        <w:ind w:left="154" w:right="1017" w:firstLine="420"/>
        <w:jc w:val="left"/>
      </w:pPr>
      <w:r>
        <w:rPr>
          <w:spacing w:val="-3"/>
        </w:rPr>
        <w:t>资产负债表日判断固定资产是否存在可能发生减值的迹象。如果存在资产市价持续下跌，或技术陈旧、</w:t>
      </w:r>
      <w:r>
        <w:rPr/>
        <w:t> 损坏、长期闲置等减值迹象的，则估计其可收回金额。可收回金额的计量结果表明，固定资产的可收回金 额低于其账面价值的，将固定资产的账面价值减记至可收回金额，减记的金额确认为资产减值损失，计入 当期损益，同时计提相应的固定资产减值准备。固定资产减值损失一经确认，在以后会计期间不再转回。</w:t>
      </w:r>
    </w:p>
    <w:p>
      <w:pPr>
        <w:spacing w:line="240" w:lineRule="auto" w:before="11"/>
        <w:rPr>
          <w:rFonts w:ascii="宋体" w:hAnsi="宋体" w:cs="宋体" w:eastAsia="宋体" w:hint="default"/>
          <w:sz w:val="26"/>
          <w:szCs w:val="26"/>
        </w:rPr>
      </w:pPr>
    </w:p>
    <w:p>
      <w:pPr>
        <w:spacing w:line="489" w:lineRule="auto" w:before="0"/>
        <w:ind w:left="574" w:right="1017" w:hanging="420"/>
        <w:jc w:val="left"/>
        <w:rPr>
          <w:rFonts w:ascii="宋体" w:hAnsi="宋体" w:cs="宋体" w:eastAsia="宋体" w:hint="default"/>
          <w:sz w:val="21"/>
          <w:szCs w:val="21"/>
        </w:rPr>
      </w:pPr>
      <w:bookmarkStart w:name="（3）融资租入固定资产的认定依据、计价和折旧方法" w:id="186"/>
      <w:bookmarkEnd w:id="1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如果与某项租入固定资产有关的全部风险和报酬实质上已经转移，本公司认定为融资租赁。融资租入</w:t>
      </w:r>
    </w:p>
    <w:p>
      <w:pPr>
        <w:spacing w:after="0" w:line="489" w:lineRule="auto"/>
        <w:jc w:val="left"/>
        <w:rPr>
          <w:rFonts w:ascii="宋体" w:hAnsi="宋体" w:cs="宋体" w:eastAsia="宋体" w:hint="default"/>
          <w:sz w:val="21"/>
          <w:szCs w:val="21"/>
        </w:rPr>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7" w:lineRule="auto" w:before="35"/>
        <w:ind w:right="1131"/>
        <w:jc w:val="both"/>
      </w:pPr>
      <w:r>
        <w:rPr>
          <w:spacing w:val="-1"/>
        </w:rPr>
        <w:t>固定资产需按租赁开始日租赁资产的公允价值与最低租赁付款额现值两者中的较低者，加上可直接归属于</w:t>
      </w:r>
      <w:r>
        <w:rPr>
          <w:spacing w:val="-81"/>
        </w:rPr>
        <w:t> </w:t>
      </w:r>
      <w:r>
        <w:rPr>
          <w:spacing w:val="-81"/>
        </w:rPr>
      </w:r>
      <w:r>
        <w:rPr>
          <w:spacing w:val="-1"/>
        </w:rPr>
        <w:t>租赁项目的初始直接费用，作为租入资产的入账价值，将最低租赁付款额作为长期应付款的入账价值，其</w:t>
      </w:r>
      <w:r>
        <w:rPr>
          <w:spacing w:val="-83"/>
        </w:rPr>
        <w:t> </w:t>
      </w:r>
      <w:r>
        <w:rPr>
          <w:spacing w:val="-83"/>
        </w:rPr>
      </w:r>
      <w:r>
        <w:rPr>
          <w:spacing w:val="-1"/>
        </w:rPr>
        <w:t>差额作为未确认融资费用。未确认融资费用采用实际利率法在租赁期内分摊。租入固定资产按租赁期和估</w:t>
      </w:r>
      <w:r>
        <w:rPr>
          <w:spacing w:val="-81"/>
        </w:rPr>
        <w:t> </w:t>
      </w:r>
      <w:r>
        <w:rPr>
          <w:spacing w:val="-81"/>
        </w:rPr>
      </w:r>
      <w:r>
        <w:rPr/>
        <w:t>计净残值确定折旧率，计提折旧。</w:t>
      </w:r>
    </w:p>
    <w:p>
      <w:pPr>
        <w:spacing w:line="240" w:lineRule="auto" w:before="12"/>
        <w:rPr>
          <w:rFonts w:ascii="宋体" w:hAnsi="宋体" w:cs="宋体" w:eastAsia="宋体" w:hint="default"/>
          <w:sz w:val="26"/>
          <w:szCs w:val="26"/>
        </w:rPr>
      </w:pPr>
    </w:p>
    <w:p>
      <w:pPr>
        <w:pStyle w:val="Heading3"/>
        <w:spacing w:line="240" w:lineRule="auto"/>
        <w:ind w:left="153" w:right="0"/>
        <w:jc w:val="both"/>
        <w:rPr>
          <w:b w:val="0"/>
          <w:bCs w:val="0"/>
        </w:rPr>
      </w:pPr>
      <w:bookmarkStart w:name="16、在建工程" w:id="187"/>
      <w:bookmarkEnd w:id="187"/>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left="574" w:right="1017"/>
        <w:jc w:val="left"/>
      </w:pPr>
      <w:r>
        <w:rPr>
          <w:rFonts w:ascii="宋体" w:hAnsi="宋体" w:cs="宋体" w:eastAsia="宋体" w:hint="default"/>
        </w:rPr>
        <w:t>1</w:t>
      </w:r>
      <w:r>
        <w:rPr/>
        <w:t>、在建工程的核算方法 </w:t>
      </w:r>
      <w:r>
        <w:rPr>
          <w:spacing w:val="-1"/>
        </w:rPr>
        <w:t>在建工程包括施工前期准备、正在施工中的建筑工程、安装工程、技术改造工程和大修理工程等。在</w:t>
      </w:r>
    </w:p>
    <w:p>
      <w:pPr>
        <w:pStyle w:val="BodyText"/>
        <w:spacing w:line="357" w:lineRule="auto" w:before="33"/>
        <w:ind w:left="154" w:right="1131"/>
        <w:jc w:val="both"/>
      </w:pPr>
      <w:r>
        <w:rPr>
          <w:spacing w:val="-1"/>
        </w:rPr>
        <w:t>建工程按照实际发生的支出分项目核算，并在工程达到预定可使用状态时结转为固定资产。与在建工程有</w:t>
      </w:r>
      <w:r>
        <w:rPr>
          <w:spacing w:val="-81"/>
        </w:rPr>
        <w:t> </w:t>
      </w:r>
      <w:r>
        <w:rPr>
          <w:spacing w:val="-81"/>
        </w:rPr>
      </w:r>
      <w:r>
        <w:rPr>
          <w:spacing w:val="-1"/>
        </w:rPr>
        <w:t>关的借款费用（包括借款利息、溢折价摊销、汇兑损益等），在相关工程达到预定可使用状态前的计入工</w:t>
      </w:r>
      <w:r>
        <w:rPr>
          <w:spacing w:val="-83"/>
        </w:rPr>
        <w:t> </w:t>
      </w:r>
      <w:r>
        <w:rPr>
          <w:spacing w:val="-83"/>
        </w:rPr>
      </w:r>
      <w:r>
        <w:rPr/>
        <w:t>程成本，在相关工程达到预定可使用状态后的计入当期财务费用。</w:t>
      </w:r>
    </w:p>
    <w:p>
      <w:pPr>
        <w:pStyle w:val="BodyText"/>
        <w:spacing w:line="355" w:lineRule="auto"/>
        <w:ind w:left="573" w:right="1017"/>
        <w:jc w:val="left"/>
      </w:pPr>
      <w:r>
        <w:rPr>
          <w:rFonts w:ascii="宋体" w:hAnsi="宋体" w:cs="宋体" w:eastAsia="宋体" w:hint="default"/>
        </w:rPr>
        <w:t>2</w:t>
      </w:r>
      <w:r>
        <w:rPr/>
        <w:t>、在建工程减值准备 </w:t>
      </w:r>
      <w:r>
        <w:rPr>
          <w:spacing w:val="-1"/>
        </w:rPr>
        <w:t>资产负债表日对在建工程进行全面检查，判断在建工程是否存在可能发生减值的迹象。如果存在：</w:t>
      </w:r>
      <w:r>
        <w:rPr>
          <w:rFonts w:ascii="宋体" w:hAnsi="宋体" w:cs="宋体" w:eastAsia="宋体" w:hint="default"/>
          <w:spacing w:val="-1"/>
        </w:rPr>
        <w:t>a</w:t>
      </w:r>
      <w:r>
        <w:rPr>
          <w:spacing w:val="-1"/>
        </w:rPr>
        <w:t>、</w:t>
      </w:r>
    </w:p>
    <w:p>
      <w:pPr>
        <w:pStyle w:val="BodyText"/>
        <w:spacing w:line="357" w:lineRule="auto" w:before="33"/>
        <w:ind w:right="1130"/>
        <w:jc w:val="both"/>
      </w:pPr>
      <w:r>
        <w:rPr>
          <w:spacing w:val="-1"/>
        </w:rPr>
        <w:t>在建工程长期停建并且预计在未来</w:t>
      </w:r>
      <w:r>
        <w:rPr>
          <w:rFonts w:ascii="宋体" w:hAnsi="宋体" w:cs="宋体" w:eastAsia="宋体" w:hint="default"/>
          <w:spacing w:val="-1"/>
        </w:rPr>
        <w:t>3</w:t>
      </w:r>
      <w:r>
        <w:rPr>
          <w:spacing w:val="-1"/>
        </w:rPr>
        <w:t>年内不会重新开工，</w:t>
      </w:r>
      <w:r>
        <w:rPr>
          <w:rFonts w:ascii="宋体" w:hAnsi="宋体" w:cs="宋体" w:eastAsia="宋体" w:hint="default"/>
          <w:spacing w:val="-1"/>
        </w:rPr>
        <w:t>b</w:t>
      </w:r>
      <w:r>
        <w:rPr>
          <w:spacing w:val="-1"/>
        </w:rPr>
        <w:t>、所建项目在性能上、技术上已经落后并且所带</w:t>
      </w:r>
      <w:r>
        <w:rPr>
          <w:spacing w:val="-83"/>
        </w:rPr>
        <w:t> </w:t>
      </w:r>
      <w:r>
        <w:rPr>
          <w:spacing w:val="-83"/>
        </w:rPr>
      </w:r>
      <w:r>
        <w:rPr>
          <w:spacing w:val="-1"/>
        </w:rPr>
        <w:t>来的经济效益具有很大的不确定性等减值迹象的，则估计其可收回金额。可收回金额的计量结果表明，在</w:t>
      </w:r>
      <w:r>
        <w:rPr>
          <w:spacing w:val="-83"/>
        </w:rPr>
        <w:t> </w:t>
      </w:r>
      <w:r>
        <w:rPr>
          <w:spacing w:val="-83"/>
        </w:rPr>
      </w:r>
      <w:r>
        <w:rPr>
          <w:spacing w:val="-1"/>
        </w:rPr>
        <w:t>建工程的可收回金额低于其账面价值的，将在建工程的账面价值减记至可收回金额，减记的金额确认为资</w:t>
      </w:r>
      <w:r>
        <w:rPr>
          <w:spacing w:val="-81"/>
        </w:rPr>
        <w:t> </w:t>
      </w:r>
      <w:r>
        <w:rPr>
          <w:spacing w:val="-81"/>
        </w:rPr>
      </w:r>
      <w:r>
        <w:rPr>
          <w:spacing w:val="-1"/>
        </w:rPr>
        <w:t>产减值损失，计入当期损益，同时计提相应的在建工程减值准备。在建工程减值损失一经确认，在以后会</w:t>
      </w:r>
      <w:r>
        <w:rPr>
          <w:spacing w:val="-86"/>
        </w:rPr>
        <w:t> </w:t>
      </w:r>
      <w:r>
        <w:rPr>
          <w:spacing w:val="-86"/>
        </w:rPr>
      </w:r>
      <w:r>
        <w:rPr/>
        <w:t>计期间不再转回。</w:t>
      </w:r>
    </w:p>
    <w:p>
      <w:pPr>
        <w:spacing w:line="240" w:lineRule="auto" w:before="10"/>
        <w:rPr>
          <w:rFonts w:ascii="宋体" w:hAnsi="宋体" w:cs="宋体" w:eastAsia="宋体" w:hint="default"/>
          <w:sz w:val="26"/>
          <w:szCs w:val="26"/>
        </w:rPr>
      </w:pPr>
    </w:p>
    <w:p>
      <w:pPr>
        <w:pStyle w:val="Heading3"/>
        <w:spacing w:line="240" w:lineRule="auto"/>
        <w:ind w:left="153" w:right="0"/>
        <w:jc w:val="both"/>
        <w:rPr>
          <w:b w:val="0"/>
          <w:bCs w:val="0"/>
        </w:rPr>
      </w:pPr>
      <w:bookmarkStart w:name="17、借款费用" w:id="188"/>
      <w:bookmarkEnd w:id="188"/>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left="574" w:right="1017"/>
        <w:jc w:val="left"/>
      </w:pPr>
      <w:r>
        <w:rPr/>
        <w:t>（</w:t>
      </w:r>
      <w:r>
        <w:rPr>
          <w:rFonts w:ascii="宋体" w:hAnsi="宋体" w:cs="宋体" w:eastAsia="宋体" w:hint="default"/>
        </w:rPr>
        <w:t>1</w:t>
      </w:r>
      <w:r>
        <w:rPr/>
        <w:t>）借款费用资本化的确认原则 </w:t>
      </w:r>
      <w:r>
        <w:rPr>
          <w:spacing w:val="-1"/>
        </w:rPr>
        <w:t>企业发生的借款费用，可直接归属于符合资本化条件的资产的购建或者生产的，予以资本化，计入相</w:t>
      </w:r>
    </w:p>
    <w:p>
      <w:pPr>
        <w:pStyle w:val="BodyText"/>
        <w:spacing w:line="355" w:lineRule="auto" w:before="33"/>
        <w:ind w:left="154" w:right="1131"/>
        <w:jc w:val="both"/>
      </w:pPr>
      <w:r>
        <w:rPr>
          <w:spacing w:val="-1"/>
        </w:rPr>
        <w:t>关资产成本；购置租赁资产而发生的借款利息应计入企业的营业成本；其他借款费用，在发生时根据其发</w:t>
      </w:r>
      <w:r>
        <w:rPr>
          <w:spacing w:val="-83"/>
        </w:rPr>
        <w:t> </w:t>
      </w:r>
      <w:r>
        <w:rPr>
          <w:spacing w:val="-83"/>
        </w:rPr>
      </w:r>
      <w:r>
        <w:rPr/>
        <w:t>生额确认为费用，计入当期损益。借款费用同时满足下列条件的，开始资本化：</w:t>
      </w:r>
    </w:p>
    <w:p>
      <w:pPr>
        <w:pStyle w:val="BodyText"/>
        <w:spacing w:line="355" w:lineRule="auto" w:before="33"/>
        <w:ind w:right="1198" w:firstLine="420"/>
        <w:jc w:val="left"/>
      </w:pPr>
      <w:r>
        <w:rPr>
          <w:rFonts w:ascii="宋体" w:hAnsi="宋体" w:cs="宋体" w:eastAsia="宋体" w:hint="default"/>
        </w:rPr>
        <w:t>a</w:t>
      </w:r>
      <w:r>
        <w:rPr/>
        <w:t>、资产支出已经发生，资产支出包括为购建或者生产符合资本化条件的资产而以支付现金、转移非 现金资产或者承担带息债务形式发生的支出；</w:t>
      </w:r>
    </w:p>
    <w:p>
      <w:pPr>
        <w:pStyle w:val="BodyText"/>
        <w:spacing w:line="355" w:lineRule="auto" w:before="33"/>
        <w:ind w:left="574" w:right="2667"/>
        <w:jc w:val="left"/>
      </w:pPr>
      <w:r>
        <w:rPr>
          <w:rFonts w:ascii="宋体" w:hAnsi="宋体" w:cs="宋体" w:eastAsia="宋体" w:hint="default"/>
        </w:rPr>
        <w:t>b</w:t>
      </w:r>
      <w:r>
        <w:rPr/>
        <w:t>、借款费用已经发生； </w:t>
      </w:r>
      <w:r>
        <w:rPr>
          <w:rFonts w:ascii="宋体" w:hAnsi="宋体" w:cs="宋体" w:eastAsia="宋体" w:hint="default"/>
        </w:rPr>
        <w:t>c</w:t>
      </w:r>
      <w:r>
        <w:rPr/>
        <w:t>、为使资产达到预定可使用或者可销售状态所必要的购建或者生产活动已经开始。</w:t>
      </w:r>
    </w:p>
    <w:p>
      <w:pPr>
        <w:pStyle w:val="BodyText"/>
        <w:spacing w:line="357" w:lineRule="auto" w:before="32"/>
        <w:ind w:left="574" w:right="1017"/>
        <w:jc w:val="left"/>
      </w:pPr>
      <w:r>
        <w:rPr/>
        <w:t>（</w:t>
      </w:r>
      <w:r>
        <w:rPr>
          <w:rFonts w:ascii="宋体" w:hAnsi="宋体" w:cs="宋体" w:eastAsia="宋体" w:hint="default"/>
        </w:rPr>
        <w:t>2</w:t>
      </w:r>
      <w:r>
        <w:rPr/>
        <w:t>）借款费用资本化期间 </w:t>
      </w:r>
      <w:r>
        <w:rPr>
          <w:spacing w:val="-1"/>
        </w:rPr>
        <w:t>资本化期间，指从借款费用开始资本化时点到停止资本化时点的期间，借款费用暂停资本化的期间不</w:t>
      </w:r>
    </w:p>
    <w:p>
      <w:pPr>
        <w:pStyle w:val="BodyText"/>
        <w:spacing w:line="357" w:lineRule="auto"/>
        <w:ind w:left="154" w:right="1131"/>
        <w:jc w:val="both"/>
      </w:pPr>
      <w:r>
        <w:rPr>
          <w:spacing w:val="-1"/>
        </w:rPr>
        <w:t>包括在内。当购建或者生产符合资本化条件的资产达到预定可使用或者可销售状态时，借款费用停止资本</w:t>
      </w:r>
      <w:r>
        <w:rPr>
          <w:spacing w:val="-81"/>
        </w:rPr>
        <w:t> </w:t>
      </w:r>
      <w:r>
        <w:rPr>
          <w:spacing w:val="-81"/>
        </w:rPr>
      </w:r>
      <w:r>
        <w:rPr>
          <w:spacing w:val="-1"/>
        </w:rPr>
        <w:t>化。当购建或者生产符合资本化条件的资产中部分项目分别完工且可单独使用时，该部分资产借款费用停</w:t>
      </w:r>
      <w:r>
        <w:rPr>
          <w:spacing w:val="-81"/>
        </w:rPr>
        <w:t> </w:t>
      </w:r>
      <w:r>
        <w:rPr>
          <w:spacing w:val="-81"/>
        </w:rPr>
      </w:r>
      <w:r>
        <w:rPr>
          <w:spacing w:val="-1"/>
        </w:rPr>
        <w:t>止资本化。购建或者生产的资产的各部分分别完工，但必须等到整体完工后才可使用或可对外销售的，在</w:t>
      </w:r>
      <w:r>
        <w:rPr>
          <w:spacing w:val="-83"/>
        </w:rPr>
        <w:t> </w:t>
      </w:r>
      <w:r>
        <w:rPr>
          <w:spacing w:val="-83"/>
        </w:rPr>
      </w:r>
      <w:r>
        <w:rPr/>
        <w:t>该资产整体完工时停止借款费用资本化。</w:t>
      </w:r>
    </w:p>
    <w:p>
      <w:pPr>
        <w:spacing w:after="0" w:line="357" w:lineRule="auto"/>
        <w:jc w:val="both"/>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5" w:lineRule="auto" w:before="35"/>
        <w:ind w:left="573" w:right="1198"/>
        <w:jc w:val="left"/>
      </w:pPr>
      <w:r>
        <w:rPr/>
        <w:t>（</w:t>
      </w:r>
      <w:r>
        <w:rPr>
          <w:rFonts w:ascii="宋体" w:hAnsi="宋体" w:cs="宋体" w:eastAsia="宋体" w:hint="default"/>
        </w:rPr>
        <w:t>3</w:t>
      </w:r>
      <w:r>
        <w:rPr/>
        <w:t>）暂停资本化期间 符合资本化条件的资产在购建或生产过程中发生的非正常中断、且中断时间连续超过</w:t>
      </w:r>
      <w:r>
        <w:rPr>
          <w:rFonts w:ascii="宋体" w:hAnsi="宋体" w:cs="宋体" w:eastAsia="宋体" w:hint="default"/>
        </w:rPr>
        <w:t>3</w:t>
      </w:r>
      <w:r>
        <w:rPr/>
        <w:t>个月的，则借</w:t>
      </w:r>
    </w:p>
    <w:p>
      <w:pPr>
        <w:pStyle w:val="BodyText"/>
        <w:spacing w:line="357" w:lineRule="auto" w:before="33"/>
        <w:ind w:right="1131"/>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pStyle w:val="BodyText"/>
        <w:spacing w:line="357" w:lineRule="auto"/>
        <w:ind w:left="574" w:right="1017"/>
        <w:jc w:val="left"/>
      </w:pPr>
      <w:r>
        <w:rPr/>
        <w:t>（</w:t>
      </w:r>
      <w:r>
        <w:rPr>
          <w:rFonts w:ascii="宋体" w:hAnsi="宋体" w:cs="宋体" w:eastAsia="宋体" w:hint="default"/>
        </w:rPr>
        <w:t>4</w:t>
      </w:r>
      <w:r>
        <w:rPr/>
        <w:t>）借款费用资本化金额的计算方法 </w:t>
      </w:r>
      <w:r>
        <w:rPr>
          <w:spacing w:val="-1"/>
        </w:rPr>
        <w:t>专门借款的利息费用（扣除尚未动用的借款资金存入银行取得的利息收入或者进行暂时性投资取得的</w:t>
      </w:r>
    </w:p>
    <w:p>
      <w:pPr>
        <w:pStyle w:val="BodyText"/>
        <w:spacing w:line="355" w:lineRule="auto"/>
        <w:ind w:left="154" w:right="1092"/>
        <w:jc w:val="left"/>
      </w:pPr>
      <w:r>
        <w:rPr/>
        <w:t>投资收益）及其辅助费用在所购建或者生产的符合资本化条件的资产达到预定可使用或者可销售状态前， 予以资本化。</w:t>
      </w:r>
    </w:p>
    <w:p>
      <w:pPr>
        <w:pStyle w:val="BodyText"/>
        <w:spacing w:line="355" w:lineRule="auto" w:before="33"/>
        <w:ind w:left="154" w:right="1132" w:firstLine="420"/>
        <w:jc w:val="both"/>
      </w:pPr>
      <w:r>
        <w:rPr>
          <w:spacing w:val="-1"/>
        </w:rPr>
        <w:t>根据累计资产支出超过专门借款部分的资产支出加权平均数乘以所占用一般借款的资本化率，计算确</w:t>
      </w:r>
      <w:r>
        <w:rPr/>
        <w:t> 定一般借款应予资本化的利息金额。资本化率根据一般借款加权平均利率计算确定。</w:t>
      </w:r>
    </w:p>
    <w:p>
      <w:pPr>
        <w:pStyle w:val="BodyText"/>
        <w:spacing w:line="355" w:lineRule="auto" w:before="33"/>
        <w:ind w:left="154" w:right="1131" w:firstLine="420"/>
        <w:jc w:val="both"/>
      </w:pPr>
      <w:r>
        <w:rPr>
          <w:spacing w:val="-1"/>
        </w:rPr>
        <w:t>借款存在折价或者溢价的，按照实际利率法确定每一会计期间应摊销的折价或者溢价金额，调整每期</w:t>
      </w:r>
      <w:r>
        <w:rPr/>
        <w:t> 利息金额。</w:t>
      </w:r>
    </w:p>
    <w:p>
      <w:pPr>
        <w:spacing w:line="240" w:lineRule="auto" w:before="1"/>
        <w:rPr>
          <w:rFonts w:ascii="宋体" w:hAnsi="宋体" w:cs="宋体" w:eastAsia="宋体" w:hint="default"/>
          <w:sz w:val="27"/>
          <w:szCs w:val="27"/>
        </w:rPr>
      </w:pPr>
    </w:p>
    <w:p>
      <w:pPr>
        <w:pStyle w:val="Heading3"/>
        <w:spacing w:line="240" w:lineRule="auto"/>
        <w:ind w:right="1017"/>
        <w:jc w:val="left"/>
        <w:rPr>
          <w:b w:val="0"/>
          <w:bCs w:val="0"/>
        </w:rPr>
      </w:pPr>
      <w:bookmarkStart w:name="18、无形资产" w:id="189"/>
      <w:bookmarkEnd w:id="189"/>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计价方法、使用寿命、减值测试" w:id="190"/>
      <w:bookmarkEnd w:id="19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left="574" w:right="1017"/>
        <w:jc w:val="left"/>
      </w:pPr>
      <w:r>
        <w:rPr/>
        <w:t>①无形资产包括土地使用权、专利权及非专利技术等，按成本进行初始计量。</w:t>
      </w:r>
    </w:p>
    <w:p>
      <w:pPr>
        <w:pStyle w:val="BodyText"/>
        <w:spacing w:line="357" w:lineRule="auto" w:before="133"/>
        <w:ind w:right="1131" w:firstLine="420"/>
        <w:jc w:val="both"/>
      </w:pPr>
      <w:r>
        <w:rPr>
          <w:spacing w:val="-1"/>
        </w:rPr>
        <w:t>②本公司于取得无形资产时分析判断其使用寿命。无形资产的使用寿命为有限的，估计该使用寿命的</w:t>
      </w:r>
      <w:r>
        <w:rPr/>
        <w:t> </w:t>
      </w:r>
      <w:r>
        <w:rPr>
          <w:spacing w:val="-1"/>
        </w:rPr>
        <w:t>年限或者构成使用寿命的产量等类似计量单位数量；无法预见无形资产为本公司带来经济利益期限的，视</w:t>
      </w:r>
      <w:r>
        <w:rPr>
          <w:spacing w:val="-81"/>
        </w:rPr>
        <w:t> </w:t>
      </w:r>
      <w:r>
        <w:rPr>
          <w:spacing w:val="-81"/>
        </w:rPr>
      </w:r>
      <w:r>
        <w:rPr/>
        <w:t>为使用寿命不确定的无形资产。</w:t>
      </w:r>
    </w:p>
    <w:p>
      <w:pPr>
        <w:pStyle w:val="BodyText"/>
        <w:spacing w:line="357" w:lineRule="auto"/>
        <w:ind w:left="574" w:right="1017"/>
        <w:jc w:val="left"/>
      </w:pPr>
      <w:r>
        <w:rPr/>
        <w:t>③无形资产使用寿命的估计方法 </w:t>
      </w:r>
      <w:r>
        <w:rPr>
          <w:rFonts w:ascii="宋体" w:hAnsi="宋体" w:cs="宋体" w:eastAsia="宋体" w:hint="default"/>
          <w:spacing w:val="-1"/>
        </w:rPr>
        <w:t>1</w:t>
      </w:r>
      <w:r>
        <w:rPr>
          <w:spacing w:val="-1"/>
        </w:rPr>
        <w:t>）本公司对使用寿命有限的无形资产，估计其使用寿命时通常考虑以下因素：</w:t>
      </w:r>
      <w:r>
        <w:rPr>
          <w:rFonts w:ascii="宋体" w:hAnsi="宋体" w:cs="宋体" w:eastAsia="宋体" w:hint="default"/>
          <w:spacing w:val="-1"/>
        </w:rPr>
        <w:t>A</w:t>
      </w:r>
      <w:r>
        <w:rPr>
          <w:spacing w:val="-1"/>
        </w:rPr>
        <w:t>、运用该资产生产的</w:t>
      </w:r>
    </w:p>
    <w:p>
      <w:pPr>
        <w:pStyle w:val="BodyText"/>
        <w:spacing w:line="357" w:lineRule="auto"/>
        <w:ind w:right="1017"/>
        <w:jc w:val="left"/>
      </w:pPr>
      <w:r>
        <w:rPr/>
        <w:t>产品通常的寿命周期、可获得的类似资产使用寿命的信息；</w:t>
      </w:r>
      <w:r>
        <w:rPr>
          <w:rFonts w:ascii="宋体" w:hAnsi="宋体" w:cs="宋体" w:eastAsia="宋体" w:hint="default"/>
        </w:rPr>
        <w:t>B</w:t>
      </w:r>
      <w:r>
        <w:rPr/>
        <w:t>、技术、工艺等方面的现阶段情况及对未来 </w:t>
      </w:r>
      <w:r>
        <w:rPr>
          <w:spacing w:val="-1"/>
        </w:rPr>
        <w:t>发展趋势的估计；</w:t>
      </w:r>
      <w:r>
        <w:rPr>
          <w:rFonts w:ascii="宋体" w:hAnsi="宋体" w:cs="宋体" w:eastAsia="宋体" w:hint="default"/>
          <w:spacing w:val="-1"/>
        </w:rPr>
        <w:t>C</w:t>
      </w:r>
      <w:r>
        <w:rPr>
          <w:spacing w:val="-1"/>
        </w:rPr>
        <w:t>、以该资产生产的产品或提供劳务的市场需求情况；</w:t>
      </w:r>
      <w:r>
        <w:rPr>
          <w:rFonts w:ascii="宋体" w:hAnsi="宋体" w:cs="宋体" w:eastAsia="宋体" w:hint="default"/>
          <w:spacing w:val="-1"/>
        </w:rPr>
        <w:t>D</w:t>
      </w:r>
      <w:r>
        <w:rPr>
          <w:spacing w:val="-1"/>
        </w:rPr>
        <w:t>、现在或潜在的竞争者预期采取</w:t>
      </w:r>
      <w:r>
        <w:rPr>
          <w:spacing w:val="-84"/>
        </w:rPr>
        <w:t> </w:t>
      </w:r>
      <w:r>
        <w:rPr>
          <w:spacing w:val="-84"/>
        </w:rPr>
      </w:r>
      <w:r>
        <w:rPr>
          <w:spacing w:val="-1"/>
        </w:rPr>
        <w:t>的行动；</w:t>
      </w:r>
      <w:r>
        <w:rPr>
          <w:rFonts w:ascii="宋体" w:hAnsi="宋体" w:cs="宋体" w:eastAsia="宋体" w:hint="default"/>
          <w:spacing w:val="-1"/>
        </w:rPr>
        <w:t>E</w:t>
      </w:r>
      <w:r>
        <w:rPr>
          <w:spacing w:val="-1"/>
        </w:rPr>
        <w:t>、为维持该资产带来经济利益能力的预期维护支出，以及公司预计支付有关支出的能力；</w:t>
      </w:r>
      <w:r>
        <w:rPr>
          <w:rFonts w:ascii="宋体" w:hAnsi="宋体" w:cs="宋体" w:eastAsia="宋体" w:hint="default"/>
          <w:spacing w:val="-1"/>
        </w:rPr>
        <w:t>F</w:t>
      </w:r>
      <w:r>
        <w:rPr>
          <w:spacing w:val="-1"/>
        </w:rPr>
        <w:t>、对</w:t>
      </w:r>
      <w:r>
        <w:rPr>
          <w:spacing w:val="-87"/>
        </w:rPr>
        <w:t> </w:t>
      </w:r>
      <w:r>
        <w:rPr/>
        <w:t>该资产控制期限的相关法律规定或类似限制，如特许使用期、租赁期等；</w:t>
      </w:r>
      <w:r>
        <w:rPr>
          <w:rFonts w:ascii="宋体" w:hAnsi="宋体" w:cs="宋体" w:eastAsia="宋体" w:hint="default"/>
        </w:rPr>
        <w:t>G</w:t>
      </w:r>
      <w:r>
        <w:rPr/>
        <w:t>、与公司持有其他资产使用寿 命的关联性等。</w:t>
      </w:r>
    </w:p>
    <w:p>
      <w:pPr>
        <w:pStyle w:val="BodyText"/>
        <w:spacing w:line="357" w:lineRule="auto"/>
        <w:ind w:left="573" w:right="1017"/>
        <w:jc w:val="left"/>
      </w:pPr>
      <w:r>
        <w:rPr>
          <w:rFonts w:ascii="宋体" w:hAnsi="宋体" w:cs="宋体" w:eastAsia="宋体" w:hint="default"/>
        </w:rPr>
        <w:t>2</w:t>
      </w:r>
      <w:r>
        <w:rPr/>
        <w:t>）使用寿命不确定的无形资产，使用寿命不确定的判断依据以及对其寿命的复核程序 </w:t>
      </w:r>
      <w:r>
        <w:rPr>
          <w:spacing w:val="-1"/>
        </w:rPr>
        <w:t>本公司将无法预见该资产为公司带来经济利益的期限，或使用期限不确定等无形资产确定为使用寿命</w:t>
      </w:r>
    </w:p>
    <w:p>
      <w:pPr>
        <w:pStyle w:val="BodyText"/>
        <w:spacing w:line="357" w:lineRule="auto"/>
        <w:ind w:left="574" w:right="1197" w:hanging="420"/>
        <w:jc w:val="left"/>
      </w:pPr>
      <w:r>
        <w:rPr/>
        <w:t>不确定的无形资产。 使用寿命不确定的判断依据：</w:t>
      </w:r>
      <w:r>
        <w:rPr>
          <w:rFonts w:ascii="宋体" w:hAnsi="宋体" w:cs="宋体" w:eastAsia="宋体" w:hint="default"/>
        </w:rPr>
        <w:t>A</w:t>
      </w:r>
      <w:r>
        <w:rPr/>
        <w:t>、来源于合同性权利或其他法定权利，但合同规定或法律规定无明确</w:t>
      </w:r>
    </w:p>
    <w:p>
      <w:pPr>
        <w:pStyle w:val="BodyText"/>
        <w:spacing w:line="357" w:lineRule="auto"/>
        <w:ind w:left="574" w:right="1017" w:hanging="420"/>
        <w:jc w:val="left"/>
      </w:pPr>
      <w:r>
        <w:rPr/>
        <w:t>使用年限；</w:t>
      </w:r>
      <w:r>
        <w:rPr>
          <w:rFonts w:ascii="宋体" w:hAnsi="宋体" w:cs="宋体" w:eastAsia="宋体" w:hint="default"/>
        </w:rPr>
        <w:t>B</w:t>
      </w:r>
      <w:r>
        <w:rPr/>
        <w:t>、综合同行业情况或相关专家论证等，仍无法判断无形资产为公司带来经济利益的期限。 </w:t>
      </w:r>
      <w:r>
        <w:rPr>
          <w:spacing w:val="-1"/>
        </w:rPr>
        <w:t>每年年末，对使用寿命不确定无形资产使用寿命进行复核，主要采取自下而上的方式，由无形资产使</w:t>
      </w:r>
    </w:p>
    <w:p>
      <w:pPr>
        <w:spacing w:after="0" w:line="357" w:lineRule="auto"/>
        <w:jc w:val="left"/>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240" w:lineRule="auto" w:before="35"/>
        <w:ind w:right="1017"/>
        <w:jc w:val="left"/>
      </w:pPr>
      <w:r>
        <w:rPr/>
        <w:t>用相关部门进行基础复核，评价使用寿命不确定判断依据是否存在变化等。</w:t>
      </w:r>
    </w:p>
    <w:p>
      <w:pPr>
        <w:pStyle w:val="BodyText"/>
        <w:spacing w:line="357" w:lineRule="auto" w:before="133"/>
        <w:ind w:left="573" w:right="1017"/>
        <w:jc w:val="left"/>
      </w:pPr>
      <w:r>
        <w:rPr/>
        <w:t>④无形资产价值摊销方法 </w:t>
      </w:r>
      <w:r>
        <w:rPr>
          <w:spacing w:val="-1"/>
        </w:rPr>
        <w:t>使用寿命有限的无形资产，在使用寿命内按照与该项无形资产有关的经济利益的预期实现方式系统合</w:t>
      </w:r>
    </w:p>
    <w:p>
      <w:pPr>
        <w:pStyle w:val="BodyText"/>
        <w:spacing w:line="357" w:lineRule="auto"/>
        <w:ind w:left="573" w:right="1513" w:hanging="420"/>
        <w:jc w:val="left"/>
      </w:pPr>
      <w:r>
        <w:rPr/>
        <w:t>理地摊销，无法可靠确定预期实现方式的，采用直线法摊销。 使用寿命不确定的无形资产不摊销，公司在每个会计期间均对该无形资产的使用寿命进行复核。</w:t>
      </w:r>
    </w:p>
    <w:p>
      <w:pPr>
        <w:pStyle w:val="BodyText"/>
        <w:spacing w:line="357" w:lineRule="auto"/>
        <w:ind w:right="1131" w:firstLine="420"/>
        <w:jc w:val="both"/>
      </w:pPr>
      <w:r>
        <w:rPr>
          <w:spacing w:val="-1"/>
        </w:rPr>
        <w:t>⑤使用寿命确定的无形资产，在资产负债表日有迹象表明发生减值的，按照账面价值与可收回金额的</w:t>
      </w:r>
      <w:r>
        <w:rPr/>
        <w:t> </w:t>
      </w:r>
      <w:r>
        <w:rPr>
          <w:spacing w:val="-1"/>
        </w:rPr>
        <w:t>差额计提相应的减值准备；使用寿命不确定的无形资产和尚未达到可使用状态的无形资产，无论是否存在</w:t>
      </w:r>
      <w:r>
        <w:rPr>
          <w:spacing w:val="-81"/>
        </w:rPr>
        <w:t> </w:t>
      </w:r>
      <w:r>
        <w:rPr>
          <w:spacing w:val="-81"/>
        </w:rPr>
      </w:r>
      <w:r>
        <w:rPr/>
        <w:t>减值迹象，每年均进行减值测试。</w:t>
      </w:r>
    </w:p>
    <w:p>
      <w:pPr>
        <w:spacing w:line="580" w:lineRule="atLeast" w:before="61"/>
        <w:ind w:left="573" w:right="4663" w:hanging="420"/>
        <w:jc w:val="left"/>
        <w:rPr>
          <w:rFonts w:ascii="宋体" w:hAnsi="宋体" w:cs="宋体" w:eastAsia="宋体" w:hint="default"/>
          <w:sz w:val="21"/>
          <w:szCs w:val="21"/>
        </w:rPr>
      </w:pPr>
      <w:bookmarkStart w:name="（2）内部研究开发支出会计政策" w:id="191"/>
      <w:bookmarkEnd w:id="1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t>内部研究开发项目研究阶段的支出，于发生时计入当期损益。</w:t>
      </w:r>
    </w:p>
    <w:p>
      <w:pPr>
        <w:pStyle w:val="BodyText"/>
        <w:spacing w:line="357" w:lineRule="auto" w:before="133"/>
        <w:ind w:right="1024" w:firstLine="420"/>
        <w:jc w:val="left"/>
      </w:pPr>
      <w:r>
        <w:rPr/>
        <w:t>内部研究开发项目开发阶段的支出，同时满足下列条件的，确认为无形资产：①完成该无形资产以使 其能够使用或出售在技术上具有可行性；②具有完成该无形资产并使用或出售的意图；③无形资产产生经 济利益的方式，包括能够证明运用该无形资产生产的产品存在市场或无形资产自身存在市场，无形资产将 </w:t>
      </w:r>
      <w:r>
        <w:rPr>
          <w:spacing w:val="-3"/>
        </w:rPr>
        <w:t>在内部使用的，能证明其有用性；④有足够的技术、财务资源和其他资源支持，以完成该无形资产的开发，</w:t>
      </w:r>
      <w:r>
        <w:rPr>
          <w:spacing w:val="-96"/>
        </w:rPr>
        <w:t> </w:t>
      </w:r>
      <w:r>
        <w:rPr>
          <w:spacing w:val="-96"/>
        </w:rPr>
      </w:r>
      <w:r>
        <w:rPr/>
        <w:t>并有能力使用或出售该无形资产；⑤归属于该无形资产开发阶段的支出能够可靠地计量。</w:t>
      </w:r>
    </w:p>
    <w:p>
      <w:pPr>
        <w:pStyle w:val="BodyText"/>
        <w:spacing w:line="357" w:lineRule="auto"/>
        <w:ind w:right="1024" w:firstLine="420"/>
        <w:jc w:val="left"/>
      </w:pPr>
      <w:r>
        <w:rPr/>
        <w:t>公司划分内部研究开发项目的研究阶段和开发阶段的具体标准：①为获取新的技术和知识等进行的有 </w:t>
      </w:r>
      <w:r>
        <w:rPr>
          <w:spacing w:val="-3"/>
        </w:rPr>
        <w:t>计划的调查阶段，应确定为研究阶段，该阶段具有计划性和探索性等特点；②在进行商业性生产或使用前，</w:t>
      </w:r>
      <w:r>
        <w:rPr>
          <w:spacing w:val="-90"/>
        </w:rPr>
        <w:t> </w:t>
      </w:r>
      <w:r>
        <w:rPr>
          <w:spacing w:val="-90"/>
        </w:rPr>
      </w:r>
      <w:r>
        <w:rPr/>
        <w:t>将研究成果或其他知识应用于某项计划或设计，以生产出新的或具有实质性改进的材料、装置、产品等阶</w:t>
      </w:r>
      <w:r>
        <w:rPr/>
        <w:t> 段，应确定为开发阶段，该阶段具有针对性和形成成果的可能性较大等特点。</w:t>
      </w:r>
    </w:p>
    <w:p>
      <w:pPr>
        <w:spacing w:line="240" w:lineRule="auto" w:before="12"/>
        <w:rPr>
          <w:rFonts w:ascii="宋体" w:hAnsi="宋体" w:cs="宋体" w:eastAsia="宋体" w:hint="default"/>
          <w:sz w:val="26"/>
          <w:szCs w:val="26"/>
        </w:rPr>
      </w:pPr>
    </w:p>
    <w:p>
      <w:pPr>
        <w:pStyle w:val="Heading3"/>
        <w:spacing w:line="240" w:lineRule="auto"/>
        <w:ind w:left="153" w:right="1017"/>
        <w:jc w:val="left"/>
        <w:rPr>
          <w:b w:val="0"/>
          <w:bCs w:val="0"/>
        </w:rPr>
      </w:pPr>
      <w:bookmarkStart w:name="19、长期待摊费用" w:id="192"/>
      <w:bookmarkEnd w:id="192"/>
      <w:r>
        <w:rPr>
          <w:b w:val="0"/>
          <w:bCs w:val="0"/>
        </w:rPr>
      </w:r>
      <w:r>
        <w:rPr>
          <w:rFonts w:ascii="Times New Roman" w:hAnsi="Times New Roman" w:cs="Times New Roman" w:eastAsia="Times New Roman" w:hint="default"/>
        </w:rPr>
        <w:t>19</w:t>
      </w:r>
      <w:r>
        <w:rPr/>
        <w:t>、长期待摊费用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574" w:right="1017"/>
        <w:jc w:val="left"/>
      </w:pPr>
      <w:r>
        <w:rPr/>
        <w:t>（</w:t>
      </w:r>
      <w:r>
        <w:rPr>
          <w:rFonts w:ascii="宋体" w:hAnsi="宋体" w:cs="宋体" w:eastAsia="宋体" w:hint="default"/>
        </w:rPr>
        <w:t>1</w:t>
      </w:r>
      <w:r>
        <w:rPr/>
        <w:t>）长期待摊费用指应由本期和以后各期负担的分摊期限在一年以上的各项费用。</w:t>
      </w:r>
    </w:p>
    <w:p>
      <w:pPr>
        <w:pStyle w:val="BodyText"/>
        <w:spacing w:line="357" w:lineRule="auto" w:before="133"/>
        <w:ind w:right="1017" w:firstLine="420"/>
        <w:jc w:val="left"/>
      </w:pPr>
      <w:r>
        <w:rPr/>
        <w:t>（</w:t>
      </w:r>
      <w:r>
        <w:rPr>
          <w:rFonts w:ascii="宋体" w:hAnsi="宋体" w:cs="宋体" w:eastAsia="宋体" w:hint="default"/>
        </w:rPr>
        <w:t>2</w:t>
      </w:r>
      <w:r>
        <w:rPr/>
        <w:t>）长期待摊费用在取得时按照实际成本计价，开办费在发生时计入当期损益；经营性租赁固定资 </w:t>
      </w:r>
      <w:r>
        <w:rPr>
          <w:spacing w:val="-1"/>
        </w:rPr>
        <w:t>产的装修费用在租赁期内平均摊销，其他长期待摊费用按项目的受益期平均摊销。对于在以后会计期间已</w:t>
      </w:r>
      <w:r>
        <w:rPr>
          <w:spacing w:val="-81"/>
        </w:rPr>
        <w:t> </w:t>
      </w:r>
      <w:r>
        <w:rPr>
          <w:spacing w:val="-81"/>
        </w:rPr>
      </w:r>
      <w:r>
        <w:rPr/>
        <w:t>无法带来预期经济利益的长期待摊费用，本公司对其尚未摊销的摊余价值全部转入当期损益。</w:t>
      </w:r>
    </w:p>
    <w:p>
      <w:pPr>
        <w:spacing w:line="240" w:lineRule="auto" w:before="12"/>
        <w:rPr>
          <w:rFonts w:ascii="宋体" w:hAnsi="宋体" w:cs="宋体" w:eastAsia="宋体" w:hint="default"/>
          <w:sz w:val="26"/>
          <w:szCs w:val="26"/>
        </w:rPr>
      </w:pPr>
    </w:p>
    <w:p>
      <w:pPr>
        <w:pStyle w:val="Heading3"/>
        <w:spacing w:line="240" w:lineRule="auto"/>
        <w:ind w:left="153" w:right="1017"/>
        <w:jc w:val="left"/>
        <w:rPr>
          <w:b w:val="0"/>
          <w:bCs w:val="0"/>
        </w:rPr>
      </w:pPr>
      <w:bookmarkStart w:name="20、职工薪酬" w:id="193"/>
      <w:bookmarkEnd w:id="193"/>
      <w:r>
        <w:rPr>
          <w:b w:val="0"/>
          <w:bCs w:val="0"/>
        </w:rPr>
      </w:r>
      <w:r>
        <w:rPr>
          <w:rFonts w:ascii="Times New Roman" w:hAnsi="Times New Roman" w:cs="Times New Roman" w:eastAsia="Times New Roman" w:hint="default"/>
        </w:rPr>
        <w:t>20</w:t>
      </w:r>
      <w:r>
        <w:rPr/>
        <w:t>、职工薪酬</w:t>
      </w:r>
      <w:r>
        <w:rPr>
          <w:b w:val="0"/>
          <w:bCs w:val="0"/>
        </w:rPr>
      </w:r>
    </w:p>
    <w:p>
      <w:pPr>
        <w:spacing w:line="570" w:lineRule="atLeast" w:before="43"/>
        <w:ind w:left="574" w:right="1017" w:hanging="420"/>
        <w:jc w:val="left"/>
        <w:rPr>
          <w:rFonts w:ascii="宋体" w:hAnsi="宋体" w:cs="宋体" w:eastAsia="宋体" w:hint="default"/>
          <w:sz w:val="21"/>
          <w:szCs w:val="21"/>
        </w:rPr>
      </w:pPr>
      <w:bookmarkStart w:name="（1）短期薪酬的会计处理方法" w:id="194"/>
      <w:bookmarkEnd w:id="1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本公司在职工提供服务的会计期间，将实际发生的短期薪酬确认为负债，并按照受益对象计入当期损</w:t>
      </w:r>
    </w:p>
    <w:p>
      <w:pPr>
        <w:pStyle w:val="BodyText"/>
        <w:spacing w:line="240" w:lineRule="auto" w:before="133"/>
        <w:ind w:left="154" w:right="1017"/>
        <w:jc w:val="left"/>
      </w:pPr>
      <w:r>
        <w:rPr/>
        <w:t>益或相关资产成本；其中，非货币性福利按照公允价值计量。</w:t>
      </w:r>
    </w:p>
    <w:p>
      <w:pPr>
        <w:spacing w:after="0" w:line="240" w:lineRule="auto"/>
        <w:jc w:val="left"/>
        <w:sectPr>
          <w:pgSz w:w="11910" w:h="16840"/>
          <w:pgMar w:header="877" w:footer="1019" w:top="1100" w:bottom="120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017"/>
        <w:jc w:val="left"/>
        <w:rPr>
          <w:b w:val="0"/>
          <w:bCs w:val="0"/>
        </w:rPr>
      </w:pPr>
      <w:bookmarkStart w:name="（2）离职后福利的会计处理方法" w:id="195"/>
      <w:bookmarkEnd w:id="19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574" w:right="1017"/>
        <w:jc w:val="left"/>
      </w:pPr>
      <w:r>
        <w:rPr/>
        <w:t>离职后福利计划按照承担的风险和义务情况，可以分为设定提存计划和设定受益计划。</w:t>
      </w:r>
    </w:p>
    <w:p>
      <w:pPr>
        <w:pStyle w:val="BodyText"/>
        <w:spacing w:line="357" w:lineRule="auto" w:before="134"/>
        <w:ind w:left="573" w:right="1303"/>
        <w:jc w:val="left"/>
      </w:pPr>
      <w:r>
        <w:rPr/>
        <w:t>①设定提存计划 公司根据在资产负债表日为换取职工在会计期间提供的服务而向单独主体缴存的提存金，确认为负</w:t>
      </w:r>
    </w:p>
    <w:p>
      <w:pPr>
        <w:pStyle w:val="BodyText"/>
        <w:spacing w:line="240" w:lineRule="auto"/>
        <w:ind w:right="1017"/>
        <w:jc w:val="left"/>
      </w:pPr>
      <w:r>
        <w:rPr/>
        <w:t>债，并按照受益对象计人当期损益或相关资产成本。</w:t>
      </w:r>
    </w:p>
    <w:p>
      <w:pPr>
        <w:pStyle w:val="BodyText"/>
        <w:spacing w:line="357" w:lineRule="auto" w:before="134"/>
        <w:ind w:left="573" w:right="1198"/>
        <w:jc w:val="left"/>
      </w:pPr>
      <w:r>
        <w:rPr/>
        <w:t>②设定受益计划 设定受益计划，是指除设定提存计划以外的离职后福利计划。会计处理包括下列步骤： </w:t>
      </w:r>
      <w:r>
        <w:rPr>
          <w:rFonts w:ascii="宋体" w:hAnsi="宋体" w:cs="宋体" w:eastAsia="宋体" w:hint="default"/>
        </w:rPr>
        <w:t>1</w:t>
      </w:r>
      <w:r>
        <w:rPr/>
        <w:t>）根据预期累计福利单位法，采用无偏且相互一致的精算假设对有关人口统计变量和财务变量等作</w:t>
      </w:r>
    </w:p>
    <w:p>
      <w:pPr>
        <w:pStyle w:val="BodyText"/>
        <w:spacing w:line="357" w:lineRule="auto"/>
        <w:ind w:right="1017"/>
        <w:jc w:val="left"/>
      </w:pPr>
      <w:r>
        <w:rPr>
          <w:spacing w:val="-1"/>
        </w:rPr>
        <w:t>出估计，计量设定受益计划所产生的义务，并确定相关义务的所属期间；公司对所有设定受益计划义务予</w:t>
      </w:r>
      <w:r>
        <w:rPr>
          <w:spacing w:val="-83"/>
        </w:rPr>
        <w:t> </w:t>
      </w:r>
      <w:r>
        <w:rPr>
          <w:spacing w:val="-83"/>
        </w:rPr>
      </w:r>
      <w:r>
        <w:rPr>
          <w:spacing w:val="-1"/>
        </w:rPr>
        <w:t>以折现，包括预期在职工提供服务的年度报告期间结束后的十二个月内支付的义务。折现时所采用的折现</w:t>
      </w:r>
      <w:r>
        <w:rPr>
          <w:spacing w:val="-81"/>
        </w:rPr>
        <w:t> </w:t>
      </w:r>
      <w:r>
        <w:rPr>
          <w:spacing w:val="-81"/>
        </w:rPr>
      </w:r>
      <w:r>
        <w:rPr/>
        <w:t>率根据资产负债表日与设定受益计划义务期限和币种相匹配的国债或活跃市场上的高质量公司债券的市 场收益率确定；</w:t>
      </w:r>
    </w:p>
    <w:p>
      <w:pPr>
        <w:pStyle w:val="BodyText"/>
        <w:spacing w:line="357" w:lineRule="auto" w:before="31"/>
        <w:ind w:right="1017" w:firstLine="420"/>
        <w:jc w:val="left"/>
      </w:pPr>
      <w:r>
        <w:rPr>
          <w:rFonts w:ascii="宋体" w:hAnsi="宋体" w:cs="宋体" w:eastAsia="宋体" w:hint="default"/>
        </w:rPr>
        <w:t>2</w:t>
      </w:r>
      <w:r>
        <w:rPr/>
        <w:t>）设定受益计划存在资产的，将设定受益计划义务现值减去设定受益计划资产公允价值所形成的赤 </w:t>
      </w:r>
      <w:r>
        <w:rPr>
          <w:spacing w:val="-1"/>
        </w:rPr>
        <w:t>字或盈余确认为一项设定受益计划净负债或净资产。设定受益计划存在盈余的，以设定受益计划的盈余和</w:t>
      </w:r>
      <w:r>
        <w:rPr>
          <w:spacing w:val="-81"/>
        </w:rPr>
        <w:t> </w:t>
      </w:r>
      <w:r>
        <w:rPr>
          <w:spacing w:val="-81"/>
        </w:rPr>
      </w:r>
      <w:r>
        <w:rPr>
          <w:spacing w:val="-1"/>
        </w:rPr>
        <w:t>资产上限两项的孰低者计量设定受益计划净资产。资产上限是指公司可从设定受益计划退款或减少未来对</w:t>
      </w:r>
      <w:r>
        <w:rPr>
          <w:spacing w:val="-81"/>
        </w:rPr>
        <w:t> </w:t>
      </w:r>
      <w:r>
        <w:rPr>
          <w:spacing w:val="-81"/>
        </w:rPr>
      </w:r>
      <w:r>
        <w:rPr/>
        <w:t>设定受益计划缴存资金而获得的经济利益的现值；</w:t>
      </w:r>
    </w:p>
    <w:p>
      <w:pPr>
        <w:pStyle w:val="BodyText"/>
        <w:spacing w:line="357" w:lineRule="auto" w:before="31"/>
        <w:ind w:right="1017" w:firstLine="420"/>
        <w:jc w:val="left"/>
      </w:pPr>
      <w:r>
        <w:rPr>
          <w:rFonts w:ascii="宋体" w:hAnsi="宋体" w:cs="宋体" w:eastAsia="宋体" w:hint="default"/>
        </w:rPr>
        <w:t>3</w:t>
      </w:r>
      <w:r>
        <w:rPr/>
        <w:t>）期末，将设定受益计划产生的职工薪酬成本确认为服务成本、设定受益计划净负债或净资产的利 </w:t>
      </w:r>
      <w:r>
        <w:rPr>
          <w:spacing w:val="-1"/>
        </w:rPr>
        <w:t>息净额以及重新计量设定受益计划净负债或净资产所产生的变动，其中服务成本和设定受益计划净负债或</w:t>
      </w:r>
      <w:r>
        <w:rPr>
          <w:spacing w:val="-81"/>
        </w:rPr>
        <w:t> </w:t>
      </w:r>
      <w:r>
        <w:rPr>
          <w:spacing w:val="-81"/>
        </w:rPr>
      </w:r>
      <w:r>
        <w:rPr>
          <w:spacing w:val="-1"/>
        </w:rPr>
        <w:t>净资产的利息净额计入当期损益或相关资产成本，重新计量设定受益计划净负债或净资产所产生的变动计</w:t>
      </w:r>
      <w:r>
        <w:rPr>
          <w:spacing w:val="-81"/>
        </w:rPr>
        <w:t> </w:t>
      </w:r>
      <w:r>
        <w:rPr>
          <w:spacing w:val="-81"/>
        </w:rPr>
      </w:r>
      <w:r>
        <w:rPr>
          <w:spacing w:val="-1"/>
        </w:rPr>
        <w:t>入其他综合收益，并且在后续会计期间不允许转回至损益，但可以在权益范围内转移这些在其他综合收益</w:t>
      </w:r>
      <w:r>
        <w:rPr>
          <w:spacing w:val="-81"/>
        </w:rPr>
        <w:t> </w:t>
      </w:r>
      <w:r>
        <w:rPr>
          <w:spacing w:val="-81"/>
        </w:rPr>
      </w:r>
      <w:r>
        <w:rPr/>
        <w:t>确认的金额；</w:t>
      </w:r>
    </w:p>
    <w:p>
      <w:pPr>
        <w:pStyle w:val="BodyText"/>
        <w:spacing w:line="240" w:lineRule="auto" w:before="31"/>
        <w:ind w:left="573" w:right="1017"/>
        <w:jc w:val="left"/>
      </w:pPr>
      <w:r>
        <w:rPr>
          <w:rFonts w:ascii="宋体" w:hAnsi="宋体" w:cs="宋体" w:eastAsia="宋体" w:hint="default"/>
        </w:rPr>
        <w:t>4</w:t>
      </w:r>
      <w:r>
        <w:rPr/>
        <w:t>）在设定受益计划结算时，确认一项结算利得或损失。</w:t>
      </w:r>
    </w:p>
    <w:p>
      <w:pPr>
        <w:spacing w:line="570" w:lineRule="atLeast" w:before="174"/>
        <w:ind w:left="573" w:right="1018" w:hanging="420"/>
        <w:jc w:val="left"/>
        <w:rPr>
          <w:rFonts w:ascii="宋体" w:hAnsi="宋体" w:cs="宋体" w:eastAsia="宋体" w:hint="default"/>
          <w:sz w:val="21"/>
          <w:szCs w:val="21"/>
        </w:rPr>
      </w:pPr>
      <w:bookmarkStart w:name="（3）辞退福利的会计处理方法"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公司向职工提供的辞退福利，在下列两者孰早日确认辞退福利产生的职工薪酬负债，并计入当期损益：</w:t>
      </w:r>
    </w:p>
    <w:p>
      <w:pPr>
        <w:pStyle w:val="BodyText"/>
        <w:spacing w:line="355" w:lineRule="auto" w:before="134"/>
        <w:ind w:left="154" w:right="1017" w:firstLine="420"/>
        <w:jc w:val="left"/>
      </w:pPr>
      <w:r>
        <w:rPr>
          <w:spacing w:val="-1"/>
        </w:rPr>
        <w:t>①公司不能单方面撤回因解除劳动关系计划或裁减建议所提供的辞退福利时；②公司确认与涉及支付</w:t>
      </w:r>
      <w:r>
        <w:rPr/>
        <w:t> 辞退福利的重组相关的成本或费用时。</w:t>
      </w:r>
    </w:p>
    <w:p>
      <w:pPr>
        <w:pStyle w:val="BodyText"/>
        <w:spacing w:line="357" w:lineRule="auto" w:before="32"/>
        <w:ind w:left="154" w:right="1017" w:firstLine="420"/>
        <w:jc w:val="left"/>
      </w:pPr>
      <w:r>
        <w:rPr/>
        <w:t>在公司不能单方面撤回解除劳动关系计划或裁减建议时和确认与涉及支付辞退福利的重组相关的成 </w:t>
      </w:r>
      <w:r>
        <w:rPr>
          <w:spacing w:val="-1"/>
        </w:rPr>
        <w:t>本费用时两者孰早日，确认因解除与职工的劳动关系给予补偿而产生的负债，同时计入当期损益。公司按</w:t>
      </w:r>
      <w:r>
        <w:rPr>
          <w:spacing w:val="-83"/>
        </w:rPr>
        <w:t> </w:t>
      </w:r>
      <w:r>
        <w:rPr>
          <w:spacing w:val="-83"/>
        </w:rPr>
      </w:r>
      <w:r>
        <w:rPr>
          <w:spacing w:val="-1"/>
        </w:rPr>
        <w:t>照辞退计划条款的规定，合理预计并确认辞退福利产生的应付职工薪酬。辞退福利预期在其确认的年度报</w:t>
      </w:r>
      <w:r>
        <w:rPr>
          <w:spacing w:val="-81"/>
        </w:rPr>
        <w:t> </w:t>
      </w:r>
      <w:r>
        <w:rPr>
          <w:spacing w:val="-81"/>
        </w:rPr>
      </w:r>
      <w:r>
        <w:rPr>
          <w:spacing w:val="-1"/>
        </w:rPr>
        <w:t>告期结束后十二个月内完全支付的，适用短期薪酬的相关规定；辞退福利预期在年度报告期结束后十二个</w:t>
      </w:r>
      <w:r>
        <w:rPr>
          <w:spacing w:val="-81"/>
        </w:rPr>
        <w:t> </w:t>
      </w:r>
      <w:r>
        <w:rPr>
          <w:spacing w:val="-81"/>
        </w:rPr>
      </w:r>
      <w:r>
        <w:rPr/>
        <w:t>月内不能完全支付的，适用其他长期职工福利的有关规定。</w:t>
      </w:r>
    </w:p>
    <w:p>
      <w:pPr>
        <w:spacing w:after="0" w:line="357" w:lineRule="auto"/>
        <w:jc w:val="left"/>
        <w:sectPr>
          <w:footerReference w:type="default" r:id="rId13"/>
          <w:pgSz w:w="11910" w:h="16840"/>
          <w:pgMar w:footer="1019" w:header="877" w:top="1100" w:bottom="120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bookmarkStart w:name="（4）其他长期职工福利的会计处理方法" w:id="197"/>
      <w:bookmarkEnd w:id="19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left="154" w:right="1110" w:firstLine="421"/>
        <w:jc w:val="both"/>
      </w:pPr>
      <w:r>
        <w:rPr/>
        <w:t>公司向职工提供的其他长期职工福利，符合设定提存计划条件的，按照设定提存计划进行会计处理； </w:t>
      </w:r>
      <w:r>
        <w:rPr>
          <w:spacing w:val="-1"/>
        </w:rPr>
        <w:t>除此之外的其他长期福利，按照设定受益计划进行会计处理，但是重新计量其他长期职工福利净负债或净</w:t>
      </w:r>
      <w:r>
        <w:rPr>
          <w:spacing w:val="-80"/>
        </w:rPr>
        <w:t> </w:t>
      </w:r>
      <w:r>
        <w:rPr>
          <w:spacing w:val="-80"/>
        </w:rPr>
      </w:r>
      <w:r>
        <w:rPr/>
        <w:t>资产所产生的变动计入当期损益或相关资产成本。</w:t>
      </w:r>
    </w:p>
    <w:p>
      <w:pPr>
        <w:pStyle w:val="BodyText"/>
        <w:spacing w:line="570" w:lineRule="atLeast" w:before="71"/>
        <w:ind w:left="490" w:right="1176" w:hanging="336"/>
        <w:jc w:val="left"/>
      </w:pPr>
      <w:bookmarkStart w:name="21、预计负债" w:id="198"/>
      <w:bookmarkEnd w:id="198"/>
      <w:r>
        <w:rPr/>
      </w:r>
      <w:r>
        <w:rPr>
          <w:rFonts w:ascii="Times New Roman" w:hAnsi="Times New Roman" w:cs="Times New Roman" w:eastAsia="Times New Roman" w:hint="default"/>
          <w:b/>
          <w:bCs/>
        </w:rPr>
        <w:t>21</w:t>
      </w:r>
      <w:r>
        <w:rPr>
          <w:rFonts w:ascii="宋体" w:hAnsi="宋体" w:cs="宋体" w:eastAsia="宋体" w:hint="default"/>
          <w:b/>
          <w:bCs/>
        </w:rPr>
        <w:t>、预计负债</w:t>
      </w:r>
      <w:r>
        <w:rPr>
          <w:rFonts w:ascii="宋体" w:hAnsi="宋体" w:cs="宋体" w:eastAsia="宋体" w:hint="default"/>
          <w:b/>
          <w:bCs/>
          <w:w w:val="99"/>
        </w:rPr>
        <w:t> </w:t>
      </w:r>
      <w:r>
        <w:rPr/>
        <w:t>预计负债是与或有事项相关的义务。或有事项指过去的交易或事项形成的一种状况，其结果须通过未</w:t>
      </w:r>
    </w:p>
    <w:p>
      <w:pPr>
        <w:pStyle w:val="BodyText"/>
        <w:spacing w:line="355" w:lineRule="auto" w:before="134"/>
        <w:ind w:left="154" w:right="1133"/>
        <w:jc w:val="both"/>
      </w:pPr>
      <w:r>
        <w:rPr>
          <w:spacing w:val="-1"/>
        </w:rPr>
        <w:t>来不确定事项的发生或不发生予以证实。预计负债包括对外提供担保、商业承兑汇票贴现、未决诉讼、产</w:t>
      </w:r>
      <w:r>
        <w:rPr>
          <w:spacing w:val="-85"/>
        </w:rPr>
        <w:t> </w:t>
      </w:r>
      <w:r>
        <w:rPr>
          <w:spacing w:val="-85"/>
        </w:rPr>
      </w:r>
      <w:r>
        <w:rPr/>
        <w:t>品质量保证、亏损合同及重组义务等很可能发生的负债。</w:t>
      </w:r>
    </w:p>
    <w:p>
      <w:pPr>
        <w:pStyle w:val="BodyText"/>
        <w:spacing w:line="355" w:lineRule="auto" w:before="33"/>
        <w:ind w:left="490" w:right="6216" w:firstLine="85"/>
        <w:jc w:val="left"/>
      </w:pPr>
      <w:r>
        <w:rPr/>
        <w:t>（</w:t>
      </w:r>
      <w:r>
        <w:rPr>
          <w:rFonts w:ascii="宋体" w:hAnsi="宋体" w:cs="宋体" w:eastAsia="宋体" w:hint="default"/>
        </w:rPr>
        <w:t>1</w:t>
      </w:r>
      <w:r>
        <w:rPr/>
        <w:t>）预计负债的确认标准 预计负债的确认必须同时符合以下三个条件：</w:t>
      </w:r>
    </w:p>
    <w:p>
      <w:pPr>
        <w:pStyle w:val="BodyText"/>
        <w:spacing w:line="240" w:lineRule="auto" w:before="33"/>
        <w:ind w:left="575" w:right="1017"/>
        <w:jc w:val="left"/>
      </w:pPr>
      <w:r>
        <w:rPr/>
        <w:t>①该义务是企业承担的现时义务，指与或有事项有关的义务，为企业承担的现时义务而非潜在义务；</w:t>
      </w:r>
    </w:p>
    <w:p>
      <w:pPr>
        <w:pStyle w:val="BodyText"/>
        <w:spacing w:line="357" w:lineRule="auto" w:before="133"/>
        <w:ind w:right="1023" w:firstLine="421"/>
        <w:jc w:val="left"/>
      </w:pPr>
      <w:r>
        <w:rPr/>
        <w:t>②履行该义务很可能导致经济利益流出企业。履行与或有事项相关的现时义务导致经济利益流出企业 的可能性超过</w:t>
      </w:r>
      <w:r>
        <w:rPr>
          <w:rFonts w:ascii="宋体" w:hAnsi="宋体" w:cs="宋体" w:eastAsia="宋体" w:hint="default"/>
        </w:rPr>
        <w:t>50%</w:t>
      </w:r>
      <w:r>
        <w:rPr/>
        <w:t>但小于或等于</w:t>
      </w:r>
      <w:r>
        <w:rPr>
          <w:rFonts w:ascii="宋体" w:hAnsi="宋体" w:cs="宋体" w:eastAsia="宋体" w:hint="default"/>
        </w:rPr>
        <w:t>95%</w:t>
      </w:r>
      <w:r>
        <w:rPr/>
        <w:t>时，可以确认</w:t>
      </w:r>
      <w:r>
        <w:rPr>
          <w:spacing w:val="-3"/>
        </w:rPr>
        <w:t> </w:t>
      </w:r>
      <w:r>
        <w:rPr/>
        <w:t>该预计负债。当事项发生的概率区间为大于</w:t>
      </w:r>
      <w:r>
        <w:rPr>
          <w:rFonts w:ascii="宋体" w:hAnsi="宋体" w:cs="宋体" w:eastAsia="宋体" w:hint="default"/>
        </w:rPr>
        <w:t>95%</w:t>
      </w:r>
      <w:r>
        <w:rPr/>
        <w:t>但小于 </w:t>
      </w:r>
      <w:r>
        <w:rPr>
          <w:rFonts w:ascii="宋体" w:hAnsi="宋体" w:cs="宋体" w:eastAsia="宋体" w:hint="default"/>
        </w:rPr>
        <w:t>100%</w:t>
      </w:r>
      <w:r>
        <w:rPr/>
        <w:t>时，将结果的可能性定义为“基本确定”；当事项发生的概率区间为大于</w:t>
      </w:r>
      <w:r>
        <w:rPr>
          <w:rFonts w:ascii="宋体" w:hAnsi="宋体" w:cs="宋体" w:eastAsia="宋体" w:hint="default"/>
        </w:rPr>
        <w:t>50%</w:t>
      </w:r>
      <w:r>
        <w:rPr/>
        <w:t>但小于或等于</w:t>
      </w:r>
      <w:r>
        <w:rPr>
          <w:rFonts w:ascii="宋体" w:hAnsi="宋体" w:cs="宋体" w:eastAsia="宋体" w:hint="default"/>
        </w:rPr>
        <w:t>95%</w:t>
      </w:r>
      <w:r>
        <w:rPr/>
        <w:t>时，将 结果的可能性定义为“很可能”；当事项发生的概率区间为大于</w:t>
      </w:r>
      <w:r>
        <w:rPr>
          <w:rFonts w:ascii="宋体" w:hAnsi="宋体" w:cs="宋体" w:eastAsia="宋体" w:hint="default"/>
        </w:rPr>
        <w:t>5%</w:t>
      </w:r>
      <w:r>
        <w:rPr/>
        <w:t>但小于或等于</w:t>
      </w:r>
      <w:r>
        <w:rPr>
          <w:rFonts w:ascii="宋体" w:hAnsi="宋体" w:cs="宋体" w:eastAsia="宋体" w:hint="default"/>
        </w:rPr>
        <w:t>50%</w:t>
      </w:r>
      <w:r>
        <w:rPr/>
        <w:t>时，将结果的可能性 </w:t>
      </w:r>
      <w:r>
        <w:rPr>
          <w:spacing w:val="-5"/>
        </w:rPr>
        <w:t>定义为“可能”；当事项发生的概率区间为大于</w:t>
      </w:r>
      <w:r>
        <w:rPr>
          <w:rFonts w:ascii="宋体" w:hAnsi="宋体" w:cs="宋体" w:eastAsia="宋体" w:hint="default"/>
          <w:spacing w:val="-5"/>
        </w:rPr>
        <w:t>0</w:t>
      </w:r>
      <w:r>
        <w:rPr>
          <w:spacing w:val="-5"/>
        </w:rPr>
        <w:t>但小于或等于</w:t>
      </w:r>
      <w:r>
        <w:rPr>
          <w:rFonts w:ascii="宋体" w:hAnsi="宋体" w:cs="宋体" w:eastAsia="宋体" w:hint="default"/>
          <w:spacing w:val="-5"/>
        </w:rPr>
        <w:t>5%</w:t>
      </w:r>
      <w:r>
        <w:rPr>
          <w:spacing w:val="-5"/>
        </w:rPr>
        <w:t>时，将结果的可能性定义为“极小可能”。</w:t>
      </w:r>
    </w:p>
    <w:p>
      <w:pPr>
        <w:pStyle w:val="BodyText"/>
        <w:spacing w:line="357" w:lineRule="auto"/>
        <w:ind w:left="154" w:right="1131"/>
        <w:jc w:val="both"/>
      </w:pPr>
      <w:r>
        <w:rPr>
          <w:spacing w:val="-1"/>
        </w:rPr>
        <w:t>（三）该义务的金额能够可靠地计量。预计负债应当按照履行相关现时义务所需支出的最佳估计数进行初</w:t>
      </w:r>
      <w:r>
        <w:rPr>
          <w:spacing w:val="-81"/>
        </w:rPr>
        <w:t> </w:t>
      </w:r>
      <w:r>
        <w:rPr>
          <w:spacing w:val="-81"/>
        </w:rPr>
      </w:r>
      <w:r>
        <w:rPr>
          <w:spacing w:val="-1"/>
        </w:rPr>
        <w:t>始计量。最佳估计数应根据不同的情况计算确定。如公司清偿预计负债所需支出全部或部分预期由第三方</w:t>
      </w:r>
      <w:r>
        <w:rPr>
          <w:spacing w:val="-81"/>
        </w:rPr>
        <w:t> </w:t>
      </w:r>
      <w:r>
        <w:rPr>
          <w:spacing w:val="-81"/>
        </w:rPr>
      </w:r>
      <w:r>
        <w:rPr>
          <w:spacing w:val="-1"/>
        </w:rPr>
        <w:t>补偿的，补偿金额在基本确定能够收到时作为资产单独确认，不得冲预计负债，且不应当超过预计负债的</w:t>
      </w:r>
      <w:r>
        <w:rPr>
          <w:spacing w:val="-83"/>
        </w:rPr>
        <w:t> </w:t>
      </w:r>
      <w:r>
        <w:rPr>
          <w:spacing w:val="-83"/>
        </w:rPr>
      </w:r>
      <w:r>
        <w:rPr/>
        <w:t>账面价值。</w:t>
      </w:r>
    </w:p>
    <w:p>
      <w:pPr>
        <w:pStyle w:val="BodyText"/>
        <w:spacing w:line="355" w:lineRule="auto" w:before="31"/>
        <w:ind w:left="575" w:right="1017"/>
        <w:jc w:val="left"/>
      </w:pPr>
      <w:r>
        <w:rPr/>
        <w:t>（</w:t>
      </w:r>
      <w:r>
        <w:rPr>
          <w:rFonts w:ascii="宋体" w:hAnsi="宋体" w:cs="宋体" w:eastAsia="宋体" w:hint="default"/>
        </w:rPr>
        <w:t>2</w:t>
      </w:r>
      <w:r>
        <w:rPr/>
        <w:t>）预计负债的计量方法 </w:t>
      </w:r>
      <w:r>
        <w:rPr>
          <w:spacing w:val="-1"/>
        </w:rPr>
        <w:t>预计负债按照履行现时义务所需支出的最佳估计数进行初始计量。所需支出存在一个连续范围，且该</w:t>
      </w:r>
    </w:p>
    <w:p>
      <w:pPr>
        <w:pStyle w:val="BodyText"/>
        <w:spacing w:line="355" w:lineRule="auto" w:before="33"/>
        <w:ind w:left="154" w:right="1131"/>
        <w:jc w:val="both"/>
      </w:pPr>
      <w:r>
        <w:rPr>
          <w:spacing w:val="-1"/>
        </w:rPr>
        <w:t>范围内各种结果发生的可能性相同的最佳估计数按该范围的中间值确定；在其他情况下，最佳估计数按如</w:t>
      </w:r>
      <w:r>
        <w:rPr>
          <w:spacing w:val="-81"/>
        </w:rPr>
        <w:t> </w:t>
      </w:r>
      <w:r>
        <w:rPr>
          <w:spacing w:val="-81"/>
        </w:rPr>
      </w:r>
      <w:r>
        <w:rPr/>
        <w:t>下方法确定：</w:t>
      </w:r>
    </w:p>
    <w:p>
      <w:pPr>
        <w:pStyle w:val="BodyText"/>
        <w:spacing w:line="240" w:lineRule="auto" w:before="33"/>
        <w:ind w:left="575" w:right="1017"/>
        <w:jc w:val="left"/>
      </w:pPr>
      <w:r>
        <w:rPr/>
        <w:t>①或有事项涉及单个项目时，最佳估计数按最可能发生金额确定。</w:t>
      </w:r>
    </w:p>
    <w:p>
      <w:pPr>
        <w:pStyle w:val="BodyText"/>
        <w:spacing w:line="357" w:lineRule="auto" w:before="133"/>
        <w:ind w:left="154" w:right="1092" w:firstLine="421"/>
        <w:jc w:val="left"/>
      </w:pPr>
      <w:r>
        <w:rPr/>
        <w:t>②或有事项涉及多个项目时，最佳估计数按各种可能发生金额及其发生概率计算确定。 公司清偿预计负债所需支出全部或部分预期由第三方或其他方补偿的，则补偿金额在基本确定能收到时， 作为资产单独确认。确认的补偿金额不超过所确认预计负债的账面价值。</w:t>
      </w:r>
    </w:p>
    <w:p>
      <w:pPr>
        <w:pStyle w:val="BodyText"/>
        <w:spacing w:line="357" w:lineRule="auto"/>
        <w:ind w:left="154" w:right="1017" w:firstLine="421"/>
        <w:jc w:val="left"/>
      </w:pPr>
      <w:r>
        <w:rPr>
          <w:spacing w:val="-1"/>
        </w:rPr>
        <w:t>公司资产负债表日对预计负债账面价值进行复核，有确凿证据表明该账面价值不能真实反映当前最佳</w:t>
      </w:r>
      <w:r>
        <w:rPr/>
        <w:t> 估计数，按照当前最佳估计数对该账面价值进行调整。</w:t>
      </w:r>
    </w:p>
    <w:p>
      <w:pPr>
        <w:spacing w:after="0" w:line="357" w:lineRule="auto"/>
        <w:jc w:val="left"/>
        <w:sectPr>
          <w:footerReference w:type="default" r:id="rId14"/>
          <w:pgSz w:w="11910" w:h="16840"/>
          <w:pgMar w:footer="1019" w:header="877" w:top="1100" w:bottom="1200" w:left="980" w:right="0"/>
          <w:pgNumType w:start="101"/>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bookmarkStart w:name="22、股份支付" w:id="199"/>
      <w:bookmarkEnd w:id="199"/>
      <w:r>
        <w:rPr>
          <w:b w:val="0"/>
          <w:bCs w:val="0"/>
        </w:rPr>
      </w:r>
      <w:r>
        <w:rPr>
          <w:rFonts w:ascii="Times New Roman" w:hAnsi="Times New Roman" w:cs="Times New Roman" w:eastAsia="Times New Roman" w:hint="default"/>
        </w:rPr>
        <w:t>22</w:t>
      </w:r>
      <w:r>
        <w:rPr/>
        <w:t>、股份支付</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left="575" w:right="5291" w:hanging="27"/>
        <w:jc w:val="left"/>
      </w:pPr>
      <w:r>
        <w:rPr/>
        <w:t>（</w:t>
      </w:r>
      <w:r>
        <w:rPr>
          <w:rFonts w:ascii="宋体" w:hAnsi="宋体" w:cs="宋体" w:eastAsia="宋体" w:hint="default"/>
        </w:rPr>
        <w:t>1</w:t>
      </w:r>
      <w:r>
        <w:rPr/>
        <w:t>）股份支付的种类 包括以权益结算的股份支付和以现金结算的股份支付。</w:t>
      </w:r>
    </w:p>
    <w:p>
      <w:pPr>
        <w:pStyle w:val="BodyText"/>
        <w:spacing w:line="240" w:lineRule="auto"/>
        <w:ind w:left="575" w:right="1017"/>
        <w:jc w:val="left"/>
      </w:pPr>
      <w:r>
        <w:rPr/>
        <w:t>（</w:t>
      </w:r>
      <w:r>
        <w:rPr>
          <w:rFonts w:ascii="宋体" w:hAnsi="宋体" w:cs="宋体" w:eastAsia="宋体" w:hint="default"/>
        </w:rPr>
        <w:t>2</w:t>
      </w:r>
      <w:r>
        <w:rPr/>
        <w:t>）股份支付的会计处理</w:t>
      </w:r>
    </w:p>
    <w:p>
      <w:pPr>
        <w:pStyle w:val="BodyText"/>
        <w:spacing w:line="357" w:lineRule="auto" w:before="133"/>
        <w:ind w:left="575" w:right="1017"/>
        <w:jc w:val="left"/>
      </w:pPr>
      <w:r>
        <w:rPr/>
        <w:t>①以权益结算的股份支付 </w:t>
      </w:r>
      <w:r>
        <w:rPr>
          <w:spacing w:val="-1"/>
        </w:rPr>
        <w:t>授予后立即可行权的换取职工服务的以权益结算的股份支付，在授予日按照权益工具的公允价值计入</w:t>
      </w:r>
    </w:p>
    <w:p>
      <w:pPr>
        <w:pStyle w:val="BodyText"/>
        <w:spacing w:line="357" w:lineRule="auto"/>
        <w:ind w:right="1024"/>
        <w:jc w:val="left"/>
      </w:pPr>
      <w:r>
        <w:rPr/>
        <w:t>相关成本或费用，相应调整资本公积。完成等待期内的服务或达到规定业绩条件才可行权的换取职工服务 </w:t>
      </w:r>
      <w:r>
        <w:rPr>
          <w:spacing w:val="-3"/>
        </w:rPr>
        <w:t>的以权益结算的股份支付，在等待期内的每个资产负债表日，以对可行权权益工具数量的最佳估计为基础，</w:t>
      </w:r>
      <w:r>
        <w:rPr>
          <w:spacing w:val="-92"/>
        </w:rPr>
        <w:t> </w:t>
      </w:r>
      <w:r>
        <w:rPr>
          <w:spacing w:val="-92"/>
        </w:rPr>
      </w:r>
      <w:r>
        <w:rPr/>
        <w:t>按权益工具授予日的公允价值，将当期取得的服务计入相关成本或费用，相应调整资本公积。</w:t>
      </w:r>
    </w:p>
    <w:p>
      <w:pPr>
        <w:pStyle w:val="BodyText"/>
        <w:spacing w:line="355" w:lineRule="auto" w:before="31"/>
        <w:ind w:right="1131" w:firstLine="421"/>
        <w:jc w:val="both"/>
      </w:pPr>
      <w:r>
        <w:rPr>
          <w:spacing w:val="-1"/>
        </w:rPr>
        <w:t>换取其他方服务的权益结算的股份支付，如果其他方服务的公允价值能够可靠计量的，按照其他方服</w:t>
      </w:r>
      <w:r>
        <w:rPr/>
        <w:t> </w:t>
      </w:r>
      <w:r>
        <w:rPr>
          <w:spacing w:val="-1"/>
        </w:rPr>
        <w:t>务在取得日的公允价值计量；如果其他方服务的公允价值不能可靠计量，但权益工具的公允价值能够可靠</w:t>
      </w:r>
      <w:r>
        <w:rPr>
          <w:spacing w:val="-81"/>
        </w:rPr>
        <w:t> </w:t>
      </w:r>
      <w:r>
        <w:rPr>
          <w:spacing w:val="-81"/>
        </w:rPr>
      </w:r>
      <w:r>
        <w:rPr/>
        <w:t>计量的，按照权益工具在服务取得日的公允价值计量，计入相关成本或费用，相应增加所有者权益。</w:t>
      </w:r>
    </w:p>
    <w:p>
      <w:pPr>
        <w:pStyle w:val="BodyText"/>
        <w:spacing w:line="355" w:lineRule="auto" w:before="33"/>
        <w:ind w:left="575" w:right="1017"/>
        <w:jc w:val="left"/>
      </w:pPr>
      <w:r>
        <w:rPr/>
        <w:t>②以现金结算的股份支付 </w:t>
      </w:r>
      <w:r>
        <w:rPr>
          <w:spacing w:val="-1"/>
        </w:rPr>
        <w:t>授予后立即可行权的换取职工服务的以现金结算的股份支付，在授予日按公司承担负债的公允价值计</w:t>
      </w:r>
    </w:p>
    <w:p>
      <w:pPr>
        <w:pStyle w:val="BodyText"/>
        <w:spacing w:line="357" w:lineRule="auto" w:before="33"/>
        <w:ind w:right="1131"/>
        <w:jc w:val="both"/>
      </w:pPr>
      <w:r>
        <w:rPr>
          <w:spacing w:val="-1"/>
        </w:rPr>
        <w:t>入相关成本或费用，相应增加负债。完成等待期内的服务或达到规定业绩条件才可行权的换取职工服务的</w:t>
      </w:r>
      <w:r>
        <w:rPr>
          <w:spacing w:val="-81"/>
        </w:rPr>
        <w:t> </w:t>
      </w:r>
      <w:r>
        <w:rPr>
          <w:spacing w:val="-81"/>
        </w:rPr>
      </w:r>
      <w:r>
        <w:rPr>
          <w:spacing w:val="-1"/>
        </w:rPr>
        <w:t>以现金结算的股份支付，在等待期内的每个资产负债表日，以对可行权情况的最佳估计为基础，按公司承</w:t>
      </w:r>
      <w:r>
        <w:rPr>
          <w:spacing w:val="-83"/>
        </w:rPr>
        <w:t> </w:t>
      </w:r>
      <w:r>
        <w:rPr>
          <w:spacing w:val="-83"/>
        </w:rPr>
      </w:r>
      <w:r>
        <w:rPr/>
        <w:t>担负债的公允价值，将当期取得的服务计入相关成本或费用和相应的负债。</w:t>
      </w:r>
    </w:p>
    <w:p>
      <w:pPr>
        <w:pStyle w:val="BodyText"/>
        <w:spacing w:line="240" w:lineRule="auto"/>
        <w:ind w:left="575" w:right="1017"/>
        <w:jc w:val="left"/>
      </w:pPr>
      <w:r>
        <w:rPr/>
        <w:t>（</w:t>
      </w:r>
      <w:r>
        <w:rPr>
          <w:rFonts w:ascii="宋体" w:hAnsi="宋体" w:cs="宋体" w:eastAsia="宋体" w:hint="default"/>
        </w:rPr>
        <w:t>3</w:t>
      </w:r>
      <w:r>
        <w:rPr/>
        <w:t>）权益工具公允价值的确定方法</w:t>
      </w:r>
    </w:p>
    <w:p>
      <w:pPr>
        <w:pStyle w:val="BodyText"/>
        <w:spacing w:line="240" w:lineRule="auto" w:before="133"/>
        <w:ind w:left="575" w:right="1017"/>
        <w:jc w:val="left"/>
      </w:pPr>
      <w:r>
        <w:rPr/>
        <w:t>①存在活跃市场的，按照活跃市场中的报价确定。</w:t>
      </w:r>
    </w:p>
    <w:p>
      <w:pPr>
        <w:pStyle w:val="BodyText"/>
        <w:spacing w:line="357" w:lineRule="auto" w:before="134"/>
        <w:ind w:right="1017" w:firstLine="421"/>
        <w:jc w:val="left"/>
      </w:pPr>
      <w:r>
        <w:rPr>
          <w:spacing w:val="-1"/>
        </w:rPr>
        <w:t>②不存在活跃市场的，采用估值技术确定，包括参考熟悉情况并自愿交易的各方最近进行的市场交易</w:t>
      </w:r>
      <w:r>
        <w:rPr/>
        <w:t> 中使用的价格、参照实质上相同的其他金融工具的当前公允价值、现金流量折现法和期权定价模型等。 </w:t>
      </w:r>
      <w:r>
        <w:rPr>
          <w:spacing w:val="-1"/>
        </w:rPr>
        <w:t>可行权权益工具最佳估计数是根据最新取得的可行权职工数变动等后续信息进行估计，修正预计可行权的</w:t>
      </w:r>
      <w:r>
        <w:rPr>
          <w:spacing w:val="-81"/>
        </w:rPr>
        <w:t> </w:t>
      </w:r>
      <w:r>
        <w:rPr>
          <w:spacing w:val="-81"/>
        </w:rPr>
      </w:r>
      <w:r>
        <w:rPr/>
        <w:t>权益工具数量。在可行权日，最终预计可行权权益工具的数量与实际可行权数量一致。</w:t>
      </w:r>
    </w:p>
    <w:p>
      <w:pPr>
        <w:pStyle w:val="BodyText"/>
        <w:spacing w:line="355" w:lineRule="auto" w:before="31"/>
        <w:ind w:left="575" w:right="1017"/>
        <w:jc w:val="left"/>
      </w:pPr>
      <w:r>
        <w:rPr/>
        <w:t>（</w:t>
      </w:r>
      <w:r>
        <w:rPr>
          <w:rFonts w:ascii="宋体" w:hAnsi="宋体" w:cs="宋体" w:eastAsia="宋体" w:hint="default"/>
        </w:rPr>
        <w:t>4</w:t>
      </w:r>
      <w:r>
        <w:rPr/>
        <w:t>）修改、终止股份支付计划的相关会计处理 </w:t>
      </w:r>
      <w:r>
        <w:rPr>
          <w:spacing w:val="-1"/>
        </w:rPr>
        <w:t>如果修改增加了所授予的权益工具的公允价值，公司按照权益工具公允价值的增加相应地确认取得服</w:t>
      </w:r>
    </w:p>
    <w:p>
      <w:pPr>
        <w:pStyle w:val="BodyText"/>
        <w:spacing w:line="357" w:lineRule="auto" w:before="32"/>
        <w:ind w:left="154" w:right="1131"/>
        <w:jc w:val="both"/>
      </w:pPr>
      <w:r>
        <w:rPr>
          <w:spacing w:val="-1"/>
        </w:rPr>
        <w:t>务的增加；如果修改增加了所授予的权益工具的数量，公司将增加的权益工具的公允价值相应地确认为取</w:t>
      </w:r>
      <w:r>
        <w:rPr>
          <w:spacing w:val="-81"/>
        </w:rPr>
        <w:t> </w:t>
      </w:r>
      <w:r>
        <w:rPr>
          <w:spacing w:val="-81"/>
        </w:rPr>
      </w:r>
      <w:r>
        <w:rPr>
          <w:spacing w:val="-1"/>
        </w:rPr>
        <w:t>得服务的增加；如果公司按照有利于职工的方式修改可行权条件，公司在处理可行权条件时，考虑修改后</w:t>
      </w:r>
      <w:r>
        <w:rPr>
          <w:spacing w:val="-83"/>
        </w:rPr>
        <w:t> </w:t>
      </w:r>
      <w:r>
        <w:rPr>
          <w:spacing w:val="-83"/>
        </w:rPr>
      </w:r>
      <w:r>
        <w:rPr/>
        <w:t>的可行权条件。</w:t>
      </w:r>
    </w:p>
    <w:p>
      <w:pPr>
        <w:pStyle w:val="BodyText"/>
        <w:spacing w:line="357" w:lineRule="auto" w:before="31"/>
        <w:ind w:left="154" w:right="1131" w:firstLine="421"/>
        <w:jc w:val="both"/>
      </w:pPr>
      <w:r>
        <w:rPr>
          <w:spacing w:val="-1"/>
        </w:rPr>
        <w:t>如果修改减少了授予的权益工具的公允价值，公司继续以权益工具在授予日的公允价值为基础，确认</w:t>
      </w:r>
      <w:r>
        <w:rPr/>
        <w:t> </w:t>
      </w:r>
      <w:r>
        <w:rPr>
          <w:spacing w:val="-1"/>
        </w:rPr>
        <w:t>取得服务的金额，而不考虑权益工具公允价值的减少；如果修改减少了授予的权益工具的数量，公司将减</w:t>
      </w:r>
      <w:r>
        <w:rPr>
          <w:spacing w:val="-83"/>
        </w:rPr>
        <w:t> </w:t>
      </w:r>
      <w:r>
        <w:rPr>
          <w:spacing w:val="-83"/>
        </w:rPr>
      </w:r>
      <w:r>
        <w:rPr>
          <w:spacing w:val="-1"/>
        </w:rPr>
        <w:t>少部分作为已授予的权益工具的取消来进行处理；如果以不利于职工的方式修改了可行权条件，在处理可</w:t>
      </w:r>
      <w:r>
        <w:rPr>
          <w:spacing w:val="-81"/>
        </w:rPr>
        <w:t> </w:t>
      </w:r>
      <w:r>
        <w:rPr>
          <w:spacing w:val="-81"/>
        </w:rPr>
      </w:r>
      <w:r>
        <w:rPr/>
        <w:t>行权条件时，不考虑修改后的可行权条件。</w:t>
      </w:r>
    </w:p>
    <w:p>
      <w:pPr>
        <w:pStyle w:val="BodyText"/>
        <w:spacing w:line="240" w:lineRule="auto"/>
        <w:ind w:left="575" w:right="1017"/>
        <w:jc w:val="left"/>
      </w:pPr>
      <w:r>
        <w:rPr/>
        <w:t>如果公司在等待期内取消了所授予的权益工具或结算了所授予的权益工具（因未满足可行权条件而被</w:t>
      </w:r>
    </w:p>
    <w:p>
      <w:pPr>
        <w:spacing w:after="0" w:line="240" w:lineRule="auto"/>
        <w:jc w:val="left"/>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240" w:lineRule="auto" w:before="35"/>
        <w:ind w:left="154" w:right="1017"/>
        <w:jc w:val="left"/>
      </w:pPr>
      <w:r>
        <w:rPr/>
        <w:t>取消的除外），则将取消或结算作为加速可行权处理，立即确认原本在剩余等待期内确认的金额。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3"/>
        <w:spacing w:line="240" w:lineRule="auto"/>
        <w:ind w:left="153" w:right="1017"/>
        <w:jc w:val="left"/>
        <w:rPr>
          <w:b w:val="0"/>
          <w:bCs w:val="0"/>
        </w:rPr>
      </w:pPr>
      <w:bookmarkStart w:name="23、收入" w:id="200"/>
      <w:bookmarkEnd w:id="200"/>
      <w:r>
        <w:rPr>
          <w:b w:val="0"/>
          <w:bCs w:val="0"/>
        </w:rPr>
      </w:r>
      <w:r>
        <w:rPr>
          <w:rFonts w:ascii="Times New Roman" w:hAnsi="Times New Roman" w:cs="Times New Roman" w:eastAsia="Times New Roman" w:hint="default"/>
        </w:rPr>
        <w:t>23</w:t>
      </w:r>
      <w:r>
        <w:rPr/>
        <w:t>、收入</w:t>
      </w:r>
      <w:r>
        <w:rPr>
          <w:b w:val="0"/>
          <w:bCs w:val="0"/>
        </w:rPr>
      </w:r>
    </w:p>
    <w:p>
      <w:pPr>
        <w:spacing w:line="240" w:lineRule="auto" w:before="3"/>
        <w:rPr>
          <w:rFonts w:ascii="宋体" w:hAnsi="宋体" w:cs="宋体" w:eastAsia="宋体" w:hint="default"/>
          <w:b/>
          <w:bCs/>
          <w:sz w:val="23"/>
          <w:szCs w:val="23"/>
        </w:rPr>
      </w:pPr>
    </w:p>
    <w:p>
      <w:pPr>
        <w:pStyle w:val="BodyText"/>
        <w:spacing w:line="355" w:lineRule="auto" w:before="0"/>
        <w:ind w:left="575" w:right="1017"/>
        <w:jc w:val="left"/>
      </w:pPr>
      <w:r>
        <w:rPr/>
        <w:t>（</w:t>
      </w:r>
      <w:r>
        <w:rPr>
          <w:rFonts w:ascii="宋体" w:hAnsi="宋体" w:cs="宋体" w:eastAsia="宋体" w:hint="default"/>
        </w:rPr>
        <w:t>1</w:t>
      </w:r>
      <w:r>
        <w:rPr/>
        <w:t>）销售商品收入 </w:t>
      </w:r>
      <w:r>
        <w:rPr>
          <w:spacing w:val="-1"/>
        </w:rPr>
        <w:t>在已将商品所有权上的重要风险和报酬转移给购货方，本公司不再对该商品实施继续管理权和实际控</w:t>
      </w:r>
    </w:p>
    <w:p>
      <w:pPr>
        <w:pStyle w:val="BodyText"/>
        <w:spacing w:line="357" w:lineRule="auto" w:before="32"/>
        <w:ind w:left="154" w:right="1017"/>
        <w:jc w:val="left"/>
      </w:pPr>
      <w:r>
        <w:rPr>
          <w:spacing w:val="-1"/>
        </w:rPr>
        <w:t>制权，相关的收入已经收到或取得了收款的凭据，并且与销售该商品的成本能够可靠的计量时，确认收入</w:t>
      </w:r>
      <w:r>
        <w:rPr>
          <w:spacing w:val="-83"/>
        </w:rPr>
        <w:t> </w:t>
      </w:r>
      <w:r>
        <w:rPr>
          <w:spacing w:val="-83"/>
        </w:rPr>
      </w:r>
      <w:r>
        <w:rPr/>
        <w:t>的实现。主要交易方式的具体销售确认的时间为：</w:t>
      </w:r>
    </w:p>
    <w:p>
      <w:pPr>
        <w:pStyle w:val="BodyText"/>
        <w:spacing w:line="357" w:lineRule="auto"/>
        <w:ind w:left="154" w:right="1017" w:firstLine="421"/>
        <w:jc w:val="left"/>
      </w:pPr>
      <w:r>
        <w:rPr>
          <w:spacing w:val="-1"/>
        </w:rPr>
        <w:t>①以离岸价（</w:t>
      </w:r>
      <w:r>
        <w:rPr>
          <w:rFonts w:ascii="宋体" w:hAnsi="宋体" w:cs="宋体" w:eastAsia="宋体" w:hint="default"/>
          <w:spacing w:val="-1"/>
        </w:rPr>
        <w:t>FOB</w:t>
      </w:r>
      <w:r>
        <w:rPr>
          <w:spacing w:val="-1"/>
        </w:rPr>
        <w:t>）、成本加运费（</w:t>
      </w:r>
      <w:r>
        <w:rPr>
          <w:rFonts w:ascii="宋体" w:hAnsi="宋体" w:cs="宋体" w:eastAsia="宋体" w:hint="default"/>
          <w:spacing w:val="-1"/>
        </w:rPr>
        <w:t>CNF</w:t>
      </w:r>
      <w:r>
        <w:rPr>
          <w:spacing w:val="-1"/>
        </w:rPr>
        <w:t>）结算的出口销售，以在合同规定的装运港将货物装箱上船并</w:t>
      </w:r>
      <w:r>
        <w:rPr/>
        <w:t> 船只越过船舷时的时间为收入确认时点；</w:t>
      </w:r>
    </w:p>
    <w:p>
      <w:pPr>
        <w:pStyle w:val="BodyText"/>
        <w:spacing w:line="240" w:lineRule="auto"/>
        <w:ind w:left="575" w:right="0"/>
        <w:jc w:val="left"/>
      </w:pPr>
      <w:r>
        <w:rPr/>
        <w:t>②以到岸价（</w:t>
      </w:r>
      <w:r>
        <w:rPr>
          <w:rFonts w:ascii="宋体" w:hAnsi="宋体" w:cs="宋体" w:eastAsia="宋体" w:hint="default"/>
        </w:rPr>
        <w:t>CIF</w:t>
      </w:r>
      <w:r>
        <w:rPr/>
        <w:t>）结算的出口销售，以货物越过在合同规定的目的港的船舷的时间为收入确认时点；</w:t>
      </w:r>
    </w:p>
    <w:p>
      <w:pPr>
        <w:pStyle w:val="BodyText"/>
        <w:spacing w:line="240" w:lineRule="auto" w:before="134"/>
        <w:ind w:left="575" w:right="1017"/>
        <w:jc w:val="left"/>
      </w:pPr>
      <w:r>
        <w:rPr/>
        <w:t>③国内销售部分按转移商品所有权凭证或交付实物的时间为收入确认时点。</w:t>
      </w:r>
    </w:p>
    <w:p>
      <w:pPr>
        <w:pStyle w:val="BodyText"/>
        <w:spacing w:line="355" w:lineRule="auto" w:before="133"/>
        <w:ind w:left="575" w:right="1017"/>
        <w:jc w:val="left"/>
      </w:pPr>
      <w:r>
        <w:rPr/>
        <w:t>（</w:t>
      </w:r>
      <w:r>
        <w:rPr>
          <w:rFonts w:ascii="宋体" w:hAnsi="宋体" w:cs="宋体" w:eastAsia="宋体" w:hint="default"/>
        </w:rPr>
        <w:t>2</w:t>
      </w:r>
      <w:r>
        <w:rPr/>
        <w:t>）提供劳务收入 </w:t>
      </w:r>
      <w:r>
        <w:rPr>
          <w:spacing w:val="-1"/>
        </w:rPr>
        <w:t>对在同一会计年度内开始并完成的劳务，于完成劳务时确认收入；如果劳务的开始和完成分属不同的</w:t>
      </w:r>
    </w:p>
    <w:p>
      <w:pPr>
        <w:pStyle w:val="BodyText"/>
        <w:spacing w:line="240" w:lineRule="auto" w:before="33"/>
        <w:ind w:left="154" w:right="0"/>
        <w:jc w:val="left"/>
      </w:pPr>
      <w:r>
        <w:rPr>
          <w:spacing w:val="-3"/>
        </w:rPr>
        <w:t>会计年度，则在提供劳务交易的结果能够可靠估计的情况下，于期末按完工百分比法确认相关的劳务收入。</w:t>
      </w:r>
    </w:p>
    <w:p>
      <w:pPr>
        <w:pStyle w:val="BodyText"/>
        <w:spacing w:line="357" w:lineRule="auto" w:before="133"/>
        <w:ind w:left="575" w:right="5501"/>
        <w:jc w:val="left"/>
      </w:pPr>
      <w:r>
        <w:rPr/>
        <w:t>（</w:t>
      </w:r>
      <w:r>
        <w:rPr>
          <w:rFonts w:ascii="宋体" w:hAnsi="宋体" w:cs="宋体" w:eastAsia="宋体" w:hint="default"/>
        </w:rPr>
        <w:t>3</w:t>
      </w:r>
      <w:r>
        <w:rPr/>
        <w:t>）让渡资产使用权收入 让渡资产使用权收入包括利息收入和使用费收入等；</w:t>
      </w:r>
    </w:p>
    <w:p>
      <w:pPr>
        <w:pStyle w:val="BodyText"/>
        <w:spacing w:line="357" w:lineRule="auto"/>
        <w:ind w:right="1017" w:firstLine="421"/>
        <w:jc w:val="left"/>
      </w:pPr>
      <w:r>
        <w:rPr>
          <w:spacing w:val="-1"/>
        </w:rPr>
        <w:t>利息收入金额，按照他人使用本公司货币资金的时间和实际利率计算确定；使用费收入金额，按照有</w:t>
      </w:r>
      <w:r>
        <w:rPr/>
        <w:t> 关合同或协议约定的收费时间和方法计算确定。</w:t>
      </w:r>
    </w:p>
    <w:p>
      <w:pPr>
        <w:pStyle w:val="BodyText"/>
        <w:spacing w:line="355" w:lineRule="auto"/>
        <w:ind w:left="575" w:right="1017"/>
        <w:jc w:val="left"/>
      </w:pPr>
      <w:r>
        <w:rPr/>
        <w:t>（</w:t>
      </w:r>
      <w:r>
        <w:rPr>
          <w:rFonts w:ascii="宋体" w:hAnsi="宋体" w:cs="宋体" w:eastAsia="宋体" w:hint="default"/>
        </w:rPr>
        <w:t>4</w:t>
      </w:r>
      <w:r>
        <w:rPr/>
        <w:t>）建造合同收入 </w:t>
      </w:r>
      <w:r>
        <w:rPr>
          <w:spacing w:val="-1"/>
        </w:rPr>
        <w:t>依据《企业会计准则－建造合同》的规定，本公司的建造合同收入确认原则为完工百分比法。完工百</w:t>
      </w:r>
    </w:p>
    <w:p>
      <w:pPr>
        <w:pStyle w:val="BodyText"/>
        <w:spacing w:line="240" w:lineRule="auto" w:before="33"/>
        <w:ind w:left="154" w:right="1017"/>
        <w:jc w:val="left"/>
      </w:pPr>
      <w:r>
        <w:rPr/>
        <w:t>分比法是指根据合同完工进度确认合同收入和费用的方法。具体原则为：</w:t>
      </w:r>
    </w:p>
    <w:p>
      <w:pPr>
        <w:pStyle w:val="BodyText"/>
        <w:spacing w:line="357" w:lineRule="auto" w:before="133"/>
        <w:ind w:left="575" w:right="4031"/>
        <w:jc w:val="left"/>
      </w:pPr>
      <w:r>
        <w:rPr/>
        <w:t>①建造合同收入，按下列条件均能满足时按完工百分比法予以确认： 合同总收入能够可靠地计量； 与合同相关的经济利益很可能流入企业； 实际发生的合同成本能够清楚地区分和可靠地计量； 合同完工进度和为完成合同尚需发生的成本能够可靠地确定。</w:t>
      </w:r>
    </w:p>
    <w:p>
      <w:pPr>
        <w:pStyle w:val="BodyText"/>
        <w:spacing w:line="357" w:lineRule="auto"/>
        <w:ind w:left="575" w:right="1017"/>
        <w:jc w:val="left"/>
      </w:pPr>
      <w:r>
        <w:rPr/>
        <w:t>②完工百分比计算办法和建造工程收入确认原则 建造工程的完工进度</w:t>
      </w:r>
      <w:r>
        <w:rPr>
          <w:rFonts w:ascii="宋体" w:hAnsi="宋体" w:cs="宋体" w:eastAsia="宋体" w:hint="default"/>
        </w:rPr>
        <w:t>=</w:t>
      </w:r>
      <w:r>
        <w:rPr/>
        <w:t>已完成的合同工作量</w:t>
      </w:r>
      <w:r>
        <w:rPr>
          <w:rFonts w:ascii="宋体" w:hAnsi="宋体" w:cs="宋体" w:eastAsia="宋体" w:hint="default"/>
        </w:rPr>
        <w:t>/</w:t>
      </w:r>
      <w:r>
        <w:rPr/>
        <w:t>合同预计总工作量×</w:t>
      </w:r>
      <w:r>
        <w:rPr>
          <w:rFonts w:ascii="宋体" w:hAnsi="宋体" w:cs="宋体" w:eastAsia="宋体" w:hint="default"/>
        </w:rPr>
        <w:t>100% </w:t>
      </w:r>
      <w:r>
        <w:rPr/>
        <w:t>建造工程项目已完成的工作量主要是以监理或甲方签字认可的工作量为依据来确认。 </w:t>
      </w:r>
      <w:r>
        <w:rPr>
          <w:spacing w:val="-1"/>
        </w:rPr>
        <w:t>建造工程项目预计的总工作量根据建造工程预算资料合理预计，建造工程预算资料是由达实智能工程</w:t>
      </w:r>
    </w:p>
    <w:p>
      <w:pPr>
        <w:pStyle w:val="BodyText"/>
        <w:spacing w:line="357" w:lineRule="auto"/>
        <w:ind w:left="575" w:right="4663" w:hanging="422"/>
        <w:jc w:val="left"/>
      </w:pPr>
      <w:r>
        <w:rPr/>
        <w:t>预算部门按工程合同约定的工程材料和工程量等进行计算、编制。 建造工程收入确认原则：</w:t>
      </w:r>
    </w:p>
    <w:p>
      <w:pPr>
        <w:pStyle w:val="BodyText"/>
        <w:spacing w:line="355" w:lineRule="auto"/>
        <w:ind w:left="575" w:right="1196"/>
        <w:jc w:val="left"/>
      </w:pPr>
      <w:r>
        <w:rPr/>
        <w:t>未完工结算建造工程的工程收入</w:t>
      </w:r>
      <w:r>
        <w:rPr>
          <w:rFonts w:ascii="宋体" w:hAnsi="宋体" w:cs="宋体" w:eastAsia="宋体" w:hint="default"/>
        </w:rPr>
        <w:t>=</w:t>
      </w:r>
      <w:r>
        <w:rPr/>
        <w:t>完工进度×合同总收入－以前会计年度累计已确认的工程收入 已完工结算建造工程的工程收入</w:t>
      </w:r>
      <w:r>
        <w:rPr>
          <w:rFonts w:ascii="宋体" w:hAnsi="宋体" w:cs="宋体" w:eastAsia="宋体" w:hint="default"/>
        </w:rPr>
        <w:t>=</w:t>
      </w:r>
      <w:r>
        <w:rPr/>
        <w:t>结算收入（或已全额结算收入）－以前会计年度累计已确认的工程</w:t>
      </w:r>
    </w:p>
    <w:p>
      <w:pPr>
        <w:spacing w:after="0" w:line="355" w:lineRule="auto"/>
        <w:jc w:val="left"/>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240" w:lineRule="auto" w:before="35"/>
        <w:ind w:left="154" w:right="1017"/>
        <w:jc w:val="left"/>
      </w:pPr>
      <w:r>
        <w:rPr/>
        <w:t>收入</w:t>
      </w:r>
    </w:p>
    <w:p>
      <w:pPr>
        <w:pStyle w:val="BodyText"/>
        <w:spacing w:line="240" w:lineRule="auto" w:before="133"/>
        <w:ind w:left="575" w:right="1017"/>
        <w:jc w:val="left"/>
      </w:pPr>
      <w:r>
        <w:rPr/>
        <w:t>③如果建造合同的结果不能可靠地估计，且合同成本能够收回的，合同收入根据能够收回的实际合同</w:t>
      </w:r>
    </w:p>
    <w:p>
      <w:pPr>
        <w:pStyle w:val="BodyText"/>
        <w:spacing w:line="357" w:lineRule="auto" w:before="134"/>
        <w:ind w:left="154" w:right="1017"/>
        <w:jc w:val="left"/>
      </w:pPr>
      <w:r>
        <w:rPr>
          <w:spacing w:val="-1"/>
        </w:rPr>
        <w:t>成本加以确认，合同成本在其发生的当期确认为合同费用；合同成本不能收回的，于发生时立即确认为费</w:t>
      </w:r>
      <w:r>
        <w:rPr>
          <w:spacing w:val="-83"/>
        </w:rPr>
        <w:t> </w:t>
      </w:r>
      <w:r>
        <w:rPr>
          <w:spacing w:val="-83"/>
        </w:rPr>
      </w:r>
      <w:r>
        <w:rPr/>
        <w:t>用，不确认收入。</w:t>
      </w:r>
    </w:p>
    <w:p>
      <w:pPr>
        <w:pStyle w:val="BodyText"/>
        <w:spacing w:line="240" w:lineRule="auto" w:before="31"/>
        <w:ind w:left="575" w:right="1017"/>
        <w:jc w:val="left"/>
      </w:pPr>
      <w:r>
        <w:rPr/>
        <w:t>④如果合同预计总成本将超过合同预计总收入，超过部分作为预计损失立即计入当期费用。</w:t>
      </w:r>
    </w:p>
    <w:p>
      <w:pPr>
        <w:pStyle w:val="BodyText"/>
        <w:spacing w:line="357" w:lineRule="auto" w:before="133"/>
        <w:ind w:left="575" w:right="1017"/>
        <w:jc w:val="left"/>
      </w:pPr>
      <w:r>
        <w:rPr/>
        <w:t>（</w:t>
      </w:r>
      <w:r>
        <w:rPr>
          <w:rFonts w:ascii="宋体" w:hAnsi="宋体" w:cs="宋体" w:eastAsia="宋体" w:hint="default"/>
        </w:rPr>
        <w:t>5</w:t>
      </w:r>
      <w:r>
        <w:rPr/>
        <w:t>）节能服务合同业务收入 </w:t>
      </w:r>
      <w:r>
        <w:rPr>
          <w:spacing w:val="-1"/>
        </w:rPr>
        <w:t>节能服务合同业务基本情况：公司利用自身技术，通过为客户节约能源，获得节能分成来达到盈利目</w:t>
      </w:r>
    </w:p>
    <w:p>
      <w:pPr>
        <w:pStyle w:val="BodyText"/>
        <w:spacing w:line="357" w:lineRule="auto"/>
        <w:ind w:left="154" w:right="1110"/>
        <w:jc w:val="both"/>
      </w:pPr>
      <w:r>
        <w:rPr>
          <w:spacing w:val="-1"/>
        </w:rPr>
        <w:t>的；项目服务期通常为</w:t>
      </w:r>
      <w:r>
        <w:rPr>
          <w:rFonts w:ascii="宋体" w:hAnsi="宋体" w:cs="宋体" w:eastAsia="宋体" w:hint="default"/>
          <w:spacing w:val="-1"/>
        </w:rPr>
        <w:t>3-15</w:t>
      </w:r>
      <w:r>
        <w:rPr>
          <w:spacing w:val="-1"/>
        </w:rPr>
        <w:t>年；在经营过程中，公司为节能项目提供相应的设备；在经营期间，相应设备</w:t>
      </w:r>
      <w:r>
        <w:rPr>
          <w:spacing w:val="-83"/>
        </w:rPr>
        <w:t> </w:t>
      </w:r>
      <w:r>
        <w:rPr>
          <w:spacing w:val="-83"/>
        </w:rPr>
      </w:r>
      <w:r>
        <w:rPr>
          <w:spacing w:val="-1"/>
        </w:rPr>
        <w:t>由客户代为保管；在项目进行过程中，公司为客户提供相关节能的服务；在项目结束后，公司会将相应设</w:t>
      </w:r>
      <w:r>
        <w:rPr>
          <w:spacing w:val="-85"/>
        </w:rPr>
        <w:t> </w:t>
      </w:r>
      <w:r>
        <w:rPr>
          <w:spacing w:val="-85"/>
        </w:rPr>
      </w:r>
      <w:r>
        <w:rPr/>
        <w:t>备转移给其客户，不再另行收费；在项目结束后，客户如需后续服务，公司会予以提供，但需另行收费。 </w:t>
      </w:r>
      <w:r>
        <w:rPr>
          <w:spacing w:val="-1"/>
        </w:rPr>
        <w:t>节能服务合同业务收入在满足收入确认条件时按双方约定的节能效果来计算确定，公司用于节能项目的设</w:t>
      </w:r>
      <w:r>
        <w:rPr>
          <w:spacing w:val="-81"/>
        </w:rPr>
        <w:t> </w:t>
      </w:r>
      <w:r>
        <w:rPr>
          <w:spacing w:val="-81"/>
        </w:rPr>
      </w:r>
      <w:r>
        <w:rPr>
          <w:spacing w:val="-1"/>
        </w:rPr>
        <w:t>备作为固定资产处理，使用寿命按项目期确定，计提折旧的年限按项目主要受益期确定，计提的折旧记入</w:t>
      </w:r>
      <w:r>
        <w:rPr>
          <w:spacing w:val="-83"/>
        </w:rPr>
        <w:t> </w:t>
      </w:r>
      <w:r>
        <w:rPr>
          <w:spacing w:val="-83"/>
        </w:rPr>
      </w:r>
      <w:r>
        <w:rPr/>
        <w:t>节能服务业务成本，与节能服务相关的费用记入当期费用。</w:t>
      </w:r>
    </w:p>
    <w:p>
      <w:pPr>
        <w:pStyle w:val="BodyText"/>
        <w:spacing w:line="355" w:lineRule="auto" w:before="31"/>
        <w:ind w:left="154" w:right="1196" w:firstLine="421"/>
        <w:jc w:val="left"/>
      </w:pPr>
      <w:r>
        <w:rPr/>
        <w:t>（</w:t>
      </w:r>
      <w:r>
        <w:rPr>
          <w:rFonts w:ascii="宋体" w:hAnsi="宋体" w:cs="宋体" w:eastAsia="宋体" w:hint="default"/>
        </w:rPr>
        <w:t>6</w:t>
      </w:r>
      <w:r>
        <w:rPr/>
        <w:t>）租赁收入：租赁服务费收入按照合同约定确认收入，租息收入以天为基数按照权责发生制原则 计入当月收入。</w:t>
      </w:r>
    </w:p>
    <w:p>
      <w:pPr>
        <w:spacing w:line="240" w:lineRule="auto" w:before="13"/>
        <w:rPr>
          <w:rFonts w:ascii="宋体" w:hAnsi="宋体" w:cs="宋体" w:eastAsia="宋体" w:hint="default"/>
          <w:sz w:val="26"/>
          <w:szCs w:val="26"/>
        </w:rPr>
      </w:pPr>
    </w:p>
    <w:p>
      <w:pPr>
        <w:pStyle w:val="Heading3"/>
        <w:spacing w:line="240" w:lineRule="auto"/>
        <w:ind w:right="1017"/>
        <w:jc w:val="left"/>
        <w:rPr>
          <w:b w:val="0"/>
          <w:bCs w:val="0"/>
        </w:rPr>
      </w:pPr>
      <w:bookmarkStart w:name="24、政府补助" w:id="201"/>
      <w:bookmarkEnd w:id="201"/>
      <w:r>
        <w:rPr>
          <w:b w:val="0"/>
          <w:bCs w:val="0"/>
        </w:rPr>
      </w:r>
      <w:r>
        <w:rPr>
          <w:rFonts w:ascii="Times New Roman" w:hAnsi="Times New Roman" w:cs="Times New Roman" w:eastAsia="Times New Roman" w:hint="default"/>
        </w:rPr>
        <w:t>24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7"/>
        <w:jc w:val="left"/>
        <w:rPr>
          <w:b w:val="0"/>
          <w:bCs w:val="0"/>
        </w:rPr>
      </w:pPr>
      <w:bookmarkStart w:name="（1）与资产相关的政府补助判断依据及会计处理方法" w:id="202"/>
      <w:bookmarkEnd w:id="202"/>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left="575" w:right="1301"/>
        <w:jc w:val="left"/>
      </w:pPr>
      <w:r>
        <w:rPr/>
        <w:t>①类型 政府补助是指本公司从政府无偿取得货币性资产和非货币性资产，不包括政府作为所有者投入的资</w:t>
      </w:r>
    </w:p>
    <w:p>
      <w:pPr>
        <w:pStyle w:val="BodyText"/>
        <w:spacing w:line="357" w:lineRule="auto" w:before="32"/>
        <w:ind w:right="1017"/>
        <w:jc w:val="left"/>
      </w:pPr>
      <w:r>
        <w:rPr>
          <w:spacing w:val="-1"/>
        </w:rPr>
        <w:t>本。政府补助分为与资产相关的政府补助和与收益相关的政府补助。与资产相关的政府补助，是指企业取</w:t>
      </w:r>
      <w:r>
        <w:rPr>
          <w:spacing w:val="-83"/>
        </w:rPr>
        <w:t> </w:t>
      </w:r>
      <w:r>
        <w:rPr>
          <w:spacing w:val="-83"/>
        </w:rPr>
      </w:r>
      <w:r>
        <w:rPr>
          <w:spacing w:val="-1"/>
        </w:rPr>
        <w:t>得的、用于购建或以其他方式形成的长期资产，包括购买固定资产或无形资产的财政拨款、固定资产专门</w:t>
      </w:r>
      <w:r>
        <w:rPr>
          <w:spacing w:val="-83"/>
        </w:rPr>
        <w:t> </w:t>
      </w:r>
      <w:r>
        <w:rPr>
          <w:spacing w:val="-83"/>
        </w:rPr>
      </w:r>
      <w:r>
        <w:rPr>
          <w:spacing w:val="-1"/>
        </w:rPr>
        <w:t>借款的财政贴息等，但不包括公司合同能源管理对外投资形成的资产。与收益相关的政府补助，是指除与</w:t>
      </w:r>
      <w:r>
        <w:rPr>
          <w:spacing w:val="-83"/>
        </w:rPr>
        <w:t> </w:t>
      </w:r>
      <w:r>
        <w:rPr>
          <w:spacing w:val="-83"/>
        </w:rPr>
      </w:r>
      <w:r>
        <w:rPr>
          <w:spacing w:val="-1"/>
        </w:rPr>
        <w:t>资产相关的政府补助之外的政府补助。若政府文件未明确规定补助对象，则采用以下方式将补助款划分为</w:t>
      </w:r>
      <w:r>
        <w:rPr>
          <w:spacing w:val="-81"/>
        </w:rPr>
        <w:t> </w:t>
      </w:r>
      <w:r>
        <w:rPr>
          <w:spacing w:val="-81"/>
        </w:rPr>
      </w:r>
      <w:r>
        <w:rPr/>
        <w:t>与收益相关的政府补助和与资产相关的政府补助：（</w:t>
      </w:r>
      <w:r>
        <w:rPr>
          <w:rFonts w:ascii="宋体" w:hAnsi="宋体" w:cs="宋体" w:eastAsia="宋体" w:hint="default"/>
        </w:rPr>
        <w:t>1</w:t>
      </w:r>
      <w:r>
        <w:rPr/>
        <w:t>）政府文件明确了补助所针对的特定项目的，根据 </w:t>
      </w:r>
      <w:r>
        <w:rPr>
          <w:spacing w:val="-1"/>
        </w:rPr>
        <w:t>该特定项目的预算中将形成资产的支出金额和计入费用的支出金额的相对比例进行划分，对该划分比例需</w:t>
      </w:r>
      <w:r>
        <w:rPr>
          <w:spacing w:val="-81"/>
        </w:rPr>
        <w:t> </w:t>
      </w:r>
      <w:r>
        <w:rPr>
          <w:spacing w:val="-81"/>
        </w:rPr>
      </w:r>
      <w:r>
        <w:rPr/>
        <w:t>在每个资产负债表日进行复核，必要时进行变更；（</w:t>
      </w:r>
      <w:r>
        <w:rPr>
          <w:rFonts w:ascii="宋体" w:hAnsi="宋体" w:cs="宋体" w:eastAsia="宋体" w:hint="default"/>
        </w:rPr>
        <w:t>2</w:t>
      </w:r>
      <w:r>
        <w:rPr/>
        <w:t>）政府文件中对用途仅作一般性表述，没有指明特 定项目的，作为与收益相关的政府补助。</w:t>
      </w:r>
    </w:p>
    <w:p>
      <w:pPr>
        <w:pStyle w:val="BodyText"/>
        <w:spacing w:line="355" w:lineRule="auto" w:before="31"/>
        <w:ind w:left="574" w:right="4767" w:hanging="105"/>
        <w:jc w:val="left"/>
      </w:pPr>
      <w:r>
        <w:rPr/>
        <w:t>②会计政策 </w:t>
      </w:r>
      <w:r>
        <w:rPr>
          <w:rFonts w:ascii="宋体" w:hAnsi="宋体" w:cs="宋体" w:eastAsia="宋体" w:hint="default"/>
        </w:rPr>
        <w:t>A</w:t>
      </w:r>
      <w:r>
        <w:rPr/>
        <w:t>、与资产相关政府补助和与收益相关政府补助的具体标准：</w:t>
      </w:r>
    </w:p>
    <w:p>
      <w:pPr>
        <w:pStyle w:val="BodyText"/>
        <w:spacing w:line="355" w:lineRule="auto" w:before="34"/>
        <w:ind w:left="154" w:right="1017" w:firstLine="420"/>
        <w:jc w:val="left"/>
      </w:pPr>
      <w:r>
        <w:rPr>
          <w:rFonts w:ascii="宋体" w:hAnsi="宋体" w:cs="宋体" w:eastAsia="宋体" w:hint="default"/>
          <w:spacing w:val="-1"/>
        </w:rPr>
        <w:t>1)</w:t>
      </w:r>
      <w:r>
        <w:rPr>
          <w:spacing w:val="-1"/>
        </w:rPr>
        <w:t>政府补助为货币性资产的，按照收到或应收的金额计量。政府补助为非货币性资产的，按照公允价</w:t>
      </w:r>
      <w:r>
        <w:rPr/>
        <w:t> 值计量；公允价值不能可靠取得的，按照名义金额计量。</w:t>
      </w:r>
    </w:p>
    <w:p>
      <w:pPr>
        <w:pStyle w:val="BodyText"/>
        <w:spacing w:line="240" w:lineRule="auto" w:before="33"/>
        <w:ind w:left="574" w:right="1017"/>
        <w:jc w:val="left"/>
      </w:pPr>
      <w:r>
        <w:rPr>
          <w:rFonts w:ascii="宋体" w:hAnsi="宋体" w:cs="宋体" w:eastAsia="宋体" w:hint="default"/>
        </w:rPr>
        <w:t>2)</w:t>
      </w:r>
      <w:r>
        <w:rPr/>
        <w:t>与资产相关的政府补助，确认为递延收益，自相关资产达到预定可使用状态时起，在该资产使用寿</w:t>
      </w:r>
    </w:p>
    <w:p>
      <w:pPr>
        <w:spacing w:after="0" w:line="240" w:lineRule="auto"/>
        <w:jc w:val="left"/>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5" w:lineRule="auto" w:before="35"/>
        <w:ind w:left="154" w:right="1133"/>
        <w:jc w:val="both"/>
      </w:pPr>
      <w:r>
        <w:rPr>
          <w:spacing w:val="-1"/>
        </w:rPr>
        <w:t>命内平均计入各期损益。相关资产在使用寿命结束前被出售、转让、报废或发生毁损的，将递延收益余额</w:t>
      </w:r>
      <w:r>
        <w:rPr>
          <w:spacing w:val="-85"/>
        </w:rPr>
        <w:t> </w:t>
      </w:r>
      <w:r>
        <w:rPr>
          <w:spacing w:val="-85"/>
        </w:rPr>
      </w:r>
      <w:r>
        <w:rPr/>
        <w:t>一次性转入资产处置当期的损益。</w:t>
      </w:r>
    </w:p>
    <w:p>
      <w:pPr>
        <w:pStyle w:val="BodyText"/>
        <w:spacing w:line="357" w:lineRule="auto" w:before="33"/>
        <w:ind w:left="575" w:right="3821" w:hanging="2"/>
        <w:jc w:val="left"/>
      </w:pPr>
      <w:r>
        <w:rPr>
          <w:rFonts w:ascii="宋体" w:hAnsi="宋体" w:cs="宋体" w:eastAsia="宋体" w:hint="default"/>
        </w:rPr>
        <w:t>B</w:t>
      </w:r>
      <w:r>
        <w:rPr/>
        <w:t>、政府补助的确认时点 本公司在能够满足政府补助所附条件且实际收到时，确认为政府补助。</w:t>
      </w:r>
    </w:p>
    <w:p>
      <w:pPr>
        <w:spacing w:line="240" w:lineRule="auto" w:before="12"/>
        <w:rPr>
          <w:rFonts w:ascii="宋体" w:hAnsi="宋体" w:cs="宋体" w:eastAsia="宋体" w:hint="default"/>
          <w:sz w:val="26"/>
          <w:szCs w:val="26"/>
        </w:rPr>
      </w:pPr>
    </w:p>
    <w:p>
      <w:pPr>
        <w:pStyle w:val="Heading3"/>
        <w:spacing w:line="240" w:lineRule="auto"/>
        <w:ind w:left="153" w:right="0"/>
        <w:jc w:val="both"/>
        <w:rPr>
          <w:b w:val="0"/>
          <w:bCs w:val="0"/>
        </w:rPr>
      </w:pPr>
      <w:bookmarkStart w:name="（2）与收益相关的政府补助判断依据及会计处理方法" w:id="203"/>
      <w:bookmarkEnd w:id="203"/>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left="154" w:right="1110" w:firstLine="421"/>
        <w:jc w:val="both"/>
      </w:pPr>
      <w:r>
        <w:rPr/>
        <w:t>①用于补偿以后期间的相关费用或损失的，确认为递延收益，在确认相关费用的期间计入当期损益； 用于补偿已经发生的相关费用或损失的，取得时直接计入当期损益；</w:t>
      </w:r>
    </w:p>
    <w:p>
      <w:pPr>
        <w:pStyle w:val="BodyText"/>
        <w:spacing w:line="355" w:lineRule="auto" w:before="33"/>
        <w:ind w:right="1131" w:firstLine="421"/>
        <w:jc w:val="both"/>
      </w:pPr>
      <w:r>
        <w:rPr>
          <w:spacing w:val="-1"/>
        </w:rPr>
        <w:t>②与公司建筑智能化与建筑节能项目相关的政府补助，实际收到时确认为递延收益，以后根据工程项</w:t>
      </w:r>
      <w:r>
        <w:rPr/>
        <w:t> 目的进度按比例转入当期损益；</w:t>
      </w:r>
    </w:p>
    <w:p>
      <w:pPr>
        <w:pStyle w:val="BodyText"/>
        <w:spacing w:line="355" w:lineRule="auto" w:before="33"/>
        <w:ind w:right="1131" w:firstLine="421"/>
        <w:jc w:val="both"/>
      </w:pPr>
      <w:r>
        <w:rPr>
          <w:spacing w:val="-1"/>
        </w:rPr>
        <w:t>③与研发相关的政府补助，若需要相关部门验收的，则于实际收到时确认为递延收益，待验收通过后</w:t>
      </w:r>
      <w:r>
        <w:rPr/>
        <w:t> 转入当期损益。</w:t>
      </w:r>
    </w:p>
    <w:p>
      <w:pPr>
        <w:pStyle w:val="BodyText"/>
        <w:spacing w:line="357" w:lineRule="auto" w:before="32"/>
        <w:ind w:left="574" w:right="2982" w:firstLine="1"/>
        <w:jc w:val="left"/>
      </w:pPr>
      <w:r>
        <w:rPr/>
        <w:t>④已确认的政府补助需要返还的，分别下列情况处理： </w:t>
      </w:r>
      <w:r>
        <w:rPr>
          <w:rFonts w:ascii="宋体" w:hAnsi="宋体" w:cs="宋体" w:eastAsia="宋体" w:hint="default"/>
        </w:rPr>
        <w:t>1)</w:t>
      </w:r>
      <w:r>
        <w:rPr/>
        <w:t>存在相关递延收益的，冲减相关递延收益账面余额，超出部分计入当期损益。</w:t>
      </w:r>
    </w:p>
    <w:p>
      <w:pPr>
        <w:pStyle w:val="BodyText"/>
        <w:spacing w:line="240" w:lineRule="auto"/>
        <w:ind w:left="574" w:right="1017"/>
        <w:jc w:val="left"/>
      </w:pPr>
      <w:r>
        <w:rPr>
          <w:rFonts w:ascii="宋体" w:hAnsi="宋体" w:cs="宋体" w:eastAsia="宋体" w:hint="default"/>
        </w:rPr>
        <w:t>2)</w:t>
      </w:r>
      <w:r>
        <w:rPr/>
        <w:t>不存在相关递延收益的，直接计入当期损益。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right="0"/>
        <w:jc w:val="both"/>
        <w:rPr>
          <w:b w:val="0"/>
          <w:bCs w:val="0"/>
        </w:rPr>
      </w:pPr>
      <w:bookmarkStart w:name="25、递延所得税资产/递延所得税负债" w:id="204"/>
      <w:bookmarkEnd w:id="204"/>
      <w:r>
        <w:rPr>
          <w:b w:val="0"/>
          <w:bCs w:val="0"/>
        </w:rPr>
      </w: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3"/>
          <w:szCs w:val="23"/>
        </w:rPr>
      </w:pPr>
    </w:p>
    <w:p>
      <w:pPr>
        <w:pStyle w:val="BodyText"/>
        <w:spacing w:line="355" w:lineRule="auto" w:before="0"/>
        <w:ind w:left="575" w:right="1017"/>
        <w:jc w:val="left"/>
      </w:pPr>
      <w:r>
        <w:rPr/>
        <w:t>（</w:t>
      </w:r>
      <w:r>
        <w:rPr>
          <w:rFonts w:ascii="宋体" w:hAnsi="宋体" w:cs="宋体" w:eastAsia="宋体" w:hint="default"/>
        </w:rPr>
        <w:t>1</w:t>
      </w:r>
      <w:r>
        <w:rPr/>
        <w:t>）暂时性差异 </w:t>
      </w:r>
      <w:r>
        <w:rPr>
          <w:spacing w:val="-1"/>
        </w:rPr>
        <w:t>暂时性差异包括资产与负债的账面价值与计税基础之间的差额，以及未作为资产和负债确认，但按照</w:t>
      </w:r>
    </w:p>
    <w:p>
      <w:pPr>
        <w:pStyle w:val="BodyText"/>
        <w:spacing w:line="355" w:lineRule="auto" w:before="33"/>
        <w:ind w:left="154" w:right="1132"/>
        <w:jc w:val="both"/>
      </w:pPr>
      <w:r>
        <w:rPr>
          <w:spacing w:val="-1"/>
        </w:rPr>
        <w:t>税法规定可以确定其计税基础的项目的账面价值与计税基础之间的差额。暂时性差异分为应纳税暂时性差</w:t>
      </w:r>
      <w:r>
        <w:rPr>
          <w:spacing w:val="-81"/>
        </w:rPr>
        <w:t> </w:t>
      </w:r>
      <w:r>
        <w:rPr>
          <w:spacing w:val="-81"/>
        </w:rPr>
      </w:r>
      <w:r>
        <w:rPr/>
        <w:t>异和可抵扣暂时性差异。</w:t>
      </w:r>
    </w:p>
    <w:p>
      <w:pPr>
        <w:pStyle w:val="BodyText"/>
        <w:spacing w:line="357" w:lineRule="auto" w:before="32"/>
        <w:ind w:left="575" w:right="1017"/>
        <w:jc w:val="left"/>
      </w:pPr>
      <w:r>
        <w:rPr/>
        <w:t>（</w:t>
      </w:r>
      <w:r>
        <w:rPr>
          <w:rFonts w:ascii="宋体" w:hAnsi="宋体" w:cs="宋体" w:eastAsia="宋体" w:hint="default"/>
        </w:rPr>
        <w:t>2</w:t>
      </w:r>
      <w:r>
        <w:rPr/>
        <w:t>）递延所得税资产的确认依据 </w:t>
      </w:r>
      <w:r>
        <w:rPr>
          <w:spacing w:val="-1"/>
        </w:rPr>
        <w:t>对于可抵扣暂时性差异、能够结转以后年度的可抵扣亏损和税款抵减，本公司以很可能取得用来抵扣</w:t>
      </w:r>
    </w:p>
    <w:p>
      <w:pPr>
        <w:pStyle w:val="BodyText"/>
        <w:spacing w:line="357" w:lineRule="auto"/>
        <w:ind w:left="154" w:right="1110"/>
        <w:jc w:val="both"/>
      </w:pPr>
      <w:r>
        <w:rPr/>
        <w:t>可抵扣暂时性差异、可抵扣亏损和税款抵减的未来应纳税所得额为限，确认由此产生的递延所得税资产。 </w:t>
      </w:r>
      <w:r>
        <w:rPr>
          <w:spacing w:val="-1"/>
        </w:rPr>
        <w:t>同时具有下列特征的交易中因资产或负债的初始确认所产生的递延所得税资产不予确认：①该交易不是企</w:t>
      </w:r>
      <w:r>
        <w:rPr>
          <w:spacing w:val="-81"/>
        </w:rPr>
        <w:t> </w:t>
      </w:r>
      <w:r>
        <w:rPr>
          <w:spacing w:val="-81"/>
        </w:rPr>
      </w:r>
      <w:r>
        <w:rPr/>
        <w:t>业合并；②交易发生时既不影响会计利润也不影响应纳税所得额（或可抵扣亏损）；</w:t>
      </w:r>
    </w:p>
    <w:p>
      <w:pPr>
        <w:pStyle w:val="BodyText"/>
        <w:spacing w:line="355" w:lineRule="auto" w:before="31"/>
        <w:ind w:left="154" w:right="1131" w:firstLine="421"/>
        <w:jc w:val="both"/>
      </w:pPr>
      <w:r>
        <w:rPr>
          <w:spacing w:val="-1"/>
        </w:rPr>
        <w:t>公司对于与子公司、联营企业及合营企业投资相关的可抵扣暂时性差异，同时满足下列条件的，确认</w:t>
      </w:r>
      <w:r>
        <w:rPr/>
        <w:t> </w:t>
      </w:r>
      <w:r>
        <w:rPr>
          <w:spacing w:val="-1"/>
        </w:rPr>
        <w:t>相应的递延所得税资产：①暂时性差异在可预见的未来很可能转回；②未来很可能获得用来抵扣可抵扣暂</w:t>
      </w:r>
      <w:r>
        <w:rPr>
          <w:spacing w:val="-81"/>
        </w:rPr>
        <w:t> </w:t>
      </w:r>
      <w:r>
        <w:rPr>
          <w:spacing w:val="-81"/>
        </w:rPr>
      </w:r>
      <w:r>
        <w:rPr/>
        <w:t>时性差异的应纳税所得额。</w:t>
      </w:r>
    </w:p>
    <w:p>
      <w:pPr>
        <w:pStyle w:val="BodyText"/>
        <w:spacing w:line="357" w:lineRule="auto" w:before="33"/>
        <w:ind w:left="575" w:right="5081"/>
        <w:jc w:val="left"/>
      </w:pPr>
      <w:r>
        <w:rPr/>
        <w:t>（</w:t>
      </w:r>
      <w:r>
        <w:rPr>
          <w:rFonts w:ascii="宋体" w:hAnsi="宋体" w:cs="宋体" w:eastAsia="宋体" w:hint="default"/>
        </w:rPr>
        <w:t>3</w:t>
      </w:r>
      <w:r>
        <w:rPr/>
        <w:t>）递延所得税负债的确认依据 对于各种应纳税暂时性差异均据以确认递延所得税负债。</w:t>
      </w:r>
    </w:p>
    <w:p>
      <w:pPr>
        <w:pStyle w:val="BodyText"/>
        <w:spacing w:line="357" w:lineRule="auto" w:before="31"/>
        <w:ind w:left="154" w:right="1131" w:firstLine="421"/>
        <w:jc w:val="both"/>
      </w:pPr>
      <w:r>
        <w:rPr>
          <w:spacing w:val="-1"/>
        </w:rPr>
        <w:t>但公司对在以下交易中产生的应纳税暂时性差异不确认递延所得税负债：①商誉的初始确认；②同时</w:t>
      </w:r>
      <w:r>
        <w:rPr/>
        <w:t> </w:t>
      </w:r>
      <w:r>
        <w:rPr>
          <w:spacing w:val="-1"/>
        </w:rPr>
        <w:t>具有以下特征的交易中产生的资产或负债的初始确认：该交易不是企业合并；并且交易发生时既不影响会</w:t>
      </w:r>
      <w:r>
        <w:rPr>
          <w:spacing w:val="-81"/>
        </w:rPr>
        <w:t> </w:t>
      </w:r>
      <w:r>
        <w:rPr>
          <w:spacing w:val="-81"/>
        </w:rPr>
      </w:r>
      <w:r>
        <w:rPr/>
        <w:t>计利润也不影响应纳税所得额（或可抵扣亏损）；</w:t>
      </w:r>
    </w:p>
    <w:p>
      <w:pPr>
        <w:spacing w:after="0" w:line="357" w:lineRule="auto"/>
        <w:jc w:val="both"/>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7" w:lineRule="auto" w:before="35"/>
        <w:ind w:left="154" w:right="1016" w:firstLine="421"/>
        <w:jc w:val="left"/>
      </w:pPr>
      <w:r>
        <w:rPr>
          <w:spacing w:val="-3"/>
        </w:rPr>
        <w:t>对于与子公司、联营企业及合营企业投资相关的应纳税暂时性差异，应当确认相应的递延所得税负债。</w:t>
      </w:r>
      <w:r>
        <w:rPr/>
        <w:t> 但同时满足下列条件的除外：①投资企业能够控制暂时性差异转回的时间；②该暂时性差异在可预见的未 来很可能不会转回。</w:t>
      </w:r>
    </w:p>
    <w:p>
      <w:pPr>
        <w:pStyle w:val="BodyText"/>
        <w:spacing w:line="357" w:lineRule="auto"/>
        <w:ind w:left="575" w:right="1017"/>
        <w:jc w:val="left"/>
      </w:pPr>
      <w:r>
        <w:rPr/>
        <w:t>（</w:t>
      </w:r>
      <w:r>
        <w:rPr>
          <w:rFonts w:ascii="宋体" w:hAnsi="宋体" w:cs="宋体" w:eastAsia="宋体" w:hint="default"/>
        </w:rPr>
        <w:t>4</w:t>
      </w:r>
      <w:r>
        <w:rPr/>
        <w:t>）递延所得税资产的减值 </w:t>
      </w:r>
      <w:r>
        <w:rPr>
          <w:spacing w:val="-1"/>
        </w:rPr>
        <w:t>在资产负债表日应当对递延所得税资产的账面价值进行复核。如果未来期间很可能无法取得足够的应</w:t>
      </w:r>
    </w:p>
    <w:p>
      <w:pPr>
        <w:pStyle w:val="BodyText"/>
        <w:spacing w:line="357" w:lineRule="auto"/>
        <w:ind w:left="154" w:right="1110"/>
        <w:jc w:val="both"/>
      </w:pPr>
      <w:r>
        <w:rPr>
          <w:spacing w:val="-1"/>
        </w:rPr>
        <w:t>纳税所得额用以抵扣递延所得税资产的利益，则减记递延所得税资产的账面价值。除原确认时计入所有者</w:t>
      </w:r>
      <w:r>
        <w:rPr>
          <w:spacing w:val="-81"/>
        </w:rPr>
        <w:t> </w:t>
      </w:r>
      <w:r>
        <w:rPr>
          <w:spacing w:val="-81"/>
        </w:rPr>
      </w:r>
      <w:r>
        <w:rPr/>
        <w:t>权益的递延所得税资产部分，其减记金额也应计入所有者权益外，其他的情况应计入当期的所得税费用。 在很可能取得足够的应纳税所得额时，减记的递延所得税资产账面价值可以恢复。</w:t>
      </w:r>
    </w:p>
    <w:p>
      <w:pPr>
        <w:pStyle w:val="BodyText"/>
        <w:spacing w:line="357" w:lineRule="auto"/>
        <w:ind w:left="575" w:right="6341"/>
        <w:jc w:val="left"/>
      </w:pPr>
      <w:r>
        <w:rPr/>
        <w:t>（</w:t>
      </w:r>
      <w:r>
        <w:rPr>
          <w:rFonts w:ascii="宋体" w:hAnsi="宋体" w:cs="宋体" w:eastAsia="宋体" w:hint="default"/>
        </w:rPr>
        <w:t>5</w:t>
      </w:r>
      <w:r>
        <w:rPr/>
        <w:t>）所得税费用 所得税费用包括当期所得税和递延所得税。</w:t>
      </w:r>
    </w:p>
    <w:p>
      <w:pPr>
        <w:pStyle w:val="BodyText"/>
        <w:spacing w:line="357" w:lineRule="auto"/>
        <w:ind w:left="154" w:right="1017" w:firstLine="421"/>
        <w:jc w:val="left"/>
      </w:pPr>
      <w:r>
        <w:rPr/>
        <w:t>除确认为其他综合收益或直接计入股东权益的交易和事项相关的当期所得税和递延所得税计入其他 </w:t>
      </w:r>
      <w:r>
        <w:rPr>
          <w:spacing w:val="-1"/>
        </w:rPr>
        <w:t>综合收益或股东权益，以及企业合并产生的递延所得税调整商誉的账面价值外，其余当期所得税和递延所</w:t>
      </w:r>
      <w:r>
        <w:rPr>
          <w:spacing w:val="-80"/>
        </w:rPr>
        <w:t> </w:t>
      </w:r>
      <w:r>
        <w:rPr>
          <w:spacing w:val="-80"/>
        </w:rPr>
      </w:r>
      <w:r>
        <w:rPr/>
        <w:t>得税费用或收益计入当期损益。</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6、租赁" w:id="205"/>
      <w:bookmarkEnd w:id="205"/>
      <w:r>
        <w:rPr>
          <w:b w:val="0"/>
          <w:bCs w:val="0"/>
        </w:rPr>
      </w:r>
      <w:r>
        <w:rPr>
          <w:rFonts w:ascii="Times New Roman" w:hAnsi="Times New Roman" w:cs="Times New Roman" w:eastAsia="Times New Roman" w:hint="default"/>
        </w:rPr>
        <w:t>26</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经营租赁的会计处理方法" w:id="206"/>
      <w:bookmarkEnd w:id="20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3"/>
          <w:szCs w:val="23"/>
        </w:rPr>
      </w:pPr>
    </w:p>
    <w:p>
      <w:pPr>
        <w:pStyle w:val="BodyText"/>
        <w:spacing w:line="357" w:lineRule="auto" w:before="0"/>
        <w:ind w:right="1017" w:firstLine="421"/>
        <w:jc w:val="left"/>
      </w:pPr>
      <w:r>
        <w:rPr>
          <w:spacing w:val="-1"/>
        </w:rPr>
        <w:t>①公司租入资产所支付的租赁费，在不扣除免租期的整个租赁期内，按直线法进行分摊，计入当期费</w:t>
      </w:r>
      <w:r>
        <w:rPr/>
        <w:t> 用。公司支付的与租赁交易相关的初始直接费用，计入当期费用。</w:t>
      </w:r>
      <w:r>
        <w:rPr>
          <w:spacing w:val="-1"/>
        </w:rPr>
        <w:t> </w:t>
      </w:r>
      <w:r>
        <w:rPr/>
        <w:t>资产出租方承担了应由公司承担的与</w:t>
      </w:r>
      <w:r>
        <w:rPr/>
        <w:t> </w:t>
      </w:r>
      <w:r>
        <w:rPr>
          <w:spacing w:val="-1"/>
        </w:rPr>
        <w:t>租赁相关的费用时，公司将该部分费用从租金总额中扣除，按扣除后的租金费用在租赁期内分摊，计入当</w:t>
      </w:r>
      <w:r>
        <w:rPr>
          <w:spacing w:val="-83"/>
        </w:rPr>
        <w:t> </w:t>
      </w:r>
      <w:r>
        <w:rPr>
          <w:spacing w:val="-83"/>
        </w:rPr>
      </w:r>
      <w:r>
        <w:rPr/>
        <w:t>期费用。</w:t>
      </w:r>
    </w:p>
    <w:p>
      <w:pPr>
        <w:pStyle w:val="BodyText"/>
        <w:spacing w:line="357" w:lineRule="auto"/>
        <w:ind w:right="1017" w:firstLine="421"/>
        <w:jc w:val="left"/>
      </w:pPr>
      <w:r>
        <w:rPr>
          <w:spacing w:val="-1"/>
        </w:rPr>
        <w:t>②公司出租资产所收取的租赁费，在不扣除免租期的整个租赁期内，按直线法进行分摊，确认为租赁</w:t>
      </w:r>
      <w:r>
        <w:rPr/>
        <w:t> </w:t>
      </w:r>
      <w:r>
        <w:rPr>
          <w:spacing w:val="-1"/>
        </w:rPr>
        <w:t>收入。公司支付的与租赁交易相关的初始直接费用，计入当期费用；如金额较大的，则予以资本化，在整</w:t>
      </w:r>
      <w:r>
        <w:rPr>
          <w:spacing w:val="-83"/>
        </w:rPr>
        <w:t> </w:t>
      </w:r>
      <w:r>
        <w:rPr>
          <w:spacing w:val="-83"/>
        </w:rPr>
      </w:r>
      <w:r>
        <w:rPr/>
        <w:t>个租赁期间内按照与租赁收入确认相同的基础分期计入当期收益。</w:t>
      </w:r>
      <w:r>
        <w:rPr>
          <w:spacing w:val="-1"/>
        </w:rPr>
        <w:t> </w:t>
      </w:r>
      <w:r>
        <w:rPr/>
        <w:t>公司承担了应由承租方承担的与租赁</w:t>
      </w:r>
      <w:r>
        <w:rPr/>
        <w:t> 相关的费用时，公司将该部分费用从租金收入总额中扣除，按扣除后的租金费用在租赁期内分配。</w:t>
      </w:r>
    </w:p>
    <w:p>
      <w:pPr>
        <w:spacing w:line="240" w:lineRule="auto" w:before="10"/>
        <w:rPr>
          <w:rFonts w:ascii="宋体" w:hAnsi="宋体" w:cs="宋体" w:eastAsia="宋体" w:hint="default"/>
          <w:sz w:val="26"/>
          <w:szCs w:val="26"/>
        </w:rPr>
      </w:pPr>
    </w:p>
    <w:p>
      <w:pPr>
        <w:pStyle w:val="Heading3"/>
        <w:spacing w:line="240" w:lineRule="auto"/>
        <w:ind w:left="153" w:right="0"/>
        <w:jc w:val="both"/>
        <w:rPr>
          <w:b w:val="0"/>
          <w:bCs w:val="0"/>
        </w:rPr>
      </w:pPr>
      <w:bookmarkStart w:name="（2）融资租赁的会计处理方法" w:id="207"/>
      <w:bookmarkEnd w:id="20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right="1129" w:firstLine="421"/>
        <w:jc w:val="both"/>
      </w:pPr>
      <w:r>
        <w:rPr>
          <w:spacing w:val="-1"/>
        </w:rPr>
        <w:t>①融资租入资产：公司在承租开始日，将租赁资产公允价值与最低租赁付款额现值两者中较低者作为</w:t>
      </w:r>
      <w:r>
        <w:rPr/>
        <w:t> </w:t>
      </w:r>
      <w:r>
        <w:rPr>
          <w:spacing w:val="-2"/>
        </w:rPr>
        <w:t>租入资产的入账价值，将最低租赁付款额作为长期应付款的入账价值，其差额作为未确认的融资费用。</w:t>
      </w:r>
      <w:r>
        <w:rPr>
          <w:spacing w:val="-36"/>
        </w:rPr>
        <w:t> </w:t>
      </w:r>
      <w:r>
        <w:rPr/>
        <w:t>公</w:t>
      </w:r>
      <w:r>
        <w:rPr/>
        <w:t> 司采用实际利率法对未确认的融资费用，在资产租赁期间内摊销，计入财务费用。</w:t>
      </w:r>
    </w:p>
    <w:p>
      <w:pPr>
        <w:pStyle w:val="BodyText"/>
        <w:spacing w:line="357" w:lineRule="auto" w:before="31"/>
        <w:ind w:right="1024" w:firstLine="421"/>
        <w:jc w:val="left"/>
      </w:pPr>
      <w:r>
        <w:rPr/>
        <w:t>②融资租出资产：公司在租赁开始日，将应收融资租赁款，未担保余值之和与其现值的差额确认为未 </w:t>
      </w:r>
      <w:r>
        <w:rPr>
          <w:spacing w:val="-3"/>
        </w:rPr>
        <w:t>实现融资收益，在将来收到租金的各期间内确认为租赁收入，公司发生的与出租交易相关的初始直接费用，</w:t>
      </w:r>
      <w:r>
        <w:rPr>
          <w:spacing w:val="-92"/>
        </w:rPr>
        <w:t> </w:t>
      </w:r>
      <w:r>
        <w:rPr>
          <w:spacing w:val="-92"/>
        </w:rPr>
      </w:r>
      <w:r>
        <w:rPr/>
        <w:t>计入应收融资租赁款的初始计量中，并减少租赁期内确认的收益金额。</w:t>
      </w:r>
    </w:p>
    <w:p>
      <w:pPr>
        <w:spacing w:after="0" w:line="357" w:lineRule="auto"/>
        <w:jc w:val="left"/>
        <w:sectPr>
          <w:pgSz w:w="11910" w:h="16840"/>
          <w:pgMar w:header="877" w:footer="1019" w:top="1100" w:bottom="120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017"/>
        <w:jc w:val="left"/>
        <w:rPr>
          <w:b w:val="0"/>
          <w:bCs w:val="0"/>
        </w:rPr>
      </w:pPr>
      <w:bookmarkStart w:name="27、重要会计政策和会计估计变更" w:id="208"/>
      <w:bookmarkEnd w:id="208"/>
      <w:r>
        <w:rPr>
          <w:b w:val="0"/>
          <w:bCs w:val="0"/>
        </w:rPr>
      </w:r>
      <w:r>
        <w:rPr>
          <w:rFonts w:ascii="Times New Roman" w:hAnsi="Times New Roman" w:cs="Times New Roman" w:eastAsia="Times New Roman" w:hint="default"/>
        </w:rPr>
        <w:t>27</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1）重要会计政策变更" w:id="209"/>
      <w:bookmarkEnd w:id="20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1017"/>
        <w:jc w:val="left"/>
        <w:rPr>
          <w:b w:val="0"/>
          <w:bCs w:val="0"/>
        </w:rPr>
      </w:pPr>
      <w:bookmarkStart w:name="（2）重要会计估计变更" w:id="210"/>
      <w:bookmarkEnd w:id="21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spacing w:before="0"/>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17"/>
        <w:jc w:val="left"/>
        <w:rPr>
          <w:b w:val="0"/>
          <w:bCs w:val="0"/>
        </w:rPr>
      </w:pPr>
      <w:bookmarkStart w:name="六、税项" w:id="211"/>
      <w:bookmarkEnd w:id="211"/>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1、主要税种及税率" w:id="212"/>
      <w:bookmarkEnd w:id="212"/>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4903"/>
        <w:gridCol w:w="14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4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9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销售收入、加工及修理修配劳务收入、租息收入、现代服务业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9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工程安装收入、房屋租赁收入</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9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9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上海达实自动化工程有限公司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深圳达实信息技术有限公司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北京达实德润科技有限公司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上海联欣金山建筑技术有限公司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上海腾隆变配电设备管理有限公司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深圳达实融资租赁有限公司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珠海达实科技发展有限公司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遵义达实绿色智慧发展有限公司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江苏久信医疗科技有限公司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常州丹迪医疗器械有限公司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江苏智发数字医疗科技有限公司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江苏德盟传输物流系统有限公司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江苏久信净化设备有限公司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淮南达实智慧城市投资发展有限公司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仁怀达实绿色智慧发展有限公司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昌都市达实投资咨询有限公司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3"/>
        <w:rPr>
          <w:rFonts w:ascii="宋体" w:hAnsi="宋体" w:cs="宋体" w:eastAsia="宋体" w:hint="default"/>
          <w:sz w:val="19"/>
          <w:szCs w:val="19"/>
        </w:rPr>
      </w:pPr>
    </w:p>
    <w:p>
      <w:pPr>
        <w:pStyle w:val="Heading3"/>
        <w:spacing w:line="240" w:lineRule="auto" w:before="35"/>
        <w:ind w:right="1017"/>
        <w:jc w:val="left"/>
        <w:rPr>
          <w:b w:val="0"/>
          <w:bCs w:val="0"/>
        </w:rPr>
      </w:pPr>
      <w:bookmarkStart w:name="2、税收优惠" w:id="213"/>
      <w:bookmarkEnd w:id="21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right="1014" w:firstLine="357"/>
        <w:jc w:val="left"/>
      </w:pPr>
      <w:r>
        <w:rPr>
          <w:rFonts w:ascii="宋体" w:hAnsi="宋体" w:cs="宋体" w:eastAsia="宋体" w:hint="default"/>
        </w:rPr>
        <w:t>1</w:t>
      </w:r>
      <w:r>
        <w:rPr/>
        <w:t>、根据</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12</w:t>
      </w:r>
      <w:r>
        <w:rPr/>
        <w:t>日发布的财税</w:t>
      </w:r>
      <w:r>
        <w:rPr>
          <w:rFonts w:ascii="宋体" w:hAnsi="宋体" w:cs="宋体" w:eastAsia="宋体" w:hint="default"/>
        </w:rPr>
        <w:t>[2013]106</w:t>
      </w:r>
      <w:r>
        <w:rPr/>
        <w:t>号 《财政部 国家税务总局</w:t>
      </w:r>
      <w:r>
        <w:rPr>
          <w:spacing w:val="-59"/>
        </w:rPr>
        <w:t> </w:t>
      </w:r>
      <w:r>
        <w:rPr/>
        <w:t>关于将铁路运输和邮政业纳</w:t>
      </w:r>
      <w:r>
        <w:rPr/>
        <w:t> 入营业税改征增值税试点的通知》中附件</w:t>
      </w:r>
      <w:r>
        <w:rPr>
          <w:rFonts w:ascii="宋体" w:hAnsi="宋体" w:cs="宋体" w:eastAsia="宋体" w:hint="default"/>
        </w:rPr>
        <w:t>3</w:t>
      </w:r>
      <w:r>
        <w:rPr/>
        <w:t>《营业税改征增值税试点过渡政策的规定》第一条第五款规定 </w:t>
      </w:r>
      <w:r>
        <w:rPr>
          <w:spacing w:val="-4"/>
        </w:rPr>
        <w:t>“一、下列项目免征增值税</w:t>
      </w:r>
      <w:r>
        <w:rPr>
          <w:spacing w:val="22"/>
        </w:rPr>
        <w:t> </w:t>
      </w:r>
      <w:r>
        <w:rPr>
          <w:spacing w:val="-6"/>
        </w:rPr>
        <w:t>：（五）符合条件的节能服务公司实施合同能源管理项目中提供的应税服务”，</w:t>
      </w:r>
      <w:r>
        <w:rPr/>
        <w:t> 本公司提供的节能服务业务符合该政策，享受免征增值税优惠。</w:t>
      </w:r>
    </w:p>
    <w:p>
      <w:pPr>
        <w:pStyle w:val="BodyText"/>
        <w:spacing w:line="357" w:lineRule="auto"/>
        <w:ind w:right="1198" w:firstLine="420"/>
        <w:jc w:val="left"/>
      </w:pPr>
      <w:r>
        <w:rPr>
          <w:rFonts w:ascii="宋体" w:hAnsi="宋体" w:cs="宋体" w:eastAsia="宋体" w:hint="default"/>
        </w:rPr>
        <w:t>2</w:t>
      </w:r>
      <w:r>
        <w:rPr/>
        <w:t>、本公司及子公司达实信息、达实联欣、达实德润、久信医疗均系国家级高新技术企业，依据企业 所得税法的规定适用</w:t>
      </w:r>
      <w:r>
        <w:rPr>
          <w:rFonts w:ascii="宋体" w:hAnsi="宋体" w:cs="宋体" w:eastAsia="宋体" w:hint="default"/>
        </w:rPr>
        <w:t>15%</w:t>
      </w:r>
      <w:r>
        <w:rPr/>
        <w:t>的企业所得税税率。</w:t>
      </w:r>
    </w:p>
    <w:p>
      <w:pPr>
        <w:pStyle w:val="BodyText"/>
        <w:spacing w:line="357" w:lineRule="auto"/>
        <w:ind w:right="1017" w:firstLine="420"/>
        <w:jc w:val="left"/>
      </w:pPr>
      <w:r>
        <w:rPr>
          <w:rFonts w:ascii="宋体" w:hAnsi="宋体" w:cs="宋体" w:eastAsia="宋体" w:hint="default"/>
        </w:rPr>
        <w:t>3</w:t>
      </w:r>
      <w:r>
        <w:rPr/>
        <w:t>、根据国家税务总局公告</w:t>
      </w:r>
      <w:r>
        <w:rPr>
          <w:rFonts w:ascii="宋体" w:hAnsi="宋体" w:cs="宋体" w:eastAsia="宋体" w:hint="default"/>
        </w:rPr>
        <w:t>2012</w:t>
      </w:r>
      <w:r>
        <w:rPr/>
        <w:t>年第</w:t>
      </w:r>
      <w:r>
        <w:rPr>
          <w:rFonts w:ascii="宋体" w:hAnsi="宋体" w:cs="宋体" w:eastAsia="宋体" w:hint="default"/>
        </w:rPr>
        <w:t>12</w:t>
      </w:r>
      <w:r>
        <w:rPr/>
        <w:t>号《国家税务总局关于深入实施西部大开发战略有关企业所得 </w:t>
      </w:r>
      <w:r>
        <w:rPr>
          <w:spacing w:val="-1"/>
        </w:rPr>
        <w:t>税问题的公告》第一条“一、自</w:t>
      </w:r>
      <w:r>
        <w:rPr>
          <w:rFonts w:ascii="宋体" w:hAnsi="宋体" w:cs="宋体" w:eastAsia="宋体" w:hint="default"/>
          <w:spacing w:val="-1"/>
        </w:rPr>
        <w:t>2011</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日至</w:t>
      </w:r>
      <w:r>
        <w:rPr>
          <w:rFonts w:ascii="宋体" w:hAnsi="宋体" w:cs="宋体" w:eastAsia="宋体" w:hint="default"/>
          <w:spacing w:val="-1"/>
        </w:rPr>
        <w:t>2020</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日，对设在西部地区以《西部地区鼓励类产</w:t>
      </w:r>
      <w:r>
        <w:rPr>
          <w:spacing w:val="-82"/>
        </w:rPr>
        <w:t> </w:t>
      </w:r>
      <w:r>
        <w:rPr>
          <w:spacing w:val="-82"/>
        </w:rPr>
      </w:r>
      <w:r>
        <w:rPr>
          <w:spacing w:val="-1"/>
        </w:rPr>
        <w:t>业目录》中规定的产业项目为主营业务，且其当年度主营业务收入占企业收入总额</w:t>
      </w:r>
      <w:r>
        <w:rPr>
          <w:rFonts w:ascii="宋体" w:hAnsi="宋体" w:cs="宋体" w:eastAsia="宋体" w:hint="default"/>
          <w:spacing w:val="-1"/>
        </w:rPr>
        <w:t>70</w:t>
      </w:r>
      <w:r>
        <w:rPr>
          <w:spacing w:val="-1"/>
        </w:rPr>
        <w:t>％以上的企业，经企</w:t>
      </w:r>
      <w:r>
        <w:rPr>
          <w:spacing w:val="-83"/>
        </w:rPr>
        <w:t> </w:t>
      </w:r>
      <w:r>
        <w:rPr>
          <w:spacing w:val="-83"/>
        </w:rPr>
      </w:r>
      <w:r>
        <w:rPr>
          <w:spacing w:val="-1"/>
        </w:rPr>
        <w:t>业申请，主管税务机关审核确认后，可减按</w:t>
      </w:r>
      <w:r>
        <w:rPr>
          <w:rFonts w:ascii="宋体" w:hAnsi="宋体" w:cs="宋体" w:eastAsia="宋体" w:hint="default"/>
          <w:spacing w:val="-1"/>
        </w:rPr>
        <w:t>15</w:t>
      </w:r>
      <w:r>
        <w:rPr>
          <w:spacing w:val="-1"/>
        </w:rPr>
        <w:t>％税率缴纳企业所得税”，子公司遵义达实经营项目符合该</w:t>
      </w:r>
      <w:r>
        <w:rPr>
          <w:spacing w:val="-86"/>
        </w:rPr>
        <w:t> </w:t>
      </w:r>
      <w:r>
        <w:rPr>
          <w:spacing w:val="-86"/>
        </w:rPr>
      </w:r>
      <w:r>
        <w:rPr/>
        <w:t>条款的相关规定，减按</w:t>
      </w:r>
      <w:r>
        <w:rPr>
          <w:rFonts w:ascii="宋体" w:hAnsi="宋体" w:cs="宋体" w:eastAsia="宋体" w:hint="default"/>
        </w:rPr>
        <w:t>15%</w:t>
      </w:r>
      <w:r>
        <w:rPr/>
        <w:t>征收企业所得税。</w:t>
      </w:r>
    </w:p>
    <w:p>
      <w:pPr>
        <w:pStyle w:val="BodyText"/>
        <w:spacing w:line="357" w:lineRule="auto"/>
        <w:ind w:right="1017" w:firstLine="420"/>
        <w:jc w:val="left"/>
      </w:pPr>
      <w:r>
        <w:rPr>
          <w:rFonts w:ascii="宋体" w:hAnsi="宋体" w:cs="宋体" w:eastAsia="宋体" w:hint="default"/>
        </w:rPr>
        <w:t>4</w:t>
      </w:r>
      <w:r>
        <w:rPr/>
        <w:t>、本公司子公司常州丹迪医疗器械有限公司、江苏德盟传输物流系统有限公司、江苏久信净化设备 </w:t>
      </w:r>
      <w:r>
        <w:rPr>
          <w:spacing w:val="-3"/>
        </w:rPr>
        <w:t>有限公司符合小型微利企业的判定标准，按照规定自行享受小型微利企业所得税优惠政策，其所得减按</w:t>
      </w:r>
      <w:r>
        <w:rPr>
          <w:rFonts w:ascii="宋体" w:hAnsi="宋体" w:cs="宋体" w:eastAsia="宋体" w:hint="default"/>
          <w:spacing w:val="-3"/>
        </w:rPr>
        <w:t>50%</w:t>
      </w:r>
      <w:r>
        <w:rPr>
          <w:rFonts w:ascii="宋体" w:hAnsi="宋体" w:cs="宋体" w:eastAsia="宋体" w:hint="default"/>
          <w:spacing w:val="-88"/>
        </w:rPr>
        <w:t> </w:t>
      </w:r>
      <w:r>
        <w:rPr/>
        <w:t>计入应纳税所得额，并按</w:t>
      </w:r>
      <w:r>
        <w:rPr>
          <w:rFonts w:ascii="宋体" w:hAnsi="宋体" w:cs="宋体" w:eastAsia="宋体" w:hint="default"/>
        </w:rPr>
        <w:t>20%</w:t>
      </w:r>
      <w:r>
        <w:rPr/>
        <w:t>税率缴纳企业所得税。</w:t>
      </w:r>
    </w:p>
    <w:p>
      <w:pPr>
        <w:pStyle w:val="BodyText"/>
        <w:spacing w:line="357" w:lineRule="auto"/>
        <w:ind w:right="1017" w:firstLine="420"/>
        <w:jc w:val="left"/>
      </w:pPr>
      <w:r>
        <w:rPr>
          <w:rFonts w:ascii="宋体" w:hAnsi="宋体" w:cs="宋体" w:eastAsia="宋体" w:hint="default"/>
        </w:rPr>
        <w:t>5</w:t>
      </w:r>
      <w:r>
        <w:rPr/>
        <w:t>、根据常州市经济和信息化委员会、江苏省常州市国家税务局、江苏省常州地产税务局《关于落实 全市第七十四批通过双软认定的企业名单和软件产品目录及第三十五批通过延续登记的软件产品目录的 </w:t>
      </w:r>
      <w:r>
        <w:rPr>
          <w:spacing w:val="-1"/>
        </w:rPr>
        <w:t>通知》</w:t>
      </w:r>
      <w:r>
        <w:rPr>
          <w:rFonts w:ascii="宋体" w:hAnsi="宋体" w:cs="宋体" w:eastAsia="宋体" w:hint="default"/>
          <w:spacing w:val="-1"/>
        </w:rPr>
        <w:t>(</w:t>
      </w:r>
      <w:r>
        <w:rPr>
          <w:spacing w:val="-1"/>
        </w:rPr>
        <w:t>常经信软件〔</w:t>
      </w:r>
      <w:r>
        <w:rPr>
          <w:rFonts w:ascii="宋体" w:hAnsi="宋体" w:cs="宋体" w:eastAsia="宋体" w:hint="default"/>
          <w:spacing w:val="-1"/>
        </w:rPr>
        <w:t>2012</w:t>
      </w:r>
      <w:r>
        <w:rPr>
          <w:spacing w:val="-1"/>
        </w:rPr>
        <w:t>〕</w:t>
      </w:r>
      <w:r>
        <w:rPr>
          <w:rFonts w:ascii="宋体" w:hAnsi="宋体" w:cs="宋体" w:eastAsia="宋体" w:hint="default"/>
          <w:spacing w:val="-1"/>
        </w:rPr>
        <w:t>315</w:t>
      </w:r>
      <w:r>
        <w:rPr>
          <w:spacing w:val="-1"/>
        </w:rPr>
        <w:t>号</w:t>
      </w:r>
      <w:r>
        <w:rPr>
          <w:rFonts w:ascii="宋体" w:hAnsi="宋体" w:cs="宋体" w:eastAsia="宋体" w:hint="default"/>
          <w:spacing w:val="-1"/>
        </w:rPr>
        <w:t>)</w:t>
      </w:r>
      <w:r>
        <w:rPr>
          <w:spacing w:val="-1"/>
        </w:rPr>
        <w:t>，江苏智发数字医疗科技有限公司通过双软认定</w:t>
      </w:r>
      <w:r>
        <w:rPr>
          <w:rFonts w:ascii="宋体" w:hAnsi="宋体" w:cs="宋体" w:eastAsia="宋体" w:hint="default"/>
          <w:spacing w:val="-1"/>
        </w:rPr>
        <w:t>(</w:t>
      </w:r>
      <w:r>
        <w:rPr>
          <w:spacing w:val="-1"/>
        </w:rPr>
        <w:t>即软件产品认证和软</w:t>
      </w:r>
      <w:r>
        <w:rPr>
          <w:spacing w:val="-81"/>
        </w:rPr>
        <w:t> </w:t>
      </w:r>
      <w:r>
        <w:rPr/>
        <w:t>件企业认证</w:t>
      </w:r>
      <w:r>
        <w:rPr>
          <w:rFonts w:ascii="宋体" w:hAnsi="宋体" w:cs="宋体" w:eastAsia="宋体" w:hint="default"/>
        </w:rPr>
        <w:t>)</w:t>
      </w:r>
      <w:r>
        <w:rPr/>
        <w:t>。江苏智发数字医疗科技有限公司享受“两免三减半”的税务优惠政策，从开始获利年度起 执行“两免三减半”的税收优惠政策，</w:t>
      </w:r>
      <w:r>
        <w:rPr>
          <w:rFonts w:ascii="宋体" w:hAnsi="宋体" w:cs="宋体" w:eastAsia="宋体" w:hint="default"/>
        </w:rPr>
        <w:t>2015</w:t>
      </w:r>
      <w:r>
        <w:rPr/>
        <w:t>年度为江苏智发数字医疗科技有限公司的第二个获利年度。</w:t>
      </w:r>
    </w:p>
    <w:p>
      <w:pPr>
        <w:pStyle w:val="BodyText"/>
        <w:spacing w:line="357" w:lineRule="auto" w:before="31"/>
        <w:ind w:right="1017" w:firstLine="420"/>
        <w:jc w:val="left"/>
      </w:pPr>
      <w:r>
        <w:rPr>
          <w:rFonts w:ascii="宋体" w:hAnsi="宋体" w:cs="宋体" w:eastAsia="宋体" w:hint="default"/>
        </w:rPr>
        <w:t>6</w:t>
      </w:r>
      <w:r>
        <w:rPr/>
        <w:t>、根据《西藏自治区企业所得税政策实施办法》第三条规定“西藏自治区的企业统一执行西部大开 发战略中企业所得税</w:t>
      </w:r>
      <w:r>
        <w:rPr>
          <w:rFonts w:ascii="宋体" w:hAnsi="宋体" w:cs="宋体" w:eastAsia="宋体" w:hint="default"/>
        </w:rPr>
        <w:t>15%</w:t>
      </w:r>
      <w:r>
        <w:rPr/>
        <w:t>的税率”，同时根据第四条规定“自</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日止，暂免 </w:t>
      </w:r>
      <w:r>
        <w:rPr>
          <w:spacing w:val="-1"/>
        </w:rPr>
        <w:t>征收我区企业应缴纳的企业所得税中属于地方分享的部分。采矿业及矿业权交易行为有关企业所得税政策</w:t>
      </w:r>
      <w:r>
        <w:rPr>
          <w:spacing w:val="-81"/>
        </w:rPr>
        <w:t> </w:t>
      </w:r>
      <w:r>
        <w:rPr>
          <w:spacing w:val="-81"/>
        </w:rPr>
      </w:r>
      <w:r>
        <w:rPr/>
        <w:t>另行研究”，子公司昌都市达实投资符合该政策。</w:t>
      </w:r>
    </w:p>
    <w:p>
      <w:pPr>
        <w:pStyle w:val="BodyText"/>
        <w:spacing w:line="357" w:lineRule="auto"/>
        <w:ind w:right="1026" w:firstLine="420"/>
        <w:jc w:val="both"/>
      </w:pPr>
      <w:r>
        <w:rPr>
          <w:rFonts w:ascii="宋体" w:hAnsi="宋体" w:cs="宋体" w:eastAsia="宋体" w:hint="default"/>
          <w:spacing w:val="-3"/>
        </w:rPr>
        <w:t>7</w:t>
      </w:r>
      <w:r>
        <w:rPr>
          <w:spacing w:val="-3"/>
        </w:rPr>
        <w:t>、自</w:t>
      </w:r>
      <w:r>
        <w:rPr>
          <w:rFonts w:ascii="宋体" w:hAnsi="宋体" w:cs="宋体" w:eastAsia="宋体" w:hint="default"/>
          <w:spacing w:val="-3"/>
        </w:rPr>
        <w:t>2011</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日起根据财政部、国家税务总局财税</w:t>
      </w:r>
      <w:r>
        <w:rPr>
          <w:rFonts w:ascii="宋体" w:hAnsi="宋体" w:cs="宋体" w:eastAsia="宋体" w:hint="default"/>
          <w:spacing w:val="-3"/>
        </w:rPr>
        <w:t>[2011]100</w:t>
      </w:r>
      <w:r>
        <w:rPr>
          <w:spacing w:val="-3"/>
        </w:rPr>
        <w:t>号《关于软件产品增值税政策的通知》</w:t>
      </w:r>
      <w:r>
        <w:rPr/>
        <w:t> </w:t>
      </w:r>
      <w:r>
        <w:rPr>
          <w:spacing w:val="-1"/>
        </w:rPr>
        <w:t>执行软件产品增值税政策，增值税一般纳税人销售其自行开发生产的软件产品，按</w:t>
      </w:r>
      <w:r>
        <w:rPr>
          <w:rFonts w:ascii="宋体" w:hAnsi="宋体" w:cs="宋体" w:eastAsia="宋体" w:hint="default"/>
          <w:spacing w:val="-1"/>
        </w:rPr>
        <w:t>17%</w:t>
      </w:r>
      <w:r>
        <w:rPr>
          <w:spacing w:val="-1"/>
        </w:rPr>
        <w:t>税率征收增值税后，</w:t>
      </w:r>
      <w:r>
        <w:rPr>
          <w:spacing w:val="-80"/>
        </w:rPr>
        <w:t> </w:t>
      </w:r>
      <w:r>
        <w:rPr>
          <w:spacing w:val="-80"/>
        </w:rPr>
      </w:r>
      <w:r>
        <w:rPr/>
        <w:t>对其增值税实际税负超过</w:t>
      </w:r>
      <w:r>
        <w:rPr>
          <w:rFonts w:ascii="宋体" w:hAnsi="宋体" w:cs="宋体" w:eastAsia="宋体" w:hint="default"/>
        </w:rPr>
        <w:t>3%</w:t>
      </w:r>
      <w:r>
        <w:rPr/>
        <w:t>的部分实行即征即退政策。</w:t>
      </w:r>
    </w:p>
    <w:p>
      <w:pPr>
        <w:spacing w:line="240" w:lineRule="auto" w:before="12"/>
        <w:rPr>
          <w:rFonts w:ascii="宋体" w:hAnsi="宋体" w:cs="宋体" w:eastAsia="宋体" w:hint="default"/>
          <w:sz w:val="26"/>
          <w:szCs w:val="26"/>
        </w:rPr>
      </w:pPr>
    </w:p>
    <w:p>
      <w:pPr>
        <w:pStyle w:val="Heading3"/>
        <w:spacing w:line="240" w:lineRule="auto"/>
        <w:ind w:right="1017"/>
        <w:jc w:val="left"/>
        <w:rPr>
          <w:b w:val="0"/>
          <w:bCs w:val="0"/>
        </w:rPr>
      </w:pPr>
      <w:bookmarkStart w:name="3、其他" w:id="214"/>
      <w:bookmarkEnd w:id="214"/>
      <w:r>
        <w:rPr>
          <w:b w:val="0"/>
          <w:bCs w:val="0"/>
        </w:rPr>
      </w:r>
      <w:r>
        <w:rPr>
          <w:rFonts w:ascii="Times New Roman" w:hAnsi="Times New Roman" w:cs="Times New Roman" w:eastAsia="Times New Roman" w:hint="default"/>
        </w:rPr>
        <w:t>3</w:t>
      </w:r>
      <w:r>
        <w:rPr/>
        <w:t>、其他</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575" w:right="1017"/>
        <w:jc w:val="left"/>
      </w:pPr>
      <w:r>
        <w:rPr/>
        <w:t>子公司上海达实联欣科技发展有限公司及其子公司上海联欣金山建筑科技发展有限公司适用</w:t>
      </w:r>
      <w:r>
        <w:rPr>
          <w:rFonts w:ascii="宋体" w:hAnsi="宋体" w:cs="宋体" w:eastAsia="宋体" w:hint="default"/>
        </w:rPr>
        <w:t>1%</w:t>
      </w:r>
      <w:r>
        <w:rPr/>
        <w:t>的城</w:t>
      </w:r>
    </w:p>
    <w:p>
      <w:pPr>
        <w:spacing w:after="0" w:line="240" w:lineRule="auto"/>
        <w:jc w:val="left"/>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5" w:lineRule="auto" w:before="35"/>
        <w:ind w:left="575" w:right="1301" w:hanging="422"/>
        <w:jc w:val="left"/>
      </w:pPr>
      <w:r>
        <w:rPr/>
        <w:t>市维护建设税税率，本公司及本公司其他子公司适用</w:t>
      </w:r>
      <w:r>
        <w:rPr>
          <w:rFonts w:ascii="宋体" w:hAnsi="宋体" w:cs="宋体" w:eastAsia="宋体" w:hint="default"/>
        </w:rPr>
        <w:t>7%</w:t>
      </w:r>
      <w:r>
        <w:rPr/>
        <w:t>的城市维护建设税税率。 上海达实联欣科技发展有限公司子公司上海联欣金山建筑技术有限公司经主管税务机关批准为所得</w:t>
      </w:r>
    </w:p>
    <w:p>
      <w:pPr>
        <w:pStyle w:val="BodyText"/>
        <w:spacing w:line="240" w:lineRule="auto" w:before="33"/>
        <w:ind w:right="1017"/>
        <w:jc w:val="left"/>
      </w:pPr>
      <w:r>
        <w:rPr/>
        <w:t>税核定征收企业，按年营业收入的</w:t>
      </w:r>
      <w:r>
        <w:rPr>
          <w:rFonts w:ascii="宋体" w:hAnsi="宋体" w:cs="宋体" w:eastAsia="宋体" w:hint="default"/>
        </w:rPr>
        <w:t>8%</w:t>
      </w:r>
      <w:r>
        <w:rPr/>
        <w:t>核定应纳税所得额，企业所得税率为</w:t>
      </w:r>
      <w:r>
        <w:rPr>
          <w:rFonts w:ascii="宋体" w:hAnsi="宋体" w:cs="宋体" w:eastAsia="宋体" w:hint="default"/>
        </w:rPr>
        <w:t>25%</w:t>
      </w:r>
      <w:r>
        <w:rPr/>
        <w:t>。</w:t>
      </w:r>
    </w:p>
    <w:p>
      <w:pPr>
        <w:spacing w:line="240" w:lineRule="auto" w:before="0"/>
        <w:rPr>
          <w:rFonts w:ascii="宋体" w:hAnsi="宋体" w:cs="宋体" w:eastAsia="宋体" w:hint="default"/>
          <w:sz w:val="20"/>
          <w:szCs w:val="20"/>
        </w:rPr>
      </w:pPr>
    </w:p>
    <w:p>
      <w:pPr>
        <w:pStyle w:val="Heading2"/>
        <w:spacing w:line="240" w:lineRule="auto" w:before="169"/>
        <w:ind w:right="1017"/>
        <w:jc w:val="left"/>
        <w:rPr>
          <w:b w:val="0"/>
          <w:bCs w:val="0"/>
        </w:rPr>
      </w:pPr>
      <w:bookmarkStart w:name="七、合并财务报表项目注释" w:id="215"/>
      <w:bookmarkEnd w:id="215"/>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1、货币资金" w:id="216"/>
      <w:bookmarkEnd w:id="216"/>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2,050,051.70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351,889.47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952,677,428.52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462,180,301.62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135,451,520.55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7,886,947.66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1,090,179,000.77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470,419,138.75</w:t>
            </w:r>
          </w:p>
        </w:tc>
      </w:tr>
    </w:tbl>
    <w:p>
      <w:pPr>
        <w:pStyle w:val="BodyText"/>
        <w:spacing w:line="241" w:lineRule="exact" w:before="0"/>
        <w:ind w:left="574" w:right="1017"/>
        <w:jc w:val="left"/>
      </w:pP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日其他货币资金中存放于指定账户的保函保证金存款</w:t>
      </w:r>
      <w:r>
        <w:rPr>
          <w:rFonts w:ascii="宋体" w:hAnsi="宋体" w:cs="宋体" w:eastAsia="宋体" w:hint="default"/>
        </w:rPr>
        <w:t>6,277,413.26</w:t>
      </w:r>
      <w:r>
        <w:rPr/>
        <w:t>元，银行承兑汇票的</w:t>
      </w:r>
    </w:p>
    <w:p>
      <w:pPr>
        <w:pStyle w:val="BodyText"/>
        <w:spacing w:line="240" w:lineRule="auto" w:before="134"/>
        <w:ind w:right="1017"/>
        <w:jc w:val="left"/>
      </w:pPr>
      <w:r>
        <w:rPr/>
        <w:t>保证金</w:t>
      </w:r>
      <w:r>
        <w:rPr>
          <w:rFonts w:ascii="宋体" w:hAnsi="宋体" w:cs="宋体" w:eastAsia="宋体" w:hint="default"/>
        </w:rPr>
        <w:t>121,659,426.36</w:t>
      </w:r>
      <w:r>
        <w:rPr/>
        <w:t>元</w:t>
      </w:r>
      <w:r>
        <w:rPr>
          <w:rFonts w:ascii="宋体" w:hAnsi="宋体" w:cs="宋体" w:eastAsia="宋体" w:hint="default"/>
        </w:rPr>
        <w:t>,</w:t>
      </w:r>
      <w:r>
        <w:rPr>
          <w:rFonts w:ascii="宋体" w:hAnsi="宋体" w:cs="宋体" w:eastAsia="宋体" w:hint="default"/>
          <w:spacing w:val="-6"/>
        </w:rPr>
        <w:t> </w:t>
      </w:r>
      <w:r>
        <w:rPr/>
        <w:t>贷款保证金</w:t>
      </w:r>
      <w:r>
        <w:rPr>
          <w:rFonts w:ascii="宋体" w:hAnsi="宋体" w:cs="宋体" w:eastAsia="宋体" w:hint="default"/>
        </w:rPr>
        <w:t>7,514,680.93</w:t>
      </w:r>
      <w:r>
        <w:rPr/>
        <w:t>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3"/>
        <w:spacing w:line="240" w:lineRule="auto"/>
        <w:ind w:left="153" w:right="1017"/>
        <w:jc w:val="left"/>
        <w:rPr>
          <w:b w:val="0"/>
          <w:bCs w:val="0"/>
        </w:rPr>
      </w:pPr>
      <w:bookmarkStart w:name="2、应收票据" w:id="217"/>
      <w:bookmarkEnd w:id="217"/>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017"/>
        <w:jc w:val="left"/>
        <w:rPr>
          <w:b w:val="0"/>
          <w:bCs w:val="0"/>
        </w:rPr>
      </w:pPr>
      <w:bookmarkStart w:name="（1）应收票据分类列示" w:id="218"/>
      <w:bookmarkEnd w:id="218"/>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17,445,952.22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8,054,266.85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43,480,076.08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37,684,194.16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60,926,028.30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45,738,461.01</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2）期末公司无已质押的应收票据" w:id="219"/>
      <w:bookmarkEnd w:id="219"/>
      <w:r>
        <w:rPr>
          <w:b w:val="0"/>
          <w:bCs w:val="0"/>
        </w:rPr>
      </w:r>
      <w:r>
        <w:rPr/>
        <w:t>（</w:t>
      </w:r>
      <w:r>
        <w:rPr>
          <w:rFonts w:ascii="Times New Roman" w:hAnsi="Times New Roman" w:cs="Times New Roman" w:eastAsia="Times New Roman" w:hint="default"/>
        </w:rPr>
        <w:t>2</w:t>
      </w:r>
      <w:r>
        <w:rPr/>
        <w:t>）期末公司无已质押的应收票据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3）期末公司已背书或贴现且在资产负债表日尚未到期的应收票据" w:id="220"/>
      <w:bookmarkEnd w:id="220"/>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10,594,871.99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40,478,388.02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51,073,260.01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19" w:top="1100" w:bottom="120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017"/>
        <w:jc w:val="left"/>
        <w:rPr>
          <w:b w:val="0"/>
          <w:bCs w:val="0"/>
        </w:rPr>
      </w:pPr>
      <w:bookmarkStart w:name="（4）期末公司无因出票人未履约而将其转应收账款的票据" w:id="221"/>
      <w:bookmarkEnd w:id="221"/>
      <w:r>
        <w:rPr>
          <w:b w:val="0"/>
          <w:bCs w:val="0"/>
        </w:rPr>
      </w:r>
      <w:r>
        <w:rPr/>
        <w:t>（</w:t>
      </w:r>
      <w:r>
        <w:rPr>
          <w:rFonts w:ascii="Times New Roman" w:hAnsi="Times New Roman" w:cs="Times New Roman" w:eastAsia="Times New Roman" w:hint="default"/>
        </w:rPr>
        <w:t>4</w:t>
      </w:r>
      <w:r>
        <w:rPr/>
        <w:t>）期末公司无因出票人未履约而将其转应收账款的票据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3、应收账款" w:id="222"/>
      <w:bookmarkEnd w:id="222"/>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017"/>
        <w:jc w:val="left"/>
        <w:rPr>
          <w:b w:val="0"/>
          <w:bCs w:val="0"/>
        </w:rPr>
      </w:pPr>
      <w:bookmarkStart w:name="（1）应收账款分类披露" w:id="223"/>
      <w:bookmarkEnd w:id="22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1,306,59</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7,476.70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77,136,9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32.19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1,229,460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,544.51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665,058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,042.12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32,286,39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632,771,64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4.49</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2,028,16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2,028,16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970,277</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970,277.9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1,308,62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5,639.36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79,165,0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94.85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6.05%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1,229,460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,544.51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666,028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,320.09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33,256,67</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5.60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4.99%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632,771,64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4.49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019" w:top="1100" w:bottom="120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7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934,961,528.07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28,048,845.83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226,212,490.07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11,310,624.50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87,335,668.57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8,733,566.87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58,087,789.99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29,043,894.99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52,294,436.17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26,147,218.08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3,161,540.89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1,580,770.44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2,631,812.93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1,315,906.47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1,306,597,476.70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77,136,932.19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before="26"/>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580" w:bottom="760" w:left="980" w:right="0"/>
        </w:sectPr>
      </w:pPr>
    </w:p>
    <w:p>
      <w:pPr>
        <w:spacing w:line="240" w:lineRule="auto" w:before="9"/>
        <w:rPr>
          <w:rFonts w:ascii="宋体" w:hAnsi="宋体" w:cs="宋体" w:eastAsia="宋体" w:hint="default"/>
          <w:sz w:val="20"/>
          <w:szCs w:val="20"/>
        </w:rPr>
      </w:pPr>
    </w:p>
    <w:p>
      <w:pPr>
        <w:spacing w:line="489" w:lineRule="auto" w:before="35"/>
        <w:ind w:left="153" w:right="3298" w:firstLine="0"/>
        <w:jc w:val="left"/>
        <w:rPr>
          <w:rFonts w:ascii="宋体" w:hAnsi="宋体" w:cs="宋体" w:eastAsia="宋体" w:hint="default"/>
          <w:sz w:val="21"/>
          <w:szCs w:val="21"/>
        </w:rPr>
      </w:pPr>
      <w:bookmarkStart w:name="（2）本期计提、收回或转回的坏账准备情况" w:id="224"/>
      <w:bookmarkEnd w:id="2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w:t>
      </w:r>
      <w:r>
        <w:rPr>
          <w:rFonts w:ascii="宋体" w:hAnsi="宋体" w:cs="宋体" w:eastAsia="宋体" w:hint="default"/>
          <w:sz w:val="21"/>
          <w:szCs w:val="21"/>
        </w:rPr>
        <w:t>18,994,952.53</w:t>
      </w:r>
      <w:r>
        <w:rPr>
          <w:rFonts w:ascii="宋体" w:hAnsi="宋体" w:cs="宋体" w:eastAsia="宋体" w:hint="default"/>
          <w:sz w:val="21"/>
          <w:szCs w:val="21"/>
        </w:rPr>
        <w:t>元；本期收回或转回坏账准备金额</w:t>
      </w:r>
      <w:r>
        <w:rPr>
          <w:rFonts w:ascii="宋体" w:hAnsi="宋体" w:cs="宋体" w:eastAsia="宋体" w:hint="default"/>
          <w:sz w:val="21"/>
          <w:szCs w:val="21"/>
        </w:rPr>
        <w:t>0.00</w:t>
      </w:r>
      <w:r>
        <w:rPr>
          <w:rFonts w:ascii="宋体" w:hAnsi="宋体" w:cs="宋体" w:eastAsia="宋体" w:hint="default"/>
          <w:sz w:val="21"/>
          <w:szCs w:val="21"/>
        </w:rPr>
        <w:t>元。</w:t>
      </w:r>
    </w:p>
    <w:p>
      <w:pPr>
        <w:spacing w:line="240" w:lineRule="auto" w:before="1"/>
        <w:rPr>
          <w:rFonts w:ascii="宋体" w:hAnsi="宋体" w:cs="宋体" w:eastAsia="宋体" w:hint="default"/>
          <w:sz w:val="18"/>
          <w:szCs w:val="18"/>
        </w:rPr>
      </w:pPr>
    </w:p>
    <w:p>
      <w:pPr>
        <w:pStyle w:val="Heading3"/>
        <w:spacing w:line="240" w:lineRule="auto"/>
        <w:ind w:left="153" w:right="1017"/>
        <w:jc w:val="left"/>
        <w:rPr>
          <w:b w:val="0"/>
          <w:bCs w:val="0"/>
        </w:rPr>
      </w:pPr>
      <w:bookmarkStart w:name="（3）本期实际核销的应收账款情况" w:id="225"/>
      <w:bookmarkEnd w:id="22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202,452.79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202,452.79</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深圳招商房地产有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质保金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193,152.79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账龄较长</w:t>
            </w:r>
            <w:r>
              <w:rPr>
                <w:rFonts w:ascii="宋体" w:hAnsi="宋体" w:cs="宋体" w:eastAsia="宋体" w:hint="default"/>
                <w:spacing w:val="-82"/>
                <w:sz w:val="18"/>
                <w:szCs w:val="18"/>
              </w:rPr>
              <w:t>，</w:t>
            </w: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依据公司制度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193,152.79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4）按欠款方归集的期末余额前五名的应收账款情况" w:id="226"/>
      <w:bookmarkEnd w:id="22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464"/>
        <w:gridCol w:w="1223"/>
        <w:gridCol w:w="1418"/>
        <w:gridCol w:w="943"/>
        <w:gridCol w:w="1892"/>
        <w:gridCol w:w="1702"/>
      </w:tblGrid>
      <w:tr>
        <w:trPr>
          <w:trHeight w:val="557" w:hRule="exact"/>
        </w:trPr>
        <w:tc>
          <w:tcPr>
            <w:tcW w:w="24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45" w:right="129" w:hanging="15"/>
              <w:jc w:val="left"/>
              <w:rPr>
                <w:rFonts w:ascii="宋体" w:hAnsi="宋体" w:cs="宋体" w:eastAsia="宋体" w:hint="default"/>
                <w:sz w:val="18"/>
                <w:szCs w:val="18"/>
              </w:rPr>
            </w:pPr>
            <w:r>
              <w:rPr>
                <w:rFonts w:ascii="宋体" w:hAnsi="宋体" w:cs="宋体" w:eastAsia="宋体" w:hint="default"/>
                <w:sz w:val="18"/>
                <w:szCs w:val="18"/>
              </w:rPr>
              <w:t>占应收账款期末余额 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right="125"/>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503"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世纪互联数据中心有限公司</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46,683,464.60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z w:val="18"/>
              </w:rPr>
              <w:t>3.57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1,400,503.94</w:t>
            </w:r>
          </w:p>
        </w:tc>
      </w:tr>
      <w:tr>
        <w:trPr>
          <w:trHeight w:val="503"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29,195,718.42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z w:val="18"/>
              </w:rPr>
              <w:t>2.23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z w:val="18"/>
              </w:rPr>
              <w:t>875,871.55</w:t>
            </w:r>
          </w:p>
        </w:tc>
      </w:tr>
      <w:tr>
        <w:trPr>
          <w:trHeight w:val="714"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248"/>
              <w:jc w:val="left"/>
              <w:rPr>
                <w:rFonts w:ascii="宋体" w:hAnsi="宋体" w:cs="宋体" w:eastAsia="宋体" w:hint="default"/>
                <w:sz w:val="18"/>
                <w:szCs w:val="18"/>
              </w:rPr>
            </w:pPr>
            <w:r>
              <w:rPr>
                <w:rFonts w:ascii="宋体" w:hAnsi="宋体" w:cs="宋体" w:eastAsia="宋体" w:hint="default"/>
                <w:sz w:val="18"/>
                <w:szCs w:val="18"/>
              </w:rPr>
              <w:t>范德兰德物流自动化</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27,849,149.65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835,474.49</w:t>
            </w:r>
          </w:p>
        </w:tc>
      </w:tr>
      <w:tr>
        <w:trPr>
          <w:trHeight w:val="503" w:hRule="exact"/>
        </w:trPr>
        <w:tc>
          <w:tcPr>
            <w:tcW w:w="24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成都轨道交通有限公司</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86" w:right="0"/>
              <w:jc w:val="left"/>
              <w:rPr>
                <w:rFonts w:ascii="Times New Roman" w:hAnsi="Times New Roman" w:cs="Times New Roman" w:eastAsia="Times New Roman" w:hint="default"/>
                <w:sz w:val="18"/>
                <w:szCs w:val="18"/>
              </w:rPr>
            </w:pPr>
            <w:r>
              <w:rPr>
                <w:rFonts w:ascii="Times New Roman"/>
                <w:sz w:val="18"/>
              </w:rPr>
              <w:t>17,712,249.60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z w:val="18"/>
              </w:rPr>
              <w:t>1.35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z w:val="18"/>
              </w:rPr>
              <w:t>531,367.49</w:t>
            </w:r>
          </w:p>
        </w:tc>
      </w:tr>
      <w:tr>
        <w:trPr>
          <w:trHeight w:val="503" w:hRule="exact"/>
        </w:trPr>
        <w:tc>
          <w:tcPr>
            <w:tcW w:w="2464" w:type="dxa"/>
            <w:vMerge/>
            <w:tcBorders>
              <w:left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1" w:right="0"/>
              <w:jc w:val="left"/>
              <w:rPr>
                <w:rFonts w:ascii="Times New Roman" w:hAnsi="Times New Roman" w:cs="Times New Roman" w:eastAsia="Times New Roman" w:hint="default"/>
                <w:sz w:val="18"/>
                <w:szCs w:val="18"/>
              </w:rPr>
            </w:pPr>
            <w:r>
              <w:rPr>
                <w:rFonts w:ascii="Times New Roman"/>
                <w:sz w:val="18"/>
              </w:rPr>
              <w:t>1,358,965.12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0.10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67,948.26</w:t>
            </w:r>
          </w:p>
        </w:tc>
      </w:tr>
      <w:tr>
        <w:trPr>
          <w:trHeight w:val="504" w:hRule="exact"/>
        </w:trPr>
        <w:tc>
          <w:tcPr>
            <w:tcW w:w="2464" w:type="dxa"/>
            <w:vMerge/>
            <w:tcBorders>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1" w:right="0"/>
              <w:jc w:val="left"/>
              <w:rPr>
                <w:rFonts w:ascii="Times New Roman" w:hAnsi="Times New Roman" w:cs="Times New Roman" w:eastAsia="Times New Roman" w:hint="default"/>
                <w:sz w:val="18"/>
                <w:szCs w:val="18"/>
              </w:rPr>
            </w:pPr>
            <w:r>
              <w:rPr>
                <w:rFonts w:ascii="Times New Roman"/>
                <w:sz w:val="18"/>
              </w:rPr>
              <w:t>1,535,672.41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0.12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153,567.24</w:t>
            </w:r>
          </w:p>
        </w:tc>
      </w:tr>
      <w:tr>
        <w:trPr>
          <w:trHeight w:val="503"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德州万达广场投资有限公司</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86" w:right="0"/>
              <w:jc w:val="left"/>
              <w:rPr>
                <w:rFonts w:ascii="Times New Roman" w:hAnsi="Times New Roman" w:cs="Times New Roman" w:eastAsia="Times New Roman" w:hint="default"/>
                <w:sz w:val="18"/>
                <w:szCs w:val="18"/>
              </w:rPr>
            </w:pPr>
            <w:r>
              <w:rPr>
                <w:rFonts w:ascii="Times New Roman"/>
                <w:sz w:val="18"/>
              </w:rPr>
              <w:t>20,509,073.20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z w:val="18"/>
              </w:rPr>
              <w:t>1.57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z w:val="18"/>
              </w:rPr>
              <w:t>615,272.20</w:t>
            </w:r>
          </w:p>
        </w:tc>
      </w:tr>
      <w:tr>
        <w:trPr>
          <w:trHeight w:val="503"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9"/>
              <w:jc w:val="right"/>
              <w:rPr>
                <w:rFonts w:ascii="Times New Roman" w:hAnsi="Times New Roman" w:cs="Times New Roman" w:eastAsia="Times New Roman" w:hint="default"/>
                <w:sz w:val="18"/>
                <w:szCs w:val="18"/>
              </w:rPr>
            </w:pPr>
            <w:r>
              <w:rPr>
                <w:rFonts w:ascii="Times New Roman"/>
                <w:spacing w:val="-1"/>
                <w:sz w:val="18"/>
              </w:rPr>
              <w:t>144,844,293.00</w:t>
            </w:r>
          </w:p>
        </w:tc>
        <w:tc>
          <w:tcPr>
            <w:tcW w:w="943"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2"/>
                <w:sz w:val="18"/>
              </w:rPr>
              <w:t>11.07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4,480,005.17</w:t>
            </w:r>
          </w:p>
        </w:tc>
      </w:tr>
    </w:tbl>
    <w:p>
      <w:pPr>
        <w:spacing w:line="240" w:lineRule="auto" w:before="2"/>
        <w:rPr>
          <w:rFonts w:ascii="宋体" w:hAnsi="宋体" w:cs="宋体" w:eastAsia="宋体" w:hint="default"/>
          <w:b/>
          <w:bCs/>
          <w:sz w:val="19"/>
          <w:szCs w:val="19"/>
        </w:rPr>
      </w:pPr>
    </w:p>
    <w:p>
      <w:pPr>
        <w:pStyle w:val="Heading3"/>
        <w:spacing w:line="240" w:lineRule="auto" w:before="35"/>
        <w:ind w:right="1017"/>
        <w:jc w:val="left"/>
        <w:rPr>
          <w:b w:val="0"/>
          <w:bCs w:val="0"/>
        </w:rPr>
      </w:pPr>
      <w:bookmarkStart w:name="4、预付款项" w:id="227"/>
      <w:bookmarkEnd w:id="227"/>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7"/>
        <w:jc w:val="left"/>
        <w:rPr>
          <w:b w:val="0"/>
          <w:bCs w:val="0"/>
        </w:rPr>
      </w:pPr>
      <w:bookmarkStart w:name="（1）预付款项按账龄列示" w:id="228"/>
      <w:bookmarkEnd w:id="22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71,577,454.71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35,002,675.59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1,929,582.92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4,452,948.26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1,882,538.90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2,281,639.37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2,857,816.19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431,515.86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78,247,392.72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42,168,779.08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51"/>
        <w:ind w:left="154" w:right="5894"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公司无账龄超过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年且金额重要的预付款项</w:t>
      </w:r>
    </w:p>
    <w:p>
      <w:pPr>
        <w:spacing w:line="240" w:lineRule="auto" w:before="8"/>
        <w:rPr>
          <w:rFonts w:ascii="宋体" w:hAnsi="宋体" w:cs="宋体" w:eastAsia="宋体" w:hint="default"/>
          <w:sz w:val="19"/>
          <w:szCs w:val="19"/>
        </w:rPr>
      </w:pPr>
    </w:p>
    <w:p>
      <w:pPr>
        <w:pStyle w:val="Heading3"/>
        <w:spacing w:line="240" w:lineRule="auto"/>
        <w:ind w:left="153" w:right="1017"/>
        <w:jc w:val="left"/>
        <w:rPr>
          <w:b w:val="0"/>
          <w:bCs w:val="0"/>
        </w:rPr>
      </w:pPr>
      <w:bookmarkStart w:name="（2）按预付对象归集的期末余额前五名的预付款情况" w:id="229"/>
      <w:bookmarkEnd w:id="22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44"/>
        <w:gridCol w:w="1524"/>
        <w:gridCol w:w="1524"/>
        <w:gridCol w:w="1524"/>
        <w:gridCol w:w="1524"/>
      </w:tblGrid>
      <w:tr>
        <w:trPr>
          <w:trHeight w:val="791" w:hRule="exact"/>
        </w:trPr>
        <w:tc>
          <w:tcPr>
            <w:tcW w:w="3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25" w:right="126"/>
              <w:jc w:val="center"/>
              <w:rPr>
                <w:rFonts w:ascii="宋体" w:hAnsi="宋体" w:cs="宋体" w:eastAsia="宋体" w:hint="default"/>
                <w:sz w:val="18"/>
                <w:szCs w:val="18"/>
              </w:rPr>
            </w:pPr>
            <w:r>
              <w:rPr>
                <w:rFonts w:ascii="宋体" w:hAnsi="宋体" w:cs="宋体" w:eastAsia="宋体" w:hint="default"/>
                <w:sz w:val="18"/>
                <w:szCs w:val="18"/>
              </w:rPr>
              <w:t>占预付款项期末 余额合计数的比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国药控股美太医疗设备（上海）有限公司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6,630,432.00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8.47</w:t>
            </w:r>
          </w:p>
        </w:tc>
      </w:tr>
      <w:tr>
        <w:trPr>
          <w:trHeight w:val="5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4,553,467.70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5.82</w:t>
            </w:r>
          </w:p>
        </w:tc>
      </w:tr>
      <w:tr>
        <w:trPr>
          <w:trHeight w:val="5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四川华邦工程技术有限公司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4,475,472.91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5.72</w:t>
            </w:r>
          </w:p>
        </w:tc>
      </w:tr>
      <w:tr>
        <w:trPr>
          <w:trHeight w:val="5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新加坡科技电子有限公司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pacing w:val="-1"/>
                <w:sz w:val="18"/>
              </w:rPr>
              <w:t>2,901,600.00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3.71</w:t>
            </w:r>
          </w:p>
        </w:tc>
      </w:tr>
      <w:tr>
        <w:trPr>
          <w:trHeight w:val="5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嘉轩至诚科技有限公司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pacing w:val="-1"/>
                <w:sz w:val="18"/>
              </w:rPr>
              <w:t>2,307,469.04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2.95</w:t>
            </w:r>
          </w:p>
        </w:tc>
      </w:tr>
      <w:tr>
        <w:trPr>
          <w:trHeight w:val="50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pacing w:val="-1"/>
                <w:sz w:val="18"/>
              </w:rPr>
              <w:t>20,868,441.65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26.67</w:t>
            </w:r>
          </w:p>
        </w:tc>
      </w:tr>
    </w:tbl>
    <w:p>
      <w:pPr>
        <w:spacing w:line="240" w:lineRule="auto" w:before="2"/>
        <w:rPr>
          <w:rFonts w:ascii="宋体" w:hAnsi="宋体" w:cs="宋体" w:eastAsia="宋体" w:hint="default"/>
          <w:b/>
          <w:bCs/>
          <w:sz w:val="19"/>
          <w:szCs w:val="19"/>
        </w:rPr>
      </w:pPr>
    </w:p>
    <w:p>
      <w:pPr>
        <w:pStyle w:val="Heading3"/>
        <w:spacing w:line="240" w:lineRule="auto" w:before="35"/>
        <w:ind w:right="1017"/>
        <w:jc w:val="left"/>
        <w:rPr>
          <w:b w:val="0"/>
          <w:bCs w:val="0"/>
        </w:rPr>
      </w:pPr>
      <w:bookmarkStart w:name="5、其他应收款" w:id="230"/>
      <w:bookmarkEnd w:id="230"/>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其他应收款分类披露" w:id="231"/>
      <w:bookmarkEnd w:id="23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909"/>
        <w:gridCol w:w="836"/>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909" w:type="dxa"/>
            <w:tcBorders>
              <w:top w:val="single" w:sz="4" w:space="0" w:color="000000"/>
              <w:left w:val="single" w:sz="4" w:space="0" w:color="000000"/>
              <w:bottom w:val="nil" w:sz="6" w:space="0" w:color="auto"/>
              <w:right w:val="single" w:sz="4" w:space="0" w:color="000000"/>
            </w:tcBorders>
            <w:shd w:val="clear" w:color="auto" w:fill="D2D2D2"/>
          </w:tcPr>
          <w:p>
            <w:pPr/>
          </w:p>
        </w:tc>
        <w:tc>
          <w:tcPr>
            <w:tcW w:w="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6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5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909" w:type="dxa"/>
            <w:vMerge/>
            <w:tcBorders>
              <w:left w:val="single" w:sz="4" w:space="0" w:color="000000"/>
              <w:bottom w:val="nil" w:sz="6" w:space="0" w:color="auto"/>
              <w:right w:val="single" w:sz="4" w:space="0" w:color="000000"/>
            </w:tcBorders>
            <w:shd w:val="clear" w:color="auto" w:fill="D2D2D2"/>
          </w:tcPr>
          <w:p>
            <w:pPr/>
          </w:p>
        </w:tc>
        <w:tc>
          <w:tcPr>
            <w:tcW w:w="836"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909" w:type="dxa"/>
            <w:tcBorders>
              <w:top w:val="nil" w:sz="6" w:space="0" w:color="auto"/>
              <w:left w:val="single" w:sz="4" w:space="0" w:color="000000"/>
              <w:bottom w:val="single" w:sz="4" w:space="0" w:color="000000"/>
              <w:right w:val="single" w:sz="4" w:space="0" w:color="000000"/>
            </w:tcBorders>
            <w:shd w:val="clear" w:color="auto" w:fill="D2D2D2"/>
          </w:tcPr>
          <w:p>
            <w:pPr/>
          </w:p>
        </w:tc>
        <w:tc>
          <w:tcPr>
            <w:tcW w:w="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75,286,7</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79.51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5,356,39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7.11%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69,930,38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7.24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57,263,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136.59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99.95%</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4,433,403.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52,829,732.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r>
      <w:tr>
        <w:trPr>
          <w:trHeight w:val="1027"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30,000.00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909"/>
        <w:gridCol w:w="836"/>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75,306,7</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79.51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5,376,39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69,930,38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7.24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57,293,</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136.59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4,463,403.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7.79%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52,829,732.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7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54,112,011.74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1,623,360.35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10,597,120.68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529,856.05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5,214,119.23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521,411.93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5,363,527.86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2,681,763.94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3,780,072.75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1,890,036.38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765,383.78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382,691.89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818,071.33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409,035.67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75,286,779.51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5,356,392.27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7.11%</w:t>
            </w:r>
          </w:p>
        </w:tc>
      </w:tr>
    </w:tbl>
    <w:p>
      <w:pPr>
        <w:spacing w:line="357"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489" w:lineRule="auto" w:before="0"/>
        <w:ind w:left="154" w:right="3087" w:firstLine="0"/>
        <w:jc w:val="left"/>
        <w:rPr>
          <w:rFonts w:ascii="宋体" w:hAnsi="宋体" w:cs="宋体" w:eastAsia="宋体" w:hint="default"/>
          <w:sz w:val="21"/>
          <w:szCs w:val="21"/>
        </w:rPr>
      </w:pPr>
      <w:bookmarkStart w:name="（2）本期计提、收回或转回的坏账准备情况" w:id="232"/>
      <w:bookmarkEnd w:id="2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w:t>
      </w:r>
      <w:r>
        <w:rPr>
          <w:rFonts w:ascii="宋体" w:hAnsi="宋体" w:cs="宋体" w:eastAsia="宋体" w:hint="default"/>
          <w:sz w:val="21"/>
          <w:szCs w:val="21"/>
        </w:rPr>
        <w:t>172,877.63</w:t>
      </w:r>
      <w:r>
        <w:rPr>
          <w:rFonts w:ascii="宋体" w:hAnsi="宋体" w:cs="宋体" w:eastAsia="宋体" w:hint="default"/>
          <w:sz w:val="21"/>
          <w:szCs w:val="21"/>
        </w:rPr>
        <w:t>元；本期收回或转回坏账准备金额</w:t>
      </w:r>
      <w:r>
        <w:rPr>
          <w:rFonts w:ascii="宋体" w:hAnsi="宋体" w:cs="宋体" w:eastAsia="宋体" w:hint="default"/>
          <w:sz w:val="21"/>
          <w:szCs w:val="21"/>
        </w:rPr>
        <w:t>10,000.00</w:t>
      </w:r>
      <w:r>
        <w:rPr>
          <w:rFonts w:ascii="宋体" w:hAnsi="宋体" w:cs="宋体" w:eastAsia="宋体" w:hint="default"/>
          <w:sz w:val="21"/>
          <w:szCs w:val="21"/>
        </w:rPr>
        <w:t>元。</w:t>
      </w:r>
    </w:p>
    <w:p>
      <w:pPr>
        <w:spacing w:line="240" w:lineRule="auto" w:before="1"/>
        <w:rPr>
          <w:rFonts w:ascii="宋体" w:hAnsi="宋体" w:cs="宋体" w:eastAsia="宋体" w:hint="default"/>
          <w:sz w:val="18"/>
          <w:szCs w:val="18"/>
        </w:rPr>
      </w:pPr>
    </w:p>
    <w:p>
      <w:pPr>
        <w:pStyle w:val="Heading3"/>
        <w:spacing w:line="240" w:lineRule="auto"/>
        <w:ind w:left="153" w:right="1017"/>
        <w:jc w:val="left"/>
        <w:rPr>
          <w:b w:val="0"/>
          <w:bCs w:val="0"/>
        </w:rPr>
      </w:pPr>
      <w:bookmarkStart w:name="（3）本期无实际核销的其他应收款情况" w:id="233"/>
      <w:bookmarkEnd w:id="233"/>
      <w:r>
        <w:rPr>
          <w:b w:val="0"/>
          <w:bCs w:val="0"/>
        </w:rPr>
      </w:r>
      <w:r>
        <w:rPr/>
        <w:t>（</w:t>
      </w:r>
      <w:r>
        <w:rPr>
          <w:rFonts w:ascii="Times New Roman" w:hAnsi="Times New Roman" w:cs="Times New Roman" w:eastAsia="Times New Roman" w:hint="default"/>
        </w:rPr>
        <w:t>3</w:t>
      </w:r>
      <w:r>
        <w:rPr/>
        <w:t>）本期无实际核销的其他应收款情况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4）其他应收款按款项性质分类情况" w:id="234"/>
      <w:bookmarkEnd w:id="234"/>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12,103,567.11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7,639,908.74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50,715,078.75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42,662,573.51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138,284.64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171,729.34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1,204,828.00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11,149,849.01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5,614,097.00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75,306,779.51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57,293,136.59</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5）按欠款方归集的期末余额前五名的其他应收款情况" w:id="235"/>
      <w:bookmarkEnd w:id="235"/>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3"/>
        <w:gridCol w:w="1418"/>
        <w:gridCol w:w="1417"/>
        <w:gridCol w:w="1277"/>
        <w:gridCol w:w="1701"/>
        <w:gridCol w:w="1202"/>
      </w:tblGrid>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4" w:right="34" w:hanging="180"/>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5" w:right="55"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福建省南平市第二医院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1,945,131.50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58,353.95</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中国人民解放军第一一七医院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宏伟建设工程股份有限公司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押金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42,000.00</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湖南益康达医疗投资有限公司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39,000.00</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中央美术学院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127,280.00</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7,417,931.50</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341,633.95</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6、存货" w:id="236"/>
      <w:bookmarkEnd w:id="236"/>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存货分类" w:id="237"/>
      <w:bookmarkEnd w:id="23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15,723,577.96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15,723,577.96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6,099,021.76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6,099,021.76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1,956,075.38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1,956,075.38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743,308.14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743,308.14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7,624,296.01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7,624,296.01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8,027,358.26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8,027,358.26</w:t>
            </w:r>
          </w:p>
        </w:tc>
      </w:tr>
      <w:tr>
        <w:trPr>
          <w:trHeight w:val="102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257,719,362.68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257,719,362.68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230,773,743.50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230,773,743.50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16,147.31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16,147.31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27,936.31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27,936.31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11,454,147.32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11,454,147.32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7,890,100.20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7,890,100.20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2,763.17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2,763.17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2,763.17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2,763.17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294,496,369.83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294,496,369.83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253,564,231.34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253,564,231.34</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2）期末建造合同形成的已完工未结算资产情况" w:id="238"/>
      <w:bookmarkEnd w:id="238"/>
      <w:r>
        <w:rPr>
          <w:b w:val="0"/>
          <w:bCs w:val="0"/>
        </w:rPr>
      </w:r>
      <w:r>
        <w:rPr/>
        <w:t>（</w:t>
      </w:r>
      <w:r>
        <w:rPr>
          <w:rFonts w:ascii="Times New Roman" w:hAnsi="Times New Roman" w:cs="Times New Roman" w:eastAsia="Times New Roman" w:hint="default"/>
        </w:rPr>
        <w:t>2</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2,231,826,836.02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549,821,788.81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2,523,929,262.15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257,719,362.68</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7、一年内到期的非流动资产" w:id="239"/>
      <w:bookmarkEnd w:id="239"/>
      <w:r>
        <w:rPr>
          <w:b w:val="0"/>
          <w:bCs w:val="0"/>
        </w:rPr>
      </w:r>
      <w:r>
        <w:rPr>
          <w:rFonts w:ascii="Times New Roman" w:hAnsi="Times New Roman" w:cs="Times New Roman" w:eastAsia="Times New Roman" w:hint="default"/>
        </w:rPr>
        <w:t>7</w:t>
      </w:r>
      <w:r>
        <w:rPr/>
        <w:t>、一年内到期的非流动资产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遵义规划馆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BT </w:t>
            </w:r>
            <w:r>
              <w:rPr>
                <w:rFonts w:ascii="宋体" w:hAnsi="宋体" w:cs="宋体" w:eastAsia="宋体" w:hint="default"/>
                <w:sz w:val="18"/>
                <w:szCs w:val="18"/>
              </w:rPr>
              <w:t>项目工程款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38,810,061.40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应收融资租赁债权</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38,810,061.40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49,000,000.00</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8、其他流动资产" w:id="240"/>
      <w:bookmarkEnd w:id="240"/>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增值税进项待抵扣税款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29,783,593.57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4,236,226.43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2,139,484.54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136,199.67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117,698.54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32,059,277.78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504,353,924.97</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9、长期应收款" w:id="241"/>
      <w:bookmarkEnd w:id="241"/>
      <w:r>
        <w:rPr>
          <w:b w:val="0"/>
          <w:bCs w:val="0"/>
        </w:rPr>
      </w:r>
      <w:r>
        <w:rPr>
          <w:rFonts w:ascii="Times New Roman" w:hAnsi="Times New Roman" w:cs="Times New Roman" w:eastAsia="Times New Roman" w:hint="default"/>
        </w:rPr>
        <w:t>9</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长期应收款情况" w:id="242"/>
      <w:bookmarkEnd w:id="24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206" w:hRule="exact"/>
        </w:trPr>
        <w:tc>
          <w:tcPr>
            <w:tcW w:w="1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4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6" w:hRule="exact"/>
        </w:trPr>
        <w:tc>
          <w:tcPr>
            <w:tcW w:w="1403"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666,036,742.6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67" w:type="dxa"/>
            <w:vMerge w:val="restart"/>
            <w:tcBorders>
              <w:top w:val="single" w:sz="4" w:space="0" w:color="000000"/>
              <w:left w:val="single" w:sz="4" w:space="0" w:color="000000"/>
              <w:right w:val="single" w:sz="4" w:space="0" w:color="000000"/>
            </w:tcBorders>
          </w:tcPr>
          <w:p>
            <w:pP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666,036,742.6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118,023,631.1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9" w:type="dxa"/>
            <w:vMerge w:val="restart"/>
            <w:tcBorders>
              <w:top w:val="single" w:sz="4" w:space="0" w:color="000000"/>
              <w:left w:val="single" w:sz="4" w:space="0" w:color="000000"/>
              <w:right w:val="single" w:sz="4" w:space="0" w:color="000000"/>
            </w:tcBorders>
          </w:tcPr>
          <w:p>
            <w:pP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118,023,631.1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5" w:type="dxa"/>
            <w:vMerge w:val="restart"/>
            <w:tcBorders>
              <w:top w:val="single" w:sz="4" w:space="0" w:color="000000"/>
              <w:left w:val="single" w:sz="4" w:space="0" w:color="000000"/>
              <w:right w:val="single" w:sz="4" w:space="0" w:color="000000"/>
            </w:tcBorders>
          </w:tcPr>
          <w:p>
            <w:pPr/>
          </w:p>
        </w:tc>
      </w:tr>
      <w:tr>
        <w:trPr>
          <w:trHeight w:val="391" w:hRule="exact"/>
        </w:trPr>
        <w:tc>
          <w:tcPr>
            <w:tcW w:w="1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8" w:type="dxa"/>
            <w:vMerge/>
            <w:tcBorders>
              <w:left w:val="single" w:sz="9" w:space="0" w:color="D2D2D2"/>
              <w:right w:val="single" w:sz="4" w:space="0" w:color="000000"/>
            </w:tcBorders>
          </w:tcPr>
          <w:p>
            <w:pPr/>
          </w:p>
        </w:tc>
        <w:tc>
          <w:tcPr>
            <w:tcW w:w="1167"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c>
          <w:tcPr>
            <w:tcW w:w="1165" w:type="dxa"/>
            <w:vMerge/>
            <w:tcBorders>
              <w:left w:val="single" w:sz="4" w:space="0" w:color="000000"/>
              <w:right w:val="single" w:sz="4" w:space="0" w:color="000000"/>
            </w:tcBorders>
          </w:tcPr>
          <w:p>
            <w:pPr/>
          </w:p>
        </w:tc>
      </w:tr>
      <w:tr>
        <w:trPr>
          <w:trHeight w:val="161"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9"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1165" w:type="dxa"/>
            <w:vMerge/>
            <w:tcBorders>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31,817,697.78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31,817,697.78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13,019,977.19</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13,019,977.19</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遵义规划馆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项目工程款</w:t>
            </w:r>
          </w:p>
        </w:tc>
        <w:tc>
          <w:tcPr>
            <w:tcW w:w="1168" w:type="dxa"/>
            <w:tcBorders>
              <w:top w:val="single" w:sz="4" w:space="0" w:color="000000"/>
              <w:left w:val="single" w:sz="13" w:space="0" w:color="D9D9D9"/>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8,496,363.00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8,496,363.00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666,036,742.6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666,036,742.6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126,519,994.1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126,519,994.1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017"/>
        <w:jc w:val="left"/>
        <w:rPr>
          <w:b w:val="0"/>
          <w:bCs w:val="0"/>
        </w:rPr>
      </w:pPr>
      <w:bookmarkStart w:name="10、长期股权投资" w:id="243"/>
      <w:bookmarkEnd w:id="243"/>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460"/>
        <w:gridCol w:w="1100"/>
        <w:gridCol w:w="494"/>
        <w:gridCol w:w="1065"/>
        <w:gridCol w:w="709"/>
        <w:gridCol w:w="708"/>
        <w:gridCol w:w="851"/>
        <w:gridCol w:w="658"/>
        <w:gridCol w:w="619"/>
        <w:gridCol w:w="1274"/>
        <w:gridCol w:w="500"/>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44" w:right="43"/>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620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0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64" w:right="65"/>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025"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460" w:type="dxa"/>
            <w:vMerge/>
            <w:tcBorders>
              <w:left w:val="single" w:sz="4" w:space="0" w:color="000000"/>
              <w:bottom w:val="single" w:sz="4" w:space="0" w:color="000000"/>
              <w:right w:val="single" w:sz="4" w:space="0" w:color="000000"/>
            </w:tcBorders>
            <w:shd w:val="clear" w:color="auto" w:fill="D2D2D2"/>
          </w:tcPr>
          <w:p>
            <w:pP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1"/>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8"/>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7" w:right="78"/>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2" w:right="5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融智节能环 保（深圳）有 限公司</w:t>
            </w:r>
          </w:p>
        </w:tc>
        <w:tc>
          <w:tcPr>
            <w:tcW w:w="46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10,000,000.00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-315,131.26</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9,684,868.74</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1"/>
              <w:jc w:val="both"/>
              <w:rPr>
                <w:rFonts w:ascii="宋体" w:hAnsi="宋体" w:cs="宋体" w:eastAsia="宋体" w:hint="default"/>
                <w:sz w:val="18"/>
                <w:szCs w:val="18"/>
              </w:rPr>
            </w:pPr>
            <w:r>
              <w:rPr>
                <w:rFonts w:ascii="宋体" w:hAnsi="宋体" w:cs="宋体" w:eastAsia="宋体" w:hint="default"/>
                <w:sz w:val="18"/>
                <w:szCs w:val="18"/>
              </w:rPr>
              <w:t>深圳市小鹿 暖暖科技有 限公司</w:t>
            </w:r>
          </w:p>
        </w:tc>
        <w:tc>
          <w:tcPr>
            <w:tcW w:w="46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10,000,000.00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-281,575.79</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9,718,424.21</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460" w:type="dxa"/>
            <w:tcBorders>
              <w:top w:val="single" w:sz="4" w:space="0" w:color="000000"/>
              <w:left w:val="single" w:sz="13" w:space="0" w:color="D2D2D2"/>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20,000,000.00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-596,707.05</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19,403,292.95</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0" w:type="dxa"/>
            <w:tcBorders>
              <w:top w:val="single" w:sz="4" w:space="0" w:color="000000"/>
              <w:left w:val="single" w:sz="13" w:space="0" w:color="D2D2D2"/>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20,000,000.00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-596,707.05</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19,403,292.95</w:t>
            </w:r>
          </w:p>
        </w:tc>
        <w:tc>
          <w:tcPr>
            <w:tcW w:w="5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11、投资性房地产" w:id="244"/>
      <w:bookmarkEnd w:id="244"/>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7"/>
        <w:jc w:val="left"/>
        <w:rPr>
          <w:b w:val="0"/>
          <w:bCs w:val="0"/>
        </w:rPr>
      </w:pPr>
      <w:bookmarkStart w:name="（1）采用成本计量模式的投资性房地产" w:id="245"/>
      <w:bookmarkEnd w:id="245"/>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39"/>
        <w:gridCol w:w="1589"/>
        <w:gridCol w:w="1577"/>
        <w:gridCol w:w="1577"/>
        <w:gridCol w:w="1578"/>
      </w:tblGrid>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89" w:type="dxa"/>
            <w:tcBorders>
              <w:top w:val="single" w:sz="4" w:space="0" w:color="000000"/>
              <w:left w:val="single" w:sz="13"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198,807,526.92</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198,807,526.92</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14,388,828.64</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14,388,828.64</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589" w:type="dxa"/>
            <w:tcBorders>
              <w:top w:val="single" w:sz="4" w:space="0" w:color="000000"/>
              <w:left w:val="single" w:sz="13"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14,388,828.64</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14,388,828.64</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89" w:type="dxa"/>
            <w:tcBorders>
              <w:top w:val="single" w:sz="4" w:space="0" w:color="000000"/>
              <w:left w:val="single" w:sz="13"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24,075,366.65</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24,075,366.65</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89" w:type="dxa"/>
            <w:tcBorders>
              <w:top w:val="single" w:sz="4" w:space="0" w:color="000000"/>
              <w:left w:val="single" w:sz="13"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89" w:type="dxa"/>
            <w:tcBorders>
              <w:top w:val="single" w:sz="4" w:space="0" w:color="000000"/>
              <w:left w:val="single" w:sz="13"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）投资性房地产转出</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24,075,366.65</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24,075,366.65</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189,120,988.91</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189,120,988.91</w:t>
            </w: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58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68,821,945.61</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68,821,945.61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61"/>
        <w:gridCol w:w="1578"/>
        <w:gridCol w:w="1577"/>
        <w:gridCol w:w="1577"/>
        <w:gridCol w:w="1578"/>
      </w:tblGrid>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16,405,442.64</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16,405,442.64</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10,468,211.67</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10,468,211.67</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5,937,230.97</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5,937,230.97</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9,120,244.54</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9,120,244.54</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）投资性房地产转出</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9,120,244.54</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9,120,244.54</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76,107,143.71</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76,107,143.71</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113,013,845.20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113,013,845.20</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129,985,581.31</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129,985,581.31</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）采用公允价值计量模式的投资性房地产：无。</w:t>
      </w:r>
    </w:p>
    <w:p>
      <w:pPr>
        <w:spacing w:before="103"/>
        <w:ind w:left="154" w:right="101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）未办妥产权证书的投资性房地产情况：无。</w:t>
      </w:r>
    </w:p>
    <w:p>
      <w:pPr>
        <w:spacing w:line="340" w:lineRule="auto" w:before="102"/>
        <w:ind w:left="153" w:right="197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）投资性房地产抵押情况： 本期末子公司上海达实联欣科技发展有限公司用于银行借款抵押的房屋、建筑物账面价值合计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5,458,285.09 </w:t>
      </w:r>
      <w:r>
        <w:rPr>
          <w:rFonts w:ascii="宋体" w:hAnsi="宋体" w:cs="宋体" w:eastAsia="宋体" w:hint="default"/>
          <w:sz w:val="18"/>
          <w:szCs w:val="18"/>
        </w:rPr>
        <w:t>元。</w:t>
      </w:r>
    </w:p>
    <w:p>
      <w:pPr>
        <w:spacing w:line="240" w:lineRule="auto" w:before="4"/>
        <w:rPr>
          <w:rFonts w:ascii="宋体" w:hAnsi="宋体" w:cs="宋体" w:eastAsia="宋体" w:hint="default"/>
          <w:sz w:val="19"/>
          <w:szCs w:val="19"/>
        </w:rPr>
      </w:pPr>
    </w:p>
    <w:p>
      <w:pPr>
        <w:pStyle w:val="Heading3"/>
        <w:spacing w:line="240" w:lineRule="auto"/>
        <w:ind w:left="153" w:right="1017"/>
        <w:jc w:val="left"/>
        <w:rPr>
          <w:b w:val="0"/>
          <w:bCs w:val="0"/>
        </w:rPr>
      </w:pPr>
      <w:bookmarkStart w:name="固定资产" w:id="246"/>
      <w:bookmarkEnd w:id="246"/>
      <w:r>
        <w:rPr>
          <w:b w:val="0"/>
          <w:bCs w:val="0"/>
        </w:rPr>
      </w:r>
      <w:r>
        <w:rPr/>
        <w:t>固定资产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1017"/>
        <w:jc w:val="left"/>
        <w:rPr>
          <w:b w:val="0"/>
          <w:bCs w:val="0"/>
        </w:rPr>
      </w:pPr>
      <w:bookmarkStart w:name="（1）固定资产情况" w:id="247"/>
      <w:bookmarkEnd w:id="24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10"/>
        <w:gridCol w:w="1431"/>
        <w:gridCol w:w="1432"/>
        <w:gridCol w:w="1430"/>
        <w:gridCol w:w="1432"/>
        <w:gridCol w:w="1430"/>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节能专用设备</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50,968,969.26</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10,108,111.01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14,621,123.68</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84,390,262.79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160,088,466.74</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79,980,368.01</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5,859,274.36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17,581,337.25</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4,269,486.64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107,690,466.26</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807,221.36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2,313,693.59</w:t>
            </w: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3,120,914.95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120,957.17</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4,269,486.64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4,390,443.81</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55,905,001.36</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5,052,053.00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15,146,686.49</w:t>
            </w: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76,103,740.85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10"/>
        <w:gridCol w:w="1431"/>
        <w:gridCol w:w="1432"/>
        <w:gridCol w:w="1430"/>
        <w:gridCol w:w="1432"/>
        <w:gridCol w:w="1430"/>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）投资性房地产转入</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24,075,366.65</w:t>
            </w: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24,075,366.65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14,388,828.64</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1,025,212.24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854,257.59</w:t>
            </w: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16,268,298.47</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1,025,212.24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854,257.59</w:t>
            </w: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1,879,469.83</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）固定资产转出</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14,388,828.64</w:t>
            </w: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14,388,828.64</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116,560,508.63</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14,942,173.13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31,348,203.34</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88,659,749.43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251,510,634.53</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19,851,020.63</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5,961,013.28</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9,370,548.66</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31,740,068.03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66,922,650.60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30,931,160.17</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5,884,120.25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10,393,943.63</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9,641,410.04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56,850,634.09</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3,632,956.05</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1,663,258.54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2,440,453.90</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9,641,410.04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17,378,078.53</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投资性房地产转入</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9,120,244.54</w:t>
            </w: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9,120,244.54</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18,177,959.58</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4,220,861.71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7,953,489.73</w:t>
            </w: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30,352,311.02</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5,937,230.97</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841,077.74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860,141.09</w:t>
            </w: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7,638,449.80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841,077.74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860,141.09</w:t>
            </w: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1,701,218.83</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）固定资产转出</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5,937,230.97</w:t>
            </w: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5,937,230.97</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44,844,949.83</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11,004,055.79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18,904,351.20</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41,381,478.07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116,134,834.89</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71,715,558.80</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3,938,117.34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12,443,852.14</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47,278,271.36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135,375,799.64</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31,117,948.63</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4,147,097.73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5,250,575.02</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52,650,194.76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93,165,816.14</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13、在建工程" w:id="248"/>
      <w:bookmarkEnd w:id="248"/>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在建工程情况" w:id="249"/>
      <w:bookmarkEnd w:id="249"/>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1330"/>
        <w:gridCol w:w="981"/>
        <w:gridCol w:w="1234"/>
        <w:gridCol w:w="1244"/>
        <w:gridCol w:w="1386"/>
        <w:gridCol w:w="1130"/>
      </w:tblGrid>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6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深圳市公安局机关合同能源 管理节能改造项目</w:t>
            </w:r>
          </w:p>
        </w:tc>
        <w:tc>
          <w:tcPr>
            <w:tcW w:w="1330"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2,622,026.36</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2,622,026.36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展厅改造</w:t>
            </w:r>
          </w:p>
        </w:tc>
        <w:tc>
          <w:tcPr>
            <w:tcW w:w="1330"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225,941.64</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225,941.64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68"/>
        <w:gridCol w:w="1330"/>
        <w:gridCol w:w="981"/>
        <w:gridCol w:w="1234"/>
        <w:gridCol w:w="1244"/>
        <w:gridCol w:w="1386"/>
        <w:gridCol w:w="1130"/>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惠州信利中央空调能源站及 水蓄冷系统节能服务合同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63,152,823.68</w:t>
            </w:r>
          </w:p>
        </w:tc>
        <w:tc>
          <w:tcPr>
            <w:tcW w:w="98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63,152,823.68</w:t>
            </w:r>
          </w:p>
        </w:tc>
        <w:tc>
          <w:tcPr>
            <w:tcW w:w="124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古北国际财富中心节能改造 项目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8,398,359.44</w:t>
            </w:r>
          </w:p>
        </w:tc>
        <w:tc>
          <w:tcPr>
            <w:tcW w:w="98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8,398,359.44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1,892,462.75</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1,892,462.75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达实大厦改扩建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89,797,753.05</w:t>
            </w:r>
          </w:p>
        </w:tc>
        <w:tc>
          <w:tcPr>
            <w:tcW w:w="98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89,797,753.05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4,726,238.14</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4,726,238.14</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161,348,936.17</w:t>
            </w:r>
          </w:p>
        </w:tc>
        <w:tc>
          <w:tcPr>
            <w:tcW w:w="98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161,348,936.17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9,466,668.89</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9,466,668.89</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2）重要在建工程项目本期变动情况" w:id="250"/>
      <w:bookmarkEnd w:id="250"/>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达实大 厦改扩 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749,960,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4,726,23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85,071,5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14.91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89,797,7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53.05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1" w:right="0"/>
              <w:jc w:val="center"/>
              <w:rPr>
                <w:rFonts w:ascii="Times New Roman" w:hAnsi="Times New Roman" w:cs="Times New Roman" w:eastAsia="Times New Roman" w:hint="default"/>
                <w:sz w:val="18"/>
                <w:szCs w:val="18"/>
              </w:rPr>
            </w:pPr>
            <w:r>
              <w:rPr>
                <w:rFonts w:ascii="Times New Roman"/>
                <w:sz w:val="18"/>
              </w:rPr>
              <w:t>11.97%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9"/>
              <w:jc w:val="center"/>
              <w:rPr>
                <w:rFonts w:ascii="Times New Roman" w:hAnsi="Times New Roman" w:cs="Times New Roman" w:eastAsia="Times New Roman" w:hint="default"/>
                <w:sz w:val="18"/>
                <w:szCs w:val="18"/>
              </w:rPr>
            </w:pPr>
            <w:r>
              <w:rPr>
                <w:rFonts w:ascii="Times New Roman"/>
                <w:sz w:val="18"/>
              </w:rPr>
              <w:t>11.97%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60" w:lineRule="auto"/>
              <w:ind w:left="182" w:right="18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749,960,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4,726,23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85,071,5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14.91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89,797,7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53.05</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1017"/>
        <w:jc w:val="left"/>
        <w:rPr>
          <w:b w:val="0"/>
          <w:bCs w:val="0"/>
        </w:rPr>
      </w:pPr>
      <w:bookmarkStart w:name="14、无形资产" w:id="251"/>
      <w:bookmarkEnd w:id="251"/>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无形资产情况" w:id="252"/>
      <w:bookmarkEnd w:id="25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70"/>
        <w:gridCol w:w="1478"/>
        <w:gridCol w:w="1480"/>
        <w:gridCol w:w="1478"/>
        <w:gridCol w:w="1480"/>
        <w:gridCol w:w="1478"/>
      </w:tblGrid>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478"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4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78" w:type="dxa"/>
            <w:tcBorders>
              <w:top w:val="single" w:sz="4" w:space="0" w:color="000000"/>
              <w:left w:val="single" w:sz="13" w:space="0" w:color="D2D2D2"/>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78" w:type="dxa"/>
            <w:tcBorders>
              <w:top w:val="single" w:sz="4" w:space="0" w:color="000000"/>
              <w:left w:val="single" w:sz="13" w:space="0" w:color="D2D2D2"/>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155,611.93</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4,227,806.33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4,383,418.26</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27,313,471.00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14,296,800.00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6,544,807.08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48,155,078.08</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78" w:type="dxa"/>
            <w:tcBorders>
              <w:top w:val="single" w:sz="4" w:space="0" w:color="000000"/>
              <w:left w:val="single" w:sz="13" w:space="0" w:color="D2D2D2"/>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691,107.98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691,107.98</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78" w:type="dxa"/>
            <w:tcBorders>
              <w:top w:val="single" w:sz="4" w:space="0" w:color="000000"/>
              <w:left w:val="single" w:sz="13" w:space="0" w:color="D2D2D2"/>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5,042,126.73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5,042,126.73</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27,313,471.00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14,296,800.00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811,572.37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42,421,843.37</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27,313,471.00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14,452,411.93</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10,772,613.41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52,538,496.34</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15,561.19</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2,010,920.06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2,026,481.25</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1,844,495.73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507,682.36</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1,494,870.56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3,847,048.65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70"/>
        <w:gridCol w:w="1478"/>
        <w:gridCol w:w="1480"/>
        <w:gridCol w:w="1478"/>
        <w:gridCol w:w="1480"/>
        <w:gridCol w:w="1478"/>
      </w:tblGrid>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105,289.40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507,682.36</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901,857.17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1,514,828.93</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1,739,206.33</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593,013.39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2,332,219.72</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56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1,844,495.73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523,243.55</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3,505,790.62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5,873,529.90</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56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56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6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25,468,975.27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13,929,168.38</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7,266,822.79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46,664,966.44</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6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140,050.74</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2,216,886.27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2,356,937.01</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12.09%</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3"/>
        <w:spacing w:line="240" w:lineRule="auto"/>
        <w:ind w:left="153" w:right="1017"/>
        <w:jc w:val="left"/>
        <w:rPr>
          <w:b w:val="0"/>
          <w:bCs w:val="0"/>
        </w:rPr>
      </w:pPr>
      <w:bookmarkStart w:name="15、开发支出" w:id="253"/>
      <w:bookmarkEnd w:id="253"/>
      <w:r>
        <w:rPr>
          <w:b w:val="0"/>
          <w:bCs w:val="0"/>
        </w:rPr>
      </w:r>
      <w:r>
        <w:rPr>
          <w:rFonts w:ascii="Times New Roman" w:hAnsi="Times New Roman" w:cs="Times New Roman" w:eastAsia="Times New Roman" w:hint="default"/>
        </w:rPr>
        <w:t>15</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4" w:space="0" w:color="000000"/>
            </w:tcBorders>
            <w:shd w:val="clear" w:color="auto" w:fill="D9D9D9"/>
          </w:tcPr>
          <w:p>
            <w:pPr/>
          </w:p>
        </w:tc>
        <w:tc>
          <w:tcPr>
            <w:tcW w:w="1063"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51"/>
              <w:ind w:left="345" w:right="77"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4"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vMerge w:val="restart"/>
            <w:tcBorders>
              <w:top w:val="single" w:sz="4" w:space="0" w:color="000000"/>
              <w:left w:val="single" w:sz="4" w:space="0" w:color="000000"/>
              <w:right w:val="single" w:sz="9" w:space="0" w:color="D2D2D2"/>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tcBorders>
              <w:left w:val="single" w:sz="9" w:space="0" w:color="D2D2D2"/>
              <w:right w:val="single" w:sz="4" w:space="0" w:color="000000"/>
            </w:tcBorders>
            <w:shd w:val="clear" w:color="auto" w:fill="D9D9D9"/>
          </w:tcPr>
          <w:p>
            <w:pPr/>
          </w:p>
        </w:tc>
        <w:tc>
          <w:tcPr>
            <w:tcW w:w="1063" w:type="dxa"/>
            <w:vMerge/>
            <w:tcBorders>
              <w:left w:val="single" w:sz="4" w:space="0" w:color="000000"/>
              <w:right w:val="single" w:sz="4" w:space="0" w:color="000000"/>
            </w:tcBorders>
            <w:shd w:val="clear" w:color="auto" w:fill="D9D9D9"/>
          </w:tcPr>
          <w:p>
            <w:pPr/>
          </w:p>
        </w:tc>
        <w:tc>
          <w:tcPr>
            <w:tcW w:w="1064" w:type="dxa"/>
            <w:vMerge/>
            <w:tcBorders>
              <w:left w:val="single" w:sz="4" w:space="0" w:color="000000"/>
              <w:right w:val="single" w:sz="4" w:space="0" w:color="000000"/>
            </w:tcBorders>
            <w:shd w:val="clear" w:color="auto" w:fill="D9D9D9"/>
          </w:tcPr>
          <w:p>
            <w:pPr/>
          </w:p>
        </w:tc>
        <w:tc>
          <w:tcPr>
            <w:tcW w:w="1063" w:type="dxa"/>
            <w:vMerge/>
            <w:tcBorders>
              <w:left w:val="single" w:sz="4" w:space="0" w:color="000000"/>
              <w:right w:val="single" w:sz="9" w:space="0" w:color="D2D2D2"/>
            </w:tcBorders>
            <w:shd w:val="clear" w:color="auto" w:fill="D9D9D9"/>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9" w:space="0" w:color="D2D2D2"/>
              <w:right w:val="single" w:sz="4" w:space="0" w:color="000000"/>
            </w:tcBorders>
            <w:shd w:val="clear" w:color="auto" w:fill="D9D9D9"/>
          </w:tcPr>
          <w:p>
            <w:pPr/>
          </w:p>
        </w:tc>
        <w:tc>
          <w:tcPr>
            <w:tcW w:w="1063" w:type="dxa"/>
            <w:vMerge/>
            <w:tcBorders>
              <w:left w:val="single" w:sz="4" w:space="0" w:color="000000"/>
              <w:right w:val="single" w:sz="4" w:space="0" w:color="000000"/>
            </w:tcBorders>
            <w:shd w:val="clear" w:color="auto" w:fill="D9D9D9"/>
          </w:tcPr>
          <w:p>
            <w:pPr/>
          </w:p>
        </w:tc>
        <w:tc>
          <w:tcPr>
            <w:tcW w:w="1064" w:type="dxa"/>
            <w:vMerge/>
            <w:tcBorders>
              <w:left w:val="single" w:sz="4" w:space="0" w:color="000000"/>
              <w:right w:val="single" w:sz="4" w:space="0" w:color="000000"/>
            </w:tcBorders>
            <w:shd w:val="clear" w:color="auto" w:fill="D9D9D9"/>
          </w:tcPr>
          <w:p>
            <w:pPr/>
          </w:p>
        </w:tc>
        <w:tc>
          <w:tcPr>
            <w:tcW w:w="1063" w:type="dxa"/>
            <w:vMerge/>
            <w:tcBorders>
              <w:left w:val="single" w:sz="4" w:space="0" w:color="000000"/>
              <w:right w:val="single" w:sz="9" w:space="0" w:color="D2D2D2"/>
            </w:tcBorders>
            <w:shd w:val="clear" w:color="auto" w:fill="D9D9D9"/>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4" w:space="0" w:color="000000"/>
            </w:tcBorders>
            <w:shd w:val="clear" w:color="auto" w:fill="D9D9D9"/>
          </w:tcPr>
          <w:p>
            <w:pPr/>
          </w:p>
        </w:tc>
        <w:tc>
          <w:tcPr>
            <w:tcW w:w="1063" w:type="dxa"/>
            <w:vMerge/>
            <w:tcBorders>
              <w:left w:val="single" w:sz="4" w:space="0" w:color="000000"/>
              <w:bottom w:val="single" w:sz="4" w:space="0" w:color="000000"/>
              <w:right w:val="single" w:sz="4" w:space="0" w:color="000000"/>
            </w:tcBorders>
            <w:shd w:val="clear" w:color="auto" w:fill="D9D9D9"/>
          </w:tcPr>
          <w:p>
            <w:pPr/>
          </w:p>
        </w:tc>
        <w:tc>
          <w:tcPr>
            <w:tcW w:w="1064" w:type="dxa"/>
            <w:vMerge/>
            <w:tcBorders>
              <w:left w:val="single" w:sz="4" w:space="0" w:color="000000"/>
              <w:bottom w:val="single" w:sz="4" w:space="0" w:color="000000"/>
              <w:right w:val="single" w:sz="4" w:space="0" w:color="000000"/>
            </w:tcBorders>
            <w:shd w:val="clear" w:color="auto" w:fill="D9D9D9"/>
          </w:tcPr>
          <w:p>
            <w:pPr/>
          </w:p>
        </w:tc>
        <w:tc>
          <w:tcPr>
            <w:tcW w:w="1063" w:type="dxa"/>
            <w:vMerge/>
            <w:tcBorders>
              <w:left w:val="single" w:sz="4" w:space="0" w:color="000000"/>
              <w:bottom w:val="single" w:sz="4" w:space="0" w:color="000000"/>
              <w:right w:val="single" w:sz="9" w:space="0" w:color="D2D2D2"/>
            </w:tcBorders>
            <w:shd w:val="clear" w:color="auto" w:fill="D9D9D9"/>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1,120,262.03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1,120,262.03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项目二</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678,040.86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678,040.86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项目三</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726,232.52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726,232.52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项目四</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1,494,991.08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1,494,991.08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项目五</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1,022,600.24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1,022,600.24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项目六</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2,033,922.38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2,033,922.38</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506,623.75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506,623.75</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项目八</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383,330.73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383,330.73</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154,945.93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154,945.93</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8,120,949.52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5,042,126.73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3,078,822.79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017"/>
        <w:jc w:val="left"/>
        <w:rPr>
          <w:b w:val="0"/>
          <w:bCs w:val="0"/>
        </w:rPr>
      </w:pPr>
      <w:bookmarkStart w:name="16、商誉" w:id="254"/>
      <w:bookmarkEnd w:id="254"/>
      <w:r>
        <w:rPr>
          <w:b w:val="0"/>
          <w:bCs w:val="0"/>
        </w:rPr>
      </w:r>
      <w:r>
        <w:rPr>
          <w:rFonts w:ascii="Times New Roman" w:hAnsi="Times New Roman" w:cs="Times New Roman" w:eastAsia="Times New Roman" w:hint="default"/>
        </w:rPr>
        <w:t>16</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商誉账面原值" w:id="255"/>
      <w:bookmarkEnd w:id="25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365"/>
        <w:gridCol w:w="1344"/>
        <w:gridCol w:w="835"/>
        <w:gridCol w:w="851"/>
        <w:gridCol w:w="972"/>
        <w:gridCol w:w="1367"/>
      </w:tblGrid>
      <w:tr>
        <w:trPr>
          <w:trHeight w:val="206"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5"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8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4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28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3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79" w:type="dxa"/>
            <w:gridSpan w:val="2"/>
            <w:vMerge/>
            <w:tcBorders>
              <w:left w:val="single" w:sz="4" w:space="0" w:color="000000"/>
              <w:bottom w:val="single" w:sz="4" w:space="0" w:color="000000"/>
              <w:right w:val="single" w:sz="4" w:space="0" w:color="000000"/>
            </w:tcBorders>
            <w:shd w:val="clear" w:color="auto" w:fill="D2D2D2"/>
          </w:tcPr>
          <w:p>
            <w:pPr/>
          </w:p>
        </w:tc>
        <w:tc>
          <w:tcPr>
            <w:tcW w:w="1823"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1365" w:type="dxa"/>
            <w:vMerge/>
            <w:tcBorders>
              <w:left w:val="single" w:sz="4" w:space="0" w:color="000000"/>
              <w:bottom w:val="nil" w:sz="6" w:space="0" w:color="auto"/>
              <w:right w:val="single" w:sz="4" w:space="0" w:color="000000"/>
            </w:tcBorders>
            <w:shd w:val="clear" w:color="auto" w:fill="D2D2D2"/>
          </w:tcPr>
          <w:p>
            <w:pPr/>
          </w:p>
        </w:tc>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835" w:type="dxa"/>
            <w:vMerge w:val="restart"/>
            <w:tcBorders>
              <w:top w:val="single" w:sz="4" w:space="0" w:color="000000"/>
              <w:left w:val="single" w:sz="13" w:space="0" w:color="D2D2D2"/>
              <w:right w:val="single" w:sz="4" w:space="0" w:color="000000"/>
            </w:tcBorders>
            <w:shd w:val="clear" w:color="auto" w:fill="D9D9D9"/>
          </w:tcPr>
          <w:p>
            <w:pPr/>
          </w:p>
        </w:tc>
        <w:tc>
          <w:tcPr>
            <w:tcW w:w="85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2"/>
              <w:ind w:left="240"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72" w:type="dxa"/>
            <w:vMerge w:val="restart"/>
            <w:tcBorders>
              <w:top w:val="single" w:sz="4" w:space="0" w:color="000000"/>
              <w:left w:val="single" w:sz="4" w:space="0" w:color="000000"/>
              <w:right w:val="single" w:sz="9" w:space="0" w:color="D2D2D2"/>
            </w:tcBorders>
            <w:shd w:val="clear" w:color="auto" w:fill="D9D9D9"/>
          </w:tcPr>
          <w:p>
            <w:pPr>
              <w:pStyle w:val="TableParagraph"/>
              <w:spacing w:line="240" w:lineRule="auto" w:before="52"/>
              <w:ind w:left="300" w:right="0"/>
              <w:jc w:val="left"/>
              <w:rPr>
                <w:rFonts w:ascii="宋体" w:hAnsi="宋体" w:cs="宋体" w:eastAsia="宋体" w:hint="default"/>
                <w:sz w:val="18"/>
                <w:szCs w:val="18"/>
              </w:rPr>
            </w:pPr>
            <w:r>
              <w:rPr>
                <w:rFonts w:ascii="宋体" w:hAnsi="宋体" w:cs="宋体" w:eastAsia="宋体" w:hint="default"/>
                <w:sz w:val="18"/>
                <w:szCs w:val="18"/>
              </w:rPr>
              <w:t>减值</w:t>
            </w: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4" w:type="dxa"/>
            <w:vMerge/>
            <w:tcBorders>
              <w:left w:val="single" w:sz="4" w:space="0" w:color="000000"/>
              <w:bottom w:val="single" w:sz="4" w:space="0" w:color="000000"/>
              <w:right w:val="single" w:sz="4" w:space="0" w:color="000000"/>
            </w:tcBorders>
            <w:shd w:val="clear" w:color="auto" w:fill="D2D2D2"/>
          </w:tcPr>
          <w:p>
            <w:pPr/>
          </w:p>
        </w:tc>
        <w:tc>
          <w:tcPr>
            <w:tcW w:w="835" w:type="dxa"/>
            <w:vMerge/>
            <w:tcBorders>
              <w:left w:val="single" w:sz="13" w:space="0" w:color="D2D2D2"/>
              <w:bottom w:val="single" w:sz="4" w:space="0" w:color="000000"/>
              <w:right w:val="single" w:sz="4" w:space="0" w:color="000000"/>
            </w:tcBorders>
            <w:shd w:val="clear" w:color="auto" w:fill="D9D9D9"/>
          </w:tcPr>
          <w:p>
            <w:pPr/>
          </w:p>
        </w:tc>
        <w:tc>
          <w:tcPr>
            <w:tcW w:w="851" w:type="dxa"/>
            <w:vMerge/>
            <w:tcBorders>
              <w:left w:val="single" w:sz="4" w:space="0" w:color="000000"/>
              <w:bottom w:val="single" w:sz="4" w:space="0" w:color="000000"/>
              <w:right w:val="single" w:sz="4" w:space="0" w:color="000000"/>
            </w:tcBorders>
            <w:shd w:val="clear" w:color="auto" w:fill="D9D9D9"/>
          </w:tcPr>
          <w:p>
            <w:pPr/>
          </w:p>
        </w:tc>
        <w:tc>
          <w:tcPr>
            <w:tcW w:w="972" w:type="dxa"/>
            <w:vMerge/>
            <w:tcBorders>
              <w:left w:val="single" w:sz="4" w:space="0" w:color="000000"/>
              <w:bottom w:val="single" w:sz="4" w:space="0" w:color="000000"/>
              <w:right w:val="single" w:sz="9" w:space="0" w:color="D2D2D2"/>
            </w:tcBorders>
            <w:shd w:val="clear" w:color="auto" w:fill="D9D9D9"/>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155,406,465.96</w:t>
            </w:r>
          </w:p>
        </w:tc>
        <w:tc>
          <w:tcPr>
            <w:tcW w:w="1344"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155,406,465.96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北京达实德润能源科技有限公司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7,256,368.77</w:t>
            </w:r>
          </w:p>
        </w:tc>
        <w:tc>
          <w:tcPr>
            <w:tcW w:w="1344"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7,256,368.77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上海腾隆变配电设备管理有限公司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5,902,248.73</w:t>
            </w:r>
          </w:p>
        </w:tc>
        <w:tc>
          <w:tcPr>
            <w:tcW w:w="1344"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5,902,248.73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江苏久信医疗科技有限公司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621,786,969.96</w:t>
            </w:r>
          </w:p>
        </w:tc>
        <w:tc>
          <w:tcPr>
            <w:tcW w:w="83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621,786,969.96</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168,565,083.46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621,786,969.96</w:t>
            </w:r>
          </w:p>
        </w:tc>
        <w:tc>
          <w:tcPr>
            <w:tcW w:w="83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790,352,053.42</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2）商誉减值准备" w:id="256"/>
      <w:bookmarkEnd w:id="25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4"/>
        <w:gridCol w:w="1386"/>
        <w:gridCol w:w="1344"/>
        <w:gridCol w:w="826"/>
        <w:gridCol w:w="854"/>
        <w:gridCol w:w="979"/>
        <w:gridCol w:w="1367"/>
      </w:tblGrid>
      <w:tr>
        <w:trPr>
          <w:trHeight w:val="401"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1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15,422,557.95</w:t>
            </w:r>
          </w:p>
        </w:tc>
        <w:tc>
          <w:tcPr>
            <w:tcW w:w="8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15,422,557.95</w:t>
            </w:r>
          </w:p>
        </w:tc>
      </w:tr>
      <w:tr>
        <w:trPr>
          <w:trHeight w:val="402" w:hRule="exact"/>
        </w:trPr>
        <w:tc>
          <w:tcPr>
            <w:tcW w:w="28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北京达实德润能源科技有限公司</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1,617,885.46</w:t>
            </w:r>
          </w:p>
        </w:tc>
        <w:tc>
          <w:tcPr>
            <w:tcW w:w="8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1,617,885.46</w:t>
            </w:r>
          </w:p>
        </w:tc>
      </w:tr>
      <w:tr>
        <w:trPr>
          <w:trHeight w:val="404"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17,040,443.41</w:t>
            </w:r>
          </w:p>
        </w:tc>
        <w:tc>
          <w:tcPr>
            <w:tcW w:w="8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17,040,443.41</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pStyle w:val="BodyText"/>
        <w:spacing w:line="357" w:lineRule="auto" w:before="70"/>
        <w:ind w:left="574" w:right="1128"/>
        <w:jc w:val="left"/>
      </w:pPr>
      <w:r>
        <w:rPr/>
        <w:t>①商誉的基本情况 </w:t>
      </w:r>
      <w:r>
        <w:rPr>
          <w:rFonts w:ascii="宋体" w:hAnsi="宋体" w:cs="宋体" w:eastAsia="宋体" w:hint="default"/>
          <w:spacing w:val="-3"/>
        </w:rPr>
        <w:t>2012</w:t>
      </w:r>
      <w:r>
        <w:rPr>
          <w:spacing w:val="-3"/>
        </w:rPr>
        <w:t>年</w:t>
      </w:r>
      <w:r>
        <w:rPr>
          <w:rFonts w:ascii="宋体" w:hAnsi="宋体" w:cs="宋体" w:eastAsia="宋体" w:hint="default"/>
          <w:spacing w:val="-3"/>
        </w:rPr>
        <w:t>7</w:t>
      </w:r>
      <w:r>
        <w:rPr>
          <w:spacing w:val="-3"/>
        </w:rPr>
        <w:t>月公司与上海臻龙投资管理合伙企业、上海益憬投资管理事务所、青岛邦源创业投资中心（有</w:t>
      </w:r>
    </w:p>
    <w:p>
      <w:pPr>
        <w:pStyle w:val="BodyText"/>
        <w:spacing w:line="357" w:lineRule="auto"/>
        <w:ind w:right="1132"/>
        <w:jc w:val="both"/>
      </w:pPr>
      <w:r>
        <w:rPr>
          <w:spacing w:val="-1"/>
        </w:rPr>
        <w:t>限合伙）签署了《投资协议》，约定以</w:t>
      </w:r>
      <w:r>
        <w:rPr>
          <w:rFonts w:ascii="宋体" w:hAnsi="宋体" w:cs="宋体" w:eastAsia="宋体" w:hint="default"/>
          <w:spacing w:val="-1"/>
        </w:rPr>
        <w:t>201,144,000.00</w:t>
      </w:r>
      <w:r>
        <w:rPr>
          <w:spacing w:val="-1"/>
        </w:rPr>
        <w:t>元采取股权转让的方式合计受让上海联欣科技发展</w:t>
      </w:r>
      <w:r>
        <w:rPr>
          <w:spacing w:val="-80"/>
        </w:rPr>
        <w:t> </w:t>
      </w:r>
      <w:r>
        <w:rPr>
          <w:spacing w:val="-80"/>
        </w:rPr>
      </w:r>
      <w:r>
        <w:rPr>
          <w:spacing w:val="-1"/>
        </w:rPr>
        <w:t>有限公司（已更名为上海达实联欣科技发展有限公司以下简称“达实联欣”）</w:t>
      </w:r>
      <w:r>
        <w:rPr>
          <w:rFonts w:ascii="宋体" w:hAnsi="宋体" w:cs="宋体" w:eastAsia="宋体" w:hint="default"/>
          <w:spacing w:val="-1"/>
        </w:rPr>
        <w:t>51.00%</w:t>
      </w:r>
      <w:r>
        <w:rPr>
          <w:spacing w:val="-1"/>
        </w:rPr>
        <w:t>的股权。根据《企业</w:t>
      </w:r>
      <w:r>
        <w:rPr>
          <w:spacing w:val="-81"/>
        </w:rPr>
        <w:t> </w:t>
      </w:r>
      <w:r>
        <w:rPr>
          <w:spacing w:val="-81"/>
        </w:rPr>
      </w:r>
      <w:r>
        <w:rPr>
          <w:spacing w:val="-1"/>
        </w:rPr>
        <w:t>会计准则第</w:t>
      </w:r>
      <w:r>
        <w:rPr>
          <w:rFonts w:ascii="宋体" w:hAnsi="宋体" w:cs="宋体" w:eastAsia="宋体" w:hint="default"/>
          <w:spacing w:val="-1"/>
        </w:rPr>
        <w:t>33</w:t>
      </w:r>
      <w:r>
        <w:rPr>
          <w:spacing w:val="-1"/>
        </w:rPr>
        <w:t>号——合并财务报表》有关规定，合并日按持股比例计算应享有被合并方可辨认净资产的公</w:t>
      </w:r>
      <w:r>
        <w:rPr>
          <w:spacing w:val="-83"/>
        </w:rPr>
        <w:t> </w:t>
      </w:r>
      <w:r>
        <w:rPr>
          <w:spacing w:val="-83"/>
        </w:rPr>
      </w:r>
      <w:r>
        <w:rPr/>
        <w:t>允价值的份额为</w:t>
      </w:r>
      <w:r>
        <w:rPr>
          <w:rFonts w:ascii="宋体" w:hAnsi="宋体" w:cs="宋体" w:eastAsia="宋体" w:hint="default"/>
        </w:rPr>
        <w:t>42,374,250.04</w:t>
      </w:r>
      <w:r>
        <w:rPr/>
        <w:t>元，故合并时形成</w:t>
      </w:r>
      <w:r>
        <w:rPr>
          <w:rFonts w:ascii="宋体" w:hAnsi="宋体" w:cs="宋体" w:eastAsia="宋体" w:hint="default"/>
        </w:rPr>
        <w:t>158,769,749.96</w:t>
      </w:r>
      <w:r>
        <w:rPr/>
        <w:t>元商誉。截至</w:t>
      </w:r>
      <w:r>
        <w:rPr>
          <w:rFonts w:ascii="宋体" w:hAnsi="宋体" w:cs="宋体" w:eastAsia="宋体" w:hint="default"/>
        </w:rPr>
        <w:t>2014</w:t>
      </w:r>
      <w:r>
        <w:rPr/>
        <w:t>年末，达实联欣未完</w:t>
      </w:r>
      <w:r>
        <w:rPr>
          <w:spacing w:val="-32"/>
        </w:rPr>
        <w:t> </w:t>
      </w:r>
      <w:r>
        <w:rPr>
          <w:spacing w:val="-32"/>
        </w:rPr>
      </w:r>
      <w:r>
        <w:rPr>
          <w:spacing w:val="-1"/>
        </w:rPr>
        <w:t>成收购时承诺业绩，按实际未完成比例调减了</w:t>
      </w:r>
      <w:r>
        <w:rPr>
          <w:rFonts w:ascii="宋体" w:hAnsi="宋体" w:cs="宋体" w:eastAsia="宋体" w:hint="default"/>
          <w:spacing w:val="-1"/>
        </w:rPr>
        <w:t>3,363,284.00</w:t>
      </w:r>
      <w:r>
        <w:rPr>
          <w:spacing w:val="-1"/>
        </w:rPr>
        <w:t>元应付的股权收购款及对应商誉，调整后对达</w:t>
      </w:r>
      <w:r>
        <w:rPr>
          <w:spacing w:val="-77"/>
        </w:rPr>
        <w:t> </w:t>
      </w:r>
      <w:r>
        <w:rPr>
          <w:spacing w:val="-77"/>
        </w:rPr>
      </w:r>
      <w:r>
        <w:rPr/>
        <w:t>实联欣的合并商誉为</w:t>
      </w:r>
      <w:r>
        <w:rPr>
          <w:rFonts w:ascii="宋体" w:hAnsi="宋体" w:cs="宋体" w:eastAsia="宋体" w:hint="default"/>
        </w:rPr>
        <w:t>155,406,465.96</w:t>
      </w:r>
      <w:r>
        <w:rPr/>
        <w:t>元。</w:t>
      </w:r>
    </w:p>
    <w:p>
      <w:pPr>
        <w:pStyle w:val="BodyText"/>
        <w:spacing w:line="357" w:lineRule="auto" w:before="31"/>
        <w:ind w:left="154" w:right="1132" w:firstLine="420"/>
        <w:jc w:val="both"/>
      </w:pPr>
      <w:r>
        <w:rPr>
          <w:rFonts w:ascii="宋体" w:hAnsi="宋体" w:cs="宋体" w:eastAsia="宋体" w:hint="default"/>
        </w:rPr>
        <w:t>2012</w:t>
      </w:r>
      <w:r>
        <w:rPr/>
        <w:t>年</w:t>
      </w:r>
      <w:r>
        <w:rPr>
          <w:rFonts w:ascii="宋体" w:hAnsi="宋体" w:cs="宋体" w:eastAsia="宋体" w:hint="default"/>
        </w:rPr>
        <w:t>4</w:t>
      </w:r>
      <w:r>
        <w:rPr/>
        <w:t>月，公司与北京启迪德润能源科技有限公司（已更名为北京达实德润能源科技有限公司以下 </w:t>
      </w:r>
      <w:r>
        <w:rPr>
          <w:spacing w:val="3"/>
        </w:rPr>
        <w:t>简称“达实德润”）原股东沈宏明和北京启迪建筑信息技术有限公司签署了《投资协议》，约定以现金</w:t>
      </w:r>
      <w:r>
        <w:rPr>
          <w:spacing w:val="-77"/>
        </w:rPr>
        <w:t> </w:t>
      </w:r>
      <w:r>
        <w:rPr>
          <w:spacing w:val="-77"/>
        </w:rPr>
      </w:r>
      <w:r>
        <w:rPr>
          <w:rFonts w:ascii="宋体" w:hAnsi="宋体" w:cs="宋体" w:eastAsia="宋体" w:hint="default"/>
        </w:rPr>
        <w:t>8,100,000.00</w:t>
      </w:r>
      <w:r>
        <w:rPr/>
        <w:t>元增资达实德润取得其</w:t>
      </w:r>
      <w:r>
        <w:rPr>
          <w:rFonts w:ascii="宋体" w:hAnsi="宋体" w:cs="宋体" w:eastAsia="宋体" w:hint="default"/>
        </w:rPr>
        <w:t>27%</w:t>
      </w:r>
      <w:r>
        <w:rPr/>
        <w:t>股权，以现金</w:t>
      </w:r>
      <w:r>
        <w:rPr>
          <w:rFonts w:ascii="宋体" w:hAnsi="宋体" w:cs="宋体" w:eastAsia="宋体" w:hint="default"/>
        </w:rPr>
        <w:t>5,400,000.00</w:t>
      </w:r>
      <w:r>
        <w:rPr/>
        <w:t>元受让达实德润</w:t>
      </w:r>
      <w:r>
        <w:rPr>
          <w:rFonts w:ascii="宋体" w:hAnsi="宋体" w:cs="宋体" w:eastAsia="宋体" w:hint="default"/>
        </w:rPr>
        <w:t>18.00%</w:t>
      </w:r>
      <w:r>
        <w:rPr/>
        <w:t>股权，合计取</w:t>
      </w:r>
      <w:r>
        <w:rPr>
          <w:spacing w:val="-36"/>
        </w:rPr>
        <w:t> </w:t>
      </w:r>
      <w:r>
        <w:rPr>
          <w:spacing w:val="-36"/>
        </w:rPr>
      </w:r>
      <w:r>
        <w:rPr>
          <w:spacing w:val="3"/>
        </w:rPr>
        <w:t>得</w:t>
      </w:r>
      <w:r>
        <w:rPr>
          <w:rFonts w:ascii="宋体" w:hAnsi="宋体" w:cs="宋体" w:eastAsia="宋体" w:hint="default"/>
          <w:spacing w:val="3"/>
        </w:rPr>
        <w:t>45.00%</w:t>
      </w:r>
      <w:r>
        <w:rPr>
          <w:spacing w:val="3"/>
        </w:rPr>
        <w:t>股权。合并日按持股比例计算应享有被合并方可辨认净资产的公允价值的份额为</w:t>
      </w:r>
      <w:r>
        <w:rPr>
          <w:rFonts w:ascii="宋体" w:hAnsi="宋体" w:cs="宋体" w:eastAsia="宋体" w:hint="default"/>
          <w:spacing w:val="3"/>
        </w:rPr>
        <w:t>6,243,631.23</w:t>
      </w:r>
      <w:r>
        <w:rPr>
          <w:rFonts w:ascii="宋体" w:hAnsi="宋体" w:cs="宋体" w:eastAsia="宋体" w:hint="default"/>
        </w:rPr>
        <w:t> </w:t>
      </w:r>
      <w:r>
        <w:rPr/>
        <w:t>元，故合并时形成</w:t>
      </w:r>
      <w:r>
        <w:rPr>
          <w:rFonts w:ascii="宋体" w:hAnsi="宋体" w:cs="宋体" w:eastAsia="宋体" w:hint="default"/>
        </w:rPr>
        <w:t>7,256,368.77</w:t>
      </w:r>
      <w:r>
        <w:rPr/>
        <w:t>元商誉。</w:t>
      </w:r>
    </w:p>
    <w:p>
      <w:pPr>
        <w:pStyle w:val="BodyText"/>
        <w:spacing w:line="240" w:lineRule="auto" w:before="31"/>
        <w:ind w:left="574" w:right="1017"/>
        <w:jc w:val="left"/>
      </w:pPr>
      <w:r>
        <w:rPr>
          <w:rFonts w:ascii="宋体" w:hAnsi="宋体" w:cs="宋体" w:eastAsia="宋体" w:hint="default"/>
        </w:rPr>
        <w:t>2014</w:t>
      </w:r>
      <w:r>
        <w:rPr/>
        <w:t>年</w:t>
      </w:r>
      <w:r>
        <w:rPr>
          <w:rFonts w:ascii="宋体" w:hAnsi="宋体" w:cs="宋体" w:eastAsia="宋体" w:hint="default"/>
        </w:rPr>
        <w:t>4</w:t>
      </w:r>
      <w:r>
        <w:rPr/>
        <w:t>月，上海达实联欣科技发展有限公司通过上海交易所购买上海腾隆变配电设备管理有限公司</w:t>
      </w:r>
    </w:p>
    <w:p>
      <w:pPr>
        <w:pStyle w:val="BodyText"/>
        <w:spacing w:line="240" w:lineRule="auto" w:before="133"/>
        <w:ind w:left="154" w:right="0"/>
        <w:jc w:val="both"/>
      </w:pPr>
      <w:r>
        <w:rPr>
          <w:rFonts w:ascii="宋体" w:hAnsi="宋体" w:cs="宋体" w:eastAsia="宋体" w:hint="default"/>
        </w:rPr>
        <w:t>100.00%</w:t>
      </w:r>
      <w:r>
        <w:rPr/>
        <w:t>股权，购买价</w:t>
      </w:r>
      <w:r>
        <w:rPr>
          <w:rFonts w:ascii="宋体" w:hAnsi="宋体" w:cs="宋体" w:eastAsia="宋体" w:hint="default"/>
        </w:rPr>
        <w:t>17,100,000.00</w:t>
      </w:r>
      <w:r>
        <w:rPr/>
        <w:t>元，合并日按持股比例计算应享有被合并方可辨认净资产的公允价值</w:t>
      </w:r>
    </w:p>
    <w:p>
      <w:pPr>
        <w:spacing w:after="0" w:line="240" w:lineRule="auto"/>
        <w:jc w:val="both"/>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5" w:lineRule="auto" w:before="35"/>
        <w:ind w:left="573" w:right="1017" w:hanging="420"/>
        <w:jc w:val="left"/>
      </w:pPr>
      <w:r>
        <w:rPr/>
        <w:t>的份额为</w:t>
      </w:r>
      <w:r>
        <w:rPr>
          <w:rFonts w:ascii="宋体" w:hAnsi="宋体" w:cs="宋体" w:eastAsia="宋体" w:hint="default"/>
        </w:rPr>
        <w:t>11,197,751.27</w:t>
      </w:r>
      <w:r>
        <w:rPr/>
        <w:t>元，故合并时形成</w:t>
      </w:r>
      <w:r>
        <w:rPr>
          <w:rFonts w:ascii="宋体" w:hAnsi="宋体" w:cs="宋体" w:eastAsia="宋体" w:hint="default"/>
        </w:rPr>
        <w:t>5,902,248.73</w:t>
      </w:r>
      <w:r>
        <w:rPr/>
        <w:t>元商誉。 </w:t>
      </w:r>
      <w:r>
        <w:rPr>
          <w:spacing w:val="-1"/>
        </w:rPr>
        <w:t>公司与江苏久信医疗科技股份有限公司（现已更名为江苏久信医疗科技有限公司，以下简称“久信医</w:t>
      </w:r>
    </w:p>
    <w:p>
      <w:pPr>
        <w:pStyle w:val="BodyText"/>
        <w:spacing w:line="357" w:lineRule="auto" w:before="33"/>
        <w:ind w:right="1131"/>
        <w:jc w:val="both"/>
      </w:pPr>
      <w:r>
        <w:rPr>
          <w:spacing w:val="-1"/>
        </w:rPr>
        <w:t>疗”）原全体股东签署了《发行股份及支付现金购买资产协议》，公司向久信医疗原全体股东以非公开发</w:t>
      </w:r>
      <w:r>
        <w:rPr>
          <w:spacing w:val="-82"/>
        </w:rPr>
        <w:t> </w:t>
      </w:r>
      <w:r>
        <w:rPr>
          <w:spacing w:val="-82"/>
        </w:rPr>
      </w:r>
      <w:r>
        <w:rPr>
          <w:spacing w:val="-1"/>
        </w:rPr>
        <w:t>行股份及支付现金的方式购买其合计持有的久信医疗</w:t>
      </w:r>
      <w:r>
        <w:rPr>
          <w:rFonts w:ascii="宋体" w:hAnsi="宋体" w:cs="宋体" w:eastAsia="宋体" w:hint="default"/>
          <w:spacing w:val="-1"/>
        </w:rPr>
        <w:t>100%</w:t>
      </w:r>
      <w:r>
        <w:rPr>
          <w:spacing w:val="-1"/>
        </w:rPr>
        <w:t>股份。本次交易中，公司需向久信医疗原全体股</w:t>
      </w:r>
      <w:r>
        <w:rPr>
          <w:spacing w:val="-79"/>
        </w:rPr>
        <w:t> </w:t>
      </w:r>
      <w:r>
        <w:rPr>
          <w:spacing w:val="-79"/>
        </w:rPr>
      </w:r>
      <w:r>
        <w:rPr>
          <w:spacing w:val="-1"/>
        </w:rPr>
        <w:t>东支付对价</w:t>
      </w:r>
      <w:r>
        <w:rPr>
          <w:rFonts w:ascii="宋体" w:hAnsi="宋体" w:cs="宋体" w:eastAsia="宋体" w:hint="default"/>
          <w:spacing w:val="-1"/>
        </w:rPr>
        <w:t>871,975,000.00</w:t>
      </w:r>
      <w:r>
        <w:rPr>
          <w:spacing w:val="-1"/>
        </w:rPr>
        <w:t>元，合并日按持股比例计算应享有被合并方可辨认净资产的公允价值的份额为</w:t>
      </w:r>
      <w:r>
        <w:rPr>
          <w:spacing w:val="-77"/>
        </w:rPr>
        <w:t> </w:t>
      </w:r>
      <w:r>
        <w:rPr>
          <w:spacing w:val="-77"/>
        </w:rPr>
      </w:r>
      <w:r>
        <w:rPr>
          <w:rFonts w:ascii="宋体" w:hAnsi="宋体" w:cs="宋体" w:eastAsia="宋体" w:hint="default"/>
        </w:rPr>
        <w:t>250,188,030.04</w:t>
      </w:r>
      <w:r>
        <w:rPr/>
        <w:t>元，故合并形成</w:t>
      </w:r>
      <w:r>
        <w:rPr>
          <w:rFonts w:ascii="宋体" w:hAnsi="宋体" w:cs="宋体" w:eastAsia="宋体" w:hint="default"/>
        </w:rPr>
        <w:t>621,786,969.96</w:t>
      </w:r>
      <w:r>
        <w:rPr/>
        <w:t>元商誉。</w:t>
      </w:r>
    </w:p>
    <w:p>
      <w:pPr>
        <w:pStyle w:val="BodyText"/>
        <w:spacing w:line="355" w:lineRule="auto" w:before="31"/>
        <w:ind w:left="574" w:right="1017"/>
        <w:jc w:val="left"/>
      </w:pPr>
      <w:r>
        <w:rPr/>
        <w:t>②商誉减值测试过程 </w:t>
      </w:r>
      <w:r>
        <w:rPr>
          <w:spacing w:val="-1"/>
        </w:rPr>
        <w:t>按照企业会计准则的规定，企业合并所形成的商誉，至少应当在每年年度终进行减值测试。由于商誉</w:t>
      </w:r>
    </w:p>
    <w:p>
      <w:pPr>
        <w:pStyle w:val="BodyText"/>
        <w:spacing w:line="357" w:lineRule="auto" w:before="32"/>
        <w:ind w:left="154" w:right="1131"/>
        <w:jc w:val="both"/>
      </w:pPr>
      <w:r>
        <w:rPr>
          <w:spacing w:val="-1"/>
        </w:rPr>
        <w:t>难以独立产生现金流量，应当结合与其相关的资产组或者资产组组合进行减值测试。为了进行资产减值测</w:t>
      </w:r>
      <w:r>
        <w:rPr>
          <w:spacing w:val="-81"/>
        </w:rPr>
        <w:t> </w:t>
      </w:r>
      <w:r>
        <w:rPr>
          <w:spacing w:val="-81"/>
        </w:rPr>
      </w:r>
      <w:r>
        <w:rPr>
          <w:spacing w:val="-1"/>
        </w:rPr>
        <w:t>试，因企业合并形成的商誉的账面价值，应当自购买日起按照合理的方法分摊至相关的资产组；难以分摊</w:t>
      </w:r>
      <w:r>
        <w:rPr>
          <w:spacing w:val="-83"/>
        </w:rPr>
        <w:t> </w:t>
      </w:r>
      <w:r>
        <w:rPr>
          <w:spacing w:val="-83"/>
        </w:rPr>
      </w:r>
      <w:r>
        <w:rPr/>
        <w:t>至相关的资产组的，应当将其分摊至相关的资产组组合。商誉减值测试流程如下：</w:t>
      </w:r>
    </w:p>
    <w:p>
      <w:pPr>
        <w:pStyle w:val="BodyText"/>
        <w:spacing w:line="357" w:lineRule="auto" w:before="31"/>
        <w:ind w:right="1130" w:firstLine="420"/>
        <w:jc w:val="both"/>
      </w:pPr>
      <w:r>
        <w:rPr>
          <w:rFonts w:ascii="宋体" w:hAnsi="宋体" w:cs="宋体" w:eastAsia="宋体" w:hint="default"/>
        </w:rPr>
        <w:t>1</w:t>
      </w:r>
      <w:r>
        <w:rPr/>
        <w:t>）因企业合并所形成的商誉是母公司根据其在子公司所拥有的权益而确认的商誉，子公司中归属于 </w:t>
      </w:r>
      <w:r>
        <w:rPr>
          <w:spacing w:val="-1"/>
        </w:rPr>
        <w:t>少数股东的商誉并没有在合并财务报表中予以确认。因此，在对与商誉相关的资产组或者资产组组合进行</w:t>
      </w:r>
      <w:r>
        <w:rPr>
          <w:spacing w:val="-81"/>
        </w:rPr>
        <w:t> </w:t>
      </w:r>
      <w:r>
        <w:rPr>
          <w:spacing w:val="-81"/>
        </w:rPr>
      </w:r>
      <w:r>
        <w:rPr>
          <w:spacing w:val="-1"/>
        </w:rPr>
        <w:t>减值测试时，由于其可收回金额的预计包括归属于少数股东的商誉价值部分，因此，公司调整资产组的账</w:t>
      </w:r>
      <w:r>
        <w:rPr>
          <w:spacing w:val="-83"/>
        </w:rPr>
        <w:t> </w:t>
      </w:r>
      <w:r>
        <w:rPr>
          <w:spacing w:val="-83"/>
        </w:rPr>
      </w:r>
      <w:r>
        <w:rPr/>
        <w:t>面价值；</w:t>
      </w:r>
    </w:p>
    <w:p>
      <w:pPr>
        <w:pStyle w:val="BodyText"/>
        <w:spacing w:line="240" w:lineRule="auto"/>
        <w:ind w:left="574" w:right="1017"/>
        <w:jc w:val="left"/>
      </w:pPr>
      <w:r>
        <w:rPr>
          <w:rFonts w:ascii="宋体" w:hAnsi="宋体" w:cs="宋体" w:eastAsia="宋体" w:hint="default"/>
        </w:rPr>
        <w:t>2</w:t>
      </w:r>
      <w:r>
        <w:rPr/>
        <w:t>）折现率选取加权平均资本成本</w:t>
      </w:r>
      <w:r>
        <w:rPr>
          <w:rFonts w:ascii="宋体" w:hAnsi="宋体" w:cs="宋体" w:eastAsia="宋体" w:hint="default"/>
        </w:rPr>
        <w:t>(WACC)</w:t>
      </w:r>
      <w:r>
        <w:rPr/>
        <w:t>；</w:t>
      </w:r>
    </w:p>
    <w:p>
      <w:pPr>
        <w:pStyle w:val="BodyText"/>
        <w:spacing w:line="357" w:lineRule="auto" w:before="134"/>
        <w:ind w:left="154" w:right="1110" w:firstLine="420"/>
        <w:jc w:val="both"/>
      </w:pPr>
      <w:r>
        <w:rPr>
          <w:rFonts w:ascii="宋体" w:hAnsi="宋体" w:cs="宋体" w:eastAsia="宋体" w:hint="default"/>
        </w:rPr>
        <w:t>3</w:t>
      </w:r>
      <w:r>
        <w:rPr/>
        <w:t>）营业收入根据已签约合同及预计签约合同业务量测算，营业成本及费用根据公司历史成本费用与 收入的配比关系并考虑物价增长指数数据测算，推算出近五年净利润，并假设五年后经营情况趋于稳定， 计算可收回金额；</w:t>
      </w:r>
    </w:p>
    <w:p>
      <w:pPr>
        <w:pStyle w:val="BodyText"/>
        <w:spacing w:line="240" w:lineRule="auto"/>
        <w:ind w:left="574" w:right="1017"/>
        <w:jc w:val="left"/>
      </w:pPr>
      <w:r>
        <w:rPr>
          <w:rFonts w:ascii="宋体" w:hAnsi="宋体" w:cs="宋体" w:eastAsia="宋体" w:hint="default"/>
        </w:rPr>
        <w:t>4</w:t>
      </w:r>
      <w:r>
        <w:rPr/>
        <w:t>）比较调整后的资产组的账面价值与其可收回金额，以确定资产组</w:t>
      </w:r>
      <w:r>
        <w:rPr>
          <w:rFonts w:ascii="宋体" w:hAnsi="宋体" w:cs="宋体" w:eastAsia="宋体" w:hint="default"/>
        </w:rPr>
        <w:t>(</w:t>
      </w:r>
      <w:r>
        <w:rPr/>
        <w:t>包括商誉</w:t>
      </w:r>
      <w:r>
        <w:rPr>
          <w:rFonts w:ascii="宋体" w:hAnsi="宋体" w:cs="宋体" w:eastAsia="宋体" w:hint="default"/>
        </w:rPr>
        <w:t>)</w:t>
      </w:r>
      <w:r>
        <w:rPr/>
        <w:t>是否发生了减值；</w:t>
      </w:r>
    </w:p>
    <w:p>
      <w:pPr>
        <w:pStyle w:val="BodyText"/>
        <w:spacing w:line="357" w:lineRule="auto" w:before="134"/>
        <w:ind w:right="1131" w:firstLine="420"/>
        <w:jc w:val="both"/>
      </w:pPr>
      <w:r>
        <w:rPr>
          <w:rFonts w:ascii="宋体" w:hAnsi="宋体" w:cs="宋体" w:eastAsia="宋体" w:hint="default"/>
        </w:rPr>
        <w:t>5</w:t>
      </w:r>
      <w:r>
        <w:rPr/>
        <w:t>）如发生减值的，应当首先抵减商誉的账面价值，但由于根据上述方法计算的商誉减值损失包括了 </w:t>
      </w:r>
      <w:r>
        <w:rPr>
          <w:spacing w:val="3"/>
        </w:rPr>
        <w:t>应由少数股东权益承担的部分，而少数股东权益拥有的商誉价值及其减值损失都不在合并财务报表中反</w:t>
      </w:r>
      <w:r>
        <w:rPr>
          <w:spacing w:val="-82"/>
        </w:rPr>
        <w:t> </w:t>
      </w:r>
      <w:r>
        <w:rPr>
          <w:spacing w:val="-82"/>
        </w:rPr>
      </w:r>
      <w:r>
        <w:rPr>
          <w:spacing w:val="-1"/>
        </w:rPr>
        <w:t>映，合并财务报表只反映归属于母公司的商誉减值损失，因此应当将商誉减值损失在可归属于母公司和少</w:t>
      </w:r>
      <w:r>
        <w:rPr>
          <w:spacing w:val="-81"/>
        </w:rPr>
        <w:t> </w:t>
      </w:r>
      <w:r>
        <w:rPr>
          <w:spacing w:val="-81"/>
        </w:rPr>
      </w:r>
      <w:r>
        <w:rPr/>
        <w:t>数股东权益部分之间按比例进行分摊，以确认归属于母公司的商誉减值损失。</w:t>
      </w:r>
    </w:p>
    <w:p>
      <w:pPr>
        <w:pStyle w:val="BodyText"/>
        <w:spacing w:line="357" w:lineRule="auto"/>
        <w:ind w:left="574" w:right="1115"/>
        <w:jc w:val="left"/>
        <w:rPr>
          <w:rFonts w:ascii="宋体" w:hAnsi="宋体" w:cs="宋体" w:eastAsia="宋体" w:hint="default"/>
        </w:rPr>
      </w:pPr>
      <w:r>
        <w:rPr/>
        <w:t>③商誉测试结果 </w:t>
      </w:r>
      <w:r>
        <w:rPr>
          <w:rFonts w:ascii="宋体" w:hAnsi="宋体" w:cs="宋体" w:eastAsia="宋体" w:hint="default"/>
          <w:spacing w:val="-3"/>
        </w:rPr>
        <w:t>1</w:t>
      </w:r>
      <w:r>
        <w:rPr>
          <w:spacing w:val="-3"/>
        </w:rPr>
        <w:t>）北京大正海地人资产评估有限公司对达实联欣进行评估，并出具“大正海地人评报字</w:t>
      </w:r>
      <w:r>
        <w:rPr>
          <w:rFonts w:ascii="宋体" w:hAnsi="宋体" w:cs="宋体" w:eastAsia="宋体" w:hint="default"/>
          <w:spacing w:val="-3"/>
        </w:rPr>
        <w:t>(2016)</w:t>
      </w:r>
      <w:r>
        <w:rPr>
          <w:spacing w:val="-3"/>
        </w:rPr>
        <w:t>第</w:t>
      </w:r>
      <w:r>
        <w:rPr>
          <w:spacing w:val="10"/>
        </w:rPr>
        <w:t> </w:t>
      </w:r>
      <w:r>
        <w:rPr>
          <w:rFonts w:ascii="宋体" w:hAnsi="宋体" w:cs="宋体" w:eastAsia="宋体" w:hint="default"/>
        </w:rPr>
        <w:t>91C</w:t>
      </w:r>
    </w:p>
    <w:p>
      <w:pPr>
        <w:pStyle w:val="BodyText"/>
        <w:spacing w:line="357" w:lineRule="auto"/>
        <w:ind w:right="1013"/>
        <w:jc w:val="left"/>
      </w:pPr>
      <w:r>
        <w:rPr>
          <w:spacing w:val="-7"/>
        </w:rPr>
        <w:t>号”评估报告，达实联欣截至 </w:t>
      </w:r>
      <w:r>
        <w:rPr>
          <w:rFonts w:ascii="宋体" w:hAnsi="宋体" w:cs="宋体" w:eastAsia="宋体" w:hint="default"/>
        </w:rPr>
        <w:t>2015</w:t>
      </w:r>
      <w:r>
        <w:rPr/>
        <w:t>年 </w:t>
      </w:r>
      <w:r>
        <w:rPr>
          <w:rFonts w:ascii="宋体" w:hAnsi="宋体" w:cs="宋体" w:eastAsia="宋体" w:hint="default"/>
        </w:rPr>
        <w:t>12 </w:t>
      </w:r>
      <w:r>
        <w:rPr/>
        <w:t>月 </w:t>
      </w:r>
      <w:r>
        <w:rPr>
          <w:rFonts w:ascii="宋体" w:hAnsi="宋体" w:cs="宋体" w:eastAsia="宋体" w:hint="default"/>
        </w:rPr>
        <w:t>31 </w:t>
      </w:r>
      <w:r>
        <w:rPr/>
        <w:t>日，经评估后的股东全部权益价值为</w:t>
      </w:r>
      <w:r>
        <w:rPr>
          <w:rFonts w:ascii="宋体" w:hAnsi="宋体" w:cs="宋体" w:eastAsia="宋体" w:hint="default"/>
        </w:rPr>
        <w:t>421,700,000.00</w:t>
      </w:r>
      <w:r>
        <w:rPr>
          <w:rFonts w:ascii="宋体" w:hAnsi="宋体" w:cs="宋体" w:eastAsia="宋体" w:hint="default"/>
          <w:spacing w:val="-32"/>
        </w:rPr>
        <w:t> </w:t>
      </w:r>
      <w:r>
        <w:rPr/>
        <w:t>元。 达实联欣</w:t>
      </w:r>
      <w:r>
        <w:rPr>
          <w:rFonts w:ascii="宋体" w:hAnsi="宋体" w:cs="宋体" w:eastAsia="宋体" w:hint="default"/>
        </w:rPr>
        <w:t>2015</w:t>
      </w:r>
      <w:r>
        <w:rPr/>
        <w:t>年</w:t>
      </w:r>
      <w:r>
        <w:rPr>
          <w:spacing w:val="12"/>
        </w:rPr>
        <w:t> </w:t>
      </w:r>
      <w:r>
        <w:rPr>
          <w:rFonts w:ascii="宋体" w:hAnsi="宋体" w:cs="宋体" w:eastAsia="宋体" w:hint="default"/>
        </w:rPr>
        <w:t>12</w:t>
      </w:r>
      <w:r>
        <w:rPr>
          <w:rFonts w:ascii="宋体" w:hAnsi="宋体" w:cs="宋体" w:eastAsia="宋体" w:hint="default"/>
          <w:spacing w:val="10"/>
        </w:rPr>
        <w:t> </w:t>
      </w:r>
      <w:r>
        <w:rPr/>
        <w:t>月</w:t>
      </w:r>
      <w:r>
        <w:rPr>
          <w:spacing w:val="12"/>
        </w:rPr>
        <w:t> </w:t>
      </w:r>
      <w:r>
        <w:rPr>
          <w:rFonts w:ascii="宋体" w:hAnsi="宋体" w:cs="宋体" w:eastAsia="宋体" w:hint="default"/>
        </w:rPr>
        <w:t>31</w:t>
      </w:r>
      <w:r>
        <w:rPr>
          <w:rFonts w:ascii="宋体" w:hAnsi="宋体" w:cs="宋体" w:eastAsia="宋体" w:hint="default"/>
          <w:spacing w:val="11"/>
        </w:rPr>
        <w:t> </w:t>
      </w:r>
      <w:r>
        <w:rPr/>
        <w:t>日净资产为</w:t>
      </w:r>
      <w:r>
        <w:rPr>
          <w:rFonts w:ascii="宋体" w:hAnsi="宋体" w:cs="宋体" w:eastAsia="宋体" w:hint="default"/>
        </w:rPr>
        <w:t>147,221,749.02</w:t>
      </w:r>
      <w:r>
        <w:rPr>
          <w:rFonts w:ascii="宋体" w:hAnsi="宋体" w:cs="宋体" w:eastAsia="宋体" w:hint="default"/>
          <w:spacing w:val="11"/>
        </w:rPr>
        <w:t> </w:t>
      </w:r>
      <w:r>
        <w:rPr/>
        <w:t>元。本公司对非同一控制下合并达实联欣形成的</w:t>
      </w:r>
      <w:r>
        <w:rPr>
          <w:spacing w:val="-95"/>
        </w:rPr>
        <w:t> </w:t>
      </w:r>
      <w:r>
        <w:rPr>
          <w:spacing w:val="-95"/>
        </w:rPr>
      </w:r>
      <w:r>
        <w:rPr/>
        <w:t>商誉进行减值测试，</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日按公允价值计量的商誉为</w:t>
      </w:r>
      <w:r>
        <w:rPr>
          <w:rFonts w:ascii="宋体" w:hAnsi="宋体" w:cs="宋体" w:eastAsia="宋体" w:hint="default"/>
        </w:rPr>
        <w:t>274,478,250.98</w:t>
      </w:r>
      <w:r>
        <w:rPr/>
        <w:t>元，归属于母公司的商誉为 </w:t>
      </w:r>
      <w:r>
        <w:rPr>
          <w:rFonts w:ascii="宋体" w:hAnsi="宋体" w:cs="宋体" w:eastAsia="宋体" w:hint="default"/>
        </w:rPr>
        <w:t>139,983,908.00</w:t>
      </w:r>
      <w:r>
        <w:rPr/>
        <w:t>元，计提商誉减值准备</w:t>
      </w:r>
      <w:r>
        <w:rPr>
          <w:rFonts w:ascii="宋体" w:hAnsi="宋体" w:cs="宋体" w:eastAsia="宋体" w:hint="default"/>
        </w:rPr>
        <w:t>15,422,557.95</w:t>
      </w:r>
      <w:r>
        <w:rPr/>
        <w:t>元。</w:t>
      </w:r>
    </w:p>
    <w:p>
      <w:pPr>
        <w:pStyle w:val="BodyText"/>
        <w:spacing w:line="357" w:lineRule="auto" w:before="31"/>
        <w:ind w:left="154" w:right="1015" w:firstLine="420"/>
        <w:jc w:val="left"/>
      </w:pPr>
      <w:r>
        <w:rPr>
          <w:rFonts w:ascii="宋体" w:hAnsi="宋体" w:cs="宋体" w:eastAsia="宋体" w:hint="default"/>
          <w:spacing w:val="-3"/>
        </w:rPr>
        <w:t>2</w:t>
      </w:r>
      <w:r>
        <w:rPr>
          <w:spacing w:val="-3"/>
        </w:rPr>
        <w:t>）北京大正海地人资产评估有限公司对达实德润进行评估，并出具“大正海地人评报字</w:t>
      </w:r>
      <w:r>
        <w:rPr>
          <w:rFonts w:ascii="宋体" w:hAnsi="宋体" w:cs="宋体" w:eastAsia="宋体" w:hint="default"/>
          <w:spacing w:val="-3"/>
        </w:rPr>
        <w:t>(2016)</w:t>
      </w:r>
      <w:r>
        <w:rPr>
          <w:spacing w:val="-3"/>
        </w:rPr>
        <w:t>第</w:t>
      </w:r>
      <w:r>
        <w:rPr>
          <w:spacing w:val="3"/>
        </w:rPr>
        <w:t> </w:t>
      </w:r>
      <w:r>
        <w:rPr>
          <w:rFonts w:ascii="宋体" w:hAnsi="宋体" w:cs="宋体" w:eastAsia="宋体" w:hint="default"/>
        </w:rPr>
        <w:t>92C </w:t>
      </w:r>
      <w:r>
        <w:rPr/>
        <w:t>号”评估报告，达实德润截至 </w:t>
      </w:r>
      <w:r>
        <w:rPr>
          <w:rFonts w:ascii="宋体" w:hAnsi="宋体" w:cs="宋体" w:eastAsia="宋体" w:hint="default"/>
        </w:rPr>
        <w:t>2015</w:t>
      </w:r>
      <w:r>
        <w:rPr/>
        <w:t>年 </w:t>
      </w:r>
      <w:r>
        <w:rPr>
          <w:rFonts w:ascii="宋体" w:hAnsi="宋体" w:cs="宋体" w:eastAsia="宋体" w:hint="default"/>
        </w:rPr>
        <w:t>12 </w:t>
      </w:r>
      <w:r>
        <w:rPr/>
        <w:t>月 </w:t>
      </w:r>
      <w:r>
        <w:rPr>
          <w:rFonts w:ascii="宋体" w:hAnsi="宋体" w:cs="宋体" w:eastAsia="宋体" w:hint="default"/>
        </w:rPr>
        <w:t>31 </w:t>
      </w:r>
      <w:r>
        <w:rPr/>
        <w:t>日，经评估后的股东全部权益价值为</w:t>
      </w:r>
      <w:r>
        <w:rPr>
          <w:rFonts w:ascii="宋体" w:hAnsi="宋体" w:cs="宋体" w:eastAsia="宋体" w:hint="default"/>
        </w:rPr>
        <w:t>27,200,000.00</w:t>
      </w:r>
      <w:r>
        <w:rPr>
          <w:rFonts w:ascii="宋体" w:hAnsi="宋体" w:cs="宋体" w:eastAsia="宋体" w:hint="default"/>
          <w:spacing w:val="-28"/>
        </w:rPr>
        <w:t> </w:t>
      </w:r>
      <w:r>
        <w:rPr/>
        <w:t>元。</w:t>
      </w:r>
      <w:r>
        <w:rPr>
          <w:spacing w:val="1"/>
        </w:rPr>
        <w:t> </w:t>
      </w:r>
      <w:r>
        <w:rPr/>
        <w:t>达实德润</w:t>
      </w:r>
      <w:r>
        <w:rPr>
          <w:rFonts w:ascii="宋体" w:hAnsi="宋体" w:cs="宋体" w:eastAsia="宋体" w:hint="default"/>
        </w:rPr>
        <w:t>2015</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71"/>
        </w:rPr>
        <w:t> </w:t>
      </w:r>
      <w:r>
        <w:rPr/>
        <w:t>日净资产为</w:t>
      </w:r>
      <w:r>
        <w:rPr>
          <w:rFonts w:ascii="宋体" w:hAnsi="宋体" w:cs="宋体" w:eastAsia="宋体" w:hint="default"/>
        </w:rPr>
        <w:t>14,670,037.07</w:t>
      </w:r>
      <w:r>
        <w:rPr/>
        <w:t>元。本公司对非同一控制下合并达实德润形成的商</w:t>
      </w:r>
    </w:p>
    <w:p>
      <w:pPr>
        <w:pStyle w:val="BodyText"/>
        <w:spacing w:line="240" w:lineRule="auto"/>
        <w:ind w:left="154" w:right="0"/>
        <w:jc w:val="both"/>
      </w:pPr>
      <w:r>
        <w:rPr/>
        <w:t>誉进行减值测试， </w:t>
      </w:r>
      <w:r>
        <w:rPr>
          <w:rFonts w:ascii="宋体" w:hAnsi="宋体" w:cs="宋体" w:eastAsia="宋体" w:hint="default"/>
        </w:rPr>
        <w:t>2015</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26"/>
        </w:rPr>
        <w:t> </w:t>
      </w:r>
      <w:r>
        <w:rPr/>
        <w:t>日按公允价值计量的商誉为</w:t>
      </w:r>
      <w:r>
        <w:rPr>
          <w:rFonts w:ascii="宋体" w:hAnsi="宋体" w:cs="宋体" w:eastAsia="宋体" w:hint="default"/>
        </w:rPr>
        <w:t>12,529,962.93</w:t>
      </w:r>
      <w:r>
        <w:rPr/>
        <w:t>元，归属于母公司的商誉</w:t>
      </w:r>
    </w:p>
    <w:p>
      <w:pPr>
        <w:spacing w:after="0" w:line="240" w:lineRule="auto"/>
        <w:jc w:val="both"/>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5" w:lineRule="auto" w:before="35"/>
        <w:ind w:left="574" w:right="1017" w:hanging="420"/>
        <w:jc w:val="left"/>
      </w:pPr>
      <w:r>
        <w:rPr/>
        <w:t>为</w:t>
      </w:r>
      <w:r>
        <w:rPr>
          <w:rFonts w:ascii="宋体" w:hAnsi="宋体" w:cs="宋体" w:eastAsia="宋体" w:hint="default"/>
        </w:rPr>
        <w:t>5,638,483.32</w:t>
      </w:r>
      <w:r>
        <w:rPr/>
        <w:t>元，计提商誉减值准备</w:t>
      </w:r>
      <w:r>
        <w:rPr>
          <w:rFonts w:ascii="宋体" w:hAnsi="宋体" w:cs="宋体" w:eastAsia="宋体" w:hint="default"/>
        </w:rPr>
        <w:t>1,617,885.46</w:t>
      </w:r>
      <w:r>
        <w:rPr/>
        <w:t>元。 </w:t>
      </w:r>
      <w:r>
        <w:rPr>
          <w:rFonts w:ascii="宋体" w:hAnsi="宋体" w:cs="宋体" w:eastAsia="宋体" w:hint="default"/>
        </w:rPr>
        <w:t>3</w:t>
      </w:r>
      <w:r>
        <w:rPr/>
        <w:t>）根据商誉减值测试计算，上海腾隆变配电设备管理有限公司和江苏久信医疗科技有限公司可收回</w:t>
      </w:r>
    </w:p>
    <w:p>
      <w:pPr>
        <w:pStyle w:val="BodyText"/>
        <w:spacing w:line="240" w:lineRule="auto" w:before="33"/>
        <w:ind w:left="154" w:right="1017"/>
        <w:jc w:val="left"/>
      </w:pPr>
      <w:r>
        <w:rPr/>
        <w:t>金额大于调整后账面价值，商誉不存在减值情况。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3"/>
        <w:spacing w:line="240" w:lineRule="auto"/>
        <w:ind w:right="1017"/>
        <w:jc w:val="left"/>
        <w:rPr>
          <w:b w:val="0"/>
          <w:bCs w:val="0"/>
        </w:rPr>
      </w:pPr>
      <w:bookmarkStart w:name="17、长期待摊费用" w:id="257"/>
      <w:bookmarkEnd w:id="257"/>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12,051,186.62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4,399,063.32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3,623,330.35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12,826,919.59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12,051,186.62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4,680,063.32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3,634,330.35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13,096,919.59</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18、递延所得税资产/递延所得税负债" w:id="258"/>
      <w:bookmarkEnd w:id="258"/>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1）未经抵销的递延所得税资产" w:id="259"/>
      <w:bookmarkEnd w:id="25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84,367,684.50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12,747,731.41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37,720,079.23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5,729,681.24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1,307,085.73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163,167.45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1,039,237.62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178,820.25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275,011.44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41,251.71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123,511.08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18,526.66</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2,758,500.00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1,402,500.00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限制性股票成本摊销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15,922,500.00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2,404,846.57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657,669.51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98,650.44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120,262,281.67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18,115,497.14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48,890,497.44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7,428,178.59</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19、短期借款" w:id="260"/>
      <w:bookmarkEnd w:id="260"/>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短期借款分类" w:id="261"/>
      <w:bookmarkEnd w:id="26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33,510,105.05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165,800,000.00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224,310,105.05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017"/>
        <w:jc w:val="left"/>
        <w:rPr>
          <w:b w:val="0"/>
          <w:bCs w:val="0"/>
        </w:rPr>
      </w:pPr>
      <w:bookmarkStart w:name="20、应付票据" w:id="262"/>
      <w:bookmarkEnd w:id="262"/>
      <w:r>
        <w:rPr>
          <w:b w:val="0"/>
          <w:bCs w:val="0"/>
        </w:rPr>
      </w:r>
      <w:r>
        <w:rPr>
          <w:rFonts w:ascii="Times New Roman" w:hAnsi="Times New Roman" w:cs="Times New Roman" w:eastAsia="Times New Roman" w:hint="default"/>
        </w:rPr>
        <w:t>20</w:t>
      </w:r>
      <w:r>
        <w:rPr/>
        <w:t>、应付票据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216,605,376.27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42,449,018.49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216,605,376.27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42,449,018.49</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21、应付账款" w:id="263"/>
      <w:bookmarkEnd w:id="263"/>
      <w:r>
        <w:rPr>
          <w:b w:val="0"/>
          <w:bCs w:val="0"/>
        </w:rPr>
      </w:r>
      <w:r>
        <w:rPr>
          <w:rFonts w:ascii="Times New Roman" w:hAnsi="Times New Roman" w:cs="Times New Roman" w:eastAsia="Times New Roman" w:hint="default"/>
        </w:rPr>
        <w:t>21</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应付账款列示" w:id="264"/>
      <w:bookmarkEnd w:id="264"/>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650,516,457.92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283,932,266.01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56,194,273.03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87,075,617.18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25,115,264.12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51,486,218.44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33,658,720.47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21,196,601.51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765,484,715.54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443,690,703.14</w:t>
            </w:r>
          </w:p>
        </w:tc>
      </w:tr>
    </w:tbl>
    <w:p>
      <w:pPr>
        <w:spacing w:line="240" w:lineRule="auto" w:before="3"/>
        <w:rPr>
          <w:rFonts w:ascii="宋体" w:hAnsi="宋体" w:cs="宋体" w:eastAsia="宋体" w:hint="default"/>
          <w:sz w:val="19"/>
          <w:szCs w:val="19"/>
        </w:rPr>
      </w:pPr>
    </w:p>
    <w:p>
      <w:pPr>
        <w:pStyle w:val="Heading3"/>
        <w:spacing w:line="240" w:lineRule="auto" w:before="35"/>
        <w:ind w:right="1017"/>
        <w:jc w:val="left"/>
        <w:rPr>
          <w:b w:val="0"/>
          <w:bCs w:val="0"/>
        </w:rPr>
      </w:pPr>
      <w:bookmarkStart w:name="（2）账龄超过1年的重要应付账款前五名" w:id="265"/>
      <w:bookmarkEnd w:id="265"/>
      <w:r>
        <w:rPr>
          <w:b w:val="0"/>
          <w:bCs w:val="0"/>
        </w:rPr>
      </w:r>
      <w:r>
        <w:rPr/>
        <w:t>（</w:t>
      </w:r>
      <w:r>
        <w:rPr>
          <w:rFonts w:ascii="Times New Roman" w:hAnsi="Times New Roman" w:cs="Times New Roman" w:eastAsia="Times New Roman" w:hint="default"/>
        </w:rPr>
        <w:t>2</w:t>
      </w:r>
      <w:r>
        <w:rPr/>
        <w:t>）账龄超过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年的重要应付账款前五名</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成都巨安智能化工程有限公司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5,598,584.78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沈阳华信达智能工程有限公司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4,557,950.70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深圳市智安科技发展有限公司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3,199,118.77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深圳市华天智能系统有限公司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2,811,555.40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深圳市鸿信恒达科技有限公司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2,300,743.82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18,467,953.47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10"/>
        <w:ind w:left="154" w:right="1017" w:firstLine="0"/>
        <w:jc w:val="left"/>
        <w:rPr>
          <w:rFonts w:ascii="宋体" w:hAnsi="宋体" w:cs="宋体" w:eastAsia="宋体" w:hint="default"/>
          <w:sz w:val="18"/>
          <w:szCs w:val="18"/>
        </w:rPr>
      </w:pPr>
      <w:r>
        <w:rPr>
          <w:rFonts w:ascii="宋体" w:hAnsi="宋体" w:cs="宋体" w:eastAsia="宋体" w:hint="default"/>
          <w:sz w:val="18"/>
          <w:szCs w:val="18"/>
        </w:rPr>
        <w:t>本公司根据公司经营规模等确定单项金额重大的应付账款标准为</w:t>
      </w:r>
      <w:r>
        <w:rPr>
          <w:rFonts w:ascii="Times New Roman" w:hAnsi="Times New Roman" w:cs="Times New Roman" w:eastAsia="Times New Roman" w:hint="default"/>
          <w:sz w:val="18"/>
          <w:szCs w:val="18"/>
        </w:rPr>
        <w:t>100</w:t>
      </w:r>
      <w:r>
        <w:rPr>
          <w:rFonts w:ascii="宋体" w:hAnsi="宋体" w:cs="宋体" w:eastAsia="宋体" w:hint="default"/>
          <w:sz w:val="18"/>
          <w:szCs w:val="18"/>
        </w:rPr>
        <w:t>万元。</w:t>
      </w:r>
    </w:p>
    <w:p>
      <w:pPr>
        <w:spacing w:line="240" w:lineRule="auto" w:before="11"/>
        <w:rPr>
          <w:rFonts w:ascii="宋体" w:hAnsi="宋体" w:cs="宋体" w:eastAsia="宋体" w:hint="default"/>
          <w:sz w:val="25"/>
          <w:szCs w:val="25"/>
        </w:rPr>
      </w:pPr>
    </w:p>
    <w:p>
      <w:pPr>
        <w:pStyle w:val="Heading3"/>
        <w:spacing w:line="240" w:lineRule="auto"/>
        <w:ind w:left="153" w:right="1017"/>
        <w:jc w:val="left"/>
        <w:rPr>
          <w:b w:val="0"/>
          <w:bCs w:val="0"/>
        </w:rPr>
      </w:pPr>
      <w:bookmarkStart w:name="22、预收款项" w:id="266"/>
      <w:bookmarkEnd w:id="266"/>
      <w:r>
        <w:rPr>
          <w:b w:val="0"/>
          <w:bCs w:val="0"/>
        </w:rPr>
      </w:r>
      <w:r>
        <w:rPr>
          <w:rFonts w:ascii="Times New Roman" w:hAnsi="Times New Roman" w:cs="Times New Roman" w:eastAsia="Times New Roman" w:hint="default"/>
        </w:rPr>
        <w:t>22</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预收款项列示" w:id="267"/>
      <w:bookmarkEnd w:id="26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129,949,809.24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7" w:right="0"/>
              <w:jc w:val="left"/>
              <w:rPr>
                <w:rFonts w:ascii="Times New Roman" w:hAnsi="Times New Roman" w:cs="Times New Roman" w:eastAsia="Times New Roman" w:hint="default"/>
                <w:sz w:val="18"/>
                <w:szCs w:val="18"/>
              </w:rPr>
            </w:pPr>
            <w:r>
              <w:rPr>
                <w:rFonts w:ascii="Times New Roman"/>
                <w:sz w:val="18"/>
              </w:rPr>
              <w:t>119,563,727.40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20,623,300.37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4,966,043.49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7,200,797.57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1,931,272.01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964,949.53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375,400.52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158,738,856.71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126,836,443.42</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2）账龄超过1年的重要预收款项" w:id="268"/>
      <w:bookmarkEnd w:id="26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福州市城市地铁有限责任公司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重庆工贸职业技术学院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14,549,600.00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23、应付职工薪酬" w:id="269"/>
      <w:bookmarkEnd w:id="269"/>
      <w:r>
        <w:rPr>
          <w:b w:val="0"/>
          <w:bCs w:val="0"/>
        </w:rPr>
      </w:r>
      <w:r>
        <w:rPr>
          <w:rFonts w:ascii="Times New Roman" w:hAnsi="Times New Roman" w:cs="Times New Roman" w:eastAsia="Times New Roman" w:hint="default"/>
        </w:rPr>
        <w:t>23</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应付职工薪酬列示" w:id="270"/>
      <w:bookmarkEnd w:id="27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72"/>
        <w:gridCol w:w="1731"/>
        <w:gridCol w:w="1718"/>
        <w:gridCol w:w="1720"/>
        <w:gridCol w:w="1718"/>
      </w:tblGrid>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17,890,339.14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183,995,380.28</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170,221,150.89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31,664,568.53</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731" w:type="dxa"/>
            <w:tcBorders>
              <w:top w:val="single" w:sz="4" w:space="0" w:color="000000"/>
              <w:left w:val="single" w:sz="13" w:space="0" w:color="D2D2D2"/>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12,316,340.22</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12,222,375.08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93,965.14</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31" w:type="dxa"/>
            <w:tcBorders>
              <w:top w:val="single" w:sz="4" w:space="0" w:color="000000"/>
              <w:left w:val="single" w:sz="13" w:space="0" w:color="D2D2D2"/>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407,903.95</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407,903.95</w:t>
            </w: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17,890,339.14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196,719,624.45</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182,851,429.92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31,758,533.67</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2）短期薪酬列示" w:id="271"/>
      <w:bookmarkEnd w:id="27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79"/>
        <w:gridCol w:w="1730"/>
        <w:gridCol w:w="1716"/>
        <w:gridCol w:w="1718"/>
        <w:gridCol w:w="1717"/>
      </w:tblGrid>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7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653" w:right="0"/>
              <w:jc w:val="left"/>
              <w:rPr>
                <w:rFonts w:ascii="Times New Roman" w:hAnsi="Times New Roman" w:cs="Times New Roman" w:eastAsia="Times New Roman" w:hint="default"/>
                <w:sz w:val="18"/>
                <w:szCs w:val="18"/>
              </w:rPr>
            </w:pPr>
            <w:r>
              <w:rPr>
                <w:rFonts w:ascii="Times New Roman"/>
                <w:sz w:val="18"/>
              </w:rPr>
              <w:t>17,890,339.14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173,844,292.49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160,238,923.62</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31,495,708.01</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30" w:type="dxa"/>
            <w:tcBorders>
              <w:top w:val="single" w:sz="4" w:space="0" w:color="000000"/>
              <w:left w:val="single" w:sz="10" w:space="0" w:color="D2D2D2"/>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313,067.61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313,067.61</w:t>
            </w:r>
          </w:p>
        </w:tc>
        <w:tc>
          <w:tcPr>
            <w:tcW w:w="17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30" w:type="dxa"/>
            <w:tcBorders>
              <w:top w:val="single" w:sz="4" w:space="0" w:color="000000"/>
              <w:left w:val="single" w:sz="10" w:space="0" w:color="D2D2D2"/>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5,356,587.61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5,334,948.09</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21,639.52</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30" w:type="dxa"/>
            <w:tcBorders>
              <w:top w:val="single" w:sz="4" w:space="0" w:color="000000"/>
              <w:left w:val="single" w:sz="10" w:space="0" w:color="D2D2D2"/>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4,473,130.37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4,451,490.85</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21,639.52</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30" w:type="dxa"/>
            <w:tcBorders>
              <w:top w:val="single" w:sz="4" w:space="0" w:color="000000"/>
              <w:left w:val="single" w:sz="10" w:space="0" w:color="D2D2D2"/>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319,781.60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319,781.60</w:t>
            </w:r>
          </w:p>
        </w:tc>
        <w:tc>
          <w:tcPr>
            <w:tcW w:w="17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30" w:type="dxa"/>
            <w:tcBorders>
              <w:top w:val="single" w:sz="4" w:space="0" w:color="000000"/>
              <w:left w:val="single" w:sz="10" w:space="0" w:color="D2D2D2"/>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563,675.64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563,675.64</w:t>
            </w:r>
          </w:p>
        </w:tc>
        <w:tc>
          <w:tcPr>
            <w:tcW w:w="17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30" w:type="dxa"/>
            <w:tcBorders>
              <w:top w:val="single" w:sz="4" w:space="0" w:color="000000"/>
              <w:left w:val="single" w:sz="10" w:space="0" w:color="D2D2D2"/>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3,989,835.61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3,842,614.61</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147,221.00</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730" w:type="dxa"/>
            <w:tcBorders>
              <w:top w:val="single" w:sz="4" w:space="0" w:color="000000"/>
              <w:left w:val="single" w:sz="10" w:space="0" w:color="D2D2D2"/>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432,732.00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432,732.00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w:t>
            </w:r>
          </w:p>
        </w:tc>
        <w:tc>
          <w:tcPr>
            <w:tcW w:w="173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58,864.96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58,864.96</w:t>
            </w:r>
          </w:p>
        </w:tc>
        <w:tc>
          <w:tcPr>
            <w:tcW w:w="17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91"/>
        <w:gridCol w:w="1730"/>
        <w:gridCol w:w="1716"/>
        <w:gridCol w:w="1718"/>
        <w:gridCol w:w="1717"/>
      </w:tblGrid>
      <w:tr>
        <w:trPr>
          <w:trHeight w:val="402" w:hRule="exact"/>
        </w:trPr>
        <w:tc>
          <w:tcPr>
            <w:tcW w:w="2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54" w:right="0"/>
              <w:jc w:val="left"/>
              <w:rPr>
                <w:rFonts w:ascii="Times New Roman" w:hAnsi="Times New Roman" w:cs="Times New Roman" w:eastAsia="Times New Roman" w:hint="default"/>
                <w:sz w:val="18"/>
                <w:szCs w:val="18"/>
              </w:rPr>
            </w:pPr>
            <w:r>
              <w:rPr>
                <w:rFonts w:ascii="Times New Roman"/>
                <w:sz w:val="18"/>
              </w:rPr>
              <w:t>17,890,339.14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9" w:right="0"/>
              <w:jc w:val="left"/>
              <w:rPr>
                <w:rFonts w:ascii="Times New Roman" w:hAnsi="Times New Roman" w:cs="Times New Roman" w:eastAsia="Times New Roman" w:hint="default"/>
                <w:sz w:val="18"/>
                <w:szCs w:val="18"/>
              </w:rPr>
            </w:pPr>
            <w:r>
              <w:rPr>
                <w:rFonts w:ascii="Times New Roman"/>
                <w:sz w:val="18"/>
              </w:rPr>
              <w:t>183,995,380.28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170,221,150.89</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31,664,568.53</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3）设定提存计划列示" w:id="272"/>
      <w:bookmarkEnd w:id="27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79"/>
        <w:gridCol w:w="1730"/>
        <w:gridCol w:w="1716"/>
        <w:gridCol w:w="1718"/>
        <w:gridCol w:w="1717"/>
      </w:tblGrid>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730" w:type="dxa"/>
            <w:tcBorders>
              <w:top w:val="single" w:sz="4" w:space="0" w:color="000000"/>
              <w:left w:val="single" w:sz="10" w:space="0" w:color="D2D2D2"/>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11,585,789.54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11,499,231.46</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86,558.08</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730" w:type="dxa"/>
            <w:tcBorders>
              <w:top w:val="single" w:sz="4" w:space="0" w:color="000000"/>
              <w:left w:val="single" w:sz="10" w:space="0" w:color="D2D2D2"/>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730,550.68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723,143.62</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7,407.06</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0" w:type="dxa"/>
            <w:tcBorders>
              <w:top w:val="single" w:sz="4" w:space="0" w:color="000000"/>
              <w:left w:val="single" w:sz="10" w:space="0" w:color="D2D2D2"/>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12,316,340.22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12,222,375.08</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93,965.14</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1017"/>
        <w:jc w:val="left"/>
        <w:rPr>
          <w:b w:val="0"/>
          <w:bCs w:val="0"/>
        </w:rPr>
      </w:pPr>
      <w:bookmarkStart w:name="24、应交税费" w:id="273"/>
      <w:bookmarkEnd w:id="273"/>
      <w:r>
        <w:rPr>
          <w:b w:val="0"/>
          <w:bCs w:val="0"/>
        </w:rPr>
      </w:r>
      <w:r>
        <w:rPr>
          <w:rFonts w:ascii="Times New Roman" w:hAnsi="Times New Roman" w:cs="Times New Roman" w:eastAsia="Times New Roman" w:hint="default"/>
        </w:rPr>
        <w:t>24</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22,859,524.87</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541,590.35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26,647,218.98</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11,332,455.55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35,367,731.97</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18,054,908.78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585,932.79</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584,741.95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2,149,990.87</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740,913.76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951,322.15</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433,800.66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598,190.94</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231,499.82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143,267.78</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61,435.63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317,626.41</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589,496.41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38,334.36</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519,497.67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89,659,141.12</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33,090,340.58</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25、应付利息" w:id="274"/>
      <w:bookmarkEnd w:id="274"/>
      <w:r>
        <w:rPr>
          <w:b w:val="0"/>
          <w:bCs w:val="0"/>
        </w:rPr>
      </w:r>
      <w:r>
        <w:rPr>
          <w:rFonts w:ascii="Times New Roman" w:hAnsi="Times New Roman" w:cs="Times New Roman" w:eastAsia="Times New Roman" w:hint="default"/>
        </w:rPr>
        <w:t>25</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2,140,993.97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1,458,333.35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611,719.34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2,752,713.31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1,462,833.35</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26、应付股利" w:id="275"/>
      <w:bookmarkEnd w:id="275"/>
      <w:r>
        <w:rPr>
          <w:b w:val="0"/>
          <w:bCs w:val="0"/>
        </w:rPr>
      </w:r>
      <w:r>
        <w:rPr>
          <w:rFonts w:ascii="Times New Roman" w:hAnsi="Times New Roman" w:cs="Times New Roman" w:eastAsia="Times New Roman" w:hint="default"/>
        </w:rPr>
        <w:t>26</w:t>
      </w:r>
      <w:r>
        <w:rPr/>
        <w:t>、应付股利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342,000.00</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期末余额是公司代管的未到解禁期的员工限制性股票分红款。</w:t>
      </w:r>
    </w:p>
    <w:p>
      <w:pPr>
        <w:spacing w:line="240" w:lineRule="auto" w:before="11"/>
        <w:rPr>
          <w:rFonts w:ascii="宋体" w:hAnsi="宋体" w:cs="宋体" w:eastAsia="宋体" w:hint="default"/>
          <w:sz w:val="26"/>
          <w:szCs w:val="26"/>
        </w:rPr>
      </w:pPr>
    </w:p>
    <w:p>
      <w:pPr>
        <w:pStyle w:val="Heading3"/>
        <w:spacing w:line="240" w:lineRule="auto"/>
        <w:ind w:right="1017"/>
        <w:jc w:val="left"/>
        <w:rPr>
          <w:b w:val="0"/>
          <w:bCs w:val="0"/>
        </w:rPr>
      </w:pPr>
      <w:bookmarkStart w:name="27、其他应付款" w:id="276"/>
      <w:bookmarkEnd w:id="276"/>
      <w:r>
        <w:rPr>
          <w:b w:val="0"/>
          <w:bCs w:val="0"/>
        </w:rPr>
      </w:r>
      <w:r>
        <w:rPr>
          <w:rFonts w:ascii="Times New Roman" w:hAnsi="Times New Roman" w:cs="Times New Roman" w:eastAsia="Times New Roman" w:hint="default"/>
        </w:rPr>
        <w:t>27</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7"/>
        <w:jc w:val="left"/>
        <w:rPr>
          <w:b w:val="0"/>
          <w:bCs w:val="0"/>
        </w:rPr>
      </w:pPr>
      <w:bookmarkStart w:name="（1）按款项性质列示其他应付款" w:id="277"/>
      <w:bookmarkEnd w:id="277"/>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1,538,520.08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692,549.35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51,279,261.98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18,569,748.31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限制性股票激励回购义务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91,408,000.00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购买股权款项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265,290,000.00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融资租赁业务预提税金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31,538,201.48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21,218,435.14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8,841,004.53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462,272,418.68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28,103,302.19</w:t>
            </w:r>
          </w:p>
        </w:tc>
      </w:tr>
    </w:tbl>
    <w:p>
      <w:pPr>
        <w:pStyle w:val="BodyText"/>
        <w:spacing w:line="241" w:lineRule="exact" w:before="0"/>
        <w:ind w:left="575" w:right="1017"/>
        <w:jc w:val="left"/>
      </w:pPr>
      <w:r>
        <w:rPr/>
        <w:t>本公司根据公司经营规模等确定单项金额重大的其他应付款标准为</w:t>
      </w:r>
      <w:r>
        <w:rPr>
          <w:rFonts w:ascii="宋体" w:hAnsi="宋体" w:cs="宋体" w:eastAsia="宋体" w:hint="default"/>
        </w:rPr>
        <w:t>50</w:t>
      </w:r>
      <w:r>
        <w:rPr/>
        <w:t>万元，本期末押金保证金中有应</w:t>
      </w:r>
    </w:p>
    <w:p>
      <w:pPr>
        <w:pStyle w:val="BodyText"/>
        <w:spacing w:line="355" w:lineRule="auto" w:before="134"/>
        <w:ind w:right="1198"/>
        <w:jc w:val="left"/>
      </w:pPr>
      <w:r>
        <w:rPr/>
        <w:t>付本公司股东房志刚</w:t>
      </w:r>
      <w:r>
        <w:rPr>
          <w:rFonts w:ascii="宋体" w:hAnsi="宋体" w:cs="宋体" w:eastAsia="宋体" w:hint="default"/>
        </w:rPr>
        <w:t>19,030,000.00</w:t>
      </w:r>
      <w:r>
        <w:rPr/>
        <w:t>元，该款项为本公司在久信医疗</w:t>
      </w:r>
      <w:r>
        <w:rPr>
          <w:rFonts w:ascii="宋体" w:hAnsi="宋体" w:cs="宋体" w:eastAsia="宋体" w:hint="default"/>
        </w:rPr>
        <w:t>100%</w:t>
      </w:r>
      <w:r>
        <w:rPr/>
        <w:t>股权时，其原实际控制人房志刚 对并购日前存在纠纷的应收黑龙江省建工集团有限责任公司款项进行担保缴付的保证金。</w:t>
      </w:r>
    </w:p>
    <w:p>
      <w:pPr>
        <w:spacing w:line="240" w:lineRule="auto" w:before="1"/>
        <w:rPr>
          <w:rFonts w:ascii="宋体" w:hAnsi="宋体" w:cs="宋体" w:eastAsia="宋体" w:hint="default"/>
          <w:sz w:val="27"/>
          <w:szCs w:val="27"/>
        </w:rPr>
      </w:pPr>
    </w:p>
    <w:p>
      <w:pPr>
        <w:pStyle w:val="Heading3"/>
        <w:spacing w:line="240" w:lineRule="auto"/>
        <w:ind w:left="153" w:right="1017"/>
        <w:jc w:val="left"/>
        <w:rPr>
          <w:b w:val="0"/>
          <w:bCs w:val="0"/>
        </w:rPr>
      </w:pPr>
      <w:bookmarkStart w:name="（2）账龄超过1年的重要其他应付款" w:id="278"/>
      <w:bookmarkEnd w:id="27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深圳市深安视通科技发展有限公司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760,354.79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履约保证金，未到期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760,354.79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3"/>
        <w:spacing w:line="240" w:lineRule="auto" w:before="35"/>
        <w:ind w:right="1017"/>
        <w:jc w:val="left"/>
        <w:rPr>
          <w:b w:val="0"/>
          <w:bCs w:val="0"/>
        </w:rPr>
      </w:pPr>
      <w:bookmarkStart w:name="28、一年内到期的非流动负债" w:id="279"/>
      <w:bookmarkEnd w:id="279"/>
      <w:r>
        <w:rPr>
          <w:b w:val="0"/>
          <w:bCs w:val="0"/>
        </w:rPr>
      </w:r>
      <w:r>
        <w:rPr>
          <w:rFonts w:ascii="Times New Roman" w:hAnsi="Times New Roman" w:cs="Times New Roman" w:eastAsia="Times New Roman" w:hint="default"/>
        </w:rPr>
        <w:t>28</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22,724,894.00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22,724,894.00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017"/>
        <w:jc w:val="left"/>
        <w:rPr>
          <w:b w:val="0"/>
          <w:bCs w:val="0"/>
        </w:rPr>
      </w:pPr>
      <w:bookmarkStart w:name="29、长期借款" w:id="280"/>
      <w:bookmarkEnd w:id="280"/>
      <w:r>
        <w:rPr>
          <w:b w:val="0"/>
          <w:bCs w:val="0"/>
        </w:rPr>
      </w:r>
      <w:r>
        <w:rPr>
          <w:rFonts w:ascii="Times New Roman" w:hAnsi="Times New Roman" w:cs="Times New Roman" w:eastAsia="Times New Roman" w:hint="default"/>
        </w:rPr>
        <w:t>29</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长期借款分类" w:id="281"/>
      <w:bookmarkEnd w:id="281"/>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保证、抵押、质押借款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before="0"/>
        <w:ind w:left="575" w:right="1017"/>
        <w:jc w:val="left"/>
        <w:rPr>
          <w:rFonts w:ascii="宋体" w:hAnsi="宋体" w:cs="宋体" w:eastAsia="宋体" w:hint="default"/>
        </w:rPr>
      </w:pPr>
      <w:r>
        <w:rPr/>
        <w:t>本公司子公司达实融资于</w:t>
      </w:r>
      <w:r>
        <w:rPr>
          <w:rFonts w:ascii="宋体" w:hAnsi="宋体" w:cs="宋体" w:eastAsia="宋体" w:hint="default"/>
        </w:rPr>
        <w:t>2015</w:t>
      </w:r>
      <w:r>
        <w:rPr/>
        <w:t>年</w:t>
      </w:r>
      <w:r>
        <w:rPr>
          <w:rFonts w:ascii="宋体" w:hAnsi="宋体" w:cs="宋体" w:eastAsia="宋体" w:hint="default"/>
        </w:rPr>
        <w:t>10</w:t>
      </w:r>
      <w:r>
        <w:rPr/>
        <w:t>月取得北京银行股份有限公司深圳分行长期借款</w:t>
      </w:r>
      <w:r>
        <w:rPr>
          <w:rFonts w:ascii="宋体" w:hAnsi="宋体" w:cs="宋体" w:eastAsia="宋体" w:hint="default"/>
        </w:rPr>
        <w:t>100,000,000.00</w:t>
      </w:r>
    </w:p>
    <w:p>
      <w:pPr>
        <w:pStyle w:val="BodyText"/>
        <w:spacing w:line="357" w:lineRule="auto" w:before="133"/>
        <w:ind w:right="1513"/>
        <w:jc w:val="left"/>
      </w:pPr>
      <w:r>
        <w:rPr/>
        <w:t>元，由本公司提供保证担保、达实融资以与江西合力泰科技有限公司直租项目下购买的融资租赁资产 </w:t>
      </w:r>
      <w:r>
        <w:rPr>
          <w:rFonts w:ascii="宋体" w:hAnsi="宋体" w:cs="宋体" w:eastAsia="宋体" w:hint="default"/>
        </w:rPr>
        <w:t>130,112,248.00</w:t>
      </w:r>
      <w:r>
        <w:rPr/>
        <w:t>元作为抵押物并同时以</w:t>
      </w:r>
      <w:r>
        <w:rPr>
          <w:rFonts w:ascii="宋体" w:hAnsi="宋体" w:cs="宋体" w:eastAsia="宋体" w:hint="default"/>
        </w:rPr>
        <w:t>5,000,000.00</w:t>
      </w:r>
      <w:r>
        <w:rPr/>
        <w:t>元保证金作质押。</w:t>
      </w:r>
    </w:p>
    <w:p>
      <w:pPr>
        <w:spacing w:line="240" w:lineRule="auto" w:before="10"/>
        <w:rPr>
          <w:rFonts w:ascii="宋体" w:hAnsi="宋体" w:cs="宋体" w:eastAsia="宋体" w:hint="default"/>
          <w:sz w:val="26"/>
          <w:szCs w:val="26"/>
        </w:rPr>
      </w:pPr>
    </w:p>
    <w:p>
      <w:pPr>
        <w:pStyle w:val="Heading3"/>
        <w:spacing w:line="240" w:lineRule="auto"/>
        <w:ind w:left="153" w:right="1017"/>
        <w:jc w:val="left"/>
        <w:rPr>
          <w:b w:val="0"/>
          <w:bCs w:val="0"/>
        </w:rPr>
      </w:pPr>
      <w:bookmarkStart w:name="30、长期应付款" w:id="282"/>
      <w:bookmarkEnd w:id="282"/>
      <w:r>
        <w:rPr>
          <w:b w:val="0"/>
          <w:bCs w:val="0"/>
        </w:rPr>
      </w:r>
      <w:r>
        <w:rPr>
          <w:rFonts w:ascii="Times New Roman" w:hAnsi="Times New Roman" w:cs="Times New Roman" w:eastAsia="Times New Roman" w:hint="default"/>
        </w:rPr>
        <w:t>30</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按款项性质列示长期应付款" w:id="283"/>
      <w:bookmarkEnd w:id="28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100,000,000.00</w:t>
            </w:r>
          </w:p>
        </w:tc>
      </w:tr>
    </w:tbl>
    <w:p>
      <w:pPr>
        <w:spacing w:line="240" w:lineRule="auto" w:before="3"/>
        <w:rPr>
          <w:rFonts w:ascii="宋体" w:hAnsi="宋体" w:cs="宋体" w:eastAsia="宋体" w:hint="default"/>
          <w:sz w:val="19"/>
          <w:szCs w:val="19"/>
        </w:rPr>
      </w:pPr>
    </w:p>
    <w:p>
      <w:pPr>
        <w:pStyle w:val="Heading3"/>
        <w:spacing w:line="240" w:lineRule="auto" w:before="35"/>
        <w:ind w:right="1017"/>
        <w:jc w:val="left"/>
        <w:rPr>
          <w:b w:val="0"/>
          <w:bCs w:val="0"/>
        </w:rPr>
      </w:pPr>
      <w:bookmarkStart w:name="31、递延收益" w:id="284"/>
      <w:bookmarkEnd w:id="284"/>
      <w:r>
        <w:rPr>
          <w:b w:val="0"/>
          <w:bCs w:val="0"/>
        </w:rPr>
      </w:r>
      <w:r>
        <w:rPr>
          <w:rFonts w:ascii="Times New Roman" w:hAnsi="Times New Roman" w:cs="Times New Roman" w:eastAsia="Times New Roman" w:hint="default"/>
        </w:rPr>
        <w:t>31</w:t>
      </w:r>
      <w:r>
        <w:rPr/>
        <w:t>、递延收益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3"/>
        <w:gridCol w:w="1596"/>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2" w:hRule="exact"/>
        </w:trPr>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9,350,000.00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10,490,000.00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1,450,000.00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18,390,000.00</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尚不符合确认营业 外收入的条件</w:t>
            </w:r>
          </w:p>
        </w:tc>
      </w:tr>
      <w:tr>
        <w:trPr>
          <w:trHeight w:val="391" w:hRule="exact"/>
        </w:trPr>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612" w:right="0"/>
              <w:jc w:val="left"/>
              <w:rPr>
                <w:rFonts w:ascii="Times New Roman" w:hAnsi="Times New Roman" w:cs="Times New Roman" w:eastAsia="Times New Roman" w:hint="default"/>
                <w:sz w:val="18"/>
                <w:szCs w:val="18"/>
              </w:rPr>
            </w:pPr>
            <w:r>
              <w:rPr>
                <w:rFonts w:ascii="Times New Roman"/>
                <w:sz w:val="18"/>
              </w:rPr>
              <w:t>9,350,000.00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8" w:right="0"/>
              <w:jc w:val="left"/>
              <w:rPr>
                <w:rFonts w:ascii="Times New Roman" w:hAnsi="Times New Roman" w:cs="Times New Roman" w:eastAsia="Times New Roman" w:hint="default"/>
                <w:sz w:val="18"/>
                <w:szCs w:val="18"/>
              </w:rPr>
            </w:pPr>
            <w:r>
              <w:rPr>
                <w:rFonts w:ascii="Times New Roman"/>
                <w:sz w:val="18"/>
              </w:rPr>
              <w:t>10,490,000.00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6" w:right="0"/>
              <w:jc w:val="left"/>
              <w:rPr>
                <w:rFonts w:ascii="Times New Roman" w:hAnsi="Times New Roman" w:cs="Times New Roman" w:eastAsia="Times New Roman" w:hint="default"/>
                <w:sz w:val="18"/>
                <w:szCs w:val="18"/>
              </w:rPr>
            </w:pPr>
            <w:r>
              <w:rPr>
                <w:rFonts w:ascii="Times New Roman"/>
                <w:sz w:val="18"/>
              </w:rPr>
              <w:t>1,450,000.00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18,390,000.00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3"/>
        <w:gridCol w:w="1169"/>
        <w:gridCol w:w="1170"/>
        <w:gridCol w:w="1170"/>
        <w:gridCol w:w="1170"/>
        <w:gridCol w:w="1170"/>
        <w:gridCol w:w="1170"/>
      </w:tblGrid>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0" w:right="38"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8"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29" w:right="105"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城市轨道交通分布式综合监控 系统（</w:t>
            </w:r>
            <w:r>
              <w:rPr>
                <w:rFonts w:ascii="Times New Roman" w:hAnsi="Times New Roman" w:cs="Times New Roman" w:eastAsia="Times New Roman" w:hint="default"/>
                <w:sz w:val="18"/>
                <w:szCs w:val="18"/>
              </w:rPr>
              <w:t>SCADA</w:t>
            </w:r>
            <w:r>
              <w:rPr>
                <w:rFonts w:ascii="宋体" w:hAnsi="宋体" w:cs="宋体" w:eastAsia="宋体" w:hint="default"/>
                <w:sz w:val="18"/>
                <w:szCs w:val="18"/>
              </w:rPr>
              <w:t>）研发</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复杂工业系统全流程集成监控 与节能优化关键技术及应用</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主动蓄能的分布式冷热电联产 系统集成研究补助</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大型建筑主动蓄冷冻中央空调 系统合同能源管理产业化项目</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53"/>
        <w:gridCol w:w="1169"/>
        <w:gridCol w:w="1170"/>
        <w:gridCol w:w="1170"/>
        <w:gridCol w:w="1170"/>
        <w:gridCol w:w="1170"/>
        <w:gridCol w:w="1170"/>
      </w:tblGrid>
      <w:tr>
        <w:trPr>
          <w:trHeight w:val="1026"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深科技创新【</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278 </w:t>
            </w:r>
            <w:r>
              <w:rPr>
                <w:rFonts w:ascii="宋体" w:hAnsi="宋体" w:cs="宋体" w:eastAsia="宋体" w:hint="default"/>
                <w:sz w:val="18"/>
                <w:szCs w:val="18"/>
              </w:rPr>
              <w:t>号</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年深圳市战略新兴产业发展专 项资金</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深圳集中式空调能效管控技术 工程实验室资助款</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南山区建筑节能技术工程技术 研究开发中心资助款</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大型建筑主动蓄冷的中央空调 系统合同能源管理产业化项目</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（深发改（</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1581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2,220,000.00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2,220,000.00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广东省建筑节能与环境控制工 程技术研究中心（粤科规财字</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205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9,350,000.00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10,490,000.00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1,450,000.00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18,390,000.00</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32、股本" w:id="285"/>
      <w:bookmarkEnd w:id="285"/>
      <w:r>
        <w:rPr>
          <w:b w:val="0"/>
          <w:bCs w:val="0"/>
        </w:rPr>
      </w:r>
      <w:r>
        <w:rPr>
          <w:rFonts w:ascii="Times New Roman" w:hAnsi="Times New Roman" w:cs="Times New Roman" w:eastAsia="Times New Roman" w:hint="default"/>
        </w:rPr>
        <w:t>32</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255,800,000.00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72,762,792.00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313,920,000.00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386,682,792.00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642,482,792.00</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33、资本公积" w:id="286"/>
      <w:bookmarkEnd w:id="286"/>
      <w:r>
        <w:rPr>
          <w:b w:val="0"/>
          <w:bCs w:val="0"/>
        </w:rPr>
      </w:r>
      <w:r>
        <w:rPr>
          <w:rFonts w:ascii="Times New Roman" w:hAnsi="Times New Roman" w:cs="Times New Roman" w:eastAsia="Times New Roman" w:hint="default"/>
        </w:rPr>
        <w:t>33</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994,438,887.65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811,295,241.94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313,920,000.00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1,491,814,129.59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95,100.00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95,100.00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994,533,987.65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811,295,241.94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313,920,000.00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1,491,909,229.59</w:t>
            </w:r>
          </w:p>
        </w:tc>
      </w:tr>
    </w:tbl>
    <w:p>
      <w:pPr>
        <w:pStyle w:val="BodyText"/>
        <w:spacing w:line="241" w:lineRule="exact" w:before="0"/>
        <w:ind w:left="575" w:right="1017"/>
        <w:jc w:val="left"/>
      </w:pPr>
      <w:r>
        <w:rPr/>
        <w:t>本报告期增加系公司报告期内发行股份购买久信医疗</w:t>
      </w:r>
      <w:r>
        <w:rPr>
          <w:rFonts w:ascii="宋体" w:hAnsi="宋体" w:cs="宋体" w:eastAsia="宋体" w:hint="default"/>
        </w:rPr>
        <w:t>100%</w:t>
      </w:r>
      <w:r>
        <w:rPr/>
        <w:t>股份增加</w:t>
      </w:r>
      <w:r>
        <w:rPr>
          <w:rFonts w:ascii="宋体" w:hAnsi="宋体" w:cs="宋体" w:eastAsia="宋体" w:hint="default"/>
        </w:rPr>
        <w:t>71,141</w:t>
      </w:r>
      <w:r>
        <w:rPr/>
        <w:t>万元、以增发方式实施第二</w:t>
      </w:r>
    </w:p>
    <w:p>
      <w:pPr>
        <w:pStyle w:val="BodyText"/>
        <w:spacing w:line="357" w:lineRule="auto" w:before="133"/>
        <w:ind w:left="575" w:right="4348" w:hanging="422"/>
        <w:jc w:val="left"/>
      </w:pPr>
      <w:r>
        <w:rPr/>
        <w:t>次员工限制性股票增加</w:t>
      </w:r>
      <w:r>
        <w:rPr>
          <w:rFonts w:ascii="宋体" w:hAnsi="宋体" w:cs="宋体" w:eastAsia="宋体" w:hint="default"/>
        </w:rPr>
        <w:t>8,561</w:t>
      </w:r>
      <w:r>
        <w:rPr/>
        <w:t>万元，其余为员工限制性股票成本摊销。 本期减少系报告期内公司以资本公积转增股本所致。</w:t>
      </w:r>
    </w:p>
    <w:p>
      <w:pPr>
        <w:spacing w:line="240" w:lineRule="auto" w:before="10"/>
        <w:rPr>
          <w:rFonts w:ascii="宋体" w:hAnsi="宋体" w:cs="宋体" w:eastAsia="宋体" w:hint="default"/>
          <w:sz w:val="26"/>
          <w:szCs w:val="26"/>
        </w:rPr>
      </w:pPr>
    </w:p>
    <w:p>
      <w:pPr>
        <w:pStyle w:val="Heading3"/>
        <w:spacing w:line="240" w:lineRule="auto"/>
        <w:ind w:left="153" w:right="1017"/>
        <w:jc w:val="left"/>
        <w:rPr>
          <w:b w:val="0"/>
          <w:bCs w:val="0"/>
        </w:rPr>
      </w:pPr>
      <w:bookmarkStart w:name="34、库存股" w:id="287"/>
      <w:bookmarkEnd w:id="287"/>
      <w:r>
        <w:rPr>
          <w:b w:val="0"/>
          <w:bCs w:val="0"/>
        </w:rPr>
      </w:r>
      <w:r>
        <w:rPr>
          <w:rFonts w:ascii="Times New Roman" w:hAnsi="Times New Roman" w:cs="Times New Roman" w:eastAsia="Times New Roman" w:hint="default"/>
        </w:rPr>
        <w:t>34</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股权激励授予限制性股 票的回购义务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91,408,000.00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91,408,000.00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91,408,000.00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91,408,000.00</w:t>
            </w:r>
          </w:p>
        </w:tc>
      </w:tr>
    </w:tbl>
    <w:p>
      <w:pPr>
        <w:pStyle w:val="BodyText"/>
        <w:spacing w:line="241" w:lineRule="exact" w:before="0"/>
        <w:ind w:left="574" w:right="0"/>
        <w:jc w:val="left"/>
      </w:pPr>
      <w:r>
        <w:rPr>
          <w:rFonts w:ascii="宋体" w:hAnsi="宋体" w:cs="宋体" w:eastAsia="宋体" w:hint="default"/>
        </w:rPr>
        <w:t>2015</w:t>
      </w:r>
      <w:r>
        <w:rPr>
          <w:rFonts w:ascii="宋体" w:hAnsi="宋体" w:cs="宋体" w:eastAsia="宋体" w:hint="default"/>
          <w:spacing w:val="25"/>
        </w:rPr>
        <w:t> </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5</w:t>
      </w:r>
      <w:r>
        <w:rPr>
          <w:spacing w:val="-3"/>
        </w:rPr>
        <w:t>日，本公司向激励对象首次授予限制性股票共计</w:t>
      </w:r>
      <w:r>
        <w:rPr>
          <w:rFonts w:ascii="宋体" w:hAnsi="宋体" w:cs="宋体" w:eastAsia="宋体" w:hint="default"/>
          <w:spacing w:val="-3"/>
        </w:rPr>
        <w:t>5,800,000.00</w:t>
      </w:r>
      <w:r>
        <w:rPr>
          <w:spacing w:val="-3"/>
        </w:rPr>
        <w:t>股，授予价格每股</w:t>
      </w:r>
      <w:r>
        <w:rPr>
          <w:rFonts w:ascii="宋体" w:hAnsi="宋体" w:cs="宋体" w:eastAsia="宋体" w:hint="default"/>
          <w:spacing w:val="-3"/>
        </w:rPr>
        <w:t>15.76</w:t>
      </w:r>
      <w:r>
        <w:rPr>
          <w:spacing w:val="-3"/>
        </w:rPr>
        <w:t>元，</w:t>
      </w:r>
    </w:p>
    <w:p>
      <w:pPr>
        <w:pStyle w:val="BodyText"/>
        <w:spacing w:line="357" w:lineRule="auto" w:before="134"/>
        <w:ind w:right="1017"/>
        <w:jc w:val="left"/>
      </w:pPr>
      <w:r>
        <w:rPr>
          <w:spacing w:val="-1"/>
        </w:rPr>
        <w:t>授予的限制性股票自授予日满</w:t>
      </w:r>
      <w:r>
        <w:rPr>
          <w:rFonts w:ascii="宋体" w:hAnsi="宋体" w:cs="宋体" w:eastAsia="宋体" w:hint="default"/>
          <w:spacing w:val="-1"/>
        </w:rPr>
        <w:t>12</w:t>
      </w:r>
      <w:r>
        <w:rPr>
          <w:spacing w:val="-1"/>
        </w:rPr>
        <w:t>月后的首个交易日起，分三期在三个年度内解锁，各个解锁期均需要达到</w:t>
      </w:r>
      <w:r>
        <w:rPr>
          <w:spacing w:val="-82"/>
        </w:rPr>
        <w:t> </w:t>
      </w:r>
      <w:r>
        <w:rPr>
          <w:spacing w:val="-82"/>
        </w:rPr>
      </w:r>
      <w:r>
        <w:rPr/>
        <w:t>规定的行权条件。限制性股票激励计划的内容详见附注“十二、股份支付”中的详细说明。</w:t>
      </w:r>
    </w:p>
    <w:p>
      <w:pPr>
        <w:spacing w:line="240" w:lineRule="auto" w:before="12"/>
        <w:rPr>
          <w:rFonts w:ascii="宋体" w:hAnsi="宋体" w:cs="宋体" w:eastAsia="宋体" w:hint="default"/>
          <w:sz w:val="26"/>
          <w:szCs w:val="26"/>
        </w:rPr>
      </w:pPr>
    </w:p>
    <w:p>
      <w:pPr>
        <w:pStyle w:val="Heading3"/>
        <w:spacing w:line="240" w:lineRule="auto"/>
        <w:ind w:left="153" w:right="1017"/>
        <w:jc w:val="left"/>
        <w:rPr>
          <w:b w:val="0"/>
          <w:bCs w:val="0"/>
        </w:rPr>
      </w:pPr>
      <w:bookmarkStart w:name="35、盈余公积" w:id="288"/>
      <w:bookmarkEnd w:id="288"/>
      <w:r>
        <w:rPr>
          <w:b w:val="0"/>
          <w:bCs w:val="0"/>
        </w:rPr>
      </w:r>
      <w:r>
        <w:rPr>
          <w:rFonts w:ascii="Times New Roman" w:hAnsi="Times New Roman" w:cs="Times New Roman" w:eastAsia="Times New Roman" w:hint="default"/>
        </w:rPr>
        <w:t>35</w:t>
      </w:r>
      <w:r>
        <w:rPr/>
        <w:t>、盈余公积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33,849,518.69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12,821,254.48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46,670,773.17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33,849,518.69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12,821,254.48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46,670,773.17</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355" w:lineRule="auto" w:before="71"/>
        <w:ind w:left="575" w:right="1017" w:hanging="2"/>
        <w:jc w:val="left"/>
      </w:pPr>
      <w:r>
        <w:rPr>
          <w:rFonts w:ascii="宋体" w:hAnsi="宋体" w:cs="宋体" w:eastAsia="宋体" w:hint="default"/>
        </w:rPr>
        <w:t>1</w:t>
      </w:r>
      <w:r>
        <w:rPr/>
        <w:t>、本期增减变动情况、变动原因说明： </w:t>
      </w:r>
      <w:r>
        <w:rPr>
          <w:spacing w:val="-1"/>
        </w:rPr>
        <w:t>根据公司法、章程的规定，本公司按净利润的</w:t>
      </w:r>
      <w:r>
        <w:rPr>
          <w:rFonts w:ascii="宋体" w:hAnsi="宋体" w:cs="宋体" w:eastAsia="宋体" w:hint="default"/>
          <w:spacing w:val="-1"/>
        </w:rPr>
        <w:t>10.00%</w:t>
      </w:r>
      <w:r>
        <w:rPr>
          <w:spacing w:val="-1"/>
        </w:rPr>
        <w:t>提取法定盈余公积金。法定盈余公积累计额为本</w:t>
      </w:r>
    </w:p>
    <w:p>
      <w:pPr>
        <w:pStyle w:val="BodyText"/>
        <w:spacing w:line="355" w:lineRule="auto" w:before="33"/>
        <w:ind w:left="154" w:right="1092"/>
        <w:jc w:val="left"/>
      </w:pPr>
      <w:r>
        <w:rPr/>
        <w:t>公司注册资本</w:t>
      </w:r>
      <w:r>
        <w:rPr>
          <w:rFonts w:ascii="宋体" w:hAnsi="宋体" w:cs="宋体" w:eastAsia="宋体" w:hint="default"/>
        </w:rPr>
        <w:t>50.00%</w:t>
      </w:r>
      <w:r>
        <w:rPr/>
        <w:t>以上的，可不再提取。在提取法定盈余公积金后，可提取任意盈余公积金。经批准， 任意盈余公积金可用于弥补以前年度亏损或增加股本。</w:t>
      </w:r>
    </w:p>
    <w:p>
      <w:pPr>
        <w:pStyle w:val="BodyText"/>
        <w:spacing w:line="240" w:lineRule="auto" w:before="33"/>
        <w:ind w:left="574" w:right="1017"/>
        <w:jc w:val="left"/>
      </w:pPr>
      <w:r>
        <w:rPr>
          <w:rFonts w:ascii="宋体" w:hAnsi="宋体" w:cs="宋体" w:eastAsia="宋体" w:hint="default"/>
        </w:rPr>
        <w:t>2</w:t>
      </w:r>
      <w:r>
        <w:rPr/>
        <w:t>、本公司按母公司口径本年实现净利润</w:t>
      </w:r>
      <w:r>
        <w:rPr>
          <w:rFonts w:ascii="宋体" w:hAnsi="宋体" w:cs="宋体" w:eastAsia="宋体" w:hint="default"/>
        </w:rPr>
        <w:t>128,212,544.84</w:t>
      </w:r>
      <w:r>
        <w:rPr/>
        <w:t>元，按照</w:t>
      </w:r>
      <w:r>
        <w:rPr>
          <w:rFonts w:ascii="宋体" w:hAnsi="宋体" w:cs="宋体" w:eastAsia="宋体" w:hint="default"/>
        </w:rPr>
        <w:t>10.00%</w:t>
      </w:r>
      <w:r>
        <w:rPr/>
        <w:t>的比例提取盈余公积</w:t>
      </w:r>
    </w:p>
    <w:p>
      <w:pPr>
        <w:pStyle w:val="BodyText"/>
        <w:spacing w:line="240" w:lineRule="auto" w:before="133"/>
        <w:ind w:right="1017"/>
        <w:jc w:val="left"/>
      </w:pPr>
      <w:r>
        <w:rPr>
          <w:rFonts w:ascii="宋体" w:hAnsi="宋体" w:cs="宋体" w:eastAsia="宋体" w:hint="default"/>
        </w:rPr>
        <w:t>12,821,254.48</w:t>
      </w:r>
      <w:r>
        <w:rPr/>
        <w:t>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left="153" w:right="1017"/>
        <w:jc w:val="left"/>
        <w:rPr>
          <w:b w:val="0"/>
          <w:bCs w:val="0"/>
        </w:rPr>
      </w:pPr>
      <w:bookmarkStart w:name="36、未分配利润" w:id="289"/>
      <w:bookmarkEnd w:id="289"/>
      <w:r>
        <w:rPr>
          <w:b w:val="0"/>
          <w:bCs w:val="0"/>
        </w:rPr>
      </w:r>
      <w:r>
        <w:rPr>
          <w:rFonts w:ascii="Times New Roman" w:hAnsi="Times New Roman" w:cs="Times New Roman" w:eastAsia="Times New Roman" w:hint="default"/>
        </w:rPr>
        <w:t>36</w:t>
      </w:r>
      <w:r>
        <w:rPr/>
        <w:t>、未分配利润</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333,486,030.83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248,883,757.67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333,486,030.83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248,883,757.67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152,633,303.67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112,167,858.11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12,821,254.48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6,685,584.95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26,160,000.00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447,138,080.02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333,486,030.83</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pStyle w:val="BodyText"/>
        <w:spacing w:line="240" w:lineRule="auto" w:before="71"/>
        <w:ind w:left="574" w:right="1017"/>
        <w:jc w:val="left"/>
      </w:pPr>
      <w:r>
        <w:rPr>
          <w:rFonts w:ascii="宋体" w:hAnsi="宋体" w:cs="宋体" w:eastAsia="宋体" w:hint="default"/>
        </w:rPr>
        <w:t>1)</w:t>
      </w:r>
      <w:r>
        <w:rPr/>
        <w:t>、由于《企业会计准则》及其相关新规定进行追溯调整，影响期初未分配利润</w:t>
      </w:r>
      <w:r>
        <w:rPr>
          <w:rFonts w:ascii="宋体" w:hAnsi="宋体" w:cs="宋体" w:eastAsia="宋体" w:hint="default"/>
        </w:rPr>
        <w:t>0.00</w:t>
      </w:r>
      <w:r>
        <w:rPr/>
        <w:t>元。</w:t>
      </w:r>
    </w:p>
    <w:p>
      <w:pPr>
        <w:pStyle w:val="BodyText"/>
        <w:spacing w:line="240" w:lineRule="auto" w:before="133"/>
        <w:ind w:left="574" w:right="1017"/>
        <w:jc w:val="left"/>
      </w:pPr>
      <w:r>
        <w:rPr>
          <w:rFonts w:ascii="宋体" w:hAnsi="宋体" w:cs="宋体" w:eastAsia="宋体" w:hint="default"/>
        </w:rPr>
        <w:t>2)</w:t>
      </w:r>
      <w:r>
        <w:rPr/>
        <w:t>、由于会计政策变更，影响期初未分配利润</w:t>
      </w:r>
      <w:r>
        <w:rPr>
          <w:rFonts w:ascii="宋体" w:hAnsi="宋体" w:cs="宋体" w:eastAsia="宋体" w:hint="default"/>
        </w:rPr>
        <w:t>0.00</w:t>
      </w:r>
      <w:r>
        <w:rPr/>
        <w:t>元。</w:t>
      </w:r>
    </w:p>
    <w:p>
      <w:pPr>
        <w:pStyle w:val="BodyText"/>
        <w:spacing w:line="240" w:lineRule="auto" w:before="134"/>
        <w:ind w:left="574" w:right="1017"/>
        <w:jc w:val="left"/>
      </w:pPr>
      <w:r>
        <w:rPr>
          <w:rFonts w:ascii="宋体" w:hAnsi="宋体" w:cs="宋体" w:eastAsia="宋体" w:hint="default"/>
        </w:rPr>
        <w:t>3)</w:t>
      </w:r>
      <w:r>
        <w:rPr/>
        <w:t>、由于重大会计差错更正，影响期初未分配利润</w:t>
      </w:r>
      <w:r>
        <w:rPr>
          <w:rFonts w:ascii="宋体" w:hAnsi="宋体" w:cs="宋体" w:eastAsia="宋体" w:hint="default"/>
        </w:rPr>
        <w:t>0.00</w:t>
      </w:r>
      <w:r>
        <w:rPr/>
        <w:t>元。</w:t>
      </w:r>
    </w:p>
    <w:p>
      <w:pPr>
        <w:pStyle w:val="BodyText"/>
        <w:spacing w:line="240" w:lineRule="auto" w:before="133"/>
        <w:ind w:left="574" w:right="1017"/>
        <w:jc w:val="left"/>
      </w:pPr>
      <w:r>
        <w:rPr>
          <w:rFonts w:ascii="宋体" w:hAnsi="宋体" w:cs="宋体" w:eastAsia="宋体" w:hint="default"/>
        </w:rPr>
        <w:t>4)</w:t>
      </w:r>
      <w:r>
        <w:rPr/>
        <w:t>、由于同一控制导致的合并范围变更，影响期初未分配利润</w:t>
      </w:r>
      <w:r>
        <w:rPr>
          <w:rFonts w:ascii="宋体" w:hAnsi="宋体" w:cs="宋体" w:eastAsia="宋体" w:hint="default"/>
        </w:rPr>
        <w:t>0.00</w:t>
      </w:r>
      <w:r>
        <w:rPr/>
        <w:t>元。</w:t>
      </w:r>
    </w:p>
    <w:p>
      <w:pPr>
        <w:pStyle w:val="BodyText"/>
        <w:spacing w:line="240" w:lineRule="auto" w:before="134"/>
        <w:ind w:left="574" w:right="1017"/>
        <w:jc w:val="left"/>
      </w:pPr>
      <w:r>
        <w:rPr>
          <w:rFonts w:ascii="宋体" w:hAnsi="宋体" w:cs="宋体" w:eastAsia="宋体" w:hint="default"/>
        </w:rPr>
        <w:t>5)</w:t>
      </w:r>
      <w:r>
        <w:rPr/>
        <w:t>、其他调整合计影响期初未分配利润</w:t>
      </w:r>
      <w:r>
        <w:rPr>
          <w:rFonts w:ascii="宋体" w:hAnsi="宋体" w:cs="宋体" w:eastAsia="宋体" w:hint="default"/>
        </w:rPr>
        <w:t>0.00</w:t>
      </w:r>
      <w:r>
        <w:rPr/>
        <w:t>元。</w:t>
      </w:r>
    </w:p>
    <w:p>
      <w:pPr>
        <w:spacing w:after="0" w:line="240" w:lineRule="auto"/>
        <w:jc w:val="left"/>
        <w:sectPr>
          <w:pgSz w:w="11910" w:h="16840"/>
          <w:pgMar w:header="877" w:footer="1019" w:top="1100" w:bottom="120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017"/>
        <w:jc w:val="left"/>
        <w:rPr>
          <w:b w:val="0"/>
          <w:bCs w:val="0"/>
        </w:rPr>
      </w:pPr>
      <w:bookmarkStart w:name="37、营业收入和营业成本" w:id="290"/>
      <w:bookmarkEnd w:id="290"/>
      <w:r>
        <w:rPr>
          <w:b w:val="0"/>
          <w:bCs w:val="0"/>
        </w:rPr>
      </w:r>
      <w:r>
        <w:rPr>
          <w:rFonts w:ascii="Times New Roman" w:hAnsi="Times New Roman" w:cs="Times New Roman" w:eastAsia="Times New Roman" w:hint="default"/>
        </w:rPr>
        <w:t>37</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1,681,442,067.20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1,205,282,105.55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1,229,117,014.17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846,890,069.73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29,866,601.87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14,326,954.37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33,945,252.87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16,654,174.57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1,711,308,669.07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1,219,609,059.92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1,263,062,267.04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863,544,244.30</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38、营业税金及附加" w:id="291"/>
      <w:bookmarkEnd w:id="291"/>
      <w:r>
        <w:rPr>
          <w:b w:val="0"/>
          <w:bCs w:val="0"/>
        </w:rPr>
      </w:r>
      <w:r>
        <w:rPr>
          <w:rFonts w:ascii="Times New Roman" w:hAnsi="Times New Roman" w:cs="Times New Roman" w:eastAsia="Times New Roman" w:hint="default"/>
        </w:rPr>
        <w:t>38</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35,881,244.86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30,684,726.39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3,526,619.58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2,510,827.59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1,568,534.41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1,370,124.47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1,047,515.53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908,968.44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113,247.65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216,158.88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189,932.86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183,938.18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42,327,094.89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35,874,743.95</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39、销售费用" w:id="292"/>
      <w:bookmarkEnd w:id="292"/>
      <w:r>
        <w:rPr>
          <w:b w:val="0"/>
          <w:bCs w:val="0"/>
        </w:rPr>
      </w:r>
      <w:r>
        <w:rPr>
          <w:rFonts w:ascii="Times New Roman" w:hAnsi="Times New Roman" w:cs="Times New Roman" w:eastAsia="Times New Roman" w:hint="default"/>
        </w:rPr>
        <w:t>39</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72,872,566.65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57,142,399.69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12,018,283.62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9,131,639.77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3,493,988.16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3,000,877.39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5,769,862.24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4,462,297.27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6,120,766.72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4,772,780.58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物料消耗及低耗品摊销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230,237.17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599,654.64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工程及售后维护费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2,641,450.11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2,537,423.50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其他项小计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20,274,001.24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11,140,442.61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123,421,155.91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92,787,515.45</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40、管理费用" w:id="293"/>
      <w:bookmarkEnd w:id="293"/>
      <w:r>
        <w:rPr>
          <w:b w:val="0"/>
          <w:bCs w:val="0"/>
        </w:rPr>
      </w:r>
      <w:r>
        <w:rPr>
          <w:rFonts w:ascii="Times New Roman" w:hAnsi="Times New Roman" w:cs="Times New Roman" w:eastAsia="Times New Roman" w:hint="default"/>
        </w:rPr>
        <w:t>40</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footerReference w:type="default" r:id="rId15"/>
          <w:pgSz w:w="11910" w:h="16840"/>
          <w:pgMar w:footer="1019" w:header="877" w:top="1100" w:bottom="1200" w:left="980" w:right="0"/>
          <w:pgNumType w:start="131"/>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55,214,877.96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40,365,656.61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4,938,632.09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2,945,294.03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2,951,878.26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2,974,066.86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咨询及审计费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6,054,269.79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3,502,604.27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5,569,740.35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4,822,907.77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7,832,919.77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6,199,319.20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其他项小计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46,632,392.02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30,319,468.45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129,194,710.24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91,129,317.19</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41、财务费用" w:id="294"/>
      <w:bookmarkEnd w:id="294"/>
      <w:r>
        <w:rPr>
          <w:b w:val="0"/>
          <w:bCs w:val="0"/>
        </w:rPr>
      </w:r>
      <w:r>
        <w:rPr>
          <w:rFonts w:ascii="Times New Roman" w:hAnsi="Times New Roman" w:cs="Times New Roman" w:eastAsia="Times New Roman" w:hint="default"/>
        </w:rPr>
        <w:t>41</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1,701,756.87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6,646,030.06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16,000,347.84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2,140,245.45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减：未确认融资收益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910,006.76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552,306.12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-1,817,594.79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123,462.23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528,960.71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434,101.80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-16,497,231.81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4,511,042.52</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42、资产减值损失" w:id="295"/>
      <w:bookmarkEnd w:id="295"/>
      <w:r>
        <w:rPr>
          <w:b w:val="0"/>
          <w:bCs w:val="0"/>
        </w:rPr>
      </w:r>
      <w:r>
        <w:rPr>
          <w:rFonts w:ascii="Times New Roman" w:hAnsi="Times New Roman" w:cs="Times New Roman" w:eastAsia="Times New Roman" w:hint="default"/>
        </w:rPr>
        <w:t>42</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19,167,830.13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10,281,876.31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17,040,443.41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36,208,273.54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10,281,876.31</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43、投资收益" w:id="296"/>
      <w:bookmarkEnd w:id="296"/>
      <w:r>
        <w:rPr>
          <w:b w:val="0"/>
          <w:bCs w:val="0"/>
        </w:rPr>
      </w:r>
      <w:r>
        <w:rPr>
          <w:rFonts w:ascii="Times New Roman" w:hAnsi="Times New Roman" w:cs="Times New Roman" w:eastAsia="Times New Roman" w:hint="default"/>
        </w:rPr>
        <w:t>43</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-596,707.05</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-596,707.05</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19" w:top="1100" w:bottom="120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017"/>
        <w:jc w:val="left"/>
        <w:rPr>
          <w:b w:val="0"/>
          <w:bCs w:val="0"/>
        </w:rPr>
      </w:pPr>
      <w:bookmarkStart w:name="44、营业外收入" w:id="297"/>
      <w:bookmarkEnd w:id="297"/>
      <w:r>
        <w:rPr>
          <w:b w:val="0"/>
          <w:bCs w:val="0"/>
        </w:rPr>
      </w:r>
      <w:r>
        <w:rPr>
          <w:rFonts w:ascii="Times New Roman" w:hAnsi="Times New Roman" w:cs="Times New Roman" w:eastAsia="Times New Roman" w:hint="default"/>
        </w:rPr>
        <w:t>44</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220,442.39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220,442.39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220,442.39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220,442.39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14,914,406.04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10,505,327.01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14,914,406.04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381,610.78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106,426.23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381,610.78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15,516,459.21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10,611,988.24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15,516,459.21</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自主创新产 业发展专项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深圳市南山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深圳市市场 监督管理局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增值税软件 退税</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区国家税务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1,071,974.17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198,273.60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科技成果转 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深圳市财政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科技成果转 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科工贸域信 息化委员会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科技成果转 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深圳市财政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52.7pt;height:14.6pt;mso-position-horizontal-relative:char;mso-position-vertical-relative:line" coordorigin="0,0" coordsize="1054,292">
                  <v:group style="position:absolute;left:0;top:0;width:1054;height:292" coordorigin="0,0" coordsize="1054,292">
                    <v:shape style="position:absolute;left:0;top:0;width:1054;height:292" coordorigin="0,0" coordsize="1054,292" path="m0,292l1054,292,1054,0,0,0,0,29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803,464.05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31"/>
              <w:jc w:val="left"/>
              <w:rPr>
                <w:rFonts w:ascii="宋体" w:hAnsi="宋体" w:cs="宋体" w:eastAsia="宋体" w:hint="default"/>
                <w:sz w:val="18"/>
                <w:szCs w:val="18"/>
              </w:rPr>
            </w:pPr>
            <w:r>
              <w:rPr>
                <w:rFonts w:ascii="宋体" w:hAnsi="宋体" w:cs="宋体" w:eastAsia="宋体" w:hint="default"/>
                <w:sz w:val="18"/>
                <w:szCs w:val="18"/>
              </w:rPr>
              <w:t>个税手续费 返还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区地方税务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106,379.82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公共建筑节 能改造补助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深圳市财政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2,579,033.52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公共建筑节 能改造补助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深圳市住建 和建设局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1,312,896.48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技能培训补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区就业管理 服务中心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7,100.00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著作权登记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深圳市市场 监督管理局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年专项 资金企业信 息化建设项 目政府补助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深圳市中小 企业服务署</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达实建筑智 能化科普基 地经费补贴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公司成立企 业科协款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深圳市科学 技术协会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个税手续费 返还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27"/>
              <w:jc w:val="both"/>
              <w:rPr>
                <w:rFonts w:ascii="宋体" w:hAnsi="宋体" w:cs="宋体" w:eastAsia="宋体" w:hint="default"/>
                <w:sz w:val="18"/>
                <w:szCs w:val="18"/>
              </w:rPr>
            </w:pPr>
            <w:r>
              <w:rPr>
                <w:rFonts w:ascii="宋体" w:hAnsi="宋体" w:cs="宋体" w:eastAsia="宋体" w:hint="default"/>
                <w:sz w:val="18"/>
                <w:szCs w:val="18"/>
              </w:rPr>
              <w:t>上海市地方 税务局杨浦 区分居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1,428.25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上海市杨浦 区资金收付 中心扶持资 金专户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增值税软件 退税</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区国家税务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3,037,024.37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3,700,130.35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31"/>
              <w:jc w:val="left"/>
              <w:rPr>
                <w:rFonts w:ascii="宋体" w:hAnsi="宋体" w:cs="宋体" w:eastAsia="宋体" w:hint="default"/>
                <w:sz w:val="18"/>
                <w:szCs w:val="18"/>
              </w:rPr>
            </w:pPr>
            <w:r>
              <w:rPr>
                <w:rFonts w:ascii="宋体" w:hAnsi="宋体" w:cs="宋体" w:eastAsia="宋体" w:hint="default"/>
                <w:sz w:val="18"/>
                <w:szCs w:val="18"/>
              </w:rPr>
              <w:t>个税手续费 返还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区地方税务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14,380.92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财政补助款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财政扶持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上海市青浦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2,793,500.00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3,083,287.31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公共建筑节 能改造补助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2,036,000.00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金山区公共 服务中心创 建项目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上海市金山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财政扶持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上海市金山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研发补助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上海市青浦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877.50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1,520.00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大型设备补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上海市青浦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研发奖励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上海市科学 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31"/>
              <w:jc w:val="left"/>
              <w:rPr>
                <w:rFonts w:ascii="宋体" w:hAnsi="宋体" w:cs="宋体" w:eastAsia="宋体" w:hint="default"/>
                <w:sz w:val="18"/>
                <w:szCs w:val="18"/>
              </w:rPr>
            </w:pPr>
            <w:r>
              <w:rPr>
                <w:rFonts w:ascii="宋体" w:hAnsi="宋体" w:cs="宋体" w:eastAsia="宋体" w:hint="default"/>
                <w:sz w:val="18"/>
                <w:szCs w:val="18"/>
              </w:rPr>
              <w:t>个税手续费 返还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上海市地方 税务局金山 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448.39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3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个税手续费 返还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上海市地方 税务局静安 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1,104.32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防伪税控系 统维护费减 免</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区国家税务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1,050.00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14,914,406.0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10,505,327.0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17"/>
        <w:jc w:val="left"/>
        <w:rPr>
          <w:b w:val="0"/>
          <w:bCs w:val="0"/>
        </w:rPr>
      </w:pPr>
      <w:bookmarkStart w:name="45、营业外支出" w:id="298"/>
      <w:bookmarkEnd w:id="298"/>
      <w:r>
        <w:rPr>
          <w:b w:val="0"/>
          <w:bCs w:val="0"/>
        </w:rPr>
      </w:r>
      <w:r>
        <w:rPr>
          <w:rFonts w:ascii="Times New Roman" w:hAnsi="Times New Roman" w:cs="Times New Roman" w:eastAsia="Times New Roman" w:hint="default"/>
        </w:rPr>
        <w:t>45</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45,085.17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107,676.18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45,085.17</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45,085.17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107,676.18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45,085.17</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312,171.23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17,441.19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16,780.70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17,441.19</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562,526.36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446,628.11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562,526.36</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46、所得税费用" w:id="299"/>
      <w:bookmarkEnd w:id="299"/>
      <w:r>
        <w:rPr>
          <w:b w:val="0"/>
          <w:bCs w:val="0"/>
        </w:rPr>
      </w:r>
      <w:r>
        <w:rPr>
          <w:rFonts w:ascii="Times New Roman" w:hAnsi="Times New Roman" w:cs="Times New Roman" w:eastAsia="Times New Roman" w:hint="default"/>
        </w:rPr>
        <w:t>46</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所得税费用表" w:id="300"/>
      <w:bookmarkEnd w:id="30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38,002,552.08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29,203,955.67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-6,526,151.20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-1,844,841.77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31,476,400.88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27,359,113.90</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2）会计利润与所得税费用调整过程" w:id="301"/>
      <w:bookmarkEnd w:id="30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191,402,832.18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28,710,424.83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1,324,639.21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840,422.02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535,154.43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65,760.39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31,476,400.88</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47、现金流量表项目" w:id="302"/>
      <w:bookmarkEnd w:id="302"/>
      <w:r>
        <w:rPr>
          <w:b w:val="0"/>
          <w:bCs w:val="0"/>
        </w:rPr>
      </w:r>
      <w:r>
        <w:rPr>
          <w:rFonts w:ascii="Times New Roman" w:hAnsi="Times New Roman" w:cs="Times New Roman" w:eastAsia="Times New Roman" w:hint="default"/>
        </w:rPr>
        <w:t>47</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1）收到的其他与经营活动有关的现金" w:id="303"/>
      <w:bookmarkEnd w:id="30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3,277,912.99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2,024,785.49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除税收返还外的其他补贴收入等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20,776,297.10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10,453,960.07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施工、投标等保证金收支净额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18,948,310.14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4,013,400.55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保函保证金收支净额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1,746,220.38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2,532,802.28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44,748,740.61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19,024,948.39</w:t>
            </w:r>
          </w:p>
        </w:tc>
      </w:tr>
    </w:tbl>
    <w:p>
      <w:pPr>
        <w:spacing w:line="240" w:lineRule="auto" w:before="3"/>
        <w:rPr>
          <w:rFonts w:ascii="宋体" w:hAnsi="宋体" w:cs="宋体" w:eastAsia="宋体" w:hint="default"/>
          <w:sz w:val="19"/>
          <w:szCs w:val="19"/>
        </w:rPr>
      </w:pPr>
    </w:p>
    <w:p>
      <w:pPr>
        <w:pStyle w:val="Heading3"/>
        <w:spacing w:line="240" w:lineRule="auto" w:before="35"/>
        <w:ind w:right="1017"/>
        <w:jc w:val="left"/>
        <w:rPr>
          <w:b w:val="0"/>
          <w:bCs w:val="0"/>
        </w:rPr>
      </w:pPr>
      <w:bookmarkStart w:name="（2）支付的其他与经营活动有关的现金" w:id="304"/>
      <w:bookmarkEnd w:id="30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销售、管理费用等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47,304,168.60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46,816,553.01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6,101,020.81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施工、投标、保函等保证金收支净额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15,467,773.06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32,778,272.12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保函保证金收支净额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3,479,011.54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2,627,630.38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72,351,974.01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82,222,455.51</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3）收到的其他与投资活动有关的现金" w:id="305"/>
      <w:bookmarkEnd w:id="305"/>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保本型银行理财款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1,453,200,116.45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1,453,200,116.45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017"/>
        <w:jc w:val="left"/>
        <w:rPr>
          <w:b w:val="0"/>
          <w:bCs w:val="0"/>
        </w:rPr>
      </w:pPr>
      <w:bookmarkStart w:name="（4）支付的其他与投资活动有关的现金" w:id="306"/>
      <w:bookmarkEnd w:id="306"/>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保本型银行理财款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2,897,792.97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955,897,792.97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500,000,000.00</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5）收到的其他与筹资活动有关的现金" w:id="307"/>
      <w:bookmarkEnd w:id="307"/>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6）支付的其他与筹资活动有关的现金" w:id="308"/>
      <w:bookmarkEnd w:id="308"/>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上市年费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48,252.83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42,452.83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非公开发行股票发行费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20,867.93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1,505,268.23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公司拆借款本息</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50,442,361.11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银行融资服务费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票据承兑、贷款等保证金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113,095,411.00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113,304,531.76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52,070,082.17</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48、现金流量表补充资料" w:id="309"/>
      <w:bookmarkEnd w:id="309"/>
      <w:r>
        <w:rPr>
          <w:b w:val="0"/>
          <w:bCs w:val="0"/>
        </w:rPr>
      </w:r>
      <w:r>
        <w:rPr>
          <w:rFonts w:ascii="Times New Roman" w:hAnsi="Times New Roman" w:cs="Times New Roman" w:eastAsia="Times New Roman" w:hint="default"/>
        </w:rPr>
        <w:t>48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1）现金流量表补充资料" w:id="310"/>
      <w:bookmarkEnd w:id="31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159,926,431.30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147,739,773.55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36,208,273.54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10,281,876.31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27,846,290.20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27,627,297.47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r>
        <w:rPr/>
        <w:pict>
          <v:group style="position:absolute;margin-left:223.339996pt;margin-top:228.22998pt;width:151.25pt;height:40.9pt;mso-position-horizontal-relative:page;mso-position-vertical-relative:page;z-index:-955336" coordorigin="4467,4565" coordsize="3025,818">
            <v:group style="position:absolute;left:4478;top:4576;width:2;height:393" coordorigin="4478,4576" coordsize="2,393">
              <v:shape style="position:absolute;left:4478;top:4576;width:2;height:393" coordorigin="4478,4576" coordsize="0,393" path="m4478,4576l4478,4968e" filled="false" stroked="true" strokeweight="1.140pt" strokecolor="#ffffff">
                <v:path arrowok="t"/>
              </v:shape>
            </v:group>
            <v:group style="position:absolute;left:4490;top:4576;width:3002;height:393" coordorigin="4490,4576" coordsize="3002,393">
              <v:shape style="position:absolute;left:4490;top:4576;width:3002;height:393" coordorigin="4490,4576" coordsize="3002,393" path="m4490,4968l7491,4968,7491,4576,4490,4576,4490,4968xe" filled="true" fillcolor="#ffffff" stroked="false">
                <v:path arrowok="t"/>
                <v:fill type="solid"/>
              </v:shape>
            </v:group>
            <v:group style="position:absolute;left:4478;top:4978;width:2;height:393" coordorigin="4478,4978" coordsize="2,393">
              <v:shape style="position:absolute;left:4478;top:4978;width:2;height:393" coordorigin="4478,4978" coordsize="0,393" path="m4478,4978l4478,5370e" filled="false" stroked="true" strokeweight="1.140pt" strokecolor="#ffffff">
                <v:path arrowok="t"/>
              </v:shape>
            </v:group>
            <v:group style="position:absolute;left:4490;top:4978;width:3002;height:393" coordorigin="4490,4978" coordsize="3002,393">
              <v:shape style="position:absolute;left:4490;top:4978;width:3002;height:393" coordorigin="4490,4978" coordsize="3002,393" path="m4490,5370l7491,5370,7491,4978,4490,4978,4490,537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1,514,828.93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668,327.88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3,634,330.35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3,782,774.73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-211,063.99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25,227.50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35,706.77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82,213.68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-10,954,299.36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6,568,530.06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596,707.05</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-6,526,151.20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-1,844,841.77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-60,545,085.36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-66,706,906.60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-306,578,461.45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-315,965,290.85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278,115,528.28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301,045,874.63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13,941,622.60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802,914.99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137,004,657.66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114,107,771.58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954,727,480.22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462,532,191.09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462,532,191.09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218,831,010.64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492,195,289.13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243,701,180.45</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2）本期支付的取得子公司的现金净额" w:id="311"/>
      <w:bookmarkEnd w:id="311"/>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29,131,484.17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30,868,515.83</w:t>
            </w:r>
          </w:p>
        </w:tc>
      </w:tr>
    </w:tbl>
    <w:p>
      <w:pPr>
        <w:spacing w:line="240" w:lineRule="auto" w:before="3"/>
        <w:rPr>
          <w:rFonts w:ascii="宋体" w:hAnsi="宋体" w:cs="宋体" w:eastAsia="宋体" w:hint="default"/>
          <w:sz w:val="19"/>
          <w:szCs w:val="19"/>
        </w:rPr>
      </w:pPr>
    </w:p>
    <w:p>
      <w:pPr>
        <w:pStyle w:val="Heading3"/>
        <w:spacing w:line="240" w:lineRule="auto" w:before="35"/>
        <w:ind w:right="1017"/>
        <w:jc w:val="left"/>
        <w:rPr>
          <w:b w:val="0"/>
          <w:bCs w:val="0"/>
        </w:rPr>
      </w:pPr>
      <w:bookmarkStart w:name="（3）现金和现金等价物的构成" w:id="312"/>
      <w:bookmarkEnd w:id="312"/>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954,727,480.22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462,532,191.09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2,050,051.70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351,889.47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952,677,428.52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462,180,301.62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954,727,480.22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462,532,191.09</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49、所有权或使用权受到限制的资产" w:id="313"/>
      <w:bookmarkEnd w:id="313"/>
      <w:r>
        <w:rPr>
          <w:b w:val="0"/>
          <w:bCs w:val="0"/>
        </w:rPr>
      </w:r>
      <w:r>
        <w:rPr>
          <w:rFonts w:ascii="Times New Roman" w:hAnsi="Times New Roman" w:cs="Times New Roman" w:eastAsia="Times New Roman" w:hint="default"/>
        </w:rPr>
        <w:t>49</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44"/>
        <w:ind w:left="0" w:right="1139" w:firstLine="0"/>
        <w:jc w:val="right"/>
        <w:rPr>
          <w:rFonts w:ascii="宋体" w:hAnsi="宋体" w:cs="宋体" w:eastAsia="宋体" w:hint="default"/>
          <w:sz w:val="18"/>
          <w:szCs w:val="18"/>
        </w:rPr>
      </w:pPr>
      <w:r>
        <w:rPr/>
        <w:pict>
          <v:shape style="position:absolute;margin-left:57.029999pt;margin-top:-21.008276pt;width:478.6pt;height:60.9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135,451,520.55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8"/>
                          <w:jc w:val="center"/>
                          <w:rPr>
                            <w:rFonts w:ascii="宋体" w:hAnsi="宋体" w:cs="宋体" w:eastAsia="宋体" w:hint="default"/>
                            <w:sz w:val="18"/>
                            <w:szCs w:val="18"/>
                          </w:rPr>
                        </w:pPr>
                        <w:r>
                          <w:rPr>
                            <w:rFonts w:ascii="宋体" w:hAnsi="宋体" w:cs="宋体" w:eastAsia="宋体" w:hint="default"/>
                            <w:spacing w:val="-2"/>
                            <w:sz w:val="18"/>
                            <w:szCs w:val="18"/>
                          </w:rPr>
                          <w:t>保函保证金、票据保证金、贷款保证金</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135,451,520.55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3"/>
        <w:spacing w:line="240" w:lineRule="auto" w:before="35"/>
        <w:ind w:right="1017"/>
        <w:jc w:val="left"/>
        <w:rPr>
          <w:b w:val="0"/>
          <w:bCs w:val="0"/>
        </w:rPr>
      </w:pPr>
      <w:bookmarkStart w:name="50、外币货币性项目" w:id="314"/>
      <w:bookmarkEnd w:id="314"/>
      <w:r>
        <w:rPr>
          <w:b w:val="0"/>
          <w:bCs w:val="0"/>
        </w:rPr>
      </w:r>
      <w:r>
        <w:rPr>
          <w:rFonts w:ascii="Times New Roman" w:hAnsi="Times New Roman" w:cs="Times New Roman" w:eastAsia="Times New Roman" w:hint="default"/>
        </w:rPr>
        <w:t>50</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1）外币货币性项目" w:id="315"/>
      <w:bookmarkEnd w:id="31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136,859.34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12,710.75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6.493600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82,538.53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57,122.16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0.837780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47,855.81</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0.053875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6,465.00</w:t>
            </w:r>
          </w:p>
        </w:tc>
      </w:tr>
    </w:tbl>
    <w:p>
      <w:pPr>
        <w:spacing w:line="240" w:lineRule="auto" w:before="2"/>
        <w:rPr>
          <w:rFonts w:ascii="宋体" w:hAnsi="宋体" w:cs="宋体" w:eastAsia="宋体" w:hint="default"/>
          <w:sz w:val="18"/>
          <w:szCs w:val="18"/>
        </w:rPr>
      </w:pPr>
    </w:p>
    <w:p>
      <w:pPr>
        <w:pStyle w:val="Heading2"/>
        <w:spacing w:line="240" w:lineRule="auto" w:before="26"/>
        <w:ind w:left="154" w:right="1017"/>
        <w:jc w:val="left"/>
        <w:rPr>
          <w:b w:val="0"/>
          <w:bCs w:val="0"/>
        </w:rPr>
      </w:pPr>
      <w:bookmarkStart w:name="八、合并范围的变更" w:id="316"/>
      <w:bookmarkEnd w:id="316"/>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1、非同一控制下企业合并" w:id="317"/>
      <w:bookmarkEnd w:id="317"/>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017"/>
        <w:jc w:val="left"/>
        <w:rPr>
          <w:b w:val="0"/>
          <w:bCs w:val="0"/>
        </w:rPr>
      </w:pPr>
      <w:bookmarkStart w:name="（1）本期发生的非同一控制下企业合并" w:id="318"/>
      <w:bookmarkEnd w:id="31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2"/>
        <w:gridCol w:w="1064"/>
        <w:gridCol w:w="1064"/>
        <w:gridCol w:w="1064"/>
        <w:gridCol w:w="1064"/>
        <w:gridCol w:w="1064"/>
        <w:gridCol w:w="1062"/>
        <w:gridCol w:w="1062"/>
        <w:gridCol w:w="1051"/>
      </w:tblGrid>
      <w:tr>
        <w:trPr>
          <w:trHeight w:val="383"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64" w:right="0"/>
              <w:jc w:val="left"/>
              <w:rPr>
                <w:rFonts w:ascii="宋体" w:hAnsi="宋体" w:cs="宋体" w:eastAsia="宋体" w:hint="default"/>
                <w:sz w:val="18"/>
                <w:szCs w:val="18"/>
              </w:rPr>
            </w:pPr>
            <w:r>
              <w:rPr>
                <w:rFonts w:ascii="宋体" w:hAnsi="宋体" w:cs="宋体" w:eastAsia="宋体" w:hint="default"/>
                <w:sz w:val="18"/>
                <w:szCs w:val="18"/>
              </w:rPr>
              <w:t>被购买方名</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7" w:right="0"/>
              <w:jc w:val="left"/>
              <w:rPr>
                <w:rFonts w:ascii="宋体" w:hAnsi="宋体" w:cs="宋体" w:eastAsia="宋体" w:hint="default"/>
                <w:sz w:val="18"/>
                <w:szCs w:val="18"/>
              </w:rPr>
            </w:pPr>
            <w:r>
              <w:rPr>
                <w:rFonts w:ascii="宋体" w:hAnsi="宋体" w:cs="宋体" w:eastAsia="宋体" w:hint="default"/>
                <w:sz w:val="18"/>
                <w:szCs w:val="18"/>
              </w:rPr>
              <w:t>股权取得时</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7" w:right="0"/>
              <w:jc w:val="left"/>
              <w:rPr>
                <w:rFonts w:ascii="宋体" w:hAnsi="宋体" w:cs="宋体" w:eastAsia="宋体" w:hint="default"/>
                <w:sz w:val="18"/>
                <w:szCs w:val="18"/>
              </w:rPr>
            </w:pPr>
            <w:r>
              <w:rPr>
                <w:rFonts w:ascii="宋体" w:hAnsi="宋体" w:cs="宋体" w:eastAsia="宋体" w:hint="default"/>
                <w:sz w:val="18"/>
                <w:szCs w:val="18"/>
              </w:rPr>
              <w:t>股权取得成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6" w:right="0"/>
              <w:jc w:val="left"/>
              <w:rPr>
                <w:rFonts w:ascii="宋体" w:hAnsi="宋体" w:cs="宋体" w:eastAsia="宋体" w:hint="default"/>
                <w:sz w:val="18"/>
                <w:szCs w:val="18"/>
              </w:rPr>
            </w:pPr>
            <w:r>
              <w:rPr>
                <w:rFonts w:ascii="宋体" w:hAnsi="宋体" w:cs="宋体" w:eastAsia="宋体" w:hint="default"/>
                <w:sz w:val="18"/>
                <w:szCs w:val="18"/>
              </w:rPr>
              <w:t>股权取得比</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7" w:right="0"/>
              <w:jc w:val="left"/>
              <w:rPr>
                <w:rFonts w:ascii="宋体" w:hAnsi="宋体" w:cs="宋体" w:eastAsia="宋体" w:hint="default"/>
                <w:sz w:val="18"/>
                <w:szCs w:val="18"/>
              </w:rPr>
            </w:pPr>
            <w:r>
              <w:rPr>
                <w:rFonts w:ascii="宋体" w:hAnsi="宋体" w:cs="宋体" w:eastAsia="宋体" w:hint="default"/>
                <w:sz w:val="18"/>
                <w:szCs w:val="18"/>
              </w:rPr>
              <w:t>股权取得方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5" w:right="0"/>
              <w:jc w:val="left"/>
              <w:rPr>
                <w:rFonts w:ascii="宋体" w:hAnsi="宋体" w:cs="宋体" w:eastAsia="宋体" w:hint="default"/>
                <w:sz w:val="18"/>
                <w:szCs w:val="18"/>
              </w:rPr>
            </w:pPr>
            <w:r>
              <w:rPr>
                <w:rFonts w:ascii="宋体" w:hAnsi="宋体" w:cs="宋体" w:eastAsia="宋体" w:hint="default"/>
                <w:sz w:val="18"/>
                <w:szCs w:val="18"/>
              </w:rPr>
              <w:t>购买日的确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5" w:right="0"/>
              <w:jc w:val="left"/>
              <w:rPr>
                <w:rFonts w:ascii="宋体" w:hAnsi="宋体" w:cs="宋体" w:eastAsia="宋体" w:hint="default"/>
                <w:sz w:val="18"/>
                <w:szCs w:val="18"/>
              </w:rPr>
            </w:pPr>
            <w:r>
              <w:rPr>
                <w:rFonts w:ascii="宋体" w:hAnsi="宋体" w:cs="宋体" w:eastAsia="宋体" w:hint="default"/>
                <w:sz w:val="18"/>
                <w:szCs w:val="18"/>
              </w:rPr>
              <w:t>购买日至期</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5" w:right="0"/>
              <w:jc w:val="left"/>
              <w:rPr>
                <w:rFonts w:ascii="宋体" w:hAnsi="宋体" w:cs="宋体" w:eastAsia="宋体" w:hint="default"/>
                <w:sz w:val="18"/>
                <w:szCs w:val="18"/>
              </w:rPr>
            </w:pPr>
            <w:r>
              <w:rPr>
                <w:rFonts w:ascii="宋体" w:hAnsi="宋体" w:cs="宋体" w:eastAsia="宋体" w:hint="default"/>
                <w:sz w:val="18"/>
                <w:szCs w:val="18"/>
              </w:rPr>
              <w:t>购买日至期</w:t>
            </w:r>
          </w:p>
        </w:tc>
      </w:tr>
    </w:tbl>
    <w:p>
      <w:pPr>
        <w:spacing w:after="0" w:line="240"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5" w:right="0"/>
              <w:jc w:val="left"/>
              <w:rPr>
                <w:rFonts w:ascii="宋体" w:hAnsi="宋体" w:cs="宋体" w:eastAsia="宋体" w:hint="default"/>
                <w:sz w:val="18"/>
                <w:szCs w:val="18"/>
              </w:rPr>
            </w:pPr>
            <w:r>
              <w:rPr>
                <w:rFonts w:ascii="宋体" w:hAnsi="宋体" w:cs="宋体" w:eastAsia="宋体" w:hint="default"/>
                <w:sz w:val="18"/>
                <w:szCs w:val="18"/>
              </w:rPr>
              <w:t>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55" w:right="74" w:hanging="180"/>
              <w:jc w:val="left"/>
              <w:rPr>
                <w:rFonts w:ascii="宋体" w:hAnsi="宋体" w:cs="宋体" w:eastAsia="宋体" w:hint="default"/>
                <w:sz w:val="18"/>
                <w:szCs w:val="18"/>
              </w:rPr>
            </w:pPr>
            <w:r>
              <w:rPr>
                <w:rFonts w:ascii="宋体" w:hAnsi="宋体" w:cs="宋体" w:eastAsia="宋体" w:hint="default"/>
                <w:sz w:val="18"/>
                <w:szCs w:val="18"/>
              </w:rPr>
              <w:t>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65" w:right="74" w:hanging="90"/>
              <w:jc w:val="left"/>
              <w:rPr>
                <w:rFonts w:ascii="宋体" w:hAnsi="宋体" w:cs="宋体" w:eastAsia="宋体" w:hint="default"/>
                <w:sz w:val="18"/>
                <w:szCs w:val="18"/>
              </w:rPr>
            </w:pPr>
            <w:r>
              <w:rPr>
                <w:rFonts w:ascii="宋体" w:hAnsi="宋体" w:cs="宋体" w:eastAsia="宋体" w:hint="default"/>
                <w:sz w:val="18"/>
                <w:szCs w:val="18"/>
              </w:rPr>
              <w:t>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江苏久信医 疗科技有限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871,975,000.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发行股份及 支付现金购 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同时符合准 则规定的条 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149,604,028.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24,824,480.6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1017"/>
        <w:jc w:val="left"/>
        <w:rPr>
          <w:b w:val="0"/>
          <w:bCs w:val="0"/>
        </w:rPr>
      </w:pPr>
      <w:bookmarkStart w:name="（2）合并成本及商誉" w:id="319"/>
      <w:bookmarkEnd w:id="31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63"/>
        <w:gridCol w:w="4606"/>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17" w:right="0"/>
              <w:jc w:val="left"/>
              <w:rPr>
                <w:rFonts w:ascii="宋体" w:hAnsi="宋体" w:cs="宋体" w:eastAsia="宋体" w:hint="default"/>
                <w:sz w:val="18"/>
                <w:szCs w:val="18"/>
              </w:rPr>
            </w:pPr>
            <w:r>
              <w:rPr>
                <w:rFonts w:ascii="宋体" w:hAnsi="宋体" w:cs="宋体" w:eastAsia="宋体" w:hint="default"/>
                <w:sz w:val="18"/>
                <w:szCs w:val="18"/>
              </w:rPr>
              <w:t>江苏久信医疗科技有限公司</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325,290,000.00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546,685,000.00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871,975,000.00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250,188,030.04</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621,786,969.96</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3）被购买方于购买日可辨认资产、负债" w:id="320"/>
      <w:bookmarkEnd w:id="32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2"/>
              <w:ind w:right="8"/>
              <w:jc w:val="center"/>
              <w:rPr>
                <w:rFonts w:ascii="宋体" w:hAnsi="宋体" w:cs="宋体" w:eastAsia="宋体" w:hint="default"/>
                <w:sz w:val="18"/>
                <w:szCs w:val="18"/>
              </w:rPr>
            </w:pPr>
            <w:r>
              <w:rPr>
                <w:rFonts w:ascii="宋体" w:hAnsi="宋体" w:cs="宋体" w:eastAsia="宋体" w:hint="default"/>
                <w:sz w:val="18"/>
                <w:szCs w:val="18"/>
              </w:rPr>
              <w:t>江苏久信医科技有限公司</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1"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46,214,488.95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46,214,488.95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304,350,014.78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304,350,014.78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31,700,702.38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31,700,702.38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45,724,158.83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28,423,348.12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40,089,623.65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7,770,447.01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26,266,222.03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26,266,222.03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21,036,097.86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21,036,097.86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2,239,121.07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2,239,121.07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1,791,546.88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1,791,546.88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4,161,167.35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4,161,167.35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67,338,168.72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67,338,168.72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14,172,110.00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14,172,110.00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66,975,247.02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66,975,247.02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1,948,562.19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1,948,562.19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18,443,815.20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18,443,815.20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23,507,210.61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23,507,210.61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250,188,030.04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200,568,042.69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250,188,030.04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200,568,042.69</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4）购买日之前持有的股权按照公允价值重新计量产生的利得或损失" w:id="321"/>
      <w:bookmarkEnd w:id="32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spacing w:before="0"/>
        <w:ind w:left="154" w:right="1017"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line="489" w:lineRule="auto" w:before="0"/>
        <w:ind w:left="153" w:right="6028" w:firstLine="0"/>
        <w:jc w:val="left"/>
        <w:rPr>
          <w:rFonts w:ascii="宋体" w:hAnsi="宋体" w:cs="宋体" w:eastAsia="宋体" w:hint="default"/>
          <w:sz w:val="21"/>
          <w:szCs w:val="21"/>
        </w:rPr>
      </w:pPr>
      <w:r>
        <w:rPr/>
        <w:pict>
          <v:shape style="position:absolute;margin-left:56.459999pt;margin-top:51.833683pt;width:482.8pt;height:98.6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20"/>
                    <w:gridCol w:w="2550"/>
                    <w:gridCol w:w="1844"/>
                    <w:gridCol w:w="2126"/>
                  </w:tblGrid>
                  <w:tr>
                    <w:trPr>
                      <w:trHeight w:val="653" w:hRule="exact"/>
                    </w:trPr>
                    <w:tc>
                      <w:tcPr>
                        <w:tcW w:w="3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5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59" w:right="0"/>
                          <w:jc w:val="left"/>
                          <w:rPr>
                            <w:rFonts w:ascii="宋体" w:hAnsi="宋体" w:cs="宋体" w:eastAsia="宋体" w:hint="default"/>
                            <w:sz w:val="18"/>
                            <w:szCs w:val="18"/>
                          </w:rPr>
                        </w:pPr>
                        <w:r>
                          <w:rPr>
                            <w:rFonts w:ascii="宋体" w:hAnsi="宋体" w:cs="宋体" w:eastAsia="宋体" w:hint="default"/>
                            <w:sz w:val="18"/>
                            <w:szCs w:val="18"/>
                          </w:rPr>
                          <w:t>纳入合并范围的原因</w:t>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期末净资产（元）</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纳入合并范围内净利润</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654"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仁怀达实绿色智慧发展有限公司</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269"/>
                          <w:jc w:val="left"/>
                          <w:rPr>
                            <w:rFonts w:ascii="宋体" w:hAnsi="宋体" w:cs="宋体" w:eastAsia="宋体" w:hint="default"/>
                            <w:sz w:val="18"/>
                            <w:szCs w:val="18"/>
                          </w:rPr>
                        </w:pPr>
                        <w:r>
                          <w:rPr>
                            <w:rFonts w:ascii="宋体" w:hAnsi="宋体" w:cs="宋体" w:eastAsia="宋体" w:hint="default"/>
                            <w:sz w:val="18"/>
                            <w:szCs w:val="18"/>
                          </w:rPr>
                          <w:t>本公司持有该公司</w:t>
                        </w:r>
                        <w:r>
                          <w:rPr>
                            <w:rFonts w:ascii="Times New Roman" w:hAnsi="Times New Roman" w:cs="Times New Roman" w:eastAsia="Times New Roman" w:hint="default"/>
                            <w:sz w:val="18"/>
                            <w:szCs w:val="18"/>
                          </w:rPr>
                          <w:t>100.00%</w:t>
                        </w:r>
                        <w:r>
                          <w:rPr>
                            <w:rFonts w:ascii="宋体" w:hAnsi="宋体" w:cs="宋体" w:eastAsia="宋体" w:hint="default"/>
                            <w:sz w:val="18"/>
                            <w:szCs w:val="18"/>
                          </w:rPr>
                          <w:t>股 权，能对该公司实施控制。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0.00</w:t>
                        </w:r>
                      </w:p>
                    </w:tc>
                  </w:tr>
                  <w:tr>
                    <w:trPr>
                      <w:trHeight w:val="655"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淮南达实智慧城市投资发展有限公司</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269"/>
                          <w:jc w:val="left"/>
                          <w:rPr>
                            <w:rFonts w:ascii="宋体" w:hAnsi="宋体" w:cs="宋体" w:eastAsia="宋体" w:hint="default"/>
                            <w:sz w:val="18"/>
                            <w:szCs w:val="18"/>
                          </w:rPr>
                        </w:pPr>
                        <w:r>
                          <w:rPr>
                            <w:rFonts w:ascii="宋体" w:hAnsi="宋体" w:cs="宋体" w:eastAsia="宋体" w:hint="default"/>
                            <w:sz w:val="18"/>
                            <w:szCs w:val="18"/>
                          </w:rPr>
                          <w:t>本公司持有该公司</w:t>
                        </w:r>
                        <w:r>
                          <w:rPr>
                            <w:rFonts w:ascii="Times New Roman" w:hAnsi="Times New Roman" w:cs="Times New Roman" w:eastAsia="Times New Roman" w:hint="default"/>
                            <w:sz w:val="18"/>
                            <w:szCs w:val="18"/>
                          </w:rPr>
                          <w:t>100.00%</w:t>
                        </w:r>
                        <w:r>
                          <w:rPr>
                            <w:rFonts w:ascii="宋体" w:hAnsi="宋体" w:cs="宋体" w:eastAsia="宋体" w:hint="default"/>
                            <w:sz w:val="18"/>
                            <w:szCs w:val="18"/>
                          </w:rPr>
                          <w:t>股 权，能对该公司实施控制。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10,000,000.00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bookmarkStart w:name="2、其他原因的合并范围变动" w:id="322"/>
      <w:bookmarkEnd w:id="32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21"/>
          <w:szCs w:val="21"/>
        </w:rPr>
        <w:t>本报告期公司新设立</w:t>
      </w:r>
      <w:r>
        <w:rPr>
          <w:rFonts w:ascii="宋体" w:hAnsi="宋体" w:cs="宋体" w:eastAsia="宋体" w:hint="default"/>
          <w:sz w:val="21"/>
          <w:szCs w:val="21"/>
        </w:rPr>
        <w:t>2</w:t>
      </w:r>
      <w:r>
        <w:rPr>
          <w:rFonts w:ascii="宋体" w:hAnsi="宋体" w:cs="宋体" w:eastAsia="宋体" w:hint="default"/>
          <w:sz w:val="21"/>
          <w:szCs w:val="21"/>
        </w:rPr>
        <w:t>家全资子公司纳入合并范围。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left="154" w:right="1017"/>
        <w:jc w:val="left"/>
        <w:rPr>
          <w:b w:val="0"/>
          <w:bCs w:val="0"/>
        </w:rPr>
      </w:pPr>
      <w:bookmarkStart w:name="九、在其他主体中的权益" w:id="323"/>
      <w:bookmarkEnd w:id="323"/>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1、在子公司中的权益" w:id="324"/>
      <w:bookmarkEnd w:id="324"/>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r>
        <w:rPr/>
        <w:pict>
          <v:group style="position:absolute;margin-left:386.619995pt;margin-top:87.05368pt;width:48.1pt;height:20.8pt;mso-position-horizontal-relative:page;mso-position-vertical-relative:paragraph;z-index:-955288" coordorigin="7732,1741" coordsize="962,416">
            <v:group style="position:absolute;left:7744;top:1752;width:2;height:393" coordorigin="7744,1752" coordsize="2,393">
              <v:shape style="position:absolute;left:7744;top:1752;width:2;height:393" coordorigin="7744,1752" coordsize="0,393" path="m7744,1752l7744,2145e" filled="false" stroked="true" strokeweight="1.140pt" strokecolor="#ffffff">
                <v:path arrowok="t"/>
              </v:shape>
            </v:group>
            <v:group style="position:absolute;left:7755;top:1752;width:939;height:393" coordorigin="7755,1752" coordsize="939,393">
              <v:shape style="position:absolute;left:7755;top:1752;width:939;height:393" coordorigin="7755,1752" coordsize="939,393" path="m7755,2145l8694,2145,8694,1752,7755,1752,7755,2145xe" filled="true" fillcolor="#ffffff" stroked="false">
                <v:path arrowok="t"/>
                <v:fill type="solid"/>
              </v:shape>
            </v:group>
            <w10:wrap type="none"/>
          </v:group>
        </w:pict>
      </w:r>
      <w:bookmarkStart w:name="（1）企业集团的构成" w:id="325"/>
      <w:bookmarkEnd w:id="32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737"/>
        <w:gridCol w:w="1002"/>
        <w:gridCol w:w="1367"/>
        <w:gridCol w:w="2488"/>
        <w:gridCol w:w="237"/>
        <w:gridCol w:w="758"/>
        <w:gridCol w:w="895"/>
        <w:gridCol w:w="1088"/>
      </w:tblGrid>
      <w:tr>
        <w:trPr>
          <w:trHeight w:val="402" w:hRule="exact"/>
        </w:trPr>
        <w:tc>
          <w:tcPr>
            <w:tcW w:w="1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8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737"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2488" w:type="dxa"/>
            <w:vMerge/>
            <w:tcBorders>
              <w:left w:val="single" w:sz="4" w:space="0" w:color="000000"/>
              <w:bottom w:val="single" w:sz="4" w:space="0" w:color="000000"/>
              <w:right w:val="single" w:sz="4" w:space="0" w:color="000000"/>
            </w:tcBorders>
            <w:shd w:val="clear" w:color="auto" w:fill="D2D2D2"/>
          </w:tcPr>
          <w:p>
            <w:pPr/>
          </w:p>
        </w:tc>
        <w:tc>
          <w:tcPr>
            <w:tcW w:w="9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088"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82"/>
              <w:jc w:val="left"/>
              <w:rPr>
                <w:rFonts w:ascii="宋体" w:hAnsi="宋体" w:cs="宋体" w:eastAsia="宋体" w:hint="default"/>
                <w:sz w:val="18"/>
                <w:szCs w:val="18"/>
              </w:rPr>
            </w:pPr>
            <w:r>
              <w:rPr>
                <w:rFonts w:ascii="宋体" w:hAnsi="宋体" w:cs="宋体" w:eastAsia="宋体" w:hint="default"/>
                <w:sz w:val="18"/>
                <w:szCs w:val="18"/>
              </w:rPr>
              <w:t>上海达实自动化工程 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楼宇自动化、工业自动化、办公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3"/>
                <w:sz w:val="18"/>
                <w:szCs w:val="18"/>
              </w:rPr>
              <w:t>自动化系统的设计、开发、安装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调试及维修服务。</w:t>
            </w:r>
          </w:p>
        </w:tc>
        <w:tc>
          <w:tcPr>
            <w:tcW w:w="23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5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90.00%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55"/>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r>
      <w:tr>
        <w:trPr>
          <w:trHeight w:val="714" w:hRule="exact"/>
        </w:trPr>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深圳达实信息技术有 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安防行业，智能一卡通和计算机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系统集成。</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1026" w:hRule="exact"/>
        </w:trPr>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82"/>
              <w:jc w:val="left"/>
              <w:rPr>
                <w:rFonts w:ascii="宋体" w:hAnsi="宋体" w:cs="宋体" w:eastAsia="宋体" w:hint="default"/>
                <w:sz w:val="18"/>
                <w:szCs w:val="18"/>
              </w:rPr>
            </w:pPr>
            <w:r>
              <w:rPr>
                <w:rFonts w:ascii="宋体" w:hAnsi="宋体" w:cs="宋体" w:eastAsia="宋体" w:hint="default"/>
                <w:sz w:val="18"/>
                <w:szCs w:val="18"/>
              </w:rPr>
              <w:t>北京达实德润能源科 技有限公司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7"/>
                <w:sz w:val="18"/>
                <w:szCs w:val="18"/>
              </w:rPr>
              <w:t>技术咨询服务；计算机系统服务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及维修，销售计算机、电子、机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械产品。</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45.00%</w:t>
            </w:r>
          </w:p>
        </w:tc>
        <w:tc>
          <w:tcPr>
            <w:tcW w:w="895"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55"/>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bl>
    <w:p>
      <w:pPr>
        <w:spacing w:after="0" w:line="316"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10"/>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77" w:footer="1019" w:top="1100" w:bottom="1200" w:left="980" w:right="0"/>
        </w:sectPr>
      </w:pPr>
    </w:p>
    <w:p>
      <w:pPr>
        <w:spacing w:line="240" w:lineRule="auto" w:before="4"/>
        <w:rPr>
          <w:rFonts w:ascii="宋体" w:hAnsi="宋体" w:cs="宋体" w:eastAsia="宋体" w:hint="default"/>
          <w:b/>
          <w:bCs/>
          <w:sz w:val="15"/>
          <w:szCs w:val="15"/>
        </w:rPr>
      </w:pPr>
    </w:p>
    <w:p>
      <w:pPr>
        <w:spacing w:line="319"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上海达实联欣科技发 展有限公司</w:t>
      </w:r>
    </w:p>
    <w:p>
      <w:pPr>
        <w:spacing w:line="240" w:lineRule="auto" w:before="0"/>
        <w:rPr>
          <w:rFonts w:ascii="宋体" w:hAnsi="宋体" w:cs="宋体" w:eastAsia="宋体" w:hint="default"/>
          <w:sz w:val="18"/>
          <w:szCs w:val="18"/>
        </w:rPr>
      </w:pPr>
      <w:r>
        <w:rPr/>
        <w:br w:type="column"/>
      </w:r>
      <w:r>
        <w:rPr>
          <w:rFonts w:ascii="宋体"/>
          <w:sz w:val="18"/>
        </w:rPr>
      </w:r>
    </w:p>
    <w:p>
      <w:pPr>
        <w:tabs>
          <w:tab w:pos="1365" w:val="left" w:leader="none"/>
        </w:tabs>
        <w:spacing w:before="121"/>
        <w:ind w:left="181" w:right="-19" w:firstLine="0"/>
        <w:jc w:val="left"/>
        <w:rPr>
          <w:rFonts w:ascii="宋体" w:hAnsi="宋体" w:cs="宋体" w:eastAsia="宋体" w:hint="default"/>
          <w:sz w:val="18"/>
          <w:szCs w:val="18"/>
        </w:rPr>
      </w:pPr>
      <w:r>
        <w:rPr>
          <w:rFonts w:ascii="宋体" w:hAnsi="宋体" w:cs="宋体" w:eastAsia="宋体" w:hint="default"/>
          <w:sz w:val="18"/>
          <w:szCs w:val="18"/>
        </w:rPr>
        <w:t>上海</w:t>
        <w:tab/>
        <w:t>上海</w:t>
      </w:r>
    </w:p>
    <w:p>
      <w:pPr>
        <w:spacing w:line="319" w:lineRule="auto" w:before="44"/>
        <w:ind w:left="181" w:right="-20" w:firstLine="0"/>
        <w:jc w:val="left"/>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建筑智能化，安防行业，电气及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设备集成系统，技术咨询服务， 销售五金电缆防水装潢材料。</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81" w:right="-20" w:firstLine="0"/>
        <w:jc w:val="left"/>
        <w:rPr>
          <w:rFonts w:ascii="Times New Roman" w:hAnsi="Times New Roman" w:cs="Times New Roman" w:eastAsia="Times New Roman" w:hint="default"/>
          <w:sz w:val="18"/>
          <w:szCs w:val="18"/>
        </w:rPr>
      </w:pPr>
      <w:r>
        <w:rPr>
          <w:rFonts w:ascii="Times New Roman"/>
          <w:sz w:val="18"/>
        </w:rPr>
        <w:t>51.00%</w:t>
      </w:r>
    </w:p>
    <w:p>
      <w:pPr>
        <w:spacing w:line="240" w:lineRule="auto" w:before="5"/>
        <w:rPr>
          <w:rFonts w:ascii="Times New Roman" w:hAnsi="Times New Roman" w:cs="Times New Roman" w:eastAsia="Times New Roman" w:hint="default"/>
          <w:sz w:val="17"/>
          <w:szCs w:val="17"/>
        </w:rPr>
      </w:pPr>
      <w:r>
        <w:rPr/>
        <w:br w:type="column"/>
      </w:r>
      <w:r>
        <w:rPr>
          <w:rFonts w:ascii="Times New Roman"/>
          <w:sz w:val="17"/>
        </w:rPr>
      </w:r>
    </w:p>
    <w:p>
      <w:pPr>
        <w:spacing w:line="319" w:lineRule="auto" w:before="0"/>
        <w:ind w:left="181" w:right="1341" w:firstLine="0"/>
        <w:jc w:val="left"/>
        <w:rPr>
          <w:rFonts w:ascii="宋体" w:hAnsi="宋体" w:cs="宋体" w:eastAsia="宋体" w:hint="default"/>
          <w:sz w:val="18"/>
          <w:szCs w:val="18"/>
        </w:rPr>
      </w:pPr>
      <w:r>
        <w:rPr>
          <w:rFonts w:ascii="宋体" w:hAnsi="宋体" w:cs="宋体" w:eastAsia="宋体" w:hint="default"/>
          <w:sz w:val="18"/>
          <w:szCs w:val="18"/>
        </w:rPr>
        <w:t>非同一控制 下企业合并</w:t>
      </w:r>
    </w:p>
    <w:p>
      <w:pPr>
        <w:spacing w:after="0" w:line="319" w:lineRule="auto"/>
        <w:jc w:val="left"/>
        <w:rPr>
          <w:rFonts w:ascii="宋体" w:hAnsi="宋体" w:cs="宋体" w:eastAsia="宋体" w:hint="default"/>
          <w:sz w:val="18"/>
          <w:szCs w:val="18"/>
        </w:rPr>
        <w:sectPr>
          <w:type w:val="continuous"/>
          <w:pgSz w:w="11910" w:h="16840"/>
          <w:pgMar w:top="1580" w:bottom="760" w:left="980" w:right="0"/>
          <w:cols w:num="5" w:equalWidth="0">
            <w:col w:w="1802" w:space="227"/>
            <w:col w:w="1727" w:space="350"/>
            <w:col w:w="2702" w:space="170"/>
            <w:col w:w="737" w:space="769"/>
            <w:col w:w="2446"/>
          </w:cols>
        </w:sect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spacing w:line="319"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深圳达实融资租赁有 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25"/>
          <w:szCs w:val="25"/>
        </w:rPr>
      </w:pPr>
    </w:p>
    <w:p>
      <w:pPr>
        <w:tabs>
          <w:tab w:pos="1365" w:val="left" w:leader="none"/>
        </w:tabs>
        <w:spacing w:before="0"/>
        <w:ind w:left="181" w:right="-19" w:firstLine="0"/>
        <w:jc w:val="left"/>
        <w:rPr>
          <w:rFonts w:ascii="宋体" w:hAnsi="宋体" w:cs="宋体" w:eastAsia="宋体" w:hint="default"/>
          <w:sz w:val="18"/>
          <w:szCs w:val="18"/>
        </w:rPr>
      </w:pPr>
      <w:r>
        <w:rPr>
          <w:rFonts w:ascii="宋体" w:hAnsi="宋体" w:cs="宋体" w:eastAsia="宋体" w:hint="default"/>
          <w:sz w:val="18"/>
          <w:szCs w:val="18"/>
        </w:rPr>
        <w:t>深圳</w:t>
        <w:tab/>
        <w:t>深圳</w:t>
      </w:r>
    </w:p>
    <w:p>
      <w:pPr>
        <w:spacing w:line="319" w:lineRule="auto" w:before="106"/>
        <w:ind w:left="181" w:right="0" w:firstLine="0"/>
        <w:jc w:val="both"/>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融资租赁业务；租赁业务；向国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7"/>
          <w:sz w:val="18"/>
          <w:szCs w:val="18"/>
        </w:rPr>
        <w:t>内外购买租赁资产；租赁资产的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残值处理及维修；租赁交易咨询</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和担保。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43"/>
        <w:ind w:left="181" w:right="-20" w:firstLine="0"/>
        <w:jc w:val="left"/>
        <w:rPr>
          <w:rFonts w:ascii="Times New Roman" w:hAnsi="Times New Roman" w:cs="Times New Roman" w:eastAsia="Times New Roman" w:hint="default"/>
          <w:sz w:val="18"/>
          <w:szCs w:val="18"/>
        </w:rPr>
      </w:pPr>
      <w:r>
        <w:rPr>
          <w:rFonts w:ascii="Times New Roman"/>
          <w:sz w:val="18"/>
        </w:rPr>
        <w:t>75.00%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4"/>
        <w:rPr>
          <w:rFonts w:ascii="Times New Roman" w:hAnsi="Times New Roman" w:cs="Times New Roman" w:eastAsia="Times New Roman" w:hint="default"/>
          <w:sz w:val="18"/>
          <w:szCs w:val="18"/>
        </w:rPr>
      </w:pPr>
    </w:p>
    <w:p>
      <w:pPr>
        <w:spacing w:line="319" w:lineRule="auto" w:before="0"/>
        <w:ind w:left="181" w:right="1341" w:firstLine="0"/>
        <w:jc w:val="left"/>
        <w:rPr>
          <w:rFonts w:ascii="宋体" w:hAnsi="宋体" w:cs="宋体" w:eastAsia="宋体" w:hint="default"/>
          <w:sz w:val="18"/>
          <w:szCs w:val="18"/>
        </w:rPr>
      </w:pPr>
      <w:r>
        <w:rPr>
          <w:rFonts w:ascii="宋体" w:hAnsi="宋体" w:cs="宋体" w:eastAsia="宋体" w:hint="default"/>
          <w:sz w:val="18"/>
          <w:szCs w:val="18"/>
        </w:rPr>
        <w:t>通过设立方 式取得</w:t>
      </w:r>
    </w:p>
    <w:p>
      <w:pPr>
        <w:spacing w:after="0" w:line="319" w:lineRule="auto"/>
        <w:jc w:val="left"/>
        <w:rPr>
          <w:rFonts w:ascii="宋体" w:hAnsi="宋体" w:cs="宋体" w:eastAsia="宋体" w:hint="default"/>
          <w:sz w:val="18"/>
          <w:szCs w:val="18"/>
        </w:rPr>
        <w:sectPr>
          <w:type w:val="continuous"/>
          <w:pgSz w:w="11910" w:h="16840"/>
          <w:pgMar w:top="1580" w:bottom="760" w:left="980" w:right="0"/>
          <w:cols w:num="5" w:equalWidth="0">
            <w:col w:w="1802" w:space="227"/>
            <w:col w:w="1727" w:space="350"/>
            <w:col w:w="2614" w:space="258"/>
            <w:col w:w="737" w:space="769"/>
            <w:col w:w="2446"/>
          </w:cols>
        </w:sectPr>
      </w:pPr>
    </w:p>
    <w:p>
      <w:pPr>
        <w:spacing w:line="319" w:lineRule="auto" w:before="106"/>
        <w:ind w:left="181" w:right="-20" w:firstLine="0"/>
        <w:jc w:val="left"/>
        <w:rPr>
          <w:rFonts w:ascii="宋体" w:hAnsi="宋体" w:cs="宋体" w:eastAsia="宋体" w:hint="default"/>
          <w:sz w:val="18"/>
          <w:szCs w:val="18"/>
        </w:rPr>
      </w:pPr>
      <w:r>
        <w:rPr>
          <w:rFonts w:ascii="宋体" w:hAnsi="宋体" w:cs="宋体" w:eastAsia="宋体" w:hint="default"/>
          <w:sz w:val="18"/>
          <w:szCs w:val="18"/>
        </w:rPr>
        <w:t>珠海达实科技发展有 限公司</w:t>
      </w:r>
    </w:p>
    <w:p>
      <w:pPr>
        <w:spacing w:line="240" w:lineRule="auto" w:before="0"/>
        <w:rPr>
          <w:rFonts w:ascii="宋体" w:hAnsi="宋体" w:cs="宋体" w:eastAsia="宋体" w:hint="default"/>
          <w:sz w:val="20"/>
          <w:szCs w:val="20"/>
        </w:rPr>
      </w:pPr>
      <w:r>
        <w:rPr/>
        <w:br w:type="column"/>
      </w:r>
      <w:r>
        <w:rPr>
          <w:rFonts w:ascii="宋体"/>
          <w:sz w:val="20"/>
        </w:rPr>
      </w:r>
    </w:p>
    <w:p>
      <w:pPr>
        <w:tabs>
          <w:tab w:pos="1365" w:val="left" w:leader="none"/>
          <w:tab w:pos="2257" w:val="left" w:leader="none"/>
          <w:tab w:pos="5039" w:val="left" w:leader="none"/>
        </w:tabs>
        <w:spacing w:before="0"/>
        <w:ind w:left="181" w:right="-2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珠海</w:t>
        <w:tab/>
        <w:t>珠海</w:t>
        <w:tab/>
        <w:t>建筑智能化及建筑节能。</w:t>
        <w:tab/>
      </w:r>
      <w:r>
        <w:rPr>
          <w:rFonts w:ascii="Times New Roman" w:hAnsi="Times New Roman" w:cs="Times New Roman" w:eastAsia="Times New Roman" w:hint="default"/>
          <w:sz w:val="18"/>
          <w:szCs w:val="18"/>
        </w:rPr>
        <w:t>100.00%</w:t>
      </w:r>
    </w:p>
    <w:p>
      <w:pPr>
        <w:spacing w:line="319" w:lineRule="auto" w:before="106"/>
        <w:ind w:left="181" w:right="1341" w:firstLine="0"/>
        <w:jc w:val="left"/>
        <w:rPr>
          <w:rFonts w:ascii="宋体" w:hAnsi="宋体" w:cs="宋体" w:eastAsia="宋体" w:hint="default"/>
          <w:sz w:val="18"/>
          <w:szCs w:val="18"/>
        </w:rPr>
      </w:pPr>
      <w:r>
        <w:rPr/>
        <w:br w:type="column"/>
      </w:r>
      <w:r>
        <w:rPr>
          <w:rFonts w:ascii="宋体" w:hAnsi="宋体" w:cs="宋体" w:eastAsia="宋体" w:hint="default"/>
          <w:sz w:val="18"/>
          <w:szCs w:val="18"/>
        </w:rPr>
        <w:t>通过设立方 式取得</w:t>
      </w:r>
    </w:p>
    <w:p>
      <w:pPr>
        <w:spacing w:after="0" w:line="319" w:lineRule="auto"/>
        <w:jc w:val="left"/>
        <w:rPr>
          <w:rFonts w:ascii="宋体" w:hAnsi="宋体" w:cs="宋体" w:eastAsia="宋体" w:hint="default"/>
          <w:sz w:val="18"/>
          <w:szCs w:val="18"/>
        </w:rPr>
        <w:sectPr>
          <w:type w:val="continuous"/>
          <w:pgSz w:w="11910" w:h="16840"/>
          <w:pgMar w:top="1580" w:bottom="760" w:left="980" w:right="0"/>
          <w:cols w:num="3" w:equalWidth="0">
            <w:col w:w="1802" w:space="227"/>
            <w:col w:w="5685" w:space="769"/>
            <w:col w:w="2447"/>
          </w:cols>
        </w:sectPr>
      </w:pPr>
    </w:p>
    <w:p>
      <w:pPr>
        <w:spacing w:line="319" w:lineRule="auto" w:before="106"/>
        <w:ind w:left="181" w:right="-20" w:firstLine="0"/>
        <w:jc w:val="left"/>
        <w:rPr>
          <w:rFonts w:ascii="宋体" w:hAnsi="宋体" w:cs="宋体" w:eastAsia="宋体" w:hint="default"/>
          <w:sz w:val="18"/>
          <w:szCs w:val="18"/>
        </w:rPr>
      </w:pPr>
      <w:r>
        <w:rPr>
          <w:rFonts w:ascii="宋体" w:hAnsi="宋体" w:cs="宋体" w:eastAsia="宋体" w:hint="default"/>
          <w:sz w:val="18"/>
          <w:szCs w:val="18"/>
        </w:rPr>
        <w:t>遵义达实绿色智慧发 展有限公司</w:t>
      </w:r>
    </w:p>
    <w:p>
      <w:pPr>
        <w:spacing w:line="240" w:lineRule="auto" w:before="0"/>
        <w:rPr>
          <w:rFonts w:ascii="宋体" w:hAnsi="宋体" w:cs="宋体" w:eastAsia="宋体" w:hint="default"/>
          <w:sz w:val="20"/>
          <w:szCs w:val="20"/>
        </w:rPr>
      </w:pPr>
      <w:r>
        <w:rPr/>
        <w:br w:type="column"/>
      </w:r>
      <w:r>
        <w:rPr>
          <w:rFonts w:ascii="宋体"/>
          <w:sz w:val="20"/>
        </w:rPr>
      </w:r>
    </w:p>
    <w:p>
      <w:pPr>
        <w:tabs>
          <w:tab w:pos="1365" w:val="left" w:leader="none"/>
        </w:tabs>
        <w:spacing w:before="0"/>
        <w:ind w:left="181" w:right="-19" w:firstLine="0"/>
        <w:jc w:val="left"/>
        <w:rPr>
          <w:rFonts w:ascii="宋体" w:hAnsi="宋体" w:cs="宋体" w:eastAsia="宋体" w:hint="default"/>
          <w:sz w:val="18"/>
          <w:szCs w:val="18"/>
        </w:rPr>
      </w:pPr>
      <w:r>
        <w:rPr>
          <w:rFonts w:ascii="宋体" w:hAnsi="宋体" w:cs="宋体" w:eastAsia="宋体" w:hint="default"/>
          <w:sz w:val="18"/>
          <w:szCs w:val="18"/>
        </w:rPr>
        <w:t>遵义</w:t>
        <w:tab/>
        <w:t>遵义</w:t>
      </w:r>
    </w:p>
    <w:p>
      <w:pPr>
        <w:spacing w:line="319" w:lineRule="auto" w:before="106"/>
        <w:ind w:left="181" w:right="-11" w:firstLine="0"/>
        <w:jc w:val="left"/>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智慧城市、基础设施、科普设施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建设、展览设施建。</w:t>
      </w:r>
    </w:p>
    <w:p>
      <w:pPr>
        <w:spacing w:line="240" w:lineRule="auto" w:before="1"/>
        <w:rPr>
          <w:rFonts w:ascii="宋体" w:hAnsi="宋体" w:cs="宋体" w:eastAsia="宋体" w:hint="default"/>
          <w:sz w:val="23"/>
          <w:szCs w:val="23"/>
        </w:rPr>
      </w:pPr>
      <w:r>
        <w:rPr/>
        <w:br w:type="column"/>
      </w:r>
      <w:r>
        <w:rPr>
          <w:rFonts w:ascii="宋体"/>
          <w:sz w:val="23"/>
        </w:rPr>
      </w:r>
    </w:p>
    <w:p>
      <w:pPr>
        <w:spacing w:before="0"/>
        <w:ind w:left="181" w:right="-20" w:firstLine="0"/>
        <w:jc w:val="left"/>
        <w:rPr>
          <w:rFonts w:ascii="Times New Roman" w:hAnsi="Times New Roman" w:cs="Times New Roman" w:eastAsia="Times New Roman" w:hint="default"/>
          <w:sz w:val="18"/>
          <w:szCs w:val="18"/>
        </w:rPr>
      </w:pPr>
      <w:r>
        <w:rPr>
          <w:rFonts w:ascii="Times New Roman"/>
          <w:sz w:val="18"/>
        </w:rPr>
        <w:t>100.00%</w:t>
      </w:r>
    </w:p>
    <w:p>
      <w:pPr>
        <w:spacing w:line="319" w:lineRule="auto" w:before="106"/>
        <w:ind w:left="181" w:right="1341" w:firstLine="0"/>
        <w:jc w:val="left"/>
        <w:rPr>
          <w:rFonts w:ascii="宋体" w:hAnsi="宋体" w:cs="宋体" w:eastAsia="宋体" w:hint="default"/>
          <w:sz w:val="18"/>
          <w:szCs w:val="18"/>
        </w:rPr>
      </w:pPr>
      <w:r>
        <w:rPr/>
        <w:br w:type="column"/>
      </w:r>
      <w:r>
        <w:rPr>
          <w:rFonts w:ascii="宋体" w:hAnsi="宋体" w:cs="宋体" w:eastAsia="宋体" w:hint="default"/>
          <w:sz w:val="18"/>
          <w:szCs w:val="18"/>
        </w:rPr>
        <w:t>通过设立方 式取得</w:t>
      </w:r>
    </w:p>
    <w:p>
      <w:pPr>
        <w:spacing w:after="0" w:line="319" w:lineRule="auto"/>
        <w:jc w:val="left"/>
        <w:rPr>
          <w:rFonts w:ascii="宋体" w:hAnsi="宋体" w:cs="宋体" w:eastAsia="宋体" w:hint="default"/>
          <w:sz w:val="18"/>
          <w:szCs w:val="18"/>
        </w:rPr>
        <w:sectPr>
          <w:type w:val="continuous"/>
          <w:pgSz w:w="11910" w:h="16840"/>
          <w:pgMar w:top="1580" w:bottom="760" w:left="980" w:right="0"/>
          <w:cols w:num="5" w:equalWidth="0">
            <w:col w:w="1802" w:space="227"/>
            <w:col w:w="1727" w:space="350"/>
            <w:col w:w="2613" w:space="168"/>
            <w:col w:w="827" w:space="769"/>
            <w:col w:w="2447"/>
          </w:cols>
        </w:sectPr>
      </w:pPr>
    </w:p>
    <w:p>
      <w:pPr>
        <w:spacing w:line="319" w:lineRule="auto" w:before="106"/>
        <w:ind w:left="181" w:right="-20" w:firstLine="0"/>
        <w:jc w:val="left"/>
        <w:rPr>
          <w:rFonts w:ascii="宋体" w:hAnsi="宋体" w:cs="宋体" w:eastAsia="宋体" w:hint="default"/>
          <w:sz w:val="18"/>
          <w:szCs w:val="18"/>
        </w:rPr>
      </w:pPr>
      <w:r>
        <w:rPr>
          <w:rFonts w:ascii="宋体" w:hAnsi="宋体" w:cs="宋体" w:eastAsia="宋体" w:hint="default"/>
          <w:sz w:val="18"/>
          <w:szCs w:val="18"/>
        </w:rPr>
        <w:t>上海联欣金山建筑科 技发展有限公司</w:t>
      </w:r>
    </w:p>
    <w:p>
      <w:pPr>
        <w:spacing w:line="240" w:lineRule="auto" w:before="0"/>
        <w:rPr>
          <w:rFonts w:ascii="宋体" w:hAnsi="宋体" w:cs="宋体" w:eastAsia="宋体" w:hint="default"/>
          <w:sz w:val="20"/>
          <w:szCs w:val="20"/>
        </w:rPr>
      </w:pPr>
      <w:r>
        <w:rPr/>
        <w:br w:type="column"/>
      </w:r>
      <w:r>
        <w:rPr>
          <w:rFonts w:ascii="宋体"/>
          <w:sz w:val="20"/>
        </w:rPr>
      </w:r>
    </w:p>
    <w:p>
      <w:pPr>
        <w:tabs>
          <w:tab w:pos="1365" w:val="left" w:leader="none"/>
        </w:tabs>
        <w:spacing w:before="0"/>
        <w:ind w:left="181" w:right="-19" w:firstLine="0"/>
        <w:jc w:val="left"/>
        <w:rPr>
          <w:rFonts w:ascii="宋体" w:hAnsi="宋体" w:cs="宋体" w:eastAsia="宋体" w:hint="default"/>
          <w:sz w:val="18"/>
          <w:szCs w:val="18"/>
        </w:rPr>
      </w:pPr>
      <w:r>
        <w:rPr>
          <w:rFonts w:ascii="宋体" w:hAnsi="宋体" w:cs="宋体" w:eastAsia="宋体" w:hint="default"/>
          <w:sz w:val="18"/>
          <w:szCs w:val="18"/>
        </w:rPr>
        <w:t>上海</w:t>
        <w:tab/>
        <w:t>上海</w:t>
      </w:r>
    </w:p>
    <w:p>
      <w:pPr>
        <w:spacing w:line="319" w:lineRule="auto" w:before="106"/>
        <w:ind w:left="181" w:right="-20" w:firstLine="0"/>
        <w:jc w:val="left"/>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建筑智能化、安防行业、电气及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设备集成系统，技术咨询服务。</w:t>
      </w:r>
    </w:p>
    <w:p>
      <w:pPr>
        <w:spacing w:line="240" w:lineRule="auto" w:before="1"/>
        <w:rPr>
          <w:rFonts w:ascii="宋体" w:hAnsi="宋体" w:cs="宋体" w:eastAsia="宋体" w:hint="default"/>
          <w:sz w:val="23"/>
          <w:szCs w:val="23"/>
        </w:rPr>
      </w:pPr>
      <w:r>
        <w:rPr/>
        <w:br w:type="column"/>
      </w:r>
      <w:r>
        <w:rPr>
          <w:rFonts w:ascii="宋体"/>
          <w:sz w:val="23"/>
        </w:rPr>
      </w:r>
    </w:p>
    <w:p>
      <w:pPr>
        <w:spacing w:before="0"/>
        <w:ind w:left="181" w:right="-20" w:firstLine="0"/>
        <w:jc w:val="left"/>
        <w:rPr>
          <w:rFonts w:ascii="Times New Roman" w:hAnsi="Times New Roman" w:cs="Times New Roman" w:eastAsia="Times New Roman" w:hint="default"/>
          <w:sz w:val="18"/>
          <w:szCs w:val="18"/>
        </w:rPr>
      </w:pPr>
      <w:r>
        <w:rPr>
          <w:rFonts w:ascii="Times New Roman"/>
          <w:sz w:val="18"/>
        </w:rPr>
        <w:t>100.00%</w:t>
      </w:r>
    </w:p>
    <w:p>
      <w:pPr>
        <w:spacing w:line="319" w:lineRule="auto" w:before="106"/>
        <w:ind w:left="14" w:right="1341" w:firstLine="0"/>
        <w:jc w:val="left"/>
        <w:rPr>
          <w:rFonts w:ascii="宋体" w:hAnsi="宋体" w:cs="宋体" w:eastAsia="宋体" w:hint="default"/>
          <w:sz w:val="18"/>
          <w:szCs w:val="18"/>
        </w:rPr>
      </w:pPr>
      <w:r>
        <w:rPr/>
        <w:br w:type="column"/>
      </w:r>
      <w:r>
        <w:rPr>
          <w:rFonts w:ascii="宋体" w:hAnsi="宋体" w:cs="宋体" w:eastAsia="宋体" w:hint="default"/>
          <w:sz w:val="18"/>
          <w:szCs w:val="18"/>
        </w:rPr>
        <w:t>非同一控制 下企业合并</w:t>
      </w:r>
    </w:p>
    <w:p>
      <w:pPr>
        <w:spacing w:after="0" w:line="319" w:lineRule="auto"/>
        <w:jc w:val="left"/>
        <w:rPr>
          <w:rFonts w:ascii="宋体" w:hAnsi="宋体" w:cs="宋体" w:eastAsia="宋体" w:hint="default"/>
          <w:sz w:val="18"/>
          <w:szCs w:val="18"/>
        </w:rPr>
        <w:sectPr>
          <w:type w:val="continuous"/>
          <w:pgSz w:w="11910" w:h="16840"/>
          <w:pgMar w:top="1580" w:bottom="760" w:left="980" w:right="0"/>
          <w:cols w:num="5" w:equalWidth="0">
            <w:col w:w="1802" w:space="227"/>
            <w:col w:w="1727" w:space="350"/>
            <w:col w:w="2702" w:space="976"/>
            <w:col w:w="827" w:space="40"/>
            <w:col w:w="2279"/>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spacing w:line="319"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上海腾隆变配电设备 管理有限公司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tabs>
          <w:tab w:pos="1365" w:val="left" w:leader="none"/>
        </w:tabs>
        <w:spacing w:before="0"/>
        <w:ind w:left="181" w:right="-19" w:firstLine="0"/>
        <w:jc w:val="left"/>
        <w:rPr>
          <w:rFonts w:ascii="宋体" w:hAnsi="宋体" w:cs="宋体" w:eastAsia="宋体" w:hint="default"/>
          <w:sz w:val="18"/>
          <w:szCs w:val="18"/>
        </w:rPr>
      </w:pPr>
      <w:r>
        <w:rPr>
          <w:rFonts w:ascii="宋体" w:hAnsi="宋体" w:cs="宋体" w:eastAsia="宋体" w:hint="default"/>
          <w:sz w:val="18"/>
          <w:szCs w:val="18"/>
        </w:rPr>
        <w:t>上海</w:t>
        <w:tab/>
        <w:t>上海</w:t>
      </w:r>
    </w:p>
    <w:p>
      <w:pPr>
        <w:spacing w:line="316" w:lineRule="auto" w:before="106"/>
        <w:ind w:left="181" w:right="-2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110KV</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及以下变电站、施工用 </w:t>
      </w:r>
      <w:r>
        <w:rPr>
          <w:rFonts w:ascii="宋体" w:hAnsi="宋体" w:cs="宋体" w:eastAsia="宋体" w:hint="default"/>
          <w:spacing w:val="-7"/>
          <w:sz w:val="18"/>
          <w:szCs w:val="18"/>
        </w:rPr>
        <w:t>电箱式变压器的运行管理、设备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调试、维修保养、继保电试，电</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气安全用具销售及电气工程咨 询服务，机电设备销售及维修， 在电力专业领域内从事四技服 </w:t>
      </w:r>
      <w:r>
        <w:rPr>
          <w:rFonts w:ascii="宋体" w:hAnsi="宋体" w:cs="宋体" w:eastAsia="宋体" w:hint="default"/>
          <w:spacing w:val="-7"/>
          <w:sz w:val="18"/>
          <w:szCs w:val="18"/>
        </w:rPr>
        <w:t>务，电力设施承装类四级、承修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7"/>
          <w:sz w:val="18"/>
          <w:szCs w:val="18"/>
        </w:rPr>
        <w:t>类三级、承试类五级，自有设备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租赁（除金融租赁）。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spacing w:before="0"/>
        <w:ind w:left="181" w:right="-20" w:firstLine="0"/>
        <w:jc w:val="left"/>
        <w:rPr>
          <w:rFonts w:ascii="Times New Roman" w:hAnsi="Times New Roman" w:cs="Times New Roman" w:eastAsia="Times New Roman" w:hint="default"/>
          <w:sz w:val="18"/>
          <w:szCs w:val="18"/>
        </w:rPr>
      </w:pPr>
      <w:r>
        <w:rPr>
          <w:rFonts w:ascii="Times New Roman"/>
          <w:sz w:val="18"/>
        </w:rPr>
        <w:t>100.00%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4"/>
          <w:szCs w:val="14"/>
        </w:rPr>
      </w:pPr>
    </w:p>
    <w:p>
      <w:pPr>
        <w:spacing w:line="319" w:lineRule="auto" w:before="0"/>
        <w:ind w:left="14" w:right="1341" w:firstLine="0"/>
        <w:jc w:val="left"/>
        <w:rPr>
          <w:rFonts w:ascii="宋体" w:hAnsi="宋体" w:cs="宋体" w:eastAsia="宋体" w:hint="default"/>
          <w:sz w:val="18"/>
          <w:szCs w:val="18"/>
        </w:rPr>
      </w:pPr>
      <w:r>
        <w:rPr>
          <w:rFonts w:ascii="宋体" w:hAnsi="宋体" w:cs="宋体" w:eastAsia="宋体" w:hint="default"/>
          <w:sz w:val="18"/>
          <w:szCs w:val="18"/>
        </w:rPr>
        <w:t>非同一控制 下企业合并</w:t>
      </w:r>
    </w:p>
    <w:p>
      <w:pPr>
        <w:spacing w:after="0" w:line="319" w:lineRule="auto"/>
        <w:jc w:val="left"/>
        <w:rPr>
          <w:rFonts w:ascii="宋体" w:hAnsi="宋体" w:cs="宋体" w:eastAsia="宋体" w:hint="default"/>
          <w:sz w:val="18"/>
          <w:szCs w:val="18"/>
        </w:rPr>
        <w:sectPr>
          <w:type w:val="continuous"/>
          <w:pgSz w:w="11910" w:h="16840"/>
          <w:pgMar w:top="1580" w:bottom="760" w:left="980" w:right="0"/>
          <w:cols w:num="5" w:equalWidth="0">
            <w:col w:w="1802" w:space="227"/>
            <w:col w:w="1727" w:space="350"/>
            <w:col w:w="2702" w:space="976"/>
            <w:col w:w="827" w:space="40"/>
            <w:col w:w="2279"/>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spacing w:line="319"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江苏久信医疗科技有 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tabs>
          <w:tab w:pos="1365" w:val="left" w:leader="none"/>
        </w:tabs>
        <w:spacing w:before="0"/>
        <w:ind w:left="181" w:right="-19" w:firstLine="0"/>
        <w:jc w:val="left"/>
        <w:rPr>
          <w:rFonts w:ascii="宋体" w:hAnsi="宋体" w:cs="宋体" w:eastAsia="宋体" w:hint="default"/>
          <w:sz w:val="18"/>
          <w:szCs w:val="18"/>
        </w:rPr>
      </w:pPr>
      <w:r>
        <w:rPr>
          <w:rFonts w:ascii="宋体" w:hAnsi="宋体" w:cs="宋体" w:eastAsia="宋体" w:hint="default"/>
          <w:sz w:val="18"/>
          <w:szCs w:val="18"/>
        </w:rPr>
        <w:t>常州</w:t>
        <w:tab/>
        <w:t>常州</w:t>
      </w:r>
    </w:p>
    <w:p>
      <w:pPr>
        <w:spacing w:line="314" w:lineRule="auto" w:before="107"/>
        <w:ind w:left="181" w:right="-17" w:firstLine="0"/>
        <w:jc w:val="left"/>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数字化手术室的研发、医用机器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人导航系统的研发、微创手术平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台系统的研发；空气净化处理 </w:t>
      </w:r>
      <w:r>
        <w:rPr>
          <w:rFonts w:ascii="宋体" w:hAnsi="宋体" w:cs="宋体" w:eastAsia="宋体" w:hint="default"/>
          <w:spacing w:val="-7"/>
          <w:sz w:val="18"/>
          <w:szCs w:val="18"/>
        </w:rPr>
        <w:t>机、不锈钢柜橱、保温柜、保冷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柜的制造、加工；一类医用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X</w:t>
      </w:r>
      <w:r>
        <w:rPr>
          <w:rFonts w:ascii="Times New Roman" w:hAnsi="Times New Roman" w:cs="Times New Roman" w:eastAsia="Times New Roman" w:hint="default"/>
          <w:w w:val="99"/>
          <w:sz w:val="18"/>
          <w:szCs w:val="18"/>
        </w:rPr>
        <w:t> </w:t>
      </w:r>
      <w:r>
        <w:rPr>
          <w:rFonts w:ascii="宋体" w:hAnsi="宋体" w:cs="宋体" w:eastAsia="宋体" w:hint="default"/>
          <w:spacing w:val="-7"/>
          <w:sz w:val="18"/>
          <w:szCs w:val="18"/>
        </w:rPr>
        <w:t>射线附属设备及部件的制造；建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筑装饰工程、净化工程设计、施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7"/>
          <w:sz w:val="18"/>
          <w:szCs w:val="18"/>
        </w:rPr>
        <w:t>工；数字化手术室软件开发、销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2"/>
          <w:sz w:val="18"/>
          <w:szCs w:val="18"/>
        </w:rPr>
        <w:t>售、安装；空气净化设备的销售、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安装；气动物流系统的设计、安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7"/>
          <w:sz w:val="18"/>
          <w:szCs w:val="18"/>
        </w:rPr>
        <w:t>装及相关装置的销售；信息管理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系统软件与硬件开发、销售、技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术服务；Ⅱ类医疗器械：</w:t>
      </w:r>
      <w:r>
        <w:rPr>
          <w:rFonts w:ascii="Times New Roman" w:hAnsi="Times New Roman" w:cs="Times New Roman" w:eastAsia="Times New Roman" w:hint="default"/>
          <w:sz w:val="18"/>
          <w:szCs w:val="18"/>
        </w:rPr>
        <w:t>6856 </w:t>
      </w:r>
      <w:r>
        <w:rPr>
          <w:rFonts w:ascii="宋体" w:hAnsi="宋体" w:cs="宋体" w:eastAsia="宋体" w:hint="default"/>
          <w:sz w:val="18"/>
          <w:szCs w:val="18"/>
        </w:rPr>
        <w:t>病房护理设备及器具、</w:t>
      </w:r>
      <w:r>
        <w:rPr>
          <w:rFonts w:ascii="Times New Roman" w:hAnsi="Times New Roman" w:cs="Times New Roman" w:eastAsia="Times New Roman" w:hint="default"/>
          <w:sz w:val="18"/>
          <w:szCs w:val="18"/>
        </w:rPr>
        <w:t>6870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 件，Ⅲ类医疗器械：</w:t>
      </w:r>
      <w:r>
        <w:rPr>
          <w:rFonts w:ascii="Times New Roman" w:hAnsi="Times New Roman" w:cs="Times New Roman" w:eastAsia="Times New Roman" w:hint="default"/>
          <w:sz w:val="18"/>
          <w:szCs w:val="18"/>
        </w:rPr>
        <w:t>6854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手术 </w:t>
      </w:r>
      <w:r>
        <w:rPr>
          <w:rFonts w:ascii="宋体" w:hAnsi="宋体" w:cs="宋体" w:eastAsia="宋体" w:hint="default"/>
          <w:spacing w:val="-7"/>
          <w:sz w:val="18"/>
          <w:szCs w:val="18"/>
        </w:rPr>
        <w:t>室、急救室、诊疗室设备及器具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的销售。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81" w:right="-20" w:firstLine="0"/>
        <w:jc w:val="left"/>
        <w:rPr>
          <w:rFonts w:ascii="Times New Roman" w:hAnsi="Times New Roman" w:cs="Times New Roman" w:eastAsia="Times New Roman" w:hint="default"/>
          <w:sz w:val="18"/>
          <w:szCs w:val="18"/>
        </w:rPr>
      </w:pPr>
      <w:r>
        <w:rPr>
          <w:rFonts w:ascii="Times New Roman"/>
          <w:sz w:val="18"/>
        </w:rPr>
        <w:t>100.00%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4"/>
          <w:szCs w:val="14"/>
        </w:rPr>
      </w:pPr>
    </w:p>
    <w:p>
      <w:pPr>
        <w:spacing w:line="319" w:lineRule="auto" w:before="0"/>
        <w:ind w:left="181" w:right="1341" w:firstLine="0"/>
        <w:jc w:val="left"/>
        <w:rPr>
          <w:rFonts w:ascii="宋体" w:hAnsi="宋体" w:cs="宋体" w:eastAsia="宋体" w:hint="default"/>
          <w:sz w:val="18"/>
          <w:szCs w:val="18"/>
        </w:rPr>
      </w:pPr>
      <w:r>
        <w:rPr>
          <w:rFonts w:ascii="宋体" w:hAnsi="宋体" w:cs="宋体" w:eastAsia="宋体" w:hint="default"/>
          <w:sz w:val="18"/>
          <w:szCs w:val="18"/>
        </w:rPr>
        <w:t>非同一控制 下企业合并</w:t>
      </w:r>
    </w:p>
    <w:p>
      <w:pPr>
        <w:spacing w:after="0" w:line="319" w:lineRule="auto"/>
        <w:jc w:val="left"/>
        <w:rPr>
          <w:rFonts w:ascii="宋体" w:hAnsi="宋体" w:cs="宋体" w:eastAsia="宋体" w:hint="default"/>
          <w:sz w:val="18"/>
          <w:szCs w:val="18"/>
        </w:rPr>
        <w:sectPr>
          <w:type w:val="continuous"/>
          <w:pgSz w:w="11910" w:h="16840"/>
          <w:pgMar w:top="1580" w:bottom="760" w:left="980" w:right="0"/>
          <w:cols w:num="5" w:equalWidth="0">
            <w:col w:w="1802" w:space="227"/>
            <w:col w:w="1727" w:space="350"/>
            <w:col w:w="2705" w:space="77"/>
            <w:col w:w="827" w:space="769"/>
            <w:col w:w="2446"/>
          </w:cols>
        </w:sectPr>
      </w:pPr>
    </w:p>
    <w:p>
      <w:pPr>
        <w:spacing w:line="240" w:lineRule="auto" w:before="4"/>
        <w:rPr>
          <w:rFonts w:ascii="宋体" w:hAnsi="宋体" w:cs="宋体" w:eastAsia="宋体" w:hint="default"/>
          <w:sz w:val="20"/>
          <w:szCs w:val="20"/>
        </w:rPr>
      </w:pPr>
      <w:r>
        <w:rPr/>
        <w:pict>
          <v:group style="position:absolute;margin-left:56.459999pt;margin-top:71.759979pt;width:479.1pt;height:692.25pt;mso-position-horizontal-relative:page;mso-position-vertical-relative:page;z-index:-955240" coordorigin="1129,1435" coordsize="9582,13845">
            <v:group style="position:absolute;left:7744;top:1762;width:2;height:393" coordorigin="7744,1762" coordsize="2,393">
              <v:shape style="position:absolute;left:7744;top:1762;width:2;height:393" coordorigin="7744,1762" coordsize="0,393" path="m7744,1762l7744,2154e" filled="false" stroked="true" strokeweight="1.140pt" strokecolor="#ffffff">
                <v:path arrowok="t"/>
              </v:shape>
            </v:group>
            <v:group style="position:absolute;left:7755;top:1762;width:939;height:393" coordorigin="7755,1762" coordsize="939,393">
              <v:shape style="position:absolute;left:7755;top:1762;width:939;height:393" coordorigin="7755,1762" coordsize="939,393" path="m7755,2154l8694,2154,8694,1762,7755,1762,7755,2154xe" filled="true" fillcolor="#ffffff" stroked="false">
                <v:path arrowok="t"/>
                <v:fill type="solid"/>
              </v:shape>
            </v:group>
            <v:group style="position:absolute;left:1139;top:1445;width:1728;height:2" coordorigin="1139,1445" coordsize="1728,2">
              <v:shape style="position:absolute;left:1139;top:1445;width:1728;height:2" coordorigin="1139,1445" coordsize="1728,0" path="m1139,1445l2866,1445e" filled="false" stroked="true" strokeweight=".48pt" strokecolor="#000000">
                <v:path arrowok="t"/>
              </v:shape>
            </v:group>
            <v:group style="position:absolute;left:2876;top:1445;width:993;height:2" coordorigin="2876,1445" coordsize="993,2">
              <v:shape style="position:absolute;left:2876;top:1445;width:993;height:2" coordorigin="2876,1445" coordsize="993,0" path="m2876,1445l3868,1445e" filled="false" stroked="true" strokeweight=".48pt" strokecolor="#000000">
                <v:path arrowok="t"/>
              </v:shape>
            </v:group>
            <v:group style="position:absolute;left:3878;top:1445;width:1358;height:2" coordorigin="3878,1445" coordsize="1358,2">
              <v:shape style="position:absolute;left:3878;top:1445;width:1358;height:2" coordorigin="3878,1445" coordsize="1358,0" path="m3878,1445l5235,1445e" filled="false" stroked="true" strokeweight=".48pt" strokecolor="#000000">
                <v:path arrowok="t"/>
              </v:shape>
            </v:group>
            <v:group style="position:absolute;left:5245;top:1445;width:2478;height:2" coordorigin="5245,1445" coordsize="2478,2">
              <v:shape style="position:absolute;left:5245;top:1445;width:2478;height:2" coordorigin="5245,1445" coordsize="2478,0" path="m5245,1445l7723,1445e" filled="false" stroked="true" strokeweight=".48pt" strokecolor="#000000">
                <v:path arrowok="t"/>
              </v:shape>
            </v:group>
            <v:group style="position:absolute;left:7732;top:1445;width:986;height:2" coordorigin="7732,1445" coordsize="986,2">
              <v:shape style="position:absolute;left:7732;top:1445;width:986;height:2" coordorigin="7732,1445" coordsize="986,0" path="m7732,1445l8718,1445e" filled="false" stroked="true" strokeweight=".48pt" strokecolor="#000000">
                <v:path arrowok="t"/>
              </v:shape>
            </v:group>
            <v:group style="position:absolute;left:8728;top:1445;width:886;height:2" coordorigin="8728,1445" coordsize="886,2">
              <v:shape style="position:absolute;left:8728;top:1445;width:886;height:2" coordorigin="8728,1445" coordsize="886,0" path="m8728,1445l9613,1445e" filled="false" stroked="true" strokeweight=".48pt" strokecolor="#000000">
                <v:path arrowok="t"/>
              </v:shape>
            </v:group>
            <v:group style="position:absolute;left:9623;top:1445;width:1079;height:2" coordorigin="9623,1445" coordsize="1079,2">
              <v:shape style="position:absolute;left:9623;top:1445;width:1079;height:2" coordorigin="9623,1445" coordsize="1079,0" path="m9623,1445l10702,1445e" filled="false" stroked="true" strokeweight=".48pt" strokecolor="#000000">
                <v:path arrowok="t"/>
              </v:shape>
            </v:group>
            <v:group style="position:absolute;left:1139;top:2471;width:1728;height:2" coordorigin="1139,2471" coordsize="1728,2">
              <v:shape style="position:absolute;left:1139;top:2471;width:1728;height:2" coordorigin="1139,2471" coordsize="1728,0" path="m1139,2471l2866,2471e" filled="false" stroked="true" strokeweight=".48pt" strokecolor="#000000">
                <v:path arrowok="t"/>
              </v:shape>
            </v:group>
            <v:group style="position:absolute;left:2876;top:2471;width:993;height:2" coordorigin="2876,2471" coordsize="993,2">
              <v:shape style="position:absolute;left:2876;top:2471;width:993;height:2" coordorigin="2876,2471" coordsize="993,0" path="m2876,2471l3868,2471e" filled="false" stroked="true" strokeweight=".48pt" strokecolor="#000000">
                <v:path arrowok="t"/>
              </v:shape>
            </v:group>
            <v:group style="position:absolute;left:3878;top:2471;width:1358;height:2" coordorigin="3878,2471" coordsize="1358,2">
              <v:shape style="position:absolute;left:3878;top:2471;width:1358;height:2" coordorigin="3878,2471" coordsize="1358,0" path="m3878,2471l5235,2471e" filled="false" stroked="true" strokeweight=".48pt" strokecolor="#000000">
                <v:path arrowok="t"/>
              </v:shape>
            </v:group>
            <v:group style="position:absolute;left:5245;top:2471;width:2478;height:2" coordorigin="5245,2471" coordsize="2478,2">
              <v:shape style="position:absolute;left:5245;top:2471;width:2478;height:2" coordorigin="5245,2471" coordsize="2478,0" path="m5245,2471l7723,2471e" filled="false" stroked="true" strokeweight=".48pt" strokecolor="#000000">
                <v:path arrowok="t"/>
              </v:shape>
            </v:group>
            <v:group style="position:absolute;left:7732;top:2471;width:986;height:2" coordorigin="7732,2471" coordsize="986,2">
              <v:shape style="position:absolute;left:7732;top:2471;width:986;height:2" coordorigin="7732,2471" coordsize="986,0" path="m7732,2471l8718,2471e" filled="false" stroked="true" strokeweight=".48pt" strokecolor="#000000">
                <v:path arrowok="t"/>
              </v:shape>
            </v:group>
            <v:group style="position:absolute;left:8728;top:2471;width:886;height:2" coordorigin="8728,2471" coordsize="886,2">
              <v:shape style="position:absolute;left:8728;top:2471;width:886;height:2" coordorigin="8728,2471" coordsize="886,0" path="m8728,2471l9613,2471e" filled="false" stroked="true" strokeweight=".48pt" strokecolor="#000000">
                <v:path arrowok="t"/>
              </v:shape>
            </v:group>
            <v:group style="position:absolute;left:9623;top:2471;width:1079;height:2" coordorigin="9623,2471" coordsize="1079,2">
              <v:shape style="position:absolute;left:9623;top:2471;width:1079;height:2" coordorigin="9623,2471" coordsize="1079,0" path="m9623,2471l10702,2471e" filled="false" stroked="true" strokeweight=".48pt" strokecolor="#000000">
                <v:path arrowok="t"/>
              </v:shape>
            </v:group>
            <v:group style="position:absolute;left:1139;top:3809;width:1728;height:2" coordorigin="1139,3809" coordsize="1728,2">
              <v:shape style="position:absolute;left:1139;top:3809;width:1728;height:2" coordorigin="1139,3809" coordsize="1728,0" path="m1139,3809l2866,3809e" filled="false" stroked="true" strokeweight=".48pt" strokecolor="#000000">
                <v:path arrowok="t"/>
              </v:shape>
            </v:group>
            <v:group style="position:absolute;left:2876;top:3809;width:993;height:2" coordorigin="2876,3809" coordsize="993,2">
              <v:shape style="position:absolute;left:2876;top:3809;width:993;height:2" coordorigin="2876,3809" coordsize="993,0" path="m2876,3809l3868,3809e" filled="false" stroked="true" strokeweight=".48pt" strokecolor="#000000">
                <v:path arrowok="t"/>
              </v:shape>
            </v:group>
            <v:group style="position:absolute;left:3878;top:3809;width:1358;height:2" coordorigin="3878,3809" coordsize="1358,2">
              <v:shape style="position:absolute;left:3878;top:3809;width:1358;height:2" coordorigin="3878,3809" coordsize="1358,0" path="m3878,3809l5235,3809e" filled="false" stroked="true" strokeweight=".48pt" strokecolor="#000000">
                <v:path arrowok="t"/>
              </v:shape>
            </v:group>
            <v:group style="position:absolute;left:5245;top:3809;width:2478;height:2" coordorigin="5245,3809" coordsize="2478,2">
              <v:shape style="position:absolute;left:5245;top:3809;width:2478;height:2" coordorigin="5245,3809" coordsize="2478,0" path="m5245,3809l7723,3809e" filled="false" stroked="true" strokeweight=".48pt" strokecolor="#000000">
                <v:path arrowok="t"/>
              </v:shape>
            </v:group>
            <v:group style="position:absolute;left:7732;top:3809;width:986;height:2" coordorigin="7732,3809" coordsize="986,2">
              <v:shape style="position:absolute;left:7732;top:3809;width:986;height:2" coordorigin="7732,3809" coordsize="986,0" path="m7732,3809l8718,3809e" filled="false" stroked="true" strokeweight=".48pt" strokecolor="#000000">
                <v:path arrowok="t"/>
              </v:shape>
            </v:group>
            <v:group style="position:absolute;left:8728;top:3809;width:886;height:2" coordorigin="8728,3809" coordsize="886,2">
              <v:shape style="position:absolute;left:8728;top:3809;width:886;height:2" coordorigin="8728,3809" coordsize="886,0" path="m8728,3809l9613,3809e" filled="false" stroked="true" strokeweight=".48pt" strokecolor="#000000">
                <v:path arrowok="t"/>
              </v:shape>
            </v:group>
            <v:group style="position:absolute;left:9623;top:3809;width:1079;height:2" coordorigin="9623,3809" coordsize="1079,2">
              <v:shape style="position:absolute;left:9623;top:3809;width:1079;height:2" coordorigin="9623,3809" coordsize="1079,0" path="m9623,3809l10702,3809e" filled="false" stroked="true" strokeweight=".48pt" strokecolor="#000000">
                <v:path arrowok="t"/>
              </v:shape>
            </v:group>
            <v:group style="position:absolute;left:1139;top:4523;width:1728;height:2" coordorigin="1139,4523" coordsize="1728,2">
              <v:shape style="position:absolute;left:1139;top:4523;width:1728;height:2" coordorigin="1139,4523" coordsize="1728,0" path="m1139,4523l2866,4523e" filled="false" stroked="true" strokeweight=".48pt" strokecolor="#000000">
                <v:path arrowok="t"/>
              </v:shape>
            </v:group>
            <v:group style="position:absolute;left:2876;top:4523;width:993;height:2" coordorigin="2876,4523" coordsize="993,2">
              <v:shape style="position:absolute;left:2876;top:4523;width:993;height:2" coordorigin="2876,4523" coordsize="993,0" path="m2876,4523l3868,4523e" filled="false" stroked="true" strokeweight=".48pt" strokecolor="#000000">
                <v:path arrowok="t"/>
              </v:shape>
            </v:group>
            <v:group style="position:absolute;left:3878;top:4523;width:1358;height:2" coordorigin="3878,4523" coordsize="1358,2">
              <v:shape style="position:absolute;left:3878;top:4523;width:1358;height:2" coordorigin="3878,4523" coordsize="1358,0" path="m3878,4523l5235,4523e" filled="false" stroked="true" strokeweight=".48pt" strokecolor="#000000">
                <v:path arrowok="t"/>
              </v:shape>
            </v:group>
            <v:group style="position:absolute;left:5245;top:4523;width:2478;height:2" coordorigin="5245,4523" coordsize="2478,2">
              <v:shape style="position:absolute;left:5245;top:4523;width:2478;height:2" coordorigin="5245,4523" coordsize="2478,0" path="m5245,4523l7723,4523e" filled="false" stroked="true" strokeweight=".48pt" strokecolor="#000000">
                <v:path arrowok="t"/>
              </v:shape>
            </v:group>
            <v:group style="position:absolute;left:7732;top:4523;width:986;height:2" coordorigin="7732,4523" coordsize="986,2">
              <v:shape style="position:absolute;left:7732;top:4523;width:986;height:2" coordorigin="7732,4523" coordsize="986,0" path="m7732,4523l8718,4523e" filled="false" stroked="true" strokeweight=".48pt" strokecolor="#000000">
                <v:path arrowok="t"/>
              </v:shape>
            </v:group>
            <v:group style="position:absolute;left:8728;top:4523;width:886;height:2" coordorigin="8728,4523" coordsize="886,2">
              <v:shape style="position:absolute;left:8728;top:4523;width:886;height:2" coordorigin="8728,4523" coordsize="886,0" path="m8728,4523l9613,4523e" filled="false" stroked="true" strokeweight=".48pt" strokecolor="#000000">
                <v:path arrowok="t"/>
              </v:shape>
            </v:group>
            <v:group style="position:absolute;left:9623;top:4523;width:1079;height:2" coordorigin="9623,4523" coordsize="1079,2">
              <v:shape style="position:absolute;left:9623;top:4523;width:1079;height:2" coordorigin="9623,4523" coordsize="1079,0" path="m9623,4523l10702,4523e" filled="false" stroked="true" strokeweight=".48pt" strokecolor="#000000">
                <v:path arrowok="t"/>
              </v:shape>
            </v:group>
            <v:group style="position:absolute;left:7744;top:5398;width:2;height:393" coordorigin="7744,5398" coordsize="2,393">
              <v:shape style="position:absolute;left:7744;top:5398;width:2;height:393" coordorigin="7744,5398" coordsize="0,393" path="m7744,5398l7744,5790e" filled="false" stroked="true" strokeweight="1.140pt" strokecolor="#ffffff">
                <v:path arrowok="t"/>
              </v:shape>
            </v:group>
            <v:group style="position:absolute;left:7732;top:5790;width:985;height:156" coordorigin="7732,5790" coordsize="985,156">
              <v:shape style="position:absolute;left:7732;top:5790;width:985;height:156" coordorigin="7732,5790" coordsize="985,156" path="m7732,5946l8717,5946,8717,5790,7732,5790,7732,5946xe" filled="true" fillcolor="#ffffff" stroked="false">
                <v:path arrowok="t"/>
                <v:fill type="solid"/>
              </v:shape>
            </v:group>
            <v:group style="position:absolute;left:7755;top:5398;width:939;height:393" coordorigin="7755,5398" coordsize="939,393">
              <v:shape style="position:absolute;left:7755;top:5398;width:939;height:393" coordorigin="7755,5398" coordsize="939,393" path="m7755,5790l8694,5790,8694,5398,7755,5398,7755,5790xe" filled="true" fillcolor="#ffffff" stroked="false">
                <v:path arrowok="t"/>
                <v:fill type="solid"/>
              </v:shape>
            </v:group>
            <v:group style="position:absolute;left:1139;top:5951;width:1728;height:2" coordorigin="1139,5951" coordsize="1728,2">
              <v:shape style="position:absolute;left:1139;top:5951;width:1728;height:2" coordorigin="1139,5951" coordsize="1728,0" path="m1139,5951l2866,5951e" filled="false" stroked="true" strokeweight=".48pt" strokecolor="#000000">
                <v:path arrowok="t"/>
              </v:shape>
            </v:group>
            <v:group style="position:absolute;left:2876;top:5951;width:993;height:2" coordorigin="2876,5951" coordsize="993,2">
              <v:shape style="position:absolute;left:2876;top:5951;width:993;height:2" coordorigin="2876,5951" coordsize="993,0" path="m2876,5951l3868,5951e" filled="false" stroked="true" strokeweight=".48pt" strokecolor="#000000">
                <v:path arrowok="t"/>
              </v:shape>
            </v:group>
            <v:group style="position:absolute;left:3878;top:5951;width:1358;height:2" coordorigin="3878,5951" coordsize="1358,2">
              <v:shape style="position:absolute;left:3878;top:5951;width:1358;height:2" coordorigin="3878,5951" coordsize="1358,0" path="m3878,5951l5235,5951e" filled="false" stroked="true" strokeweight=".48pt" strokecolor="#000000">
                <v:path arrowok="t"/>
              </v:shape>
            </v:group>
            <v:group style="position:absolute;left:5245;top:5951;width:2478;height:2" coordorigin="5245,5951" coordsize="2478,2">
              <v:shape style="position:absolute;left:5245;top:5951;width:2478;height:2" coordorigin="5245,5951" coordsize="2478,0" path="m5245,5951l7723,5951e" filled="false" stroked="true" strokeweight=".48pt" strokecolor="#000000">
                <v:path arrowok="t"/>
              </v:shape>
            </v:group>
            <v:group style="position:absolute;left:7732;top:5951;width:986;height:2" coordorigin="7732,5951" coordsize="986,2">
              <v:shape style="position:absolute;left:7732;top:5951;width:986;height:2" coordorigin="7732,5951" coordsize="986,0" path="m7732,5951l8718,5951e" filled="false" stroked="true" strokeweight=".48pt" strokecolor="#000000">
                <v:path arrowok="t"/>
              </v:shape>
            </v:group>
            <v:group style="position:absolute;left:8728;top:5951;width:886;height:2" coordorigin="8728,5951" coordsize="886,2">
              <v:shape style="position:absolute;left:8728;top:5951;width:886;height:2" coordorigin="8728,5951" coordsize="886,0" path="m8728,5951l9613,5951e" filled="false" stroked="true" strokeweight=".48pt" strokecolor="#000000">
                <v:path arrowok="t"/>
              </v:shape>
            </v:group>
            <v:group style="position:absolute;left:9623;top:5951;width:1079;height:2" coordorigin="9623,5951" coordsize="1079,2">
              <v:shape style="position:absolute;left:9623;top:5951;width:1079;height:2" coordorigin="9623,5951" coordsize="1079,0" path="m9623,5951l10702,5951e" filled="false" stroked="true" strokeweight=".48pt" strokecolor="#000000">
                <v:path arrowok="t"/>
              </v:shape>
            </v:group>
            <v:group style="position:absolute;left:1139;top:5237;width:1728;height:2" coordorigin="1139,5237" coordsize="1728,2">
              <v:shape style="position:absolute;left:1139;top:5237;width:1728;height:2" coordorigin="1139,5237" coordsize="1728,0" path="m1139,5237l2866,5237e" filled="false" stroked="true" strokeweight=".48pt" strokecolor="#000000">
                <v:path arrowok="t"/>
              </v:shape>
            </v:group>
            <v:group style="position:absolute;left:2876;top:5237;width:993;height:2" coordorigin="2876,5237" coordsize="993,2">
              <v:shape style="position:absolute;left:2876;top:5237;width:993;height:2" coordorigin="2876,5237" coordsize="993,0" path="m2876,5237l3868,5237e" filled="false" stroked="true" strokeweight=".48pt" strokecolor="#000000">
                <v:path arrowok="t"/>
              </v:shape>
            </v:group>
            <v:group style="position:absolute;left:3878;top:5237;width:1358;height:2" coordorigin="3878,5237" coordsize="1358,2">
              <v:shape style="position:absolute;left:3878;top:5237;width:1358;height:2" coordorigin="3878,5237" coordsize="1358,0" path="m3878,5237l5235,5237e" filled="false" stroked="true" strokeweight=".48pt" strokecolor="#000000">
                <v:path arrowok="t"/>
              </v:shape>
            </v:group>
            <v:group style="position:absolute;left:5245;top:5237;width:2478;height:2" coordorigin="5245,5237" coordsize="2478,2">
              <v:shape style="position:absolute;left:5245;top:5237;width:2478;height:2" coordorigin="5245,5237" coordsize="2478,0" path="m5245,5237l7723,5237e" filled="false" stroked="true" strokeweight=".48pt" strokecolor="#000000">
                <v:path arrowok="t"/>
              </v:shape>
            </v:group>
            <v:group style="position:absolute;left:7732;top:5237;width:986;height:2" coordorigin="7732,5237" coordsize="986,2">
              <v:shape style="position:absolute;left:7732;top:5237;width:986;height:2" coordorigin="7732,5237" coordsize="986,0" path="m7732,5237l8718,5237e" filled="false" stroked="true" strokeweight=".48pt" strokecolor="#000000">
                <v:path arrowok="t"/>
              </v:shape>
            </v:group>
            <v:group style="position:absolute;left:8728;top:5237;width:886;height:2" coordorigin="8728,5237" coordsize="886,2">
              <v:shape style="position:absolute;left:8728;top:5237;width:886;height:2" coordorigin="8728,5237" coordsize="886,0" path="m8728,5237l9613,5237e" filled="false" stroked="true" strokeweight=".48pt" strokecolor="#000000">
                <v:path arrowok="t"/>
              </v:shape>
            </v:group>
            <v:group style="position:absolute;left:9623;top:5237;width:1079;height:2" coordorigin="9623,5237" coordsize="1079,2">
              <v:shape style="position:absolute;left:9623;top:5237;width:1079;height:2" coordorigin="9623,5237" coordsize="1079,0" path="m9623,5237l10702,5237e" filled="false" stroked="true" strokeweight=".48pt" strokecolor="#000000">
                <v:path arrowok="t"/>
              </v:shape>
            </v:group>
            <v:group style="position:absolute;left:1139;top:8850;width:1728;height:2" coordorigin="1139,8850" coordsize="1728,2">
              <v:shape style="position:absolute;left:1139;top:8850;width:1728;height:2" coordorigin="1139,8850" coordsize="1728,0" path="m1139,8850l2866,8850e" filled="false" stroked="true" strokeweight=".48pt" strokecolor="#000000">
                <v:path arrowok="t"/>
              </v:shape>
            </v:group>
            <v:group style="position:absolute;left:2876;top:8850;width:993;height:2" coordorigin="2876,8850" coordsize="993,2">
              <v:shape style="position:absolute;left:2876;top:8850;width:993;height:2" coordorigin="2876,8850" coordsize="993,0" path="m2876,8850l3868,8850e" filled="false" stroked="true" strokeweight=".48pt" strokecolor="#000000">
                <v:path arrowok="t"/>
              </v:shape>
            </v:group>
            <v:group style="position:absolute;left:3878;top:8850;width:1358;height:2" coordorigin="3878,8850" coordsize="1358,2">
              <v:shape style="position:absolute;left:3878;top:8850;width:1358;height:2" coordorigin="3878,8850" coordsize="1358,0" path="m3878,8850l5235,8850e" filled="false" stroked="true" strokeweight=".48pt" strokecolor="#000000">
                <v:path arrowok="t"/>
              </v:shape>
            </v:group>
            <v:group style="position:absolute;left:5245;top:8850;width:2478;height:2" coordorigin="5245,8850" coordsize="2478,2">
              <v:shape style="position:absolute;left:5245;top:8850;width:2478;height:2" coordorigin="5245,8850" coordsize="2478,0" path="m5245,8850l7723,8850e" filled="false" stroked="true" strokeweight=".48pt" strokecolor="#000000">
                <v:path arrowok="t"/>
              </v:shape>
            </v:group>
            <v:group style="position:absolute;left:7732;top:8850;width:986;height:2" coordorigin="7732,8850" coordsize="986,2">
              <v:shape style="position:absolute;left:7732;top:8850;width:986;height:2" coordorigin="7732,8850" coordsize="986,0" path="m7732,8850l8718,8850e" filled="false" stroked="true" strokeweight=".48pt" strokecolor="#000000">
                <v:path arrowok="t"/>
              </v:shape>
            </v:group>
            <v:group style="position:absolute;left:8728;top:8850;width:886;height:2" coordorigin="8728,8850" coordsize="886,2">
              <v:shape style="position:absolute;left:8728;top:8850;width:886;height:2" coordorigin="8728,8850" coordsize="886,0" path="m8728,8850l9613,8850e" filled="false" stroked="true" strokeweight=".48pt" strokecolor="#000000">
                <v:path arrowok="t"/>
              </v:shape>
            </v:group>
            <v:group style="position:absolute;left:9623;top:8850;width:1079;height:2" coordorigin="9623,8850" coordsize="1079,2">
              <v:shape style="position:absolute;left:9623;top:8850;width:1079;height:2" coordorigin="9623,8850" coordsize="1079,0" path="m9623,8850l10702,8850e" filled="false" stroked="true" strokeweight=".48pt" strokecolor="#000000">
                <v:path arrowok="t"/>
              </v:shape>
            </v:group>
            <v:group style="position:absolute;left:1139;top:14244;width:1728;height:2" coordorigin="1139,14244" coordsize="1728,2">
              <v:shape style="position:absolute;left:1139;top:14244;width:1728;height:2" coordorigin="1139,14244" coordsize="1728,0" path="m1139,14244l2866,14244e" filled="false" stroked="true" strokeweight=".48pt" strokecolor="#000000">
                <v:path arrowok="t"/>
              </v:shape>
            </v:group>
            <v:group style="position:absolute;left:2876;top:14244;width:993;height:2" coordorigin="2876,14244" coordsize="993,2">
              <v:shape style="position:absolute;left:2876;top:14244;width:993;height:2" coordorigin="2876,14244" coordsize="993,0" path="m2876,14244l3868,14244e" filled="false" stroked="true" strokeweight=".48pt" strokecolor="#000000">
                <v:path arrowok="t"/>
              </v:shape>
            </v:group>
            <v:group style="position:absolute;left:3878;top:14244;width:1358;height:2" coordorigin="3878,14244" coordsize="1358,2">
              <v:shape style="position:absolute;left:3878;top:14244;width:1358;height:2" coordorigin="3878,14244" coordsize="1358,0" path="m3878,14244l5235,14244e" filled="false" stroked="true" strokeweight=".48pt" strokecolor="#000000">
                <v:path arrowok="t"/>
              </v:shape>
            </v:group>
            <v:group style="position:absolute;left:5245;top:14244;width:2478;height:2" coordorigin="5245,14244" coordsize="2478,2">
              <v:shape style="position:absolute;left:5245;top:14244;width:2478;height:2" coordorigin="5245,14244" coordsize="2478,0" path="m5245,14244l7723,14244e" filled="false" stroked="true" strokeweight=".48pt" strokecolor="#000000">
                <v:path arrowok="t"/>
              </v:shape>
            </v:group>
            <v:group style="position:absolute;left:7732;top:14244;width:986;height:2" coordorigin="7732,14244" coordsize="986,2">
              <v:shape style="position:absolute;left:7732;top:14244;width:986;height:2" coordorigin="7732,14244" coordsize="986,0" path="m7732,14244l8718,14244e" filled="false" stroked="true" strokeweight=".48pt" strokecolor="#000000">
                <v:path arrowok="t"/>
              </v:shape>
            </v:group>
            <v:group style="position:absolute;left:8728;top:14244;width:886;height:2" coordorigin="8728,14244" coordsize="886,2">
              <v:shape style="position:absolute;left:8728;top:14244;width:886;height:2" coordorigin="8728,14244" coordsize="886,0" path="m8728,14244l9613,14244e" filled="false" stroked="true" strokeweight=".48pt" strokecolor="#000000">
                <v:path arrowok="t"/>
              </v:shape>
            </v:group>
            <v:group style="position:absolute;left:9623;top:14244;width:1079;height:2" coordorigin="9623,14244" coordsize="1079,2">
              <v:shape style="position:absolute;left:9623;top:14244;width:1079;height:2" coordorigin="9623,14244" coordsize="1079,0" path="m9623,14244l10702,14244e" filled="false" stroked="true" strokeweight=".48pt" strokecolor="#000000">
                <v:path arrowok="t"/>
              </v:shape>
            </v:group>
            <v:group style="position:absolute;left:1134;top:1440;width:2;height:13835" coordorigin="1134,1440" coordsize="2,13835">
              <v:shape style="position:absolute;left:1134;top:1440;width:2;height:13835" coordorigin="1134,1440" coordsize="0,13835" path="m1134,1440l1134,15275e" filled="false" stroked="true" strokeweight=".48pt" strokecolor="#000000">
                <v:path arrowok="t"/>
              </v:shape>
            </v:group>
            <v:group style="position:absolute;left:1139;top:15270;width:1728;height:2" coordorigin="1139,15270" coordsize="1728,2">
              <v:shape style="position:absolute;left:1139;top:15270;width:1728;height:2" coordorigin="1139,15270" coordsize="1728,0" path="m1139,15270l2866,15270e" filled="false" stroked="true" strokeweight=".48pt" strokecolor="#000000">
                <v:path arrowok="t"/>
              </v:shape>
            </v:group>
            <v:group style="position:absolute;left:2871;top:1440;width:2;height:13835" coordorigin="2871,1440" coordsize="2,13835">
              <v:shape style="position:absolute;left:2871;top:1440;width:2;height:13835" coordorigin="2871,1440" coordsize="0,13835" path="m2871,1440l2871,15275e" filled="false" stroked="true" strokeweight=".48pt" strokecolor="#000000">
                <v:path arrowok="t"/>
              </v:shape>
            </v:group>
            <v:group style="position:absolute;left:2876;top:15270;width:993;height:2" coordorigin="2876,15270" coordsize="993,2">
              <v:shape style="position:absolute;left:2876;top:15270;width:993;height:2" coordorigin="2876,15270" coordsize="993,0" path="m2876,15270l3868,15270e" filled="false" stroked="true" strokeweight=".48pt" strokecolor="#000000">
                <v:path arrowok="t"/>
              </v:shape>
            </v:group>
            <v:group style="position:absolute;left:3873;top:1440;width:2;height:13835" coordorigin="3873,1440" coordsize="2,13835">
              <v:shape style="position:absolute;left:3873;top:1440;width:2;height:13835" coordorigin="3873,1440" coordsize="0,13835" path="m3873,1440l3873,15275e" filled="false" stroked="true" strokeweight=".48pt" strokecolor="#000000">
                <v:path arrowok="t"/>
              </v:shape>
            </v:group>
            <v:group style="position:absolute;left:3878;top:15270;width:1358;height:2" coordorigin="3878,15270" coordsize="1358,2">
              <v:shape style="position:absolute;left:3878;top:15270;width:1358;height:2" coordorigin="3878,15270" coordsize="1358,0" path="m3878,15270l5235,15270e" filled="false" stroked="true" strokeweight=".48pt" strokecolor="#000000">
                <v:path arrowok="t"/>
              </v:shape>
            </v:group>
            <v:group style="position:absolute;left:5240;top:1440;width:2;height:13835" coordorigin="5240,1440" coordsize="2,13835">
              <v:shape style="position:absolute;left:5240;top:1440;width:2;height:13835" coordorigin="5240,1440" coordsize="0,13835" path="m5240,1440l5240,15275e" filled="false" stroked="true" strokeweight=".48pt" strokecolor="#000000">
                <v:path arrowok="t"/>
              </v:shape>
            </v:group>
            <v:group style="position:absolute;left:5245;top:15270;width:2478;height:2" coordorigin="5245,15270" coordsize="2478,2">
              <v:shape style="position:absolute;left:5245;top:15270;width:2478;height:2" coordorigin="5245,15270" coordsize="2478,0" path="m5245,15270l7723,15270e" filled="false" stroked="true" strokeweight=".48pt" strokecolor="#000000">
                <v:path arrowok="t"/>
              </v:shape>
            </v:group>
            <v:group style="position:absolute;left:7744;top:7204;width:2;height:393" coordorigin="7744,7204" coordsize="2,393">
              <v:shape style="position:absolute;left:7744;top:7204;width:2;height:393" coordorigin="7744,7204" coordsize="0,393" path="m7744,7204l7744,7596e" filled="false" stroked="true" strokeweight="1.140pt" strokecolor="#ffffff">
                <v:path arrowok="t"/>
              </v:shape>
            </v:group>
            <v:group style="position:absolute;left:7755;top:7204;width:939;height:393" coordorigin="7755,7204" coordsize="939,393">
              <v:shape style="position:absolute;left:7755;top:7204;width:939;height:393" coordorigin="7755,7204" coordsize="939,393" path="m7755,7596l8694,7596,8694,7204,7755,7204,7755,7596xe" filled="true" fillcolor="#ffffff" stroked="false">
                <v:path arrowok="t"/>
                <v:fill type="solid"/>
              </v:shape>
            </v:group>
            <v:group style="position:absolute;left:7744;top:11350;width:2;height:393" coordorigin="7744,11350" coordsize="2,393">
              <v:shape style="position:absolute;left:7744;top:11350;width:2;height:393" coordorigin="7744,11350" coordsize="0,393" path="m7744,11350l7744,11743e" filled="false" stroked="true" strokeweight="1.140pt" strokecolor="#ffffff">
                <v:path arrowok="t"/>
              </v:shape>
            </v:group>
            <v:group style="position:absolute;left:7755;top:11350;width:939;height:393" coordorigin="7755,11350" coordsize="939,393">
              <v:shape style="position:absolute;left:7755;top:11350;width:939;height:393" coordorigin="7755,11350" coordsize="939,393" path="m7755,11743l8694,11743,8694,11350,7755,11350,7755,11743xe" filled="true" fillcolor="#ffffff" stroked="false">
                <v:path arrowok="t"/>
                <v:fill type="solid"/>
              </v:shape>
            </v:group>
            <v:group style="position:absolute;left:7728;top:1440;width:2;height:13835" coordorigin="7728,1440" coordsize="2,13835">
              <v:shape style="position:absolute;left:7728;top:1440;width:2;height:13835" coordorigin="7728,1440" coordsize="0,13835" path="m7728,1440l7728,15275e" filled="false" stroked="true" strokeweight=".48pt" strokecolor="#000000">
                <v:path arrowok="t"/>
              </v:shape>
            </v:group>
            <v:group style="position:absolute;left:7732;top:15270;width:986;height:2" coordorigin="7732,15270" coordsize="986,2">
              <v:shape style="position:absolute;left:7732;top:15270;width:986;height:2" coordorigin="7732,15270" coordsize="986,0" path="m7732,15270l8718,15270e" filled="false" stroked="true" strokeweight=".48pt" strokecolor="#000000">
                <v:path arrowok="t"/>
              </v:shape>
            </v:group>
            <v:group style="position:absolute;left:8723;top:1440;width:2;height:13835" coordorigin="8723,1440" coordsize="2,13835">
              <v:shape style="position:absolute;left:8723;top:1440;width:2;height:13835" coordorigin="8723,1440" coordsize="0,13835" path="m8723,1440l8723,15275e" filled="false" stroked="true" strokeweight=".48pt" strokecolor="#000000">
                <v:path arrowok="t"/>
              </v:shape>
            </v:group>
            <v:group style="position:absolute;left:8728;top:15270;width:886;height:2" coordorigin="8728,15270" coordsize="886,2">
              <v:shape style="position:absolute;left:8728;top:15270;width:886;height:2" coordorigin="8728,15270" coordsize="886,0" path="m8728,15270l9613,15270e" filled="false" stroked="true" strokeweight=".48pt" strokecolor="#000000">
                <v:path arrowok="t"/>
              </v:shape>
            </v:group>
            <v:group style="position:absolute;left:9618;top:1440;width:2;height:13835" coordorigin="9618,1440" coordsize="2,13835">
              <v:shape style="position:absolute;left:9618;top:1440;width:2;height:13835" coordorigin="9618,1440" coordsize="0,13835" path="m9618,1440l9618,15275e" filled="false" stroked="true" strokeweight=".48pt" strokecolor="#000000">
                <v:path arrowok="t"/>
              </v:shape>
            </v:group>
            <v:group style="position:absolute;left:9623;top:15270;width:1079;height:2" coordorigin="9623,15270" coordsize="1079,2">
              <v:shape style="position:absolute;left:9623;top:15270;width:1079;height:2" coordorigin="9623,15270" coordsize="1079,0" path="m9623,15270l10702,15270e" filled="false" stroked="true" strokeweight=".48pt" strokecolor="#000000">
                <v:path arrowok="t"/>
              </v:shape>
            </v:group>
            <v:group style="position:absolute;left:10706;top:1440;width:2;height:13835" coordorigin="10706,1440" coordsize="2,13835">
              <v:shape style="position:absolute;left:10706;top:1440;width:2;height:13835" coordorigin="10706,1440" coordsize="0,13835" path="m10706,1440l10706,15275e" filled="false" stroked="true" strokeweight=".48pt" strokecolor="#000000">
                <v:path arrowok="t"/>
              </v:shape>
            </v:group>
            <w10:wrap type="none"/>
          </v:group>
        </w:pict>
      </w:r>
    </w:p>
    <w:p>
      <w:pPr>
        <w:spacing w:line="319"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常州丹迪医疗器械有 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tabs>
          <w:tab w:pos="1365" w:val="left" w:leader="none"/>
        </w:tabs>
        <w:spacing w:before="0"/>
        <w:ind w:left="181" w:right="-19" w:firstLine="0"/>
        <w:jc w:val="left"/>
        <w:rPr>
          <w:rFonts w:ascii="宋体" w:hAnsi="宋体" w:cs="宋体" w:eastAsia="宋体" w:hint="default"/>
          <w:sz w:val="18"/>
          <w:szCs w:val="18"/>
        </w:rPr>
      </w:pPr>
      <w:r>
        <w:rPr>
          <w:rFonts w:ascii="宋体" w:hAnsi="宋体" w:cs="宋体" w:eastAsia="宋体" w:hint="default"/>
          <w:sz w:val="18"/>
          <w:szCs w:val="18"/>
        </w:rPr>
        <w:t>常州</w:t>
        <w:tab/>
        <w:t>常州</w:t>
      </w:r>
    </w:p>
    <w:p>
      <w:pPr>
        <w:spacing w:line="309" w:lineRule="auto" w:before="109"/>
        <w:ind w:left="18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一类医疗器械销售；医用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X </w:t>
      </w:r>
      <w:r>
        <w:rPr>
          <w:rFonts w:ascii="宋体" w:hAnsi="宋体" w:cs="宋体" w:eastAsia="宋体" w:hint="default"/>
          <w:sz w:val="18"/>
          <w:szCs w:val="18"/>
        </w:rPr>
        <w:t>射 </w:t>
      </w:r>
      <w:r>
        <w:rPr>
          <w:rFonts w:ascii="宋体" w:hAnsi="宋体" w:cs="宋体" w:eastAsia="宋体" w:hint="default"/>
          <w:spacing w:val="-7"/>
          <w:sz w:val="18"/>
          <w:szCs w:val="18"/>
        </w:rPr>
        <w:t>线胶片观察装置、不锈钢制品的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制造，加工。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7"/>
          <w:szCs w:val="17"/>
        </w:rPr>
      </w:pPr>
    </w:p>
    <w:p>
      <w:pPr>
        <w:spacing w:before="0"/>
        <w:ind w:left="181" w:right="-20" w:firstLine="0"/>
        <w:jc w:val="left"/>
        <w:rPr>
          <w:rFonts w:ascii="Times New Roman" w:hAnsi="Times New Roman" w:cs="Times New Roman" w:eastAsia="Times New Roman" w:hint="default"/>
          <w:sz w:val="18"/>
          <w:szCs w:val="18"/>
        </w:rPr>
      </w:pPr>
      <w:r>
        <w:rPr>
          <w:rFonts w:ascii="Times New Roman"/>
          <w:sz w:val="18"/>
        </w:rPr>
        <w:t>100.00%</w:t>
      </w:r>
    </w:p>
    <w:p>
      <w:pPr>
        <w:spacing w:line="240" w:lineRule="auto" w:before="1"/>
        <w:rPr>
          <w:rFonts w:ascii="Times New Roman" w:hAnsi="Times New Roman" w:cs="Times New Roman" w:eastAsia="Times New Roman" w:hint="default"/>
          <w:sz w:val="23"/>
          <w:szCs w:val="23"/>
        </w:rPr>
      </w:pPr>
      <w:r>
        <w:rPr/>
        <w:br w:type="column"/>
      </w:r>
      <w:r>
        <w:rPr>
          <w:rFonts w:ascii="Times New Roman"/>
          <w:sz w:val="23"/>
        </w:rPr>
      </w:r>
    </w:p>
    <w:p>
      <w:pPr>
        <w:spacing w:line="319" w:lineRule="auto" w:before="0"/>
        <w:ind w:left="14" w:right="1341" w:firstLine="0"/>
        <w:jc w:val="left"/>
        <w:rPr>
          <w:rFonts w:ascii="宋体" w:hAnsi="宋体" w:cs="宋体" w:eastAsia="宋体" w:hint="default"/>
          <w:sz w:val="18"/>
          <w:szCs w:val="18"/>
        </w:rPr>
      </w:pPr>
      <w:r>
        <w:rPr>
          <w:rFonts w:ascii="宋体" w:hAnsi="宋体" w:cs="宋体" w:eastAsia="宋体" w:hint="default"/>
          <w:sz w:val="18"/>
          <w:szCs w:val="18"/>
        </w:rPr>
        <w:t>非同一控制 下企业合并</w:t>
      </w:r>
    </w:p>
    <w:p>
      <w:pPr>
        <w:spacing w:after="0" w:line="319" w:lineRule="auto"/>
        <w:jc w:val="left"/>
        <w:rPr>
          <w:rFonts w:ascii="宋体" w:hAnsi="宋体" w:cs="宋体" w:eastAsia="宋体" w:hint="default"/>
          <w:sz w:val="18"/>
          <w:szCs w:val="18"/>
        </w:rPr>
        <w:sectPr>
          <w:type w:val="continuous"/>
          <w:pgSz w:w="11910" w:h="16840"/>
          <w:pgMar w:top="1580" w:bottom="760" w:left="980" w:right="0"/>
          <w:cols w:num="5" w:equalWidth="0">
            <w:col w:w="1802" w:space="227"/>
            <w:col w:w="1727" w:space="350"/>
            <w:col w:w="2614" w:space="1064"/>
            <w:col w:w="827" w:space="40"/>
            <w:col w:w="2279"/>
          </w:cols>
        </w:sectPr>
      </w:pPr>
    </w:p>
    <w:p>
      <w:pPr>
        <w:spacing w:line="240" w:lineRule="auto" w:before="6"/>
        <w:rPr>
          <w:rFonts w:ascii="宋体" w:hAnsi="宋体" w:cs="宋体" w:eastAsia="宋体" w:hint="default"/>
          <w:sz w:val="24"/>
          <w:szCs w:val="24"/>
        </w:rPr>
      </w:pPr>
      <w:r>
        <w:rPr/>
        <w:pict>
          <v:group style="position:absolute;margin-left:386.619995pt;margin-top:205.72998pt;width:48.1pt;height:20.8pt;mso-position-horizontal-relative:page;mso-position-vertical-relative:page;z-index:-955168" coordorigin="7732,4115" coordsize="962,416">
            <v:group style="position:absolute;left:7744;top:4126;width:2;height:393" coordorigin="7744,4126" coordsize="2,393">
              <v:shape style="position:absolute;left:7744;top:4126;width:2;height:393" coordorigin="7744,4126" coordsize="0,393" path="m7744,4126l7744,4518e" filled="false" stroked="true" strokeweight="1.140pt" strokecolor="#ffffff">
                <v:path arrowok="t"/>
              </v:shape>
            </v:group>
            <v:group style="position:absolute;left:7755;top:4126;width:939;height:393" coordorigin="7755,4126" coordsize="939,393">
              <v:shape style="position:absolute;left:7755;top:4126;width:939;height:393" coordorigin="7755,4126" coordsize="939,393" path="m7755,4518l8694,4518,8694,4126,7755,4126,7755,451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737"/>
        <w:gridCol w:w="1002"/>
        <w:gridCol w:w="1367"/>
        <w:gridCol w:w="2488"/>
        <w:gridCol w:w="192"/>
        <w:gridCol w:w="803"/>
        <w:gridCol w:w="895"/>
        <w:gridCol w:w="1088"/>
      </w:tblGrid>
      <w:tr>
        <w:trPr>
          <w:trHeight w:val="363" w:hRule="exact"/>
        </w:trPr>
        <w:tc>
          <w:tcPr>
            <w:tcW w:w="1737" w:type="dxa"/>
            <w:tcBorders>
              <w:top w:val="single" w:sz="4" w:space="0" w:color="000000"/>
              <w:left w:val="single" w:sz="4" w:space="0" w:color="000000"/>
              <w:bottom w:val="nil" w:sz="6" w:space="0" w:color="auto"/>
              <w:right w:val="single" w:sz="4" w:space="0" w:color="000000"/>
            </w:tcBorders>
          </w:tcPr>
          <w:p>
            <w:pPr/>
          </w:p>
        </w:tc>
        <w:tc>
          <w:tcPr>
            <w:tcW w:w="100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24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软件的生产；医疗信</w:t>
            </w:r>
          </w:p>
        </w:tc>
        <w:tc>
          <w:tcPr>
            <w:tcW w:w="995" w:type="dxa"/>
            <w:gridSpan w:val="2"/>
            <w:vMerge w:val="restart"/>
            <w:tcBorders>
              <w:top w:val="single" w:sz="4" w:space="0" w:color="000000"/>
              <w:left w:val="single" w:sz="4" w:space="0" w:color="000000"/>
              <w:right w:val="single" w:sz="4" w:space="0" w:color="000000"/>
            </w:tcBorders>
          </w:tcPr>
          <w:p>
            <w:pPr/>
          </w:p>
        </w:tc>
        <w:tc>
          <w:tcPr>
            <w:tcW w:w="895" w:type="dxa"/>
            <w:tcBorders>
              <w:top w:val="single" w:sz="4" w:space="0" w:color="000000"/>
              <w:left w:val="single" w:sz="4" w:space="0" w:color="000000"/>
              <w:bottom w:val="nil" w:sz="6" w:space="0" w:color="auto"/>
              <w:right w:val="single" w:sz="4" w:space="0" w:color="000000"/>
            </w:tcBorders>
          </w:tcPr>
          <w:p>
            <w:pPr/>
          </w:p>
        </w:tc>
        <w:tc>
          <w:tcPr>
            <w:tcW w:w="1088" w:type="dxa"/>
            <w:tcBorders>
              <w:top w:val="single" w:sz="4" w:space="0" w:color="000000"/>
              <w:left w:val="single" w:sz="4" w:space="0" w:color="000000"/>
              <w:bottom w:val="nil" w:sz="6" w:space="0" w:color="auto"/>
              <w:right w:val="single" w:sz="4" w:space="0" w:color="000000"/>
            </w:tcBorders>
          </w:tcPr>
          <w:p>
            <w:pPr/>
          </w:p>
        </w:tc>
      </w:tr>
      <w:tr>
        <w:trPr>
          <w:trHeight w:val="932" w:hRule="exact"/>
        </w:trPr>
        <w:tc>
          <w:tcPr>
            <w:tcW w:w="1737"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2" w:right="82"/>
              <w:jc w:val="left"/>
              <w:rPr>
                <w:rFonts w:ascii="宋体" w:hAnsi="宋体" w:cs="宋体" w:eastAsia="宋体" w:hint="default"/>
                <w:sz w:val="18"/>
                <w:szCs w:val="18"/>
              </w:rPr>
            </w:pPr>
            <w:r>
              <w:rPr>
                <w:rFonts w:ascii="宋体" w:hAnsi="宋体" w:cs="宋体" w:eastAsia="宋体" w:hint="default"/>
                <w:sz w:val="18"/>
                <w:szCs w:val="18"/>
              </w:rPr>
              <w:t>江苏智发数字医疗科 技有限公司</w:t>
            </w:r>
          </w:p>
        </w:tc>
        <w:tc>
          <w:tcPr>
            <w:tcW w:w="100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常州</w:t>
            </w:r>
          </w:p>
        </w:tc>
        <w:tc>
          <w:tcPr>
            <w:tcW w:w="248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0"/>
              <w:jc w:val="both"/>
              <w:rPr>
                <w:rFonts w:ascii="宋体" w:hAnsi="宋体" w:cs="宋体" w:eastAsia="宋体" w:hint="default"/>
                <w:sz w:val="18"/>
                <w:szCs w:val="18"/>
              </w:rPr>
            </w:pPr>
            <w:r>
              <w:rPr>
                <w:rFonts w:ascii="宋体" w:hAnsi="宋体" w:cs="宋体" w:eastAsia="宋体" w:hint="default"/>
                <w:spacing w:val="-7"/>
                <w:sz w:val="18"/>
                <w:szCs w:val="18"/>
              </w:rPr>
              <w:t>息管理系统软件与硬件开发、销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售、技术服务；一类医疗器械销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售与技术服务；自营和代理各类</w:t>
            </w:r>
          </w:p>
        </w:tc>
        <w:tc>
          <w:tcPr>
            <w:tcW w:w="995" w:type="dxa"/>
            <w:gridSpan w:val="2"/>
            <w:vMerge/>
            <w:tcBorders>
              <w:left w:val="single" w:sz="4" w:space="0" w:color="000000"/>
              <w:right w:val="single" w:sz="4" w:space="0" w:color="000000"/>
            </w:tcBorders>
          </w:tcPr>
          <w:p>
            <w:pP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100.00%</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2" w:right="155"/>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356" w:hRule="exact"/>
        </w:trPr>
        <w:tc>
          <w:tcPr>
            <w:tcW w:w="1737" w:type="dxa"/>
            <w:tcBorders>
              <w:top w:val="nil" w:sz="6" w:space="0" w:color="auto"/>
              <w:left w:val="single" w:sz="4" w:space="0" w:color="000000"/>
              <w:bottom w:val="single" w:sz="4" w:space="0" w:color="000000"/>
              <w:right w:val="single" w:sz="4" w:space="0" w:color="000000"/>
            </w:tcBorders>
          </w:tcPr>
          <w:p>
            <w:pPr/>
          </w:p>
        </w:tc>
        <w:tc>
          <w:tcPr>
            <w:tcW w:w="100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24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商品和技术的进出口业务</w:t>
            </w:r>
          </w:p>
        </w:tc>
        <w:tc>
          <w:tcPr>
            <w:tcW w:w="995" w:type="dxa"/>
            <w:gridSpan w:val="2"/>
            <w:vMerge/>
            <w:tcBorders>
              <w:left w:val="single" w:sz="4" w:space="0" w:color="000000"/>
              <w:bottom w:val="single" w:sz="4" w:space="0" w:color="000000"/>
              <w:right w:val="single" w:sz="4" w:space="0" w:color="000000"/>
            </w:tcBorders>
          </w:tcPr>
          <w:p>
            <w:pPr/>
          </w:p>
        </w:tc>
        <w:tc>
          <w:tcPr>
            <w:tcW w:w="895" w:type="dxa"/>
            <w:tcBorders>
              <w:top w:val="nil" w:sz="6" w:space="0" w:color="auto"/>
              <w:left w:val="single" w:sz="4" w:space="0" w:color="000000"/>
              <w:bottom w:val="single" w:sz="4" w:space="0" w:color="000000"/>
              <w:right w:val="single" w:sz="4" w:space="0" w:color="000000"/>
            </w:tcBorders>
          </w:tcPr>
          <w:p>
            <w:pPr/>
          </w:p>
        </w:tc>
        <w:tc>
          <w:tcPr>
            <w:tcW w:w="1088"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江苏德盟传输物流系 统有限公司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常州</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传输物流系统的设计、安装及相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关装置的销售。</w:t>
            </w:r>
          </w:p>
        </w:tc>
        <w:tc>
          <w:tcPr>
            <w:tcW w:w="995" w:type="dxa"/>
            <w:gridSpan w:val="2"/>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1026" w:hRule="exact"/>
        </w:trPr>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2"/>
              <w:jc w:val="left"/>
              <w:rPr>
                <w:rFonts w:ascii="宋体" w:hAnsi="宋体" w:cs="宋体" w:eastAsia="宋体" w:hint="default"/>
                <w:sz w:val="18"/>
                <w:szCs w:val="18"/>
              </w:rPr>
            </w:pPr>
            <w:r>
              <w:rPr>
                <w:rFonts w:ascii="宋体" w:hAnsi="宋体" w:cs="宋体" w:eastAsia="宋体" w:hint="default"/>
                <w:sz w:val="18"/>
                <w:szCs w:val="18"/>
              </w:rPr>
              <w:t>江苏久信净化设备有 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常州</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室内空气净化器、车载空气净化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器、空气净化消毒设备的制造 销售、安装。</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55"/>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363" w:hRule="exact"/>
        </w:trPr>
        <w:tc>
          <w:tcPr>
            <w:tcW w:w="1737" w:type="dxa"/>
            <w:tcBorders>
              <w:top w:val="single" w:sz="4" w:space="0" w:color="000000"/>
              <w:left w:val="single" w:sz="4" w:space="0" w:color="000000"/>
              <w:bottom w:val="nil" w:sz="6" w:space="0" w:color="auto"/>
              <w:right w:val="single" w:sz="4" w:space="0" w:color="000000"/>
            </w:tcBorders>
          </w:tcPr>
          <w:p>
            <w:pPr/>
          </w:p>
        </w:tc>
        <w:tc>
          <w:tcPr>
            <w:tcW w:w="100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24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项目投资、智慧</w:t>
            </w:r>
          </w:p>
        </w:tc>
        <w:tc>
          <w:tcPr>
            <w:tcW w:w="995" w:type="dxa"/>
            <w:gridSpan w:val="2"/>
            <w:tcBorders>
              <w:top w:val="single" w:sz="4" w:space="0" w:color="000000"/>
              <w:left w:val="single" w:sz="4" w:space="0" w:color="000000"/>
              <w:bottom w:val="nil" w:sz="6" w:space="0" w:color="auto"/>
              <w:right w:val="single" w:sz="4" w:space="0" w:color="000000"/>
            </w:tcBorders>
          </w:tcPr>
          <w:p>
            <w:pPr/>
          </w:p>
        </w:tc>
        <w:tc>
          <w:tcPr>
            <w:tcW w:w="895" w:type="dxa"/>
            <w:vMerge w:val="restart"/>
            <w:tcBorders>
              <w:top w:val="single" w:sz="4" w:space="0" w:color="000000"/>
              <w:left w:val="single" w:sz="4" w:space="0" w:color="000000"/>
              <w:right w:val="single" w:sz="4" w:space="0" w:color="000000"/>
            </w:tcBorders>
          </w:tcPr>
          <w:p>
            <w:pPr/>
          </w:p>
        </w:tc>
        <w:tc>
          <w:tcPr>
            <w:tcW w:w="108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37"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2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医疗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项目投资、智慧教育</w:t>
            </w:r>
          </w:p>
        </w:tc>
        <w:tc>
          <w:tcPr>
            <w:tcW w:w="995" w:type="dxa"/>
            <w:gridSpan w:val="2"/>
            <w:tcBorders>
              <w:top w:val="nil" w:sz="6" w:space="0" w:color="auto"/>
              <w:left w:val="single" w:sz="4" w:space="0" w:color="000000"/>
              <w:bottom w:val="nil" w:sz="6" w:space="0" w:color="auto"/>
              <w:right w:val="single" w:sz="4" w:space="0" w:color="000000"/>
            </w:tcBorders>
          </w:tcPr>
          <w:p>
            <w:pPr/>
          </w:p>
        </w:tc>
        <w:tc>
          <w:tcPr>
            <w:tcW w:w="895"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7"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2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项目投资，互联网医疗运营</w:t>
            </w:r>
          </w:p>
        </w:tc>
        <w:tc>
          <w:tcPr>
            <w:tcW w:w="995" w:type="dxa"/>
            <w:gridSpan w:val="2"/>
            <w:tcBorders>
              <w:top w:val="nil" w:sz="6" w:space="0" w:color="auto"/>
              <w:left w:val="single" w:sz="4" w:space="0" w:color="000000"/>
              <w:bottom w:val="nil" w:sz="6" w:space="0" w:color="auto"/>
              <w:right w:val="single" w:sz="4" w:space="0" w:color="000000"/>
            </w:tcBorders>
          </w:tcPr>
          <w:p>
            <w:pPr/>
          </w:p>
        </w:tc>
        <w:tc>
          <w:tcPr>
            <w:tcW w:w="895"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37"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2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（不含医学治疗</w:t>
            </w:r>
            <w:r>
              <w:rPr>
                <w:rFonts w:ascii="宋体" w:hAnsi="宋体" w:cs="宋体" w:eastAsia="宋体" w:hint="default"/>
                <w:spacing w:val="-90"/>
                <w:sz w:val="18"/>
                <w:szCs w:val="18"/>
              </w:rPr>
              <w:t>）</w:t>
            </w:r>
            <w:r>
              <w:rPr>
                <w:rFonts w:ascii="宋体" w:hAnsi="宋体" w:cs="宋体" w:eastAsia="宋体" w:hint="default"/>
                <w:sz w:val="18"/>
                <w:szCs w:val="18"/>
              </w:rPr>
              <w:t>，健康养生管</w:t>
            </w:r>
          </w:p>
        </w:tc>
        <w:tc>
          <w:tcPr>
            <w:tcW w:w="995" w:type="dxa"/>
            <w:gridSpan w:val="2"/>
            <w:tcBorders>
              <w:top w:val="nil" w:sz="6" w:space="0" w:color="auto"/>
              <w:left w:val="single" w:sz="4" w:space="0" w:color="000000"/>
              <w:bottom w:val="nil" w:sz="6" w:space="0" w:color="auto"/>
              <w:right w:val="single" w:sz="4" w:space="0" w:color="000000"/>
            </w:tcBorders>
          </w:tcPr>
          <w:p>
            <w:pPr/>
          </w:p>
        </w:tc>
        <w:tc>
          <w:tcPr>
            <w:tcW w:w="895"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7"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2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理咨询、心理咨询（不含医学心</w:t>
            </w:r>
          </w:p>
        </w:tc>
        <w:tc>
          <w:tcPr>
            <w:tcW w:w="995" w:type="dxa"/>
            <w:gridSpan w:val="2"/>
            <w:tcBorders>
              <w:top w:val="nil" w:sz="6" w:space="0" w:color="auto"/>
              <w:left w:val="single" w:sz="4" w:space="0" w:color="000000"/>
              <w:bottom w:val="nil" w:sz="6" w:space="0" w:color="auto"/>
              <w:right w:val="single" w:sz="4" w:space="0" w:color="000000"/>
            </w:tcBorders>
          </w:tcPr>
          <w:p>
            <w:pPr/>
          </w:p>
        </w:tc>
        <w:tc>
          <w:tcPr>
            <w:tcW w:w="895"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7"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2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理咨询、医学心理训练、医学心</w:t>
            </w:r>
          </w:p>
        </w:tc>
        <w:tc>
          <w:tcPr>
            <w:tcW w:w="995" w:type="dxa"/>
            <w:gridSpan w:val="2"/>
            <w:tcBorders>
              <w:top w:val="nil" w:sz="6" w:space="0" w:color="auto"/>
              <w:left w:val="single" w:sz="4" w:space="0" w:color="000000"/>
              <w:bottom w:val="nil" w:sz="6" w:space="0" w:color="auto"/>
              <w:right w:val="single" w:sz="4" w:space="0" w:color="000000"/>
            </w:tcBorders>
          </w:tcPr>
          <w:p>
            <w:pPr/>
          </w:p>
        </w:tc>
        <w:tc>
          <w:tcPr>
            <w:tcW w:w="895"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7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82"/>
              <w:jc w:val="left"/>
              <w:rPr>
                <w:rFonts w:ascii="宋体" w:hAnsi="宋体" w:cs="宋体" w:eastAsia="宋体" w:hint="default"/>
                <w:sz w:val="18"/>
                <w:szCs w:val="18"/>
              </w:rPr>
            </w:pPr>
            <w:r>
              <w:rPr>
                <w:rFonts w:ascii="宋体" w:hAnsi="宋体" w:cs="宋体" w:eastAsia="宋体" w:hint="default"/>
                <w:sz w:val="18"/>
                <w:szCs w:val="18"/>
              </w:rPr>
              <w:t>淮南达实智慧城市投 资发展有限公司</w:t>
            </w:r>
          </w:p>
        </w:tc>
        <w:tc>
          <w:tcPr>
            <w:tcW w:w="100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淮南</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淮南</w:t>
            </w:r>
          </w:p>
        </w:tc>
        <w:tc>
          <w:tcPr>
            <w:tcW w:w="248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both"/>
              <w:rPr>
                <w:rFonts w:ascii="宋体" w:hAnsi="宋体" w:cs="宋体" w:eastAsia="宋体" w:hint="default"/>
                <w:sz w:val="18"/>
                <w:szCs w:val="18"/>
              </w:rPr>
            </w:pPr>
            <w:r>
              <w:rPr>
                <w:rFonts w:ascii="宋体" w:hAnsi="宋体" w:cs="宋体" w:eastAsia="宋体" w:hint="default"/>
                <w:spacing w:val="-7"/>
                <w:sz w:val="18"/>
                <w:szCs w:val="18"/>
              </w:rPr>
              <w:t>理辅导等医疗行为），健康档案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7"/>
                <w:sz w:val="18"/>
                <w:szCs w:val="18"/>
              </w:rPr>
              <w:t>管理技术平台的研发和运营，商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务信息咨询，经济信息咨询，计</w:t>
            </w:r>
          </w:p>
        </w:tc>
        <w:tc>
          <w:tcPr>
            <w:tcW w:w="995"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6" w:right="0"/>
              <w:jc w:val="left"/>
              <w:rPr>
                <w:rFonts w:ascii="Times New Roman" w:hAnsi="Times New Roman" w:cs="Times New Roman" w:eastAsia="Times New Roman" w:hint="default"/>
                <w:sz w:val="18"/>
                <w:szCs w:val="18"/>
              </w:rPr>
            </w:pPr>
            <w:r>
              <w:rPr>
                <w:rFonts w:ascii="Times New Roman"/>
                <w:sz w:val="18"/>
              </w:rPr>
              <w:t>100.00%</w:t>
            </w:r>
          </w:p>
        </w:tc>
        <w:tc>
          <w:tcPr>
            <w:tcW w:w="895"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55"/>
              <w:jc w:val="left"/>
              <w:rPr>
                <w:rFonts w:ascii="宋体" w:hAnsi="宋体" w:cs="宋体" w:eastAsia="宋体" w:hint="default"/>
                <w:sz w:val="18"/>
                <w:szCs w:val="18"/>
              </w:rPr>
            </w:pPr>
            <w:r>
              <w:rPr>
                <w:rFonts w:ascii="宋体" w:hAnsi="宋体" w:cs="宋体" w:eastAsia="宋体" w:hint="default"/>
                <w:sz w:val="18"/>
                <w:szCs w:val="18"/>
              </w:rPr>
              <w:t>通过设立方 式取得</w:t>
            </w:r>
          </w:p>
        </w:tc>
      </w:tr>
      <w:tr>
        <w:trPr>
          <w:trHeight w:val="312" w:hRule="exact"/>
        </w:trPr>
        <w:tc>
          <w:tcPr>
            <w:tcW w:w="1737"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2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算机编程</w:t>
            </w:r>
            <w:r>
              <w:rPr>
                <w:rFonts w:ascii="宋体" w:hAnsi="宋体" w:cs="宋体" w:eastAsia="宋体" w:hint="default"/>
                <w:spacing w:val="-88"/>
                <w:sz w:val="18"/>
                <w:szCs w:val="18"/>
              </w:rPr>
              <w:t>，</w:t>
            </w:r>
            <w:r>
              <w:rPr>
                <w:rFonts w:ascii="宋体" w:hAnsi="宋体" w:cs="宋体" w:eastAsia="宋体" w:hint="default"/>
                <w:sz w:val="18"/>
                <w:szCs w:val="18"/>
              </w:rPr>
              <w:t>计算机软硬件的技术</w:t>
            </w:r>
          </w:p>
        </w:tc>
        <w:tc>
          <w:tcPr>
            <w:tcW w:w="995" w:type="dxa"/>
            <w:gridSpan w:val="2"/>
            <w:tcBorders>
              <w:top w:val="nil" w:sz="6" w:space="0" w:color="auto"/>
              <w:left w:val="single" w:sz="4" w:space="0" w:color="000000"/>
              <w:bottom w:val="nil" w:sz="6" w:space="0" w:color="auto"/>
              <w:right w:val="single" w:sz="4" w:space="0" w:color="000000"/>
            </w:tcBorders>
          </w:tcPr>
          <w:p>
            <w:pPr/>
          </w:p>
        </w:tc>
        <w:tc>
          <w:tcPr>
            <w:tcW w:w="895"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7"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2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开发销售，基础设施投资，绿色</w:t>
            </w:r>
          </w:p>
        </w:tc>
        <w:tc>
          <w:tcPr>
            <w:tcW w:w="995" w:type="dxa"/>
            <w:gridSpan w:val="2"/>
            <w:tcBorders>
              <w:top w:val="nil" w:sz="6" w:space="0" w:color="auto"/>
              <w:left w:val="single" w:sz="4" w:space="0" w:color="000000"/>
              <w:bottom w:val="nil" w:sz="6" w:space="0" w:color="auto"/>
              <w:right w:val="single" w:sz="4" w:space="0" w:color="000000"/>
            </w:tcBorders>
          </w:tcPr>
          <w:p>
            <w:pPr/>
          </w:p>
        </w:tc>
        <w:tc>
          <w:tcPr>
            <w:tcW w:w="895"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7"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2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节能建筑投资、投资咨询及管</w:t>
            </w:r>
          </w:p>
        </w:tc>
        <w:tc>
          <w:tcPr>
            <w:tcW w:w="995" w:type="dxa"/>
            <w:gridSpan w:val="2"/>
            <w:tcBorders>
              <w:top w:val="nil" w:sz="6" w:space="0" w:color="auto"/>
              <w:left w:val="single" w:sz="4" w:space="0" w:color="000000"/>
              <w:bottom w:val="nil" w:sz="6" w:space="0" w:color="auto"/>
              <w:right w:val="single" w:sz="4" w:space="0" w:color="000000"/>
            </w:tcBorders>
          </w:tcPr>
          <w:p>
            <w:pPr/>
          </w:p>
        </w:tc>
        <w:tc>
          <w:tcPr>
            <w:tcW w:w="895"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7"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2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w:t>
            </w:r>
            <w:r>
              <w:rPr>
                <w:rFonts w:ascii="宋体" w:hAnsi="宋体" w:cs="宋体" w:eastAsia="宋体" w:hint="default"/>
                <w:spacing w:val="-88"/>
                <w:sz w:val="18"/>
                <w:szCs w:val="18"/>
              </w:rPr>
              <w:t>、</w:t>
            </w:r>
            <w:r>
              <w:rPr>
                <w:rFonts w:ascii="宋体" w:hAnsi="宋体" w:cs="宋体" w:eastAsia="宋体" w:hint="default"/>
                <w:sz w:val="18"/>
                <w:szCs w:val="18"/>
              </w:rPr>
              <w:t>承接建筑智能化系统和工业</w:t>
            </w:r>
          </w:p>
        </w:tc>
        <w:tc>
          <w:tcPr>
            <w:tcW w:w="995" w:type="dxa"/>
            <w:gridSpan w:val="2"/>
            <w:tcBorders>
              <w:top w:val="nil" w:sz="6" w:space="0" w:color="auto"/>
              <w:left w:val="single" w:sz="4" w:space="0" w:color="000000"/>
              <w:bottom w:val="nil" w:sz="6" w:space="0" w:color="auto"/>
              <w:right w:val="single" w:sz="4" w:space="0" w:color="000000"/>
            </w:tcBorders>
          </w:tcPr>
          <w:p>
            <w:pPr/>
          </w:p>
        </w:tc>
        <w:tc>
          <w:tcPr>
            <w:tcW w:w="895"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737"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2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自动化的设计、集成、安装、技</w:t>
            </w:r>
          </w:p>
        </w:tc>
        <w:tc>
          <w:tcPr>
            <w:tcW w:w="995" w:type="dxa"/>
            <w:gridSpan w:val="2"/>
            <w:tcBorders>
              <w:top w:val="nil" w:sz="6" w:space="0" w:color="auto"/>
              <w:left w:val="single" w:sz="4" w:space="0" w:color="000000"/>
              <w:bottom w:val="nil" w:sz="6" w:space="0" w:color="auto"/>
              <w:right w:val="single" w:sz="4" w:space="0" w:color="000000"/>
            </w:tcBorders>
          </w:tcPr>
          <w:p>
            <w:pPr/>
          </w:p>
        </w:tc>
        <w:tc>
          <w:tcPr>
            <w:tcW w:w="895"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737" w:type="dxa"/>
            <w:tcBorders>
              <w:top w:val="nil" w:sz="6" w:space="0" w:color="auto"/>
              <w:left w:val="single" w:sz="4" w:space="0" w:color="000000"/>
              <w:bottom w:val="single" w:sz="4" w:space="0" w:color="000000"/>
              <w:right w:val="single" w:sz="4" w:space="0" w:color="000000"/>
            </w:tcBorders>
          </w:tcPr>
          <w:p>
            <w:pPr/>
          </w:p>
        </w:tc>
        <w:tc>
          <w:tcPr>
            <w:tcW w:w="100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24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术咨询、节能咨询服务。</w:t>
            </w:r>
          </w:p>
        </w:tc>
        <w:tc>
          <w:tcPr>
            <w:tcW w:w="995" w:type="dxa"/>
            <w:gridSpan w:val="2"/>
            <w:tcBorders>
              <w:top w:val="nil" w:sz="6" w:space="0" w:color="auto"/>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108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737" w:type="dxa"/>
            <w:tcBorders>
              <w:top w:val="single" w:sz="4" w:space="0" w:color="000000"/>
              <w:left w:val="single" w:sz="4" w:space="0" w:color="000000"/>
              <w:bottom w:val="nil" w:sz="6" w:space="0" w:color="auto"/>
              <w:right w:val="single" w:sz="4" w:space="0" w:color="000000"/>
            </w:tcBorders>
          </w:tcPr>
          <w:p>
            <w:pPr/>
          </w:p>
        </w:tc>
        <w:tc>
          <w:tcPr>
            <w:tcW w:w="100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24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建筑智能化及机电设备工程</w:t>
            </w:r>
            <w:r>
              <w:rPr>
                <w:rFonts w:ascii="宋体" w:hAnsi="宋体" w:cs="宋体" w:eastAsia="宋体" w:hint="default"/>
                <w:spacing w:val="-88"/>
                <w:sz w:val="18"/>
                <w:szCs w:val="18"/>
              </w:rPr>
              <w:t>、</w:t>
            </w:r>
            <w:r>
              <w:rPr>
                <w:rFonts w:ascii="宋体" w:hAnsi="宋体" w:cs="宋体" w:eastAsia="宋体" w:hint="default"/>
                <w:sz w:val="18"/>
                <w:szCs w:val="18"/>
              </w:rPr>
              <w:t>净</w:t>
            </w:r>
          </w:p>
        </w:tc>
        <w:tc>
          <w:tcPr>
            <w:tcW w:w="192" w:type="dxa"/>
            <w:vMerge w:val="restart"/>
            <w:tcBorders>
              <w:top w:val="single" w:sz="4" w:space="0" w:color="000000"/>
              <w:left w:val="single" w:sz="4" w:space="0" w:color="000000"/>
              <w:right w:val="nil" w:sz="6" w:space="0" w:color="auto"/>
            </w:tcBorders>
          </w:tcPr>
          <w:p>
            <w:pPr/>
          </w:p>
        </w:tc>
        <w:tc>
          <w:tcPr>
            <w:tcW w:w="803" w:type="dxa"/>
            <w:tcBorders>
              <w:top w:val="single" w:sz="4" w:space="0" w:color="000000"/>
              <w:left w:val="nil" w:sz="6" w:space="0" w:color="auto"/>
              <w:bottom w:val="nil" w:sz="6" w:space="0" w:color="auto"/>
              <w:right w:val="single" w:sz="4" w:space="0" w:color="000000"/>
            </w:tcBorders>
          </w:tcPr>
          <w:p>
            <w:pPr/>
          </w:p>
        </w:tc>
        <w:tc>
          <w:tcPr>
            <w:tcW w:w="895" w:type="dxa"/>
            <w:vMerge w:val="restart"/>
            <w:tcBorders>
              <w:top w:val="single" w:sz="4" w:space="0" w:color="000000"/>
              <w:left w:val="single" w:sz="4" w:space="0" w:color="000000"/>
              <w:right w:val="single" w:sz="4" w:space="0" w:color="000000"/>
            </w:tcBorders>
          </w:tcPr>
          <w:p>
            <w:pPr/>
          </w:p>
        </w:tc>
        <w:tc>
          <w:tcPr>
            <w:tcW w:w="1088"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737"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2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化工程（手术室、供应室、</w:t>
            </w:r>
            <w:r>
              <w:rPr>
                <w:rFonts w:ascii="Times New Roman" w:hAnsi="Times New Roman" w:cs="Times New Roman" w:eastAsia="Times New Roman" w:hint="default"/>
                <w:spacing w:val="-3"/>
                <w:sz w:val="18"/>
                <w:szCs w:val="18"/>
              </w:rPr>
              <w:t>ICU</w:t>
            </w:r>
          </w:p>
        </w:tc>
        <w:tc>
          <w:tcPr>
            <w:tcW w:w="192" w:type="dxa"/>
            <w:vMerge/>
            <w:tcBorders>
              <w:left w:val="single" w:sz="4" w:space="0" w:color="000000"/>
              <w:right w:val="nil" w:sz="6" w:space="0" w:color="auto"/>
            </w:tcBorders>
          </w:tcPr>
          <w:p>
            <w:pPr/>
          </w:p>
        </w:tc>
        <w:tc>
          <w:tcPr>
            <w:tcW w:w="803" w:type="dxa"/>
            <w:tcBorders>
              <w:top w:val="nil" w:sz="6" w:space="0" w:color="auto"/>
              <w:left w:val="nil" w:sz="6" w:space="0" w:color="auto"/>
              <w:bottom w:val="nil" w:sz="6" w:space="0" w:color="auto"/>
              <w:right w:val="single" w:sz="4" w:space="0" w:color="000000"/>
            </w:tcBorders>
          </w:tcPr>
          <w:p>
            <w:pPr/>
          </w:p>
        </w:tc>
        <w:tc>
          <w:tcPr>
            <w:tcW w:w="895"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1737"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2" w:right="82"/>
              <w:jc w:val="left"/>
              <w:rPr>
                <w:rFonts w:ascii="宋体" w:hAnsi="宋体" w:cs="宋体" w:eastAsia="宋体" w:hint="default"/>
                <w:sz w:val="18"/>
                <w:szCs w:val="18"/>
              </w:rPr>
            </w:pPr>
            <w:r>
              <w:rPr>
                <w:rFonts w:ascii="宋体" w:hAnsi="宋体" w:cs="宋体" w:eastAsia="宋体" w:hint="default"/>
                <w:sz w:val="18"/>
                <w:szCs w:val="18"/>
              </w:rPr>
              <w:t>仁怀达实绿色智慧发 展有限公司</w:t>
            </w:r>
          </w:p>
        </w:tc>
        <w:tc>
          <w:tcPr>
            <w:tcW w:w="100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仁怀</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仁怀</w:t>
            </w:r>
          </w:p>
        </w:tc>
        <w:tc>
          <w:tcPr>
            <w:tcW w:w="248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2"/>
              <w:jc w:val="both"/>
              <w:rPr>
                <w:rFonts w:ascii="宋体" w:hAnsi="宋体" w:cs="宋体" w:eastAsia="宋体" w:hint="default"/>
                <w:sz w:val="18"/>
                <w:szCs w:val="18"/>
              </w:rPr>
            </w:pPr>
            <w:r>
              <w:rPr>
                <w:rFonts w:ascii="宋体" w:hAnsi="宋体" w:cs="宋体" w:eastAsia="宋体" w:hint="default"/>
                <w:spacing w:val="-7"/>
                <w:sz w:val="18"/>
                <w:szCs w:val="18"/>
              </w:rPr>
              <w:t>病房）、制氧工程、屏蔽防辐射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7"/>
                <w:sz w:val="18"/>
                <w:szCs w:val="18"/>
              </w:rPr>
              <w:t>工程、高压氧舱工程、实施室工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2"/>
                <w:sz w:val="18"/>
                <w:szCs w:val="18"/>
              </w:rPr>
              <w:t>程、检验工程行、</w:t>
            </w:r>
          </w:p>
        </w:tc>
        <w:tc>
          <w:tcPr>
            <w:tcW w:w="192" w:type="dxa"/>
            <w:vMerge/>
            <w:tcBorders>
              <w:left w:val="single" w:sz="4" w:space="0" w:color="000000"/>
              <w:right w:val="nil" w:sz="6" w:space="0" w:color="auto"/>
            </w:tcBorders>
          </w:tcPr>
          <w:p>
            <w:pPr/>
          </w:p>
        </w:tc>
        <w:tc>
          <w:tcPr>
            <w:tcW w:w="803"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29" w:right="0"/>
              <w:jc w:val="left"/>
              <w:rPr>
                <w:rFonts w:ascii="Times New Roman" w:hAnsi="Times New Roman" w:cs="Times New Roman" w:eastAsia="Times New Roman" w:hint="default"/>
                <w:sz w:val="18"/>
                <w:szCs w:val="18"/>
              </w:rPr>
            </w:pPr>
            <w:r>
              <w:rPr>
                <w:rFonts w:ascii="Times New Roman"/>
                <w:sz w:val="18"/>
              </w:rPr>
              <w:t>100.00%</w:t>
            </w:r>
          </w:p>
        </w:tc>
        <w:tc>
          <w:tcPr>
            <w:tcW w:w="895"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2" w:right="155"/>
              <w:jc w:val="left"/>
              <w:rPr>
                <w:rFonts w:ascii="宋体" w:hAnsi="宋体" w:cs="宋体" w:eastAsia="宋体" w:hint="default"/>
                <w:sz w:val="18"/>
                <w:szCs w:val="18"/>
              </w:rPr>
            </w:pPr>
            <w:r>
              <w:rPr>
                <w:rFonts w:ascii="宋体" w:hAnsi="宋体" w:cs="宋体" w:eastAsia="宋体" w:hint="default"/>
                <w:sz w:val="18"/>
                <w:szCs w:val="18"/>
              </w:rPr>
              <w:t>通过设立方 式取得</w:t>
            </w:r>
          </w:p>
        </w:tc>
      </w:tr>
      <w:tr>
        <w:trPr>
          <w:trHeight w:val="313" w:hRule="exact"/>
        </w:trPr>
        <w:tc>
          <w:tcPr>
            <w:tcW w:w="1737"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2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锅炉工程的设计、采购、集成及</w:t>
            </w:r>
          </w:p>
        </w:tc>
        <w:tc>
          <w:tcPr>
            <w:tcW w:w="192" w:type="dxa"/>
            <w:vMerge/>
            <w:tcBorders>
              <w:left w:val="single" w:sz="4" w:space="0" w:color="000000"/>
              <w:right w:val="nil" w:sz="6" w:space="0" w:color="auto"/>
            </w:tcBorders>
          </w:tcPr>
          <w:p>
            <w:pPr/>
          </w:p>
        </w:tc>
        <w:tc>
          <w:tcPr>
            <w:tcW w:w="803" w:type="dxa"/>
            <w:tcBorders>
              <w:top w:val="nil" w:sz="6" w:space="0" w:color="auto"/>
              <w:left w:val="nil" w:sz="6" w:space="0" w:color="auto"/>
              <w:bottom w:val="nil" w:sz="6" w:space="0" w:color="auto"/>
              <w:right w:val="single" w:sz="4" w:space="0" w:color="000000"/>
            </w:tcBorders>
          </w:tcPr>
          <w:p>
            <w:pPr/>
          </w:p>
        </w:tc>
        <w:tc>
          <w:tcPr>
            <w:tcW w:w="895"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737" w:type="dxa"/>
            <w:tcBorders>
              <w:top w:val="nil" w:sz="6" w:space="0" w:color="auto"/>
              <w:left w:val="single" w:sz="4" w:space="0" w:color="000000"/>
              <w:bottom w:val="single" w:sz="4" w:space="0" w:color="000000"/>
              <w:right w:val="single" w:sz="4" w:space="0" w:color="000000"/>
            </w:tcBorders>
          </w:tcPr>
          <w:p>
            <w:pPr/>
          </w:p>
        </w:tc>
        <w:tc>
          <w:tcPr>
            <w:tcW w:w="100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24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安装。</w:t>
            </w:r>
          </w:p>
        </w:tc>
        <w:tc>
          <w:tcPr>
            <w:tcW w:w="192" w:type="dxa"/>
            <w:vMerge/>
            <w:tcBorders>
              <w:left w:val="single" w:sz="4" w:space="0" w:color="000000"/>
              <w:bottom w:val="single" w:sz="4" w:space="0" w:color="000000"/>
              <w:right w:val="nil" w:sz="6" w:space="0" w:color="auto"/>
            </w:tcBorders>
          </w:tcPr>
          <w:p>
            <w:pPr/>
          </w:p>
        </w:tc>
        <w:tc>
          <w:tcPr>
            <w:tcW w:w="803" w:type="dxa"/>
            <w:tcBorders>
              <w:top w:val="nil" w:sz="6" w:space="0" w:color="auto"/>
              <w:left w:val="nil" w:sz="6" w:space="0" w:color="auto"/>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108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2"/>
              <w:jc w:val="left"/>
              <w:rPr>
                <w:rFonts w:ascii="宋体" w:hAnsi="宋体" w:cs="宋体" w:eastAsia="宋体" w:hint="default"/>
                <w:sz w:val="18"/>
                <w:szCs w:val="18"/>
              </w:rPr>
            </w:pPr>
            <w:r>
              <w:rPr>
                <w:rFonts w:ascii="宋体" w:hAnsi="宋体" w:cs="宋体" w:eastAsia="宋体" w:hint="default"/>
                <w:sz w:val="18"/>
                <w:szCs w:val="18"/>
              </w:rPr>
              <w:t>昌都市达实投资咨询 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昌都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昌都</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财务咨询、投资咨询、</w:t>
            </w:r>
            <w:r>
              <w:rPr>
                <w:rFonts w:ascii="宋体" w:hAnsi="宋体" w:cs="宋体" w:eastAsia="宋体" w:hint="default"/>
                <w:sz w:val="18"/>
                <w:szCs w:val="18"/>
              </w:rPr>
              <w:t> </w:t>
            </w:r>
            <w:r>
              <w:rPr>
                <w:rFonts w:ascii="宋体" w:hAnsi="宋体" w:cs="宋体" w:eastAsia="宋体" w:hint="default"/>
                <w:spacing w:val="-7"/>
                <w:sz w:val="18"/>
                <w:szCs w:val="18"/>
              </w:rPr>
              <w:t>税务咨询、商务咨询兼并重组咨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询</w:t>
            </w:r>
          </w:p>
        </w:tc>
        <w:tc>
          <w:tcPr>
            <w:tcW w:w="995" w:type="dxa"/>
            <w:gridSpan w:val="2"/>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55"/>
              <w:jc w:val="left"/>
              <w:rPr>
                <w:rFonts w:ascii="宋体" w:hAnsi="宋体" w:cs="宋体" w:eastAsia="宋体" w:hint="default"/>
                <w:sz w:val="18"/>
                <w:szCs w:val="18"/>
              </w:rPr>
            </w:pPr>
            <w:r>
              <w:rPr>
                <w:rFonts w:ascii="宋体" w:hAnsi="宋体" w:cs="宋体" w:eastAsia="宋体" w:hint="default"/>
                <w:sz w:val="18"/>
                <w:szCs w:val="18"/>
              </w:rPr>
              <w:t>通过设立方 式取得</w:t>
            </w:r>
          </w:p>
        </w:tc>
      </w:tr>
    </w:tbl>
    <w:p>
      <w:pPr>
        <w:spacing w:line="360" w:lineRule="auto" w:before="51"/>
        <w:ind w:left="154" w:right="2832" w:firstLine="0"/>
        <w:jc w:val="left"/>
        <w:rPr>
          <w:rFonts w:ascii="宋体" w:hAnsi="宋体" w:cs="宋体" w:eastAsia="宋体" w:hint="default"/>
          <w:sz w:val="18"/>
          <w:szCs w:val="18"/>
        </w:rPr>
      </w:pPr>
      <w:r>
        <w:rPr/>
        <w:pict>
          <v:shape style="position:absolute;margin-left:326.506012pt;margin-top:-98.598274pt;width:109.35pt;height:46.8pt;mso-position-horizontal-relative:page;mso-position-vertical-relative:paragraph;z-index:-955216"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隔离病房工程、</w:t>
                  </w:r>
                </w:p>
              </w:txbxContent>
            </v:textbox>
            <w10:wrap type="none"/>
          </v:shape>
        </w:pict>
      </w:r>
      <w:r>
        <w:rPr/>
        <w:pict>
          <v:shape style="position:absolute;margin-left:344.506012pt;margin-top:-51.318275pt;width:91.35pt;height:15.6pt;mso-position-horizontal-relative:page;mso-position-vertical-relative:paragraph;z-index:-95519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管理咨询、</w:t>
                  </w:r>
                </w:p>
              </w:txbxContent>
            </v:textbox>
            <w10:wrap type="none"/>
          </v:shape>
        </w:pict>
      </w:r>
      <w:r>
        <w:rPr/>
        <w:pict>
          <v:group style="position:absolute;margin-left:386.619995pt;margin-top:-98.598274pt;width:49.25pt;height:62.9pt;mso-position-horizontal-relative:page;mso-position-vertical-relative:paragraph;z-index:-955144" coordorigin="7732,-1972" coordsize="985,1258">
            <v:group style="position:absolute;left:7732;top:-1972;width:985;height:936" coordorigin="7732,-1972" coordsize="985,936">
              <v:shape style="position:absolute;left:7732;top:-1972;width:985;height:936" coordorigin="7732,-1972" coordsize="985,936" path="m7732,-1036l8717,-1036,8717,-1972,7732,-1972,7732,-1036xe" filled="true" fillcolor="#ffffff" stroked="false">
                <v:path arrowok="t"/>
                <v:fill type="solid"/>
              </v:shape>
            </v:group>
            <v:group style="position:absolute;left:7732;top:-1026;width:985;height:312" coordorigin="7732,-1026" coordsize="985,312">
              <v:shape style="position:absolute;left:7732;top:-1026;width:985;height:312" coordorigin="7732,-1026" coordsize="985,312" path="m7732,-714l8717,-714,8717,-1026,7732,-1026,7732,-714xe" filled="true" fillcolor="#ffffff" stroked="false">
                <v:path arrowok="t"/>
                <v:fill type="solid"/>
              </v:shape>
            </v:group>
            <w10:wrap type="none"/>
          </v:group>
        </w:pict>
      </w: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w:t>
      </w:r>
    </w:p>
    <w:p>
      <w:pPr>
        <w:pStyle w:val="BodyText"/>
        <w:spacing w:line="255" w:lineRule="exact" w:before="0"/>
        <w:ind w:left="154" w:right="1017" w:firstLine="360"/>
        <w:jc w:val="left"/>
      </w:pPr>
      <w:r>
        <w:rPr/>
        <w:t>北京达实德润能源科技有限公司，持有半数或以下表决权但仍控制被投资单位的依据：本公司系该公</w:t>
      </w:r>
    </w:p>
    <w:p>
      <w:pPr>
        <w:pStyle w:val="BodyText"/>
        <w:spacing w:line="355" w:lineRule="auto" w:before="134"/>
        <w:ind w:left="154" w:right="1017"/>
        <w:jc w:val="left"/>
      </w:pPr>
      <w:r>
        <w:rPr>
          <w:spacing w:val="-1"/>
        </w:rPr>
        <w:t>司第一大股东，其他两名股东之间无关联。该公司的董事长、财务负责人均由本公司委任，本公司能对该</w:t>
      </w:r>
      <w:r>
        <w:rPr>
          <w:spacing w:val="-86"/>
        </w:rPr>
        <w:t> </w:t>
      </w:r>
      <w:r>
        <w:rPr>
          <w:spacing w:val="-86"/>
        </w:rPr>
      </w:r>
      <w:r>
        <w:rPr/>
        <w:t>公司实施控制。</w:t>
      </w:r>
    </w:p>
    <w:p>
      <w:pPr>
        <w:spacing w:before="119"/>
        <w:ind w:left="154" w:right="10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2"/>
        <w:rPr>
          <w:rFonts w:ascii="宋体" w:hAnsi="宋体" w:cs="宋体" w:eastAsia="宋体" w:hint="default"/>
          <w:sz w:val="19"/>
          <w:szCs w:val="19"/>
        </w:rPr>
      </w:pPr>
    </w:p>
    <w:p>
      <w:pPr>
        <w:pStyle w:val="BodyText"/>
        <w:spacing w:line="355" w:lineRule="auto" w:before="35"/>
        <w:ind w:left="154" w:right="1017" w:firstLine="421"/>
        <w:jc w:val="left"/>
      </w:pPr>
      <w:r>
        <w:rPr>
          <w:spacing w:val="-1"/>
        </w:rPr>
        <w:t>上海联欣金山建筑科技发展有限公司、上海腾隆变配电设备管理有限公司系子公司上海达实联欣科技</w:t>
      </w:r>
      <w:r>
        <w:rPr/>
        <w:t> 发展有限公司的全资子公司。</w:t>
      </w:r>
    </w:p>
    <w:p>
      <w:pPr>
        <w:pStyle w:val="BodyText"/>
        <w:spacing w:line="357" w:lineRule="auto" w:before="33"/>
        <w:ind w:right="1017" w:firstLine="421"/>
        <w:jc w:val="left"/>
      </w:pPr>
      <w:r>
        <w:rPr>
          <w:spacing w:val="-1"/>
        </w:rPr>
        <w:t>常州丹迪医疗器械有限公司、江苏智发数字医疗科技有限公司、江苏德盟传输物流系统有限公司、江</w:t>
      </w:r>
      <w:r>
        <w:rPr/>
        <w:t> 苏久信净化设备有限公司系子公司江苏久信医疗科技有限公司的全资子公司。</w:t>
      </w:r>
    </w:p>
    <w:p>
      <w:pPr>
        <w:pStyle w:val="BodyText"/>
        <w:spacing w:line="240" w:lineRule="auto" w:before="50"/>
        <w:ind w:left="576" w:right="1017"/>
        <w:jc w:val="left"/>
      </w:pPr>
      <w:r>
        <w:rPr/>
        <w:t>昌都市达实投资咨询有限公司系子公司深圳达实融资租赁有限公司的全资子公司。</w:t>
      </w:r>
    </w:p>
    <w:p>
      <w:pPr>
        <w:spacing w:line="240" w:lineRule="auto" w:before="11"/>
        <w:rPr>
          <w:rFonts w:ascii="宋体" w:hAnsi="宋体" w:cs="宋体" w:eastAsia="宋体" w:hint="default"/>
          <w:sz w:val="25"/>
          <w:szCs w:val="25"/>
        </w:rPr>
      </w:pPr>
    </w:p>
    <w:p>
      <w:pPr>
        <w:pStyle w:val="Heading3"/>
        <w:spacing w:line="240" w:lineRule="auto"/>
        <w:ind w:left="153" w:right="1017"/>
        <w:jc w:val="left"/>
        <w:rPr>
          <w:b w:val="0"/>
          <w:bCs w:val="0"/>
        </w:rPr>
      </w:pPr>
      <w:bookmarkStart w:name="（2）重要的非全资子公司" w:id="326"/>
      <w:bookmarkEnd w:id="32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94"/>
        <w:gridCol w:w="1720"/>
        <w:gridCol w:w="1718"/>
        <w:gridCol w:w="1720"/>
        <w:gridCol w:w="1707"/>
      </w:tblGrid>
      <w:tr>
        <w:trPr>
          <w:trHeight w:val="76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84" w:right="42"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404" w:right="45"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64" w:right="32"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1" w:right="0"/>
              <w:jc w:val="left"/>
              <w:rPr>
                <w:rFonts w:ascii="Times New Roman" w:hAnsi="Times New Roman" w:cs="Times New Roman" w:eastAsia="Times New Roman" w:hint="default"/>
                <w:sz w:val="18"/>
                <w:szCs w:val="18"/>
              </w:rPr>
            </w:pPr>
            <w:r>
              <w:rPr>
                <w:rFonts w:ascii="Times New Roman"/>
                <w:sz w:val="18"/>
              </w:rPr>
              <w:t>49.00%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1" w:right="0"/>
              <w:jc w:val="left"/>
              <w:rPr>
                <w:rFonts w:ascii="Times New Roman" w:hAnsi="Times New Roman" w:cs="Times New Roman" w:eastAsia="Times New Roman" w:hint="default"/>
                <w:sz w:val="18"/>
                <w:szCs w:val="18"/>
              </w:rPr>
            </w:pPr>
            <w:r>
              <w:rPr>
                <w:rFonts w:ascii="Times New Roman"/>
                <w:sz w:val="18"/>
              </w:rPr>
              <w:t>2,156,676.95</w:t>
            </w:r>
          </w:p>
        </w:tc>
        <w:tc>
          <w:tcPr>
            <w:tcW w:w="1720" w:type="dxa"/>
            <w:tcBorders>
              <w:top w:val="single" w:sz="14" w:space="0" w:color="D2D2D2"/>
              <w:left w:val="single" w:sz="4" w:space="0" w:color="000000"/>
              <w:bottom w:val="single" w:sz="4" w:space="0" w:color="000000"/>
              <w:right w:val="single" w:sz="4" w:space="0" w:color="000000"/>
            </w:tcBorders>
          </w:tcPr>
          <w:p>
            <w:pPr>
              <w:pStyle w:val="TableParagraph"/>
              <w:spacing w:line="240" w:lineRule="auto" w:before="78"/>
              <w:ind w:left="651" w:right="0"/>
              <w:jc w:val="left"/>
              <w:rPr>
                <w:rFonts w:ascii="Times New Roman" w:hAnsi="Times New Roman" w:cs="Times New Roman" w:eastAsia="Times New Roman" w:hint="default"/>
                <w:sz w:val="18"/>
                <w:szCs w:val="18"/>
              </w:rPr>
            </w:pPr>
            <w:r>
              <w:rPr>
                <w:rFonts w:ascii="Times New Roman"/>
                <w:sz w:val="18"/>
              </w:rPr>
              <w:t>27,343,559.50</w:t>
            </w:r>
          </w:p>
        </w:tc>
        <w:tc>
          <w:tcPr>
            <w:tcW w:w="1707" w:type="dxa"/>
            <w:tcBorders>
              <w:top w:val="single" w:sz="14" w:space="0" w:color="D2D2D2"/>
              <w:left w:val="single" w:sz="4" w:space="0" w:color="000000"/>
              <w:bottom w:val="single" w:sz="4" w:space="0" w:color="000000"/>
              <w:right w:val="single" w:sz="4" w:space="0" w:color="000000"/>
            </w:tcBorders>
          </w:tcPr>
          <w:p>
            <w:pPr>
              <w:pStyle w:val="TableParagraph"/>
              <w:spacing w:line="240" w:lineRule="auto" w:before="78"/>
              <w:ind w:left="651" w:right="0"/>
              <w:jc w:val="left"/>
              <w:rPr>
                <w:rFonts w:ascii="Times New Roman" w:hAnsi="Times New Roman" w:cs="Times New Roman" w:eastAsia="Times New Roman" w:hint="default"/>
                <w:sz w:val="18"/>
                <w:szCs w:val="18"/>
              </w:rPr>
            </w:pPr>
            <w:r>
              <w:rPr>
                <w:rFonts w:ascii="Times New Roman"/>
                <w:sz w:val="18"/>
              </w:rPr>
              <w:t>72,138,657.01</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3）重要非全资子公司的主要财务信息" w:id="327"/>
      <w:bookmarkEnd w:id="32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上海达 实联欣 科技发 展有限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268,661,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668.30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45,289,6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36.74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313,951,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305.04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187,747,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684.28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187,747,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684.28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329,260,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098.99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39,314,7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05.02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368,574,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804.01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196,449,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149.03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196,449,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149.03</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上海达实联 欣科技发展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212,234,740.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6,641,743.26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6,641,743.26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13,904,668.0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373,104,764.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74,011,463.7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74,011,463.7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80,951,399.8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2、在合营安排或联营企业中的权益" w:id="328"/>
      <w:bookmarkEnd w:id="328"/>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重要的合营企业或联营企业" w:id="329"/>
      <w:bookmarkEnd w:id="329"/>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993"/>
        <w:gridCol w:w="2551"/>
        <w:gridCol w:w="851"/>
        <w:gridCol w:w="834"/>
        <w:gridCol w:w="1366"/>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736" w:right="106" w:hanging="631"/>
              <w:jc w:val="left"/>
              <w:rPr>
                <w:rFonts w:ascii="宋体" w:hAnsi="宋体" w:cs="宋体" w:eastAsia="宋体" w:hint="default"/>
                <w:sz w:val="18"/>
                <w:szCs w:val="18"/>
              </w:rPr>
            </w:pPr>
            <w:r>
              <w:rPr>
                <w:rFonts w:ascii="宋体" w:hAnsi="宋体" w:cs="宋体" w:eastAsia="宋体" w:hint="default"/>
                <w:sz w:val="18"/>
                <w:szCs w:val="18"/>
              </w:rPr>
              <w:t>合营企业或联营企业 名称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5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2551"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深圳市小鹿暖暖科技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计算机编程、计算机软件设计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after="0" w:line="240" w:lineRule="auto"/>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993"/>
        <w:gridCol w:w="2551"/>
        <w:gridCol w:w="851"/>
        <w:gridCol w:w="834"/>
        <w:gridCol w:w="1366"/>
      </w:tblGrid>
      <w:tr>
        <w:trPr>
          <w:trHeight w:val="36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6" w:lineRule="auto"/>
              <w:ind w:left="22" w:right="9"/>
              <w:jc w:val="left"/>
              <w:rPr>
                <w:rFonts w:ascii="宋体" w:hAnsi="宋体" w:cs="宋体" w:eastAsia="宋体" w:hint="default"/>
                <w:sz w:val="18"/>
                <w:szCs w:val="18"/>
              </w:rPr>
            </w:pPr>
            <w:r>
              <w:rPr>
                <w:rFonts w:ascii="宋体" w:hAnsi="宋体" w:cs="宋体" w:eastAsia="宋体" w:hint="default"/>
                <w:sz w:val="18"/>
                <w:szCs w:val="18"/>
              </w:rPr>
              <w:t>融智节能环保（深圳） 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left"/>
              <w:rPr>
                <w:rFonts w:ascii="宋体" w:hAnsi="宋体" w:cs="宋体" w:eastAsia="宋体" w:hint="default"/>
                <w:sz w:val="18"/>
                <w:szCs w:val="18"/>
              </w:rPr>
            </w:pPr>
            <w:r>
              <w:rPr>
                <w:rFonts w:ascii="宋体" w:hAnsi="宋体" w:cs="宋体" w:eastAsia="宋体" w:hint="default"/>
                <w:sz w:val="18"/>
                <w:szCs w:val="18"/>
              </w:rPr>
              <w:t>节能技术的研发及相应的技术 </w:t>
            </w:r>
            <w:r>
              <w:rPr>
                <w:rFonts w:ascii="宋体" w:hAnsi="宋体" w:cs="宋体" w:eastAsia="宋体" w:hint="default"/>
                <w:spacing w:val="-2"/>
                <w:sz w:val="18"/>
                <w:szCs w:val="18"/>
              </w:rPr>
              <w:t>转让、技术咨询和技术服务；环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保设备、建筑材料、节能照明设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备、电子零器件、电器设备的销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售；节能方案的设计；建筑工程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咨询；建筑智能化系统的设计、 </w:t>
            </w:r>
            <w:r>
              <w:rPr>
                <w:rFonts w:ascii="宋体" w:hAnsi="宋体" w:cs="宋体" w:eastAsia="宋体" w:hint="default"/>
                <w:spacing w:val="-2"/>
                <w:sz w:val="18"/>
                <w:szCs w:val="18"/>
              </w:rPr>
              <w:t>集成；商务信息咨询；合同能源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管理；货物及技术进出口</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40.00%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line="240" w:lineRule="auto" w:before="2"/>
        <w:rPr>
          <w:rFonts w:ascii="宋体" w:hAnsi="宋体" w:cs="宋体" w:eastAsia="宋体" w:hint="default"/>
          <w:b/>
          <w:bCs/>
          <w:sz w:val="19"/>
          <w:szCs w:val="19"/>
        </w:rPr>
      </w:pPr>
    </w:p>
    <w:p>
      <w:pPr>
        <w:pStyle w:val="Heading3"/>
        <w:spacing w:line="240" w:lineRule="auto" w:before="35"/>
        <w:ind w:right="1017"/>
        <w:jc w:val="left"/>
        <w:rPr>
          <w:b w:val="0"/>
          <w:bCs w:val="0"/>
        </w:rPr>
      </w:pPr>
      <w:bookmarkStart w:name="（2）重要合营企业的主要财务信息" w:id="330"/>
      <w:bookmarkEnd w:id="330"/>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661"/>
        <w:gridCol w:w="1725"/>
        <w:gridCol w:w="1726"/>
        <w:gridCol w:w="1725"/>
        <w:gridCol w:w="1726"/>
      </w:tblGrid>
      <w:tr>
        <w:trPr>
          <w:trHeight w:val="503" w:hRule="exact"/>
        </w:trPr>
        <w:tc>
          <w:tcPr>
            <w:tcW w:w="266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83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r>
              <w:rPr>
                <w:rFonts w:ascii="宋体" w:hAnsi="宋体" w:cs="宋体" w:eastAsia="宋体" w:hint="default"/>
                <w:sz w:val="18"/>
                <w:szCs w:val="18"/>
              </w:rPr>
              <w:t>本期发生额</w:t>
            </w:r>
          </w:p>
        </w:tc>
        <w:tc>
          <w:tcPr>
            <w:tcW w:w="345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2"/>
              <w:ind w:left="84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r>
              <w:rPr>
                <w:rFonts w:ascii="宋体" w:hAnsi="宋体" w:cs="宋体" w:eastAsia="宋体" w:hint="default"/>
                <w:sz w:val="18"/>
                <w:szCs w:val="18"/>
              </w:rPr>
              <w:t>上期发生额</w:t>
            </w:r>
          </w:p>
        </w:tc>
      </w:tr>
      <w:tr>
        <w:trPr>
          <w:trHeight w:val="415" w:hRule="exact"/>
        </w:trPr>
        <w:tc>
          <w:tcPr>
            <w:tcW w:w="2661" w:type="dxa"/>
            <w:vMerge/>
            <w:tcBorders>
              <w:left w:val="single" w:sz="4" w:space="0" w:color="000000"/>
              <w:bottom w:val="single" w:sz="4" w:space="0" w:color="000000"/>
              <w:right w:val="single" w:sz="4" w:space="0" w:color="000000"/>
            </w:tcBorders>
            <w:shd w:val="clear" w:color="auto" w:fill="D9D9D9"/>
          </w:tcPr>
          <w:p>
            <w:pPr/>
          </w:p>
        </w:tc>
        <w:tc>
          <w:tcPr>
            <w:tcW w:w="17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496" w:right="0"/>
              <w:jc w:val="left"/>
              <w:rPr>
                <w:rFonts w:ascii="宋体" w:hAnsi="宋体" w:cs="宋体" w:eastAsia="宋体" w:hint="default"/>
                <w:sz w:val="18"/>
                <w:szCs w:val="18"/>
              </w:rPr>
            </w:pPr>
            <w:r>
              <w:rPr>
                <w:rFonts w:ascii="宋体" w:hAnsi="宋体" w:cs="宋体" w:eastAsia="宋体" w:hint="default"/>
                <w:sz w:val="18"/>
                <w:szCs w:val="18"/>
              </w:rPr>
              <w:t>小鹿暖暖</w:t>
            </w:r>
          </w:p>
        </w:tc>
        <w:tc>
          <w:tcPr>
            <w:tcW w:w="17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496" w:right="0"/>
              <w:jc w:val="left"/>
              <w:rPr>
                <w:rFonts w:ascii="宋体" w:hAnsi="宋体" w:cs="宋体" w:eastAsia="宋体" w:hint="default"/>
                <w:sz w:val="18"/>
                <w:szCs w:val="18"/>
              </w:rPr>
            </w:pPr>
            <w:r>
              <w:rPr>
                <w:rFonts w:ascii="宋体" w:hAnsi="宋体" w:cs="宋体" w:eastAsia="宋体" w:hint="default"/>
                <w:sz w:val="18"/>
                <w:szCs w:val="18"/>
              </w:rPr>
              <w:t>融智节能</w:t>
            </w:r>
          </w:p>
        </w:tc>
        <w:tc>
          <w:tcPr>
            <w:tcW w:w="17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496" w:right="0"/>
              <w:jc w:val="left"/>
              <w:rPr>
                <w:rFonts w:ascii="宋体" w:hAnsi="宋体" w:cs="宋体" w:eastAsia="宋体" w:hint="default"/>
                <w:sz w:val="18"/>
                <w:szCs w:val="18"/>
              </w:rPr>
            </w:pPr>
            <w:r>
              <w:rPr>
                <w:rFonts w:ascii="宋体" w:hAnsi="宋体" w:cs="宋体" w:eastAsia="宋体" w:hint="default"/>
                <w:sz w:val="18"/>
                <w:szCs w:val="18"/>
              </w:rPr>
              <w:t>小鹿暖暖</w:t>
            </w:r>
          </w:p>
        </w:tc>
        <w:tc>
          <w:tcPr>
            <w:tcW w:w="17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496" w:right="0"/>
              <w:jc w:val="left"/>
              <w:rPr>
                <w:rFonts w:ascii="宋体" w:hAnsi="宋体" w:cs="宋体" w:eastAsia="宋体" w:hint="default"/>
                <w:sz w:val="18"/>
                <w:szCs w:val="18"/>
              </w:rPr>
            </w:pPr>
            <w:r>
              <w:rPr>
                <w:rFonts w:ascii="宋体" w:hAnsi="宋体" w:cs="宋体" w:eastAsia="宋体" w:hint="default"/>
                <w:sz w:val="18"/>
                <w:szCs w:val="18"/>
              </w:rPr>
              <w:t>融智节能</w:t>
            </w:r>
          </w:p>
        </w:tc>
      </w:tr>
      <w:tr>
        <w:trPr>
          <w:trHeight w:val="482"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25" w:type="dxa"/>
            <w:tcBorders>
              <w:top w:val="single" w:sz="18" w:space="0" w:color="D9D9D9"/>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9,396,008.78</w:t>
            </w:r>
          </w:p>
        </w:tc>
        <w:tc>
          <w:tcPr>
            <w:tcW w:w="1726" w:type="dxa"/>
            <w:tcBorders>
              <w:top w:val="single" w:sz="18" w:space="0" w:color="D9D9D9"/>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24,244,798.49</w:t>
            </w:r>
          </w:p>
        </w:tc>
        <w:tc>
          <w:tcPr>
            <w:tcW w:w="1725" w:type="dxa"/>
            <w:tcBorders>
              <w:top w:val="single" w:sz="18" w:space="0" w:color="D9D9D9"/>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18" w:space="0" w:color="D9D9D9"/>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w:t>
            </w:r>
          </w:p>
        </w:tc>
      </w:tr>
      <w:tr>
        <w:trPr>
          <w:trHeight w:val="463"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9,392,430.53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24,078,745.88</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w:t>
            </w:r>
          </w:p>
        </w:tc>
      </w:tr>
      <w:tr>
        <w:trPr>
          <w:trHeight w:val="464"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173,073.11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83,152.90</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Times New Roman" w:hAnsi="Times New Roman" w:cs="Times New Roman" w:eastAsia="Times New Roman" w:hint="default"/>
                <w:sz w:val="18"/>
                <w:szCs w:val="18"/>
              </w:rPr>
            </w:pPr>
            <w:r>
              <w:rPr>
                <w:rFonts w:ascii="Times New Roman"/>
                <w:sz w:val="18"/>
              </w:rPr>
              <w:t>--</w:t>
            </w:r>
          </w:p>
        </w:tc>
      </w:tr>
      <w:tr>
        <w:trPr>
          <w:trHeight w:val="465"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9,569,081.89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24,327,951.39</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w:t>
            </w:r>
          </w:p>
        </w:tc>
      </w:tr>
      <w:tr>
        <w:trPr>
          <w:trHeight w:val="463"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173,021.37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115,779.54</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w:t>
            </w:r>
          </w:p>
        </w:tc>
      </w:tr>
      <w:tr>
        <w:trPr>
          <w:trHeight w:val="464"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Times New Roman" w:hAnsi="Times New Roman" w:cs="Times New Roman" w:eastAsia="Times New Roman" w:hint="default"/>
                <w:sz w:val="18"/>
                <w:szCs w:val="18"/>
              </w:rPr>
            </w:pPr>
            <w:r>
              <w:rPr>
                <w:rFonts w:ascii="Times New Roman"/>
                <w:sz w:val="18"/>
              </w:rPr>
              <w:t>--</w:t>
            </w:r>
          </w:p>
        </w:tc>
      </w:tr>
      <w:tr>
        <w:trPr>
          <w:trHeight w:val="464"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173,021.37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115,779.54</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w:t>
            </w:r>
          </w:p>
        </w:tc>
      </w:tr>
      <w:tr>
        <w:trPr>
          <w:trHeight w:val="463"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w:t>
            </w:r>
          </w:p>
        </w:tc>
      </w:tr>
      <w:tr>
        <w:trPr>
          <w:trHeight w:val="464"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9,219,409.16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pacing w:val="-1"/>
                <w:sz w:val="18"/>
              </w:rPr>
              <w:t>24,212,171.85</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Times New Roman" w:hAnsi="Times New Roman" w:cs="Times New Roman" w:eastAsia="Times New Roman" w:hint="default"/>
                <w:sz w:val="18"/>
                <w:szCs w:val="18"/>
              </w:rPr>
            </w:pPr>
            <w:r>
              <w:rPr>
                <w:rFonts w:ascii="Times New Roman"/>
                <w:sz w:val="18"/>
              </w:rPr>
              <w:t>--</w:t>
            </w:r>
          </w:p>
        </w:tc>
      </w:tr>
      <w:tr>
        <w:trPr>
          <w:trHeight w:val="464"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3,687,763.66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9,684,868.74</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w:t>
            </w:r>
          </w:p>
        </w:tc>
      </w:tr>
      <w:tr>
        <w:trPr>
          <w:trHeight w:val="463"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6,030,660.55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w:t>
            </w:r>
          </w:p>
        </w:tc>
      </w:tr>
      <w:tr>
        <w:trPr>
          <w:trHeight w:val="464"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对企业权益投资的账面价值</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9,718,424.21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9,684,868.74</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Times New Roman" w:hAnsi="Times New Roman" w:cs="Times New Roman" w:eastAsia="Times New Roman" w:hint="default"/>
                <w:sz w:val="18"/>
                <w:szCs w:val="18"/>
              </w:rPr>
            </w:pPr>
            <w:r>
              <w:rPr>
                <w:rFonts w:ascii="Times New Roman"/>
                <w:sz w:val="18"/>
              </w:rPr>
              <w:t>--</w:t>
            </w:r>
          </w:p>
        </w:tc>
      </w:tr>
      <w:tr>
        <w:trPr>
          <w:trHeight w:val="464"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w:t>
            </w:r>
          </w:p>
        </w:tc>
      </w:tr>
      <w:tr>
        <w:trPr>
          <w:trHeight w:val="463"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w w:val="95"/>
                <w:sz w:val="18"/>
              </w:rPr>
              <w:t>-10,430.86</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5"/>
                <w:sz w:val="18"/>
              </w:rPr>
              <w:t>-16,147.40</w:t>
            </w:r>
            <w:r>
              <w:rPr>
                <w:rFonts w:ascii="Times New Roman"/>
                <w:sz w:val="18"/>
              </w:rPr>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w:t>
            </w:r>
          </w:p>
        </w:tc>
      </w:tr>
      <w:tr>
        <w:trPr>
          <w:trHeight w:val="464"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w w:val="95"/>
                <w:sz w:val="18"/>
              </w:rPr>
              <w:t>-703,939.48</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w w:val="95"/>
                <w:sz w:val="18"/>
              </w:rPr>
              <w:t>-787,828.15</w:t>
            </w:r>
            <w:r>
              <w:rPr>
                <w:rFonts w:ascii="Times New Roman"/>
                <w:sz w:val="18"/>
              </w:rPr>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Times New Roman" w:hAnsi="Times New Roman" w:cs="Times New Roman" w:eastAsia="Times New Roman" w:hint="default"/>
                <w:sz w:val="18"/>
                <w:szCs w:val="18"/>
              </w:rPr>
            </w:pPr>
            <w:r>
              <w:rPr>
                <w:rFonts w:ascii="Times New Roman"/>
                <w:sz w:val="18"/>
              </w:rPr>
              <w:t>--</w:t>
            </w:r>
          </w:p>
        </w:tc>
      </w:tr>
      <w:tr>
        <w:trPr>
          <w:trHeight w:val="465"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w:t>
            </w:r>
          </w:p>
        </w:tc>
      </w:tr>
      <w:tr>
        <w:trPr>
          <w:trHeight w:val="463"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w w:val="95"/>
                <w:sz w:val="18"/>
              </w:rPr>
              <w:t>-703,939.48</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5"/>
                <w:sz w:val="18"/>
              </w:rPr>
              <w:t>-787,828.15</w:t>
            </w:r>
            <w:r>
              <w:rPr>
                <w:rFonts w:ascii="Times New Roman"/>
                <w:sz w:val="18"/>
              </w:rPr>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03" w:right="104"/>
              <w:jc w:val="left"/>
              <w:rPr>
                <w:rFonts w:ascii="宋体" w:hAnsi="宋体" w:cs="宋体" w:eastAsia="宋体" w:hint="default"/>
                <w:sz w:val="18"/>
                <w:szCs w:val="18"/>
              </w:rPr>
            </w:pPr>
            <w:r>
              <w:rPr>
                <w:rFonts w:ascii="宋体" w:hAnsi="宋体" w:cs="宋体" w:eastAsia="宋体" w:hint="default"/>
                <w:spacing w:val="7"/>
                <w:sz w:val="18"/>
                <w:szCs w:val="18"/>
              </w:rPr>
              <w:t>本年度收到的来自合营企业的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股利</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9"/>
        <w:rPr>
          <w:rFonts w:ascii="宋体" w:hAnsi="宋体" w:cs="宋体" w:eastAsia="宋体" w:hint="default"/>
          <w:sz w:val="19"/>
          <w:szCs w:val="19"/>
        </w:rPr>
      </w:pPr>
    </w:p>
    <w:p>
      <w:pPr>
        <w:pStyle w:val="Heading2"/>
        <w:spacing w:line="240" w:lineRule="auto" w:before="26"/>
        <w:ind w:left="154" w:right="1017"/>
        <w:jc w:val="left"/>
        <w:rPr>
          <w:b w:val="0"/>
          <w:bCs w:val="0"/>
        </w:rPr>
      </w:pPr>
      <w:bookmarkStart w:name="十、与金融工具相关的风险" w:id="331"/>
      <w:bookmarkEnd w:id="331"/>
      <w:r>
        <w:rPr>
          <w:b w:val="0"/>
          <w:bCs w:val="0"/>
        </w:rPr>
      </w:r>
      <w:r>
        <w:rPr/>
        <w:t>十、与金融工具相关的风险</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left="154" w:right="1130" w:firstLine="420"/>
        <w:jc w:val="both"/>
      </w:pPr>
      <w:r>
        <w:rPr>
          <w:spacing w:val="-1"/>
        </w:rPr>
        <w:t>本公司的主要金融工具包括：货币资金、应收票据、应收款项、短期借款、应付款项等，各项金融工</w:t>
      </w:r>
      <w:r>
        <w:rPr/>
        <w:t> </w:t>
      </w:r>
      <w:r>
        <w:rPr>
          <w:spacing w:val="-1"/>
        </w:rPr>
        <w:t>具的详细情况说明见本附注五相关项目。各项金融工具的详细情况说明见本附注五相关项目。与这些金融</w:t>
      </w:r>
      <w:r>
        <w:rPr>
          <w:spacing w:val="-81"/>
        </w:rPr>
        <w:t> </w:t>
      </w:r>
      <w:r>
        <w:rPr>
          <w:spacing w:val="-81"/>
        </w:rPr>
      </w:r>
      <w:r>
        <w:rPr>
          <w:spacing w:val="-1"/>
        </w:rPr>
        <w:t>工具有关的风险，以及本公司为降低这些风险所采取的风险管理政策如下所述。本公司管理层对这些风险</w:t>
      </w:r>
      <w:r>
        <w:rPr>
          <w:spacing w:val="-81"/>
        </w:rPr>
        <w:t> </w:t>
      </w:r>
      <w:r>
        <w:rPr>
          <w:spacing w:val="-81"/>
        </w:rPr>
      </w:r>
      <w:r>
        <w:rPr/>
        <w:t>敞口进行管理和监控以确保将上述风险控制在限定的范围之内。</w:t>
      </w:r>
    </w:p>
    <w:p>
      <w:pPr>
        <w:pStyle w:val="BodyText"/>
        <w:spacing w:line="355" w:lineRule="auto" w:before="31"/>
        <w:ind w:left="573" w:right="1093"/>
        <w:jc w:val="left"/>
      </w:pPr>
      <w:r>
        <w:rPr/>
        <w:t>（一）市场风险 金融工具的市场风险，是指金融工具的公允价值或未来现金流量因市场价格变动而发生波动的风险，</w:t>
      </w:r>
    </w:p>
    <w:p>
      <w:pPr>
        <w:pStyle w:val="BodyText"/>
        <w:spacing w:line="240" w:lineRule="auto" w:before="33"/>
        <w:ind w:right="1017"/>
        <w:jc w:val="left"/>
      </w:pPr>
      <w:r>
        <w:rPr/>
        <w:t>包括外汇风险、利率风险。</w:t>
      </w:r>
    </w:p>
    <w:p>
      <w:pPr>
        <w:pStyle w:val="BodyText"/>
        <w:spacing w:line="357" w:lineRule="auto" w:before="133"/>
        <w:ind w:left="573" w:right="1017"/>
        <w:jc w:val="left"/>
      </w:pPr>
      <w:r>
        <w:rPr/>
        <w:t>（ </w:t>
      </w:r>
      <w:r>
        <w:rPr>
          <w:rFonts w:ascii="宋体" w:hAnsi="宋体" w:cs="宋体" w:eastAsia="宋体" w:hint="default"/>
        </w:rPr>
        <w:t>1</w:t>
      </w:r>
      <w:r>
        <w:rPr/>
        <w:t>）外汇风险 </w:t>
      </w:r>
      <w:r>
        <w:rPr>
          <w:spacing w:val="-1"/>
        </w:rPr>
        <w:t>外汇风险是因汇率变动产生的风险。本公司仅持有少量美元、港币、日元现金和银行存款，因此本公</w:t>
      </w:r>
    </w:p>
    <w:p>
      <w:pPr>
        <w:pStyle w:val="BodyText"/>
        <w:spacing w:line="355" w:lineRule="auto"/>
        <w:ind w:left="573" w:right="1723" w:hanging="420"/>
        <w:jc w:val="left"/>
      </w:pPr>
      <w:r>
        <w:rPr/>
        <w:t>司管理层认为公司所面临的外汇风险不大。 本公司期末外币金融资产和外币金融负债列示见本附注项目注释其他之外币货币性项目说明。</w:t>
      </w:r>
    </w:p>
    <w:p>
      <w:pPr>
        <w:pStyle w:val="BodyText"/>
        <w:spacing w:line="355" w:lineRule="auto" w:before="33"/>
        <w:ind w:left="573" w:right="1017"/>
        <w:jc w:val="left"/>
      </w:pPr>
      <w:r>
        <w:rPr/>
        <w:t>（ </w:t>
      </w:r>
      <w:r>
        <w:rPr>
          <w:rFonts w:ascii="宋体" w:hAnsi="宋体" w:cs="宋体" w:eastAsia="宋体" w:hint="default"/>
        </w:rPr>
        <w:t>2</w:t>
      </w:r>
      <w:r>
        <w:rPr/>
        <w:t>）利率风险 </w:t>
      </w:r>
      <w:r>
        <w:rPr>
          <w:spacing w:val="-1"/>
        </w:rPr>
        <w:t>利率风险，是指金融工具的公允价值或未来现金流量因市场利率变动而发生波动的风险。通常利率风</w:t>
      </w:r>
    </w:p>
    <w:p>
      <w:pPr>
        <w:pStyle w:val="BodyText"/>
        <w:spacing w:line="355" w:lineRule="auto" w:before="33"/>
        <w:ind w:right="1017"/>
        <w:jc w:val="left"/>
      </w:pPr>
      <w:r>
        <w:rPr>
          <w:spacing w:val="-1"/>
        </w:rPr>
        <w:t>险敞口来自于市场利率的意外变动，公司目前对外借款业务全部为短期和长期人民币借款，如人民币借款</w:t>
      </w:r>
      <w:r>
        <w:rPr>
          <w:spacing w:val="-81"/>
        </w:rPr>
        <w:t> </w:t>
      </w:r>
      <w:r>
        <w:rPr>
          <w:spacing w:val="-81"/>
        </w:rPr>
      </w:r>
      <w:r>
        <w:rPr/>
        <w:t>利率发生较大波动，将对本公司的利润总额和股东权益产生较大的影响。</w:t>
      </w:r>
    </w:p>
    <w:p>
      <w:pPr>
        <w:pStyle w:val="BodyText"/>
        <w:spacing w:line="357" w:lineRule="auto" w:before="33"/>
        <w:ind w:left="573" w:right="1017"/>
        <w:jc w:val="left"/>
      </w:pPr>
      <w:r>
        <w:rPr/>
        <w:t>（二）信用风险 </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日，可能引起本公司财务损失的最大信用风险敞口主要来自于合同另一方未能履行义务</w:t>
      </w:r>
    </w:p>
    <w:p>
      <w:pPr>
        <w:pStyle w:val="BodyText"/>
        <w:spacing w:line="357" w:lineRule="auto"/>
        <w:ind w:left="574" w:right="1017" w:hanging="420"/>
        <w:jc w:val="left"/>
      </w:pPr>
      <w:r>
        <w:rPr/>
        <w:t>而导致本公司金融资产产生的损失。 </w:t>
      </w:r>
      <w:r>
        <w:rPr>
          <w:spacing w:val="-1"/>
        </w:rPr>
        <w:t>为降低信用风险，本公司专人专岗负责确定信用额度、进行信用审批，并执行其他监控程序以确保采</w:t>
      </w:r>
    </w:p>
    <w:p>
      <w:pPr>
        <w:pStyle w:val="BodyText"/>
        <w:spacing w:line="357" w:lineRule="auto"/>
        <w:ind w:left="154" w:right="1023"/>
        <w:jc w:val="left"/>
      </w:pPr>
      <w:r>
        <w:rPr/>
        <w:t>取必要的措施回收过期债权。此外，本公司于每个资产负债表日审核每一单项应收款的回收情况，以确保 </w:t>
      </w:r>
      <w:r>
        <w:rPr>
          <w:spacing w:val="-3"/>
        </w:rPr>
        <w:t>就无法回收的款项计提充分的坏账准备。因此，本公司管理层认为本公司所承担的信用风险已经大为降低。</w:t>
      </w:r>
    </w:p>
    <w:p>
      <w:pPr>
        <w:pStyle w:val="BodyText"/>
        <w:spacing w:line="357" w:lineRule="auto"/>
        <w:ind w:left="574" w:right="1017"/>
        <w:jc w:val="left"/>
      </w:pPr>
      <w:r>
        <w:rPr/>
        <w:t>（三）流动风险 </w:t>
      </w:r>
      <w:r>
        <w:rPr>
          <w:spacing w:val="-1"/>
        </w:rPr>
        <w:t>管理流动风险时，本公司保持管理层认为充分的现金及现金等价物并对其进行监控，以满足本公司经</w:t>
      </w:r>
    </w:p>
    <w:p>
      <w:pPr>
        <w:pStyle w:val="BodyText"/>
        <w:spacing w:line="240" w:lineRule="auto"/>
        <w:ind w:left="154" w:right="1017"/>
        <w:jc w:val="left"/>
      </w:pPr>
      <w:r>
        <w:rPr/>
        <w:t>营需要，并降低现金流量波动的影响。</w:t>
      </w:r>
    </w:p>
    <w:p>
      <w:pPr>
        <w:spacing w:line="240" w:lineRule="auto" w:before="0"/>
        <w:rPr>
          <w:rFonts w:ascii="宋体" w:hAnsi="宋体" w:cs="宋体" w:eastAsia="宋体" w:hint="default"/>
          <w:sz w:val="20"/>
          <w:szCs w:val="20"/>
        </w:rPr>
      </w:pPr>
    </w:p>
    <w:p>
      <w:pPr>
        <w:pStyle w:val="Heading2"/>
        <w:spacing w:line="240" w:lineRule="auto" w:before="169"/>
        <w:ind w:left="154" w:right="1017"/>
        <w:jc w:val="left"/>
        <w:rPr>
          <w:b w:val="0"/>
          <w:bCs w:val="0"/>
        </w:rPr>
      </w:pPr>
      <w:bookmarkStart w:name="十一、关联方及关联交易" w:id="332"/>
      <w:bookmarkEnd w:id="332"/>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本企业的母公司情况" w:id="333"/>
      <w:bookmarkEnd w:id="333"/>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815"/>
        <w:gridCol w:w="3120"/>
        <w:gridCol w:w="847"/>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98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319" w:lineRule="auto"/>
              <w:ind w:left="22" w:right="120"/>
              <w:jc w:val="left"/>
              <w:rPr>
                <w:rFonts w:ascii="宋体" w:hAnsi="宋体" w:cs="宋体" w:eastAsia="宋体" w:hint="default"/>
                <w:sz w:val="18"/>
                <w:szCs w:val="18"/>
              </w:rPr>
            </w:pPr>
            <w:r>
              <w:rPr>
                <w:rFonts w:ascii="宋体" w:hAnsi="宋体" w:cs="宋体" w:eastAsia="宋体" w:hint="default"/>
                <w:sz w:val="18"/>
                <w:szCs w:val="18"/>
              </w:rPr>
              <w:t>拉萨市达实投资发 展有限公司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拉萨市</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pacing w:val="-10"/>
                <w:sz w:val="18"/>
                <w:szCs w:val="18"/>
              </w:rPr>
              <w:t>投资兴办实业（具体项目另报）、国内商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业、物资供销业；软件技术开发、经济 信息咨询；通讯产品销售及研发；自营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1007" w:right="0"/>
              <w:jc w:val="left"/>
              <w:rPr>
                <w:rFonts w:ascii="Times New Roman" w:hAnsi="Times New Roman" w:cs="Times New Roman" w:eastAsia="Times New Roman" w:hint="default"/>
                <w:sz w:val="18"/>
                <w:szCs w:val="18"/>
              </w:rPr>
            </w:pPr>
            <w:r>
              <w:rPr>
                <w:rFonts w:ascii="Times New Roman"/>
                <w:sz w:val="18"/>
              </w:rPr>
              <w:t>20.76%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1006" w:right="0"/>
              <w:jc w:val="left"/>
              <w:rPr>
                <w:rFonts w:ascii="Times New Roman" w:hAnsi="Times New Roman" w:cs="Times New Roman" w:eastAsia="Times New Roman" w:hint="default"/>
                <w:sz w:val="18"/>
                <w:szCs w:val="18"/>
              </w:rPr>
            </w:pPr>
            <w:r>
              <w:rPr>
                <w:rFonts w:ascii="Times New Roman"/>
                <w:sz w:val="18"/>
              </w:rPr>
              <w:t>20.76%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595"/>
        <w:gridCol w:w="815"/>
        <w:gridCol w:w="3120"/>
        <w:gridCol w:w="847"/>
        <w:gridCol w:w="1595"/>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和代理各类商品及技术的净出口业务。</w:t>
            </w:r>
          </w:p>
        </w:tc>
        <w:tc>
          <w:tcPr>
            <w:tcW w:w="84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本企业最终控制方是刘磅，系萨市达实投资发展有限公司的第一大股东，本公司董事长、总经理。</w:t>
      </w:r>
    </w:p>
    <w:p>
      <w:pPr>
        <w:spacing w:line="240" w:lineRule="auto" w:before="11"/>
        <w:rPr>
          <w:rFonts w:ascii="宋体" w:hAnsi="宋体" w:cs="宋体" w:eastAsia="宋体" w:hint="default"/>
          <w:sz w:val="26"/>
          <w:szCs w:val="26"/>
        </w:rPr>
      </w:pPr>
    </w:p>
    <w:p>
      <w:pPr>
        <w:spacing w:line="547" w:lineRule="auto" w:before="0"/>
        <w:ind w:left="153" w:right="6793" w:firstLine="0"/>
        <w:jc w:val="left"/>
        <w:rPr>
          <w:rFonts w:ascii="宋体" w:hAnsi="宋体" w:cs="宋体" w:eastAsia="宋体" w:hint="default"/>
          <w:sz w:val="21"/>
          <w:szCs w:val="21"/>
        </w:rPr>
      </w:pPr>
      <w:bookmarkStart w:name="2、本企业的子公司情况" w:id="334"/>
      <w:bookmarkEnd w:id="33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335"/>
      <w:bookmarkEnd w:id="335"/>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40" w:lineRule="auto" w:before="50"/>
        <w:ind w:left="15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line="357" w:lineRule="auto" w:before="51"/>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3"/>
        <w:spacing w:line="240" w:lineRule="auto"/>
        <w:ind w:right="1017"/>
        <w:jc w:val="left"/>
        <w:rPr>
          <w:b w:val="0"/>
          <w:bCs w:val="0"/>
        </w:rPr>
      </w:pPr>
      <w:bookmarkStart w:name="4、其他关联方情况" w:id="336"/>
      <w:bookmarkEnd w:id="33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19"/>
        <w:gridCol w:w="6450"/>
      </w:tblGrid>
      <w:tr>
        <w:trPr>
          <w:trHeight w:val="401"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6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北京启迪筑能建筑信息技术有限公司</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北京启迪筑能建筑信息技术有限公司实际控制人沈宏明先生担任公司监事</w:t>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上海金杖房地产开发有限公司</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上海金杖房地产开发有限公司董事长兼总经理贾虹女士担任公司董事</w:t>
            </w:r>
          </w:p>
        </w:tc>
      </w:tr>
    </w:tbl>
    <w:p>
      <w:pPr>
        <w:spacing w:line="240" w:lineRule="auto" w:before="3"/>
        <w:rPr>
          <w:rFonts w:ascii="宋体" w:hAnsi="宋体" w:cs="宋体" w:eastAsia="宋体" w:hint="default"/>
          <w:b/>
          <w:bCs/>
          <w:sz w:val="19"/>
          <w:szCs w:val="19"/>
        </w:rPr>
      </w:pPr>
    </w:p>
    <w:p>
      <w:pPr>
        <w:pStyle w:val="Heading3"/>
        <w:spacing w:line="240" w:lineRule="auto" w:before="35"/>
        <w:ind w:right="1017"/>
        <w:jc w:val="left"/>
        <w:rPr>
          <w:b w:val="0"/>
          <w:bCs w:val="0"/>
        </w:rPr>
      </w:pPr>
      <w:bookmarkStart w:name="5、关联交易情况" w:id="337"/>
      <w:bookmarkEnd w:id="33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购销商品、提供和接受劳务的关联交易" w:id="338"/>
      <w:bookmarkEnd w:id="33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1017"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974"/>
        <w:gridCol w:w="1233"/>
        <w:gridCol w:w="1409"/>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北京启迪筑能建筑 信息技术有限公司</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采购商品、技术服务</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241,848.00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2）关联租赁情况" w:id="339"/>
      <w:bookmarkEnd w:id="339"/>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3"/>
        <w:rPr>
          <w:rFonts w:ascii="宋体" w:hAnsi="宋体" w:cs="宋体" w:eastAsia="宋体" w:hint="default"/>
          <w:b/>
          <w:bCs/>
          <w:sz w:val="23"/>
          <w:szCs w:val="23"/>
        </w:rPr>
      </w:pPr>
    </w:p>
    <w:p>
      <w:pPr>
        <w:spacing w:before="44"/>
        <w:ind w:left="154" w:right="1017"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82"/>
        <w:gridCol w:w="1800"/>
        <w:gridCol w:w="2393"/>
        <w:gridCol w:w="2393"/>
      </w:tblGrid>
      <w:tr>
        <w:trPr>
          <w:trHeight w:val="401" w:hRule="exact"/>
        </w:trPr>
        <w:tc>
          <w:tcPr>
            <w:tcW w:w="2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上海金杖房地产开发有限公司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0" w:right="0"/>
              <w:jc w:val="left"/>
              <w:rPr>
                <w:rFonts w:ascii="Times New Roman" w:hAnsi="Times New Roman" w:cs="Times New Roman" w:eastAsia="Times New Roman" w:hint="default"/>
                <w:sz w:val="18"/>
                <w:szCs w:val="18"/>
              </w:rPr>
            </w:pPr>
            <w:r>
              <w:rPr>
                <w:rFonts w:ascii="Times New Roman"/>
                <w:sz w:val="18"/>
              </w:rPr>
              <w:t>681,444.00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0" w:right="0"/>
              <w:jc w:val="left"/>
              <w:rPr>
                <w:rFonts w:ascii="Times New Roman" w:hAnsi="Times New Roman" w:cs="Times New Roman" w:eastAsia="Times New Roman" w:hint="default"/>
                <w:sz w:val="18"/>
                <w:szCs w:val="18"/>
              </w:rPr>
            </w:pPr>
            <w:r>
              <w:rPr>
                <w:rFonts w:ascii="Times New Roman"/>
                <w:sz w:val="18"/>
              </w:rPr>
              <w:t>681,444.00</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3）关联担保情况" w:id="340"/>
      <w:bookmarkEnd w:id="340"/>
      <w:r>
        <w:rPr>
          <w:b w:val="0"/>
          <w:bCs w:val="0"/>
        </w:rPr>
      </w:r>
      <w:r>
        <w:rPr/>
        <w:t>（</w:t>
      </w:r>
      <w:r>
        <w:rPr>
          <w:rFonts w:ascii="Times New Roman" w:hAnsi="Times New Roman" w:cs="Times New Roman" w:eastAsia="Times New Roman" w:hint="default"/>
        </w:rPr>
        <w:t>3</w:t>
      </w:r>
      <w:r>
        <w:rPr/>
        <w:t>）关联担保情况</w:t>
      </w:r>
      <w:r>
        <w:rPr>
          <w:b w:val="0"/>
          <w:bCs w:val="0"/>
        </w:rPr>
      </w:r>
    </w:p>
    <w:p>
      <w:pPr>
        <w:spacing w:line="240" w:lineRule="auto" w:before="8"/>
        <w:rPr>
          <w:rFonts w:ascii="宋体" w:hAnsi="宋体" w:cs="宋体" w:eastAsia="宋体" w:hint="default"/>
          <w:b/>
          <w:bCs/>
          <w:sz w:val="26"/>
          <w:szCs w:val="26"/>
        </w:rPr>
      </w:pPr>
    </w:p>
    <w:p>
      <w:pPr>
        <w:spacing w:before="0"/>
        <w:ind w:left="154" w:right="1017"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after="0"/>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13"/>
        <w:rPr>
          <w:rFonts w:ascii="宋体" w:hAnsi="宋体" w:cs="宋体" w:eastAsia="宋体" w:hint="default"/>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4）关联方资金拆借" w:id="341"/>
      <w:bookmarkEnd w:id="341"/>
      <w:r>
        <w:rPr>
          <w:b w:val="0"/>
          <w:bCs w:val="0"/>
        </w:rPr>
      </w:r>
      <w:r>
        <w:rPr/>
        <w:t>（</w:t>
      </w:r>
      <w:r>
        <w:rPr>
          <w:rFonts w:ascii="Times New Roman" w:hAnsi="Times New Roman" w:cs="Times New Roman" w:eastAsia="Times New Roman" w:hint="default"/>
        </w:rPr>
        <w:t>4</w:t>
      </w:r>
      <w:r>
        <w:rPr/>
        <w:t>）关联方资金拆借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349"/>
        <w:gridCol w:w="1984"/>
        <w:gridCol w:w="1844"/>
        <w:gridCol w:w="2470"/>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北京启迪筑能建筑信息 技术有限公司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1,200,000.00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借款利息按月支付，至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日无逾期未支付利息。</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6、关联方应收应付款项" w:id="342"/>
      <w:bookmarkEnd w:id="342"/>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应收项目" w:id="343"/>
      <w:bookmarkEnd w:id="343"/>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北京启迪筑能建筑 信息技术有限公司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应收帐款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上海金杖房地产开 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98,580.00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9,909,310.00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297,279.30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界首市达实置业有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14,256,150.00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18,602,850.00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8"/>
          <w:szCs w:val="18"/>
        </w:rPr>
      </w:pPr>
    </w:p>
    <w:p>
      <w:pPr>
        <w:pStyle w:val="Heading2"/>
        <w:spacing w:line="240" w:lineRule="auto" w:before="26"/>
        <w:ind w:left="154" w:right="1017"/>
        <w:jc w:val="left"/>
        <w:rPr>
          <w:b w:val="0"/>
          <w:bCs w:val="0"/>
        </w:rPr>
      </w:pPr>
      <w:bookmarkStart w:name="十二、股份支付" w:id="344"/>
      <w:bookmarkEnd w:id="344"/>
      <w:r>
        <w:rPr>
          <w:b w:val="0"/>
          <w:bCs w:val="0"/>
        </w:rPr>
      </w:r>
      <w:r>
        <w:rPr/>
        <w:t>十二、股份支付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1、股份支付总体情况" w:id="345"/>
      <w:bookmarkEnd w:id="345"/>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before="44"/>
        <w:ind w:left="153"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18,443,400.00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776,265.65</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13"/>
        <w:rPr>
          <w:rFonts w:ascii="宋体" w:hAnsi="宋体" w:cs="宋体" w:eastAsia="宋体" w:hint="default"/>
          <w:sz w:val="21"/>
          <w:szCs w:val="21"/>
        </w:rPr>
      </w:pPr>
    </w:p>
    <w:p>
      <w:pPr>
        <w:spacing w:before="44"/>
        <w:ind w:left="154" w:right="10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57" w:lineRule="auto" w:before="70"/>
        <w:ind w:left="574" w:right="1017"/>
        <w:jc w:val="left"/>
      </w:pPr>
      <w:r>
        <w:rPr/>
        <w:t>（</w:t>
      </w:r>
      <w:r>
        <w:rPr>
          <w:rFonts w:ascii="宋体" w:hAnsi="宋体" w:cs="宋体" w:eastAsia="宋体" w:hint="default"/>
        </w:rPr>
        <w:t>1</w:t>
      </w:r>
      <w:r>
        <w:rPr/>
        <w:t>）第一期限制性股票激励计划的授予 </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25</w:t>
      </w:r>
      <w:r>
        <w:rPr/>
        <w:t>日，公司召开</w:t>
      </w:r>
      <w:r>
        <w:rPr>
          <w:rFonts w:ascii="宋体" w:hAnsi="宋体" w:cs="宋体" w:eastAsia="宋体" w:hint="default"/>
        </w:rPr>
        <w:t>2012</w:t>
      </w:r>
      <w:r>
        <w:rPr/>
        <w:t>年第一次临时股东大会审议通过了《深圳达实智能股份有限公司限制</w:t>
      </w:r>
    </w:p>
    <w:p>
      <w:pPr>
        <w:pStyle w:val="BodyText"/>
        <w:spacing w:line="357" w:lineRule="auto"/>
        <w:ind w:left="154" w:right="1017"/>
        <w:jc w:val="left"/>
      </w:pPr>
      <w:r>
        <w:rPr/>
        <w:t>性股票激励计划（草案）》，根据股东大会对董事会的授权，公司于</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28</w:t>
      </w:r>
      <w:r>
        <w:rPr/>
        <w:t>日完成了授予工作，具</w:t>
      </w:r>
      <w:r>
        <w:rPr>
          <w:spacing w:val="-29"/>
        </w:rPr>
        <w:t> </w:t>
      </w:r>
      <w:r>
        <w:rPr>
          <w:spacing w:val="-29"/>
        </w:rPr>
      </w:r>
      <w:r>
        <w:rPr/>
        <w:t>体情况如下：</w:t>
      </w:r>
    </w:p>
    <w:p>
      <w:pPr>
        <w:pStyle w:val="BodyText"/>
        <w:spacing w:line="240" w:lineRule="auto"/>
        <w:ind w:left="574" w:right="1017"/>
        <w:jc w:val="left"/>
      </w:pPr>
      <w:r>
        <w:rPr/>
        <w:t>①授予日：董事会已确定授予日为</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14</w:t>
      </w:r>
      <w:r>
        <w:rPr/>
        <w:t>日。</w:t>
      </w:r>
    </w:p>
    <w:p>
      <w:pPr>
        <w:pStyle w:val="BodyText"/>
        <w:spacing w:line="240" w:lineRule="auto" w:before="133"/>
        <w:ind w:left="573" w:right="1017"/>
        <w:jc w:val="left"/>
      </w:pPr>
      <w:r>
        <w:rPr/>
        <w:t>②授予数量：授予对象为</w:t>
      </w:r>
      <w:r>
        <w:rPr>
          <w:rFonts w:ascii="宋体" w:hAnsi="宋体" w:cs="宋体" w:eastAsia="宋体" w:hint="default"/>
        </w:rPr>
        <w:t>76</w:t>
      </w:r>
      <w:r>
        <w:rPr/>
        <w:t>人；授予数量为</w:t>
      </w:r>
      <w:r>
        <w:rPr>
          <w:rFonts w:ascii="宋体" w:hAnsi="宋体" w:cs="宋体" w:eastAsia="宋体" w:hint="default"/>
        </w:rPr>
        <w:t>300</w:t>
      </w:r>
      <w:r>
        <w:rPr/>
        <w:t>万股，占公司当前总股本</w:t>
      </w:r>
      <w:r>
        <w:rPr>
          <w:rFonts w:ascii="宋体" w:hAnsi="宋体" w:cs="宋体" w:eastAsia="宋体" w:hint="default"/>
        </w:rPr>
        <w:t>10,140</w:t>
      </w:r>
      <w:r>
        <w:rPr/>
        <w:t>万股的</w:t>
      </w:r>
      <w:r>
        <w:rPr>
          <w:rFonts w:ascii="宋体" w:hAnsi="宋体" w:cs="宋体" w:eastAsia="宋体" w:hint="default"/>
        </w:rPr>
        <w:t>2.96</w:t>
      </w:r>
      <w:r>
        <w:rPr/>
        <w:t>％。</w:t>
      </w:r>
    </w:p>
    <w:p>
      <w:pPr>
        <w:pStyle w:val="BodyText"/>
        <w:spacing w:line="240" w:lineRule="auto" w:before="134"/>
        <w:ind w:left="574" w:right="1017"/>
        <w:jc w:val="left"/>
      </w:pPr>
      <w:r>
        <w:rPr/>
        <w:t>③授予价格：</w:t>
      </w:r>
      <w:r>
        <w:rPr>
          <w:rFonts w:ascii="宋体" w:hAnsi="宋体" w:cs="宋体" w:eastAsia="宋体" w:hint="default"/>
        </w:rPr>
        <w:t>8.51</w:t>
      </w:r>
      <w:r>
        <w:rPr/>
        <w:t>元／股。</w:t>
      </w:r>
    </w:p>
    <w:p>
      <w:pPr>
        <w:pStyle w:val="BodyText"/>
        <w:spacing w:line="240" w:lineRule="auto" w:before="133"/>
        <w:ind w:left="574" w:right="1017"/>
        <w:jc w:val="left"/>
      </w:pPr>
      <w:r>
        <w:rPr/>
        <w:t>④股票来源：激励计划授予激励对象的标的股票来源为达实智能向激励对象定向发行新股。</w:t>
      </w:r>
    </w:p>
    <w:p>
      <w:pPr>
        <w:pStyle w:val="BodyText"/>
        <w:spacing w:line="355" w:lineRule="auto" w:before="134"/>
        <w:ind w:left="154" w:right="1017" w:firstLine="420"/>
        <w:jc w:val="left"/>
      </w:pPr>
      <w:r>
        <w:rPr/>
        <w:t>⑤激励计划的有效期：本计划有效期为</w:t>
      </w:r>
      <w:r>
        <w:rPr>
          <w:rFonts w:ascii="宋体" w:hAnsi="宋体" w:cs="宋体" w:eastAsia="宋体" w:hint="default"/>
        </w:rPr>
        <w:t>4</w:t>
      </w:r>
      <w:r>
        <w:rPr/>
        <w:t>年，其中禁售期为</w:t>
      </w:r>
      <w:r>
        <w:rPr>
          <w:rFonts w:ascii="宋体" w:hAnsi="宋体" w:cs="宋体" w:eastAsia="宋体" w:hint="default"/>
        </w:rPr>
        <w:t>12</w:t>
      </w:r>
      <w:r>
        <w:rPr/>
        <w:t>个月，解锁期为</w:t>
      </w:r>
      <w:r>
        <w:rPr>
          <w:rFonts w:ascii="宋体" w:hAnsi="宋体" w:cs="宋体" w:eastAsia="宋体" w:hint="default"/>
        </w:rPr>
        <w:t>36</w:t>
      </w:r>
      <w:r>
        <w:rPr/>
        <w:t>个月。在解锁期内， 在满足本激励计划规定的解锁条件时，激励对象可分三次申请标的股票解锁。</w:t>
      </w:r>
    </w:p>
    <w:p>
      <w:pPr>
        <w:pStyle w:val="BodyText"/>
        <w:spacing w:line="355" w:lineRule="auto" w:before="33"/>
        <w:ind w:left="573" w:right="3508"/>
        <w:jc w:val="left"/>
      </w:pPr>
      <w:r>
        <w:rPr/>
        <w:t>第一个解锁期已达到激励计划规定的解锁条件，已于</w:t>
      </w:r>
      <w:r>
        <w:rPr>
          <w:rFonts w:ascii="宋体" w:hAnsi="宋体" w:cs="宋体" w:eastAsia="宋体" w:hint="default"/>
        </w:rPr>
        <w:t>2013</w:t>
      </w:r>
      <w:r>
        <w:rPr/>
        <w:t>年</w:t>
      </w:r>
      <w:r>
        <w:rPr>
          <w:rFonts w:ascii="宋体" w:hAnsi="宋体" w:cs="宋体" w:eastAsia="宋体" w:hint="default"/>
        </w:rPr>
        <w:t>7</w:t>
      </w:r>
      <w:r>
        <w:rPr/>
        <w:t>月</w:t>
      </w:r>
      <w:r>
        <w:rPr>
          <w:rFonts w:ascii="宋体" w:hAnsi="宋体" w:cs="宋体" w:eastAsia="宋体" w:hint="default"/>
        </w:rPr>
        <w:t>1</w:t>
      </w:r>
      <w:r>
        <w:rPr/>
        <w:t>日解锁。 第二个解锁期已达到激励计划规定的解锁条件，已于</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30</w:t>
      </w:r>
      <w:r>
        <w:rPr/>
        <w:t>日解锁。 第三个解锁期已达到激励计划规定的解锁条件，已于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29</w:t>
      </w:r>
      <w:r>
        <w:rPr/>
        <w:t>日解锁。</w:t>
      </w:r>
    </w:p>
    <w:p>
      <w:pPr>
        <w:pStyle w:val="BodyText"/>
        <w:spacing w:line="355" w:lineRule="auto" w:before="33"/>
        <w:ind w:left="574" w:right="1017"/>
        <w:jc w:val="left"/>
      </w:pPr>
      <w:r>
        <w:rPr/>
        <w:t>（</w:t>
      </w:r>
      <w:r>
        <w:rPr>
          <w:rFonts w:ascii="宋体" w:hAnsi="宋体" w:cs="宋体" w:eastAsia="宋体" w:hint="default"/>
        </w:rPr>
        <w:t>2</w:t>
      </w:r>
      <w:r>
        <w:rPr/>
        <w:t>）第二期限制性股票激励计划的授予 </w:t>
      </w:r>
      <w:r>
        <w:rPr>
          <w:spacing w:val="-1"/>
        </w:rPr>
        <w:t>经公司</w:t>
      </w:r>
      <w:r>
        <w:rPr>
          <w:rFonts w:ascii="宋体" w:hAnsi="宋体" w:cs="宋体" w:eastAsia="宋体" w:hint="default"/>
          <w:spacing w:val="-1"/>
        </w:rPr>
        <w:t>2015</w:t>
      </w:r>
      <w:r>
        <w:rPr>
          <w:spacing w:val="-1"/>
        </w:rPr>
        <w:t>年第一次临时股东大会及第五届董事会第十三次会议审议批准，公司实施了第二期限制性</w:t>
      </w:r>
    </w:p>
    <w:p>
      <w:pPr>
        <w:pStyle w:val="BodyText"/>
        <w:spacing w:line="240" w:lineRule="auto" w:before="33"/>
        <w:ind w:left="154" w:right="1017"/>
        <w:jc w:val="left"/>
      </w:pPr>
      <w:r>
        <w:rPr/>
        <w:t>股票激励计划，并于</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5</w:t>
      </w:r>
      <w:r>
        <w:rPr/>
        <w:t>日完成了限制性股票的首次授予登记，具体情况如下：</w:t>
      </w:r>
    </w:p>
    <w:p>
      <w:pPr>
        <w:pStyle w:val="BodyText"/>
        <w:spacing w:line="240" w:lineRule="auto" w:before="133"/>
        <w:ind w:left="573" w:right="1017"/>
        <w:jc w:val="left"/>
      </w:pPr>
      <w:r>
        <w:rPr/>
        <w:t>①授予日：</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5</w:t>
      </w:r>
      <w:r>
        <w:rPr/>
        <w:t>日。</w:t>
      </w:r>
    </w:p>
    <w:p>
      <w:pPr>
        <w:pStyle w:val="BodyText"/>
        <w:spacing w:line="355" w:lineRule="auto" w:before="134"/>
        <w:ind w:right="1017" w:firstLine="420"/>
        <w:jc w:val="left"/>
      </w:pPr>
      <w:r>
        <w:rPr>
          <w:spacing w:val="-1"/>
        </w:rPr>
        <w:t>②授予人数及数量：首次授予的激励对象为</w:t>
      </w:r>
      <w:r>
        <w:rPr>
          <w:rFonts w:ascii="宋体" w:hAnsi="宋体" w:cs="宋体" w:eastAsia="宋体" w:hint="default"/>
          <w:spacing w:val="-1"/>
        </w:rPr>
        <w:t>193</w:t>
      </w:r>
      <w:r>
        <w:rPr>
          <w:spacing w:val="-1"/>
        </w:rPr>
        <w:t>人，首次授予</w:t>
      </w:r>
      <w:r>
        <w:rPr>
          <w:rFonts w:ascii="宋体" w:hAnsi="宋体" w:cs="宋体" w:eastAsia="宋体" w:hint="default"/>
          <w:spacing w:val="-1"/>
        </w:rPr>
        <w:t>580</w:t>
      </w:r>
      <w:r>
        <w:rPr>
          <w:spacing w:val="-1"/>
        </w:rPr>
        <w:t>万股，占授予时当前总股本</w:t>
      </w:r>
      <w:r>
        <w:rPr>
          <w:rFonts w:ascii="宋体" w:hAnsi="宋体" w:cs="宋体" w:eastAsia="宋体" w:hint="default"/>
          <w:spacing w:val="-1"/>
        </w:rPr>
        <w:t>25,580</w:t>
      </w:r>
      <w:r>
        <w:rPr>
          <w:spacing w:val="-1"/>
        </w:rPr>
        <w:t>万</w:t>
      </w:r>
      <w:r>
        <w:rPr/>
        <w:t> 股的</w:t>
      </w:r>
      <w:r>
        <w:rPr>
          <w:rFonts w:ascii="宋体" w:hAnsi="宋体" w:cs="宋体" w:eastAsia="宋体" w:hint="default"/>
        </w:rPr>
        <w:t>2.27%</w:t>
      </w:r>
      <w:r>
        <w:rPr/>
        <w:t>。预留股份</w:t>
      </w:r>
      <w:r>
        <w:rPr>
          <w:rFonts w:ascii="宋体" w:hAnsi="宋体" w:cs="宋体" w:eastAsia="宋体" w:hint="default"/>
        </w:rPr>
        <w:t>64</w:t>
      </w:r>
      <w:r>
        <w:rPr/>
        <w:t>万股。</w:t>
      </w:r>
    </w:p>
    <w:p>
      <w:pPr>
        <w:pStyle w:val="BodyText"/>
        <w:spacing w:line="240" w:lineRule="auto" w:before="32"/>
        <w:ind w:left="574" w:right="1017"/>
        <w:jc w:val="left"/>
      </w:pPr>
      <w:r>
        <w:rPr/>
        <w:t>③授予价格：</w:t>
      </w:r>
      <w:r>
        <w:rPr>
          <w:rFonts w:ascii="宋体" w:hAnsi="宋体" w:cs="宋体" w:eastAsia="宋体" w:hint="default"/>
        </w:rPr>
        <w:t>15.76</w:t>
      </w:r>
      <w:r>
        <w:rPr/>
        <w:t>元</w:t>
      </w:r>
      <w:r>
        <w:rPr>
          <w:rFonts w:ascii="宋体" w:hAnsi="宋体" w:cs="宋体" w:eastAsia="宋体" w:hint="default"/>
        </w:rPr>
        <w:t>/</w:t>
      </w:r>
      <w:r>
        <w:rPr/>
        <w:t>股。</w:t>
      </w:r>
    </w:p>
    <w:p>
      <w:pPr>
        <w:pStyle w:val="BodyText"/>
        <w:spacing w:line="240" w:lineRule="auto" w:before="134"/>
        <w:ind w:left="574" w:right="1017"/>
        <w:jc w:val="left"/>
      </w:pPr>
      <w:r>
        <w:rPr/>
        <w:t>④股票来源：激励计划股票来源为达实智能向激励对象定向发行股票。</w:t>
      </w:r>
    </w:p>
    <w:p>
      <w:pPr>
        <w:pStyle w:val="BodyText"/>
        <w:spacing w:line="357" w:lineRule="auto" w:before="133"/>
        <w:ind w:right="1017" w:firstLine="420"/>
        <w:jc w:val="left"/>
      </w:pPr>
      <w:r>
        <w:rPr/>
        <w:t>⑤锁定期：激励对象获授的限制性股票适用不同的锁定期，分别为</w:t>
      </w:r>
      <w:r>
        <w:rPr>
          <w:rFonts w:ascii="宋体" w:hAnsi="宋体" w:cs="宋体" w:eastAsia="宋体" w:hint="default"/>
        </w:rPr>
        <w:t>1</w:t>
      </w:r>
      <w:r>
        <w:rPr/>
        <w:t>年、</w:t>
      </w:r>
      <w:r>
        <w:rPr>
          <w:rFonts w:ascii="宋体" w:hAnsi="宋体" w:cs="宋体" w:eastAsia="宋体" w:hint="default"/>
        </w:rPr>
        <w:t>2</w:t>
      </w:r>
      <w:r>
        <w:rPr/>
        <w:t>年和</w:t>
      </w:r>
      <w:r>
        <w:rPr>
          <w:rFonts w:ascii="宋体" w:hAnsi="宋体" w:cs="宋体" w:eastAsia="宋体" w:hint="default"/>
        </w:rPr>
        <w:t>3</w:t>
      </w:r>
      <w:r>
        <w:rPr/>
        <w:t>年，均自授予之日起 计。</w:t>
      </w:r>
    </w:p>
    <w:p>
      <w:pPr>
        <w:pStyle w:val="BodyText"/>
        <w:spacing w:line="357" w:lineRule="auto"/>
        <w:ind w:left="154" w:right="1017" w:firstLine="420"/>
        <w:jc w:val="left"/>
      </w:pPr>
      <w:r>
        <w:rPr>
          <w:spacing w:val="-1"/>
        </w:rPr>
        <w:t>⑥解锁期：在解锁期内，若达到本激励计划规定的解锁条件，激励对象可分三次申请解锁，实际可解</w:t>
      </w:r>
      <w:r>
        <w:rPr/>
        <w:t> 锁数量应与激励对象上一年度绩效评价结果挂钩。</w:t>
      </w:r>
    </w:p>
    <w:p>
      <w:pPr>
        <w:spacing w:line="240" w:lineRule="auto" w:before="10"/>
        <w:rPr>
          <w:rFonts w:ascii="宋体" w:hAnsi="宋体" w:cs="宋体" w:eastAsia="宋体" w:hint="default"/>
          <w:sz w:val="26"/>
          <w:szCs w:val="26"/>
        </w:rPr>
      </w:pPr>
    </w:p>
    <w:p>
      <w:pPr>
        <w:pStyle w:val="Heading3"/>
        <w:spacing w:line="240" w:lineRule="auto"/>
        <w:ind w:right="1017"/>
        <w:jc w:val="left"/>
        <w:rPr>
          <w:b w:val="0"/>
          <w:bCs w:val="0"/>
        </w:rPr>
      </w:pPr>
      <w:bookmarkStart w:name="2、以权益结算的股份支付情况" w:id="346"/>
      <w:bookmarkEnd w:id="34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舒尔斯期权定价模型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28,222,954.75</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16,041,096.14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9"/>
        <w:rPr>
          <w:rFonts w:ascii="宋体" w:hAnsi="宋体" w:cs="宋体" w:eastAsia="宋体" w:hint="default"/>
          <w:sz w:val="19"/>
          <w:szCs w:val="19"/>
        </w:rPr>
      </w:pPr>
    </w:p>
    <w:p>
      <w:pPr>
        <w:pStyle w:val="Heading2"/>
        <w:spacing w:line="240" w:lineRule="auto" w:before="26"/>
        <w:ind w:left="154" w:right="1017"/>
        <w:jc w:val="left"/>
        <w:rPr>
          <w:b w:val="0"/>
          <w:bCs w:val="0"/>
        </w:rPr>
      </w:pPr>
      <w:bookmarkStart w:name="十三、承诺及或有事项" w:id="347"/>
      <w:bookmarkEnd w:id="347"/>
      <w:r>
        <w:rPr>
          <w:b w:val="0"/>
          <w:bCs w:val="0"/>
        </w:rPr>
      </w: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重要承诺事项" w:id="348"/>
      <w:bookmarkEnd w:id="348"/>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5"/>
        <w:rPr>
          <w:rFonts w:ascii="宋体" w:hAnsi="宋体" w:cs="宋体" w:eastAsia="宋体" w:hint="default"/>
          <w:b/>
          <w:bCs/>
          <w:sz w:val="23"/>
          <w:szCs w:val="23"/>
        </w:rPr>
      </w:pPr>
    </w:p>
    <w:p>
      <w:pPr>
        <w:spacing w:before="0"/>
        <w:ind w:left="154" w:right="101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3"/>
        <w:spacing w:line="240" w:lineRule="auto"/>
        <w:ind w:right="1017"/>
        <w:jc w:val="left"/>
        <w:rPr>
          <w:b w:val="0"/>
          <w:bCs w:val="0"/>
        </w:rPr>
      </w:pPr>
      <w:bookmarkStart w:name="2、或有事项" w:id="349"/>
      <w:bookmarkEnd w:id="34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资产负债表日存在的重要或有事项" w:id="350"/>
      <w:bookmarkEnd w:id="35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left="154" w:right="1017" w:firstLine="421"/>
        <w:jc w:val="left"/>
      </w:pPr>
      <w:r>
        <w:rPr>
          <w:spacing w:val="-1"/>
        </w:rPr>
        <w:t>①截至</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日，本公司为承接工程项目出具的未到期投标、履约及预付款保函</w:t>
      </w:r>
      <w:r>
        <w:rPr>
          <w:rFonts w:ascii="宋体" w:hAnsi="宋体" w:cs="宋体" w:eastAsia="宋体" w:hint="default"/>
          <w:spacing w:val="-1"/>
        </w:rPr>
        <w:t>104</w:t>
      </w:r>
      <w:r>
        <w:rPr>
          <w:spacing w:val="-1"/>
        </w:rPr>
        <w:t>份，投标、</w:t>
      </w:r>
      <w:r>
        <w:rPr/>
        <w:t> 履约及预付款保函金额为</w:t>
      </w:r>
      <w:r>
        <w:rPr>
          <w:rFonts w:ascii="宋体" w:hAnsi="宋体" w:cs="宋体" w:eastAsia="宋体" w:hint="default"/>
        </w:rPr>
        <w:t>317,236,639.70 </w:t>
      </w:r>
      <w:r>
        <w:rPr/>
        <w:t>元，存入未到期保函保证金金额为</w:t>
      </w:r>
      <w:r>
        <w:rPr>
          <w:rFonts w:ascii="宋体" w:hAnsi="宋体" w:cs="宋体" w:eastAsia="宋体" w:hint="default"/>
        </w:rPr>
        <w:t>6,277,413.26</w:t>
      </w:r>
      <w:r>
        <w:rPr/>
        <w:t>元；应付票据</w:t>
      </w:r>
      <w:r>
        <w:rPr>
          <w:spacing w:val="-33"/>
        </w:rPr>
        <w:t> </w:t>
      </w:r>
      <w:r>
        <w:rPr>
          <w:spacing w:val="-33"/>
        </w:rPr>
      </w:r>
      <w:r>
        <w:rPr>
          <w:spacing w:val="2"/>
        </w:rPr>
        <w:t>金额为</w:t>
      </w:r>
      <w:r>
        <w:rPr>
          <w:rFonts w:ascii="宋体" w:hAnsi="宋体" w:cs="宋体" w:eastAsia="宋体" w:hint="default"/>
          <w:spacing w:val="2"/>
        </w:rPr>
        <w:t>216,605,376.27</w:t>
      </w:r>
      <w:r>
        <w:rPr>
          <w:rFonts w:ascii="宋体" w:hAnsi="宋体" w:cs="宋体" w:eastAsia="宋体" w:hint="default"/>
          <w:spacing w:val="14"/>
        </w:rPr>
        <w:t> </w:t>
      </w:r>
      <w:r>
        <w:rPr>
          <w:spacing w:val="4"/>
        </w:rPr>
        <w:t>元，其保证金为</w:t>
      </w:r>
      <w:r>
        <w:rPr>
          <w:rFonts w:ascii="宋体" w:hAnsi="宋体" w:cs="宋体" w:eastAsia="宋体" w:hint="default"/>
          <w:spacing w:val="4"/>
        </w:rPr>
        <w:t>121,659,426.36</w:t>
      </w:r>
      <w:r>
        <w:rPr>
          <w:spacing w:val="4"/>
        </w:rPr>
        <w:t>元。贷款金额</w:t>
      </w:r>
      <w:r>
        <w:rPr>
          <w:rFonts w:ascii="宋体" w:hAnsi="宋体" w:cs="宋体" w:eastAsia="宋体" w:hint="default"/>
          <w:spacing w:val="4"/>
        </w:rPr>
        <w:t>150,000,000.00</w:t>
      </w:r>
      <w:r>
        <w:rPr>
          <w:spacing w:val="4"/>
        </w:rPr>
        <w:t>元</w:t>
      </w:r>
      <w:r>
        <w:rPr>
          <w:rFonts w:ascii="宋体" w:hAnsi="宋体" w:cs="宋体" w:eastAsia="宋体" w:hint="default"/>
          <w:spacing w:val="4"/>
        </w:rPr>
        <w:t>,</w:t>
      </w:r>
      <w:r>
        <w:rPr>
          <w:rFonts w:ascii="宋体" w:hAnsi="宋体" w:cs="宋体" w:eastAsia="宋体" w:hint="default"/>
          <w:spacing w:val="15"/>
        </w:rPr>
        <w:t> </w:t>
      </w:r>
      <w:r>
        <w:rPr>
          <w:spacing w:val="8"/>
        </w:rPr>
        <w:t>其保证金为</w:t>
      </w:r>
      <w:r>
        <w:rPr>
          <w:spacing w:val="-102"/>
        </w:rPr>
        <w:t> </w:t>
      </w:r>
      <w:r>
        <w:rPr>
          <w:spacing w:val="-102"/>
        </w:rPr>
      </w:r>
      <w:r>
        <w:rPr>
          <w:rFonts w:ascii="宋体" w:hAnsi="宋体" w:cs="宋体" w:eastAsia="宋体" w:hint="default"/>
        </w:rPr>
        <w:t>7,514,680.93</w:t>
      </w:r>
      <w:r>
        <w:rPr/>
        <w:t>元。</w:t>
      </w:r>
    </w:p>
    <w:p>
      <w:pPr>
        <w:pStyle w:val="BodyText"/>
        <w:spacing w:line="240" w:lineRule="auto" w:before="31"/>
        <w:ind w:left="154" w:right="1017"/>
        <w:jc w:val="left"/>
      </w:pPr>
      <w:r>
        <w:rPr/>
        <w:t>未到期前十明细如下：</w:t>
      </w:r>
    </w:p>
    <w:p>
      <w:pPr>
        <w:spacing w:line="240" w:lineRule="auto" w:before="10"/>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262"/>
        <w:gridCol w:w="1559"/>
        <w:gridCol w:w="1843"/>
        <w:gridCol w:w="1275"/>
        <w:gridCol w:w="1702"/>
      </w:tblGrid>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受益人</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0"/>
              <w:jc w:val="right"/>
              <w:rPr>
                <w:rFonts w:ascii="宋体" w:hAnsi="宋体" w:cs="宋体" w:eastAsia="宋体" w:hint="default"/>
                <w:sz w:val="18"/>
                <w:szCs w:val="18"/>
              </w:rPr>
            </w:pPr>
            <w:r>
              <w:rPr>
                <w:rFonts w:ascii="宋体" w:hAnsi="宋体" w:cs="宋体" w:eastAsia="宋体" w:hint="default"/>
                <w:b/>
                <w:bCs/>
                <w:w w:val="95"/>
                <w:sz w:val="18"/>
                <w:szCs w:val="18"/>
              </w:rPr>
              <w:t>保函、票据、贷款押金</w:t>
            </w:r>
            <w:r>
              <w:rPr>
                <w:rFonts w:ascii="宋体" w:hAnsi="宋体" w:cs="宋体" w:eastAsia="宋体" w:hint="default"/>
                <w:sz w:val="18"/>
                <w:szCs w:val="18"/>
              </w:rPr>
            </w:r>
          </w:p>
        </w:tc>
        <w:tc>
          <w:tcPr>
            <w:tcW w:w="1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开具银行</w:t>
            </w:r>
            <w:r>
              <w:rPr>
                <w:rFonts w:ascii="宋体" w:hAnsi="宋体" w:cs="宋体" w:eastAsia="宋体" w:hint="default"/>
                <w:sz w:val="18"/>
                <w:szCs w:val="18"/>
              </w:rPr>
            </w:r>
          </w:p>
        </w:tc>
      </w:tr>
      <w:tr>
        <w:trPr>
          <w:trHeight w:val="42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17,600,000.00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2017-12-31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平安银行</w:t>
            </w:r>
          </w:p>
        </w:tc>
      </w:tr>
      <w:tr>
        <w:trPr>
          <w:trHeight w:val="42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17,540,650.00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2017-3-31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平安银行</w:t>
            </w:r>
          </w:p>
        </w:tc>
      </w:tr>
      <w:tr>
        <w:trPr>
          <w:trHeight w:val="42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中铁成都投资发展有限公司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13,800,000.00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2016-6-30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r>
      <w:tr>
        <w:trPr>
          <w:trHeight w:val="42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长沙市轨道交通集团有限公司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13,798,888.86</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2016-12-31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平安银行</w:t>
            </w:r>
          </w:p>
        </w:tc>
      </w:tr>
      <w:tr>
        <w:trPr>
          <w:trHeight w:val="42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福州市城市地铁有限责任公司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13,440,000.00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2017-5-31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r>
      <w:tr>
        <w:trPr>
          <w:trHeight w:val="426"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12,989,958.17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2017-9-30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平安银行</w:t>
            </w:r>
          </w:p>
        </w:tc>
      </w:tr>
      <w:tr>
        <w:trPr>
          <w:trHeight w:val="42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12,989,958.17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2016-12-30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平安银行</w:t>
            </w:r>
          </w:p>
        </w:tc>
      </w:tr>
      <w:tr>
        <w:trPr>
          <w:trHeight w:val="42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11,490,112.01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2017-3-30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平安银行</w:t>
            </w:r>
          </w:p>
        </w:tc>
      </w:tr>
      <w:tr>
        <w:trPr>
          <w:trHeight w:val="42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11,249,949.25</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2016-6-30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平安银行</w:t>
            </w:r>
          </w:p>
        </w:tc>
      </w:tr>
      <w:tr>
        <w:trPr>
          <w:trHeight w:val="42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仁怀市人民医院</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10,800,000.00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2016-10-31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中信银行</w:t>
            </w:r>
          </w:p>
        </w:tc>
      </w:tr>
      <w:tr>
        <w:trPr>
          <w:trHeight w:val="42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181,537,123.24</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6,277,413.26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317,236,639.70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6,277,413.26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1" w:lineRule="exact" w:before="0"/>
        <w:ind w:left="575" w:right="1017"/>
        <w:jc w:val="left"/>
      </w:pPr>
      <w:r>
        <w:rPr/>
        <w:t>若公司未按合同履约，将在有效期内向受益人支付不超过保函金额的赔偿额。</w:t>
      </w:r>
    </w:p>
    <w:p>
      <w:pPr>
        <w:pStyle w:val="BodyText"/>
        <w:spacing w:line="357" w:lineRule="auto" w:before="133"/>
        <w:ind w:right="1017" w:firstLine="424"/>
        <w:jc w:val="left"/>
      </w:pPr>
      <w:r>
        <w:rPr/>
        <w:t>②截至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日，本公司已背书给他方但尚未到期的应收票据共有</w:t>
      </w:r>
      <w:r>
        <w:rPr>
          <w:rFonts w:ascii="宋体" w:hAnsi="宋体" w:cs="宋体" w:eastAsia="宋体" w:hint="default"/>
        </w:rPr>
        <w:t>51,073,260.01</w:t>
      </w:r>
      <w:r>
        <w:rPr/>
        <w:t>元，其中商 业承兑汇票</w:t>
      </w:r>
      <w:r>
        <w:rPr>
          <w:rFonts w:ascii="宋体" w:hAnsi="宋体" w:cs="宋体" w:eastAsia="宋体" w:hint="default"/>
        </w:rPr>
        <w:t>40,478,388.02</w:t>
      </w:r>
      <w:r>
        <w:rPr>
          <w:rFonts w:ascii="宋体" w:hAnsi="宋体" w:cs="宋体" w:eastAsia="宋体" w:hint="default"/>
          <w:spacing w:val="-3"/>
        </w:rPr>
        <w:t> </w:t>
      </w:r>
      <w:r>
        <w:rPr/>
        <w:t>元。上述商业承兑汇票可能存在票据到期时出票人拒付风险。</w:t>
      </w:r>
    </w:p>
    <w:p>
      <w:pPr>
        <w:spacing w:line="240" w:lineRule="auto" w:before="10"/>
        <w:rPr>
          <w:rFonts w:ascii="宋体" w:hAnsi="宋体" w:cs="宋体" w:eastAsia="宋体" w:hint="default"/>
          <w:sz w:val="26"/>
          <w:szCs w:val="26"/>
        </w:rPr>
      </w:pPr>
    </w:p>
    <w:p>
      <w:pPr>
        <w:pStyle w:val="Heading3"/>
        <w:spacing w:line="240" w:lineRule="auto"/>
        <w:ind w:right="1017"/>
        <w:jc w:val="left"/>
        <w:rPr>
          <w:b w:val="0"/>
          <w:bCs w:val="0"/>
        </w:rPr>
      </w:pPr>
      <w:bookmarkStart w:name="（2）公司没有需要披露的重要或有事项，也应予以说明" w:id="351"/>
      <w:bookmarkEnd w:id="35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4" w:right="1017"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after="0"/>
        <w:jc w:val="left"/>
        <w:rPr>
          <w:rFonts w:ascii="宋体" w:hAnsi="宋体" w:cs="宋体" w:eastAsia="宋体" w:hint="default"/>
          <w:sz w:val="18"/>
          <w:szCs w:val="18"/>
        </w:rPr>
        <w:sectPr>
          <w:pgSz w:w="11910" w:h="16840"/>
          <w:pgMar w:header="877" w:footer="1019" w:top="1100" w:bottom="1200" w:left="980" w:right="0"/>
        </w:sectPr>
      </w:pPr>
    </w:p>
    <w:p>
      <w:pPr>
        <w:spacing w:line="240" w:lineRule="auto" w:before="8"/>
        <w:rPr>
          <w:rFonts w:ascii="宋体" w:hAnsi="宋体" w:cs="宋体" w:eastAsia="宋体" w:hint="default"/>
          <w:sz w:val="19"/>
          <w:szCs w:val="19"/>
        </w:rPr>
      </w:pPr>
    </w:p>
    <w:p>
      <w:pPr>
        <w:pStyle w:val="Heading2"/>
        <w:spacing w:line="240" w:lineRule="auto" w:before="26"/>
        <w:ind w:left="154" w:right="1017"/>
        <w:jc w:val="left"/>
        <w:rPr>
          <w:b w:val="0"/>
          <w:bCs w:val="0"/>
        </w:rPr>
      </w:pPr>
      <w:bookmarkStart w:name="十四、资产负债表日后事项" w:id="352"/>
      <w:bookmarkEnd w:id="352"/>
      <w:r>
        <w:rPr>
          <w:b w:val="0"/>
          <w:bCs w:val="0"/>
        </w:rPr>
      </w: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7"/>
        <w:jc w:val="left"/>
        <w:rPr>
          <w:b w:val="0"/>
          <w:bCs w:val="0"/>
        </w:rPr>
      </w:pPr>
      <w:bookmarkStart w:name="1、重要的非调整事项" w:id="353"/>
      <w:bookmarkEnd w:id="353"/>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89"/>
      </w:tblGrid>
      <w:tr>
        <w:trPr>
          <w:trHeight w:val="162"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4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61"/>
              <w:jc w:val="right"/>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100"/>
              <w:jc w:val="left"/>
              <w:rPr>
                <w:rFonts w:ascii="宋体" w:hAnsi="宋体" w:cs="宋体" w:eastAsia="宋体" w:hint="default"/>
                <w:sz w:val="18"/>
                <w:szCs w:val="18"/>
              </w:rPr>
            </w:pPr>
            <w:r>
              <w:rPr>
                <w:rFonts w:ascii="宋体" w:hAnsi="宋体" w:cs="宋体" w:eastAsia="宋体" w:hint="default"/>
                <w:sz w:val="18"/>
                <w:szCs w:val="18"/>
              </w:rPr>
              <w:t>第二期限制性股票激励计划 预留股份授予完成</w:t>
            </w:r>
          </w:p>
        </w:tc>
        <w:tc>
          <w:tcPr>
            <w:tcW w:w="239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2" w:right="0"/>
              <w:jc w:val="left"/>
              <w:rPr>
                <w:rFonts w:ascii="Times New Roman" w:hAnsi="Times New Roman" w:cs="Times New Roman" w:eastAsia="Times New Roman" w:hint="default"/>
                <w:sz w:val="18"/>
                <w:szCs w:val="18"/>
              </w:rPr>
            </w:pPr>
            <w:r>
              <w:rPr>
                <w:rFonts w:ascii="Times New Roman"/>
                <w:sz w:val="18"/>
              </w:rPr>
              <w:t>-4,288,882.55</w:t>
            </w:r>
          </w:p>
        </w:tc>
        <w:tc>
          <w:tcPr>
            <w:tcW w:w="2389" w:type="dxa"/>
            <w:vMerge w:val="restart"/>
            <w:tcBorders>
              <w:top w:val="single" w:sz="4" w:space="0" w:color="000000"/>
              <w:left w:val="single" w:sz="4" w:space="0" w:color="000000"/>
              <w:right w:val="single" w:sz="4" w:space="0" w:color="000000"/>
            </w:tcBorders>
          </w:tcPr>
          <w:p>
            <w:pPr/>
          </w:p>
        </w:tc>
      </w:tr>
      <w:tr>
        <w:trPr>
          <w:trHeight w:val="391" w:hRule="exact"/>
        </w:trPr>
        <w:tc>
          <w:tcPr>
            <w:tcW w:w="24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19"/>
              <w:jc w:val="righ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vMerge/>
            <w:tcBorders>
              <w:left w:val="single" w:sz="9" w:space="0" w:color="D2D2D2"/>
              <w:right w:val="single" w:sz="4" w:space="0" w:color="000000"/>
            </w:tcBorders>
          </w:tcPr>
          <w:p>
            <w:pP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162"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9" w:space="0" w:color="D2D2D2"/>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2、利润分配情况" w:id="354"/>
      <w:bookmarkEnd w:id="354"/>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32,161,439.60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32,161,439.60</w:t>
            </w:r>
          </w:p>
        </w:tc>
      </w:tr>
    </w:tbl>
    <w:p>
      <w:pPr>
        <w:spacing w:line="240" w:lineRule="auto" w:before="2"/>
        <w:rPr>
          <w:rFonts w:ascii="宋体" w:hAnsi="宋体" w:cs="宋体" w:eastAsia="宋体" w:hint="default"/>
          <w:sz w:val="18"/>
          <w:szCs w:val="18"/>
        </w:rPr>
      </w:pPr>
    </w:p>
    <w:p>
      <w:pPr>
        <w:pStyle w:val="Heading2"/>
        <w:spacing w:line="240" w:lineRule="auto" w:before="26"/>
        <w:ind w:left="154" w:right="1017"/>
        <w:jc w:val="left"/>
        <w:rPr>
          <w:b w:val="0"/>
          <w:bCs w:val="0"/>
        </w:rPr>
      </w:pPr>
      <w:bookmarkStart w:name="十五、母公司财务报表主要项目注释" w:id="355"/>
      <w:bookmarkEnd w:id="355"/>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1、应收账款" w:id="356"/>
      <w:bookmarkEnd w:id="356"/>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7"/>
        <w:jc w:val="left"/>
        <w:rPr>
          <w:b w:val="0"/>
          <w:bCs w:val="0"/>
        </w:rPr>
      </w:pPr>
      <w:bookmarkStart w:name="（1）应收账款分类披露" w:id="357"/>
      <w:bookmarkEnd w:id="35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719,281,</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728.01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37,974,3</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62.29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681,307,3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65.72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468,480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,161.51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25,162,24</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0.56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443,317,92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0.95</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1,482,16</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2.66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1,482,16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424,277</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424,277.9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720,763,</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890.67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39,456,5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24.95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5.47%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681,307,3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65.72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468,904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,439.48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25,586,51</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8.53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5.46%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443,317,92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0.95</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019" w:top="1100" w:bottom="120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760" w:left="980" w:right="0"/>
          <w:cols w:num="2" w:equalWidth="0">
            <w:col w:w="4295" w:space="4535"/>
            <w:col w:w="2100"/>
          </w:cols>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531,167,619.68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15,916,723.22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114,629,239.57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5,436,211.98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50,302,518.26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5,030,251.83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23,182,350.50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11,591,175.26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17,843,630.62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8,921,815.31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3,030,244.87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1,515,122.44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2,308,475.01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1,154,237.51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719,281,728.01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37,974,362.29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2"/>
        <w:rPr>
          <w:rFonts w:ascii="宋体" w:hAnsi="宋体" w:cs="宋体" w:eastAsia="宋体" w:hint="default"/>
          <w:sz w:val="20"/>
          <w:szCs w:val="20"/>
        </w:rPr>
      </w:pPr>
    </w:p>
    <w:p>
      <w:pPr>
        <w:spacing w:line="489" w:lineRule="auto" w:before="0"/>
        <w:ind w:left="574" w:right="2877" w:hanging="420"/>
        <w:jc w:val="left"/>
        <w:rPr>
          <w:rFonts w:ascii="宋体" w:hAnsi="宋体" w:cs="宋体" w:eastAsia="宋体" w:hint="default"/>
          <w:sz w:val="21"/>
          <w:szCs w:val="21"/>
        </w:rPr>
      </w:pPr>
      <w:bookmarkStart w:name="（2）本期计提、收回或转回的坏账准备情况" w:id="358"/>
      <w:bookmarkEnd w:id="3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w:t>
      </w:r>
      <w:r>
        <w:rPr>
          <w:rFonts w:ascii="宋体" w:hAnsi="宋体" w:cs="宋体" w:eastAsia="宋体" w:hint="default"/>
          <w:sz w:val="21"/>
          <w:szCs w:val="21"/>
        </w:rPr>
        <w:t>14,068,159.21</w:t>
      </w:r>
      <w:r>
        <w:rPr>
          <w:rFonts w:ascii="宋体" w:hAnsi="宋体" w:cs="宋体" w:eastAsia="宋体" w:hint="default"/>
          <w:sz w:val="21"/>
          <w:szCs w:val="21"/>
        </w:rPr>
        <w:t>元；本期收回或转回坏账准备金额</w:t>
      </w:r>
      <w:r>
        <w:rPr>
          <w:rFonts w:ascii="宋体" w:hAnsi="宋体" w:cs="宋体" w:eastAsia="宋体" w:hint="default"/>
          <w:sz w:val="21"/>
          <w:szCs w:val="21"/>
        </w:rPr>
        <w:t>0.00</w:t>
      </w:r>
      <w:r>
        <w:rPr>
          <w:rFonts w:ascii="宋体" w:hAnsi="宋体" w:cs="宋体" w:eastAsia="宋体" w:hint="default"/>
          <w:sz w:val="21"/>
          <w:szCs w:val="21"/>
        </w:rPr>
        <w:t>元。</w:t>
      </w:r>
    </w:p>
    <w:p>
      <w:pPr>
        <w:spacing w:line="240" w:lineRule="auto" w:before="0"/>
        <w:rPr>
          <w:rFonts w:ascii="宋体" w:hAnsi="宋体" w:cs="宋体" w:eastAsia="宋体" w:hint="default"/>
          <w:sz w:val="18"/>
          <w:szCs w:val="18"/>
        </w:rPr>
      </w:pPr>
    </w:p>
    <w:p>
      <w:pPr>
        <w:pStyle w:val="Heading3"/>
        <w:spacing w:line="240" w:lineRule="auto"/>
        <w:ind w:left="153" w:right="1017"/>
        <w:jc w:val="left"/>
        <w:rPr>
          <w:b w:val="0"/>
          <w:bCs w:val="0"/>
        </w:rPr>
      </w:pPr>
      <w:bookmarkStart w:name="（3）本期实际核销的应收账款情况" w:id="359"/>
      <w:bookmarkEnd w:id="35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198,152.79</w:t>
            </w:r>
          </w:p>
        </w:tc>
      </w:tr>
    </w:tbl>
    <w:p>
      <w:pPr>
        <w:spacing w:before="51"/>
        <w:ind w:left="154" w:right="1017"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10"/>
        <w:gridCol w:w="1432"/>
        <w:gridCol w:w="1121"/>
        <w:gridCol w:w="1744"/>
        <w:gridCol w:w="1432"/>
        <w:gridCol w:w="1432"/>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0" w:right="79"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深圳招商房地产有限公司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193,152.79</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
              <w:jc w:val="center"/>
              <w:rPr>
                <w:rFonts w:ascii="宋体" w:hAnsi="宋体" w:cs="宋体" w:eastAsia="宋体" w:hint="default"/>
                <w:sz w:val="18"/>
                <w:szCs w:val="18"/>
              </w:rPr>
            </w:pPr>
            <w:r>
              <w:rPr>
                <w:rFonts w:ascii="宋体" w:hAnsi="宋体" w:cs="宋体" w:eastAsia="宋体" w:hint="default"/>
                <w:sz w:val="18"/>
                <w:szCs w:val="18"/>
              </w:rPr>
              <w:t>账龄较长，无法收回</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2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193,152.79</w:t>
            </w:r>
          </w:p>
        </w:tc>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4）按欠款方归集的期末余额前五名的应收账款情况" w:id="360"/>
      <w:bookmarkEnd w:id="36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53"/>
        <w:gridCol w:w="1134"/>
        <w:gridCol w:w="1418"/>
        <w:gridCol w:w="936"/>
        <w:gridCol w:w="1899"/>
        <w:gridCol w:w="1702"/>
      </w:tblGrid>
      <w:tr>
        <w:trPr>
          <w:trHeight w:val="557" w:hRule="exact"/>
        </w:trPr>
        <w:tc>
          <w:tcPr>
            <w:tcW w:w="2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5"/>
              <w:ind w:left="148" w:right="132" w:hanging="15"/>
              <w:jc w:val="left"/>
              <w:rPr>
                <w:rFonts w:ascii="宋体" w:hAnsi="宋体" w:cs="宋体" w:eastAsia="宋体" w:hint="default"/>
                <w:sz w:val="18"/>
                <w:szCs w:val="18"/>
              </w:rPr>
            </w:pPr>
            <w:r>
              <w:rPr>
                <w:rFonts w:ascii="宋体" w:hAnsi="宋体" w:cs="宋体" w:eastAsia="宋体" w:hint="default"/>
                <w:sz w:val="18"/>
                <w:szCs w:val="18"/>
              </w:rPr>
              <w:t>占应收账款期末余额 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right="125"/>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50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世纪互联数据中心有限公司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9" w:right="0"/>
              <w:jc w:val="left"/>
              <w:rPr>
                <w:rFonts w:ascii="Times New Roman" w:hAnsi="Times New Roman" w:cs="Times New Roman" w:eastAsia="Times New Roman" w:hint="default"/>
                <w:sz w:val="18"/>
                <w:szCs w:val="18"/>
              </w:rPr>
            </w:pPr>
            <w:r>
              <w:rPr>
                <w:rFonts w:ascii="Times New Roman"/>
                <w:sz w:val="18"/>
              </w:rPr>
              <w:t>46,683,464.60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6.48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pacing w:val="-1"/>
                <w:sz w:val="18"/>
              </w:rPr>
              <w:t>1,400,503.94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553"/>
        <w:gridCol w:w="1134"/>
        <w:gridCol w:w="1418"/>
        <w:gridCol w:w="936"/>
        <w:gridCol w:w="1899"/>
        <w:gridCol w:w="1702"/>
      </w:tblGrid>
      <w:tr>
        <w:trPr>
          <w:trHeight w:val="557" w:hRule="exact"/>
        </w:trPr>
        <w:tc>
          <w:tcPr>
            <w:tcW w:w="2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48" w:right="132" w:hanging="15"/>
              <w:jc w:val="left"/>
              <w:rPr>
                <w:rFonts w:ascii="宋体" w:hAnsi="宋体" w:cs="宋体" w:eastAsia="宋体" w:hint="default"/>
                <w:sz w:val="18"/>
                <w:szCs w:val="18"/>
              </w:rPr>
            </w:pPr>
            <w:r>
              <w:rPr>
                <w:rFonts w:ascii="宋体" w:hAnsi="宋体" w:cs="宋体" w:eastAsia="宋体" w:hint="default"/>
                <w:sz w:val="18"/>
                <w:szCs w:val="18"/>
              </w:rPr>
              <w:t>占应收账款期末余额 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right="125"/>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50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29,195,718.42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z w:val="18"/>
              </w:rPr>
              <w:t>4.05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z w:val="18"/>
              </w:rPr>
              <w:t>875,871.55</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1"/>
              <w:jc w:val="left"/>
              <w:rPr>
                <w:rFonts w:ascii="宋体" w:hAnsi="宋体" w:cs="宋体" w:eastAsia="宋体" w:hint="default"/>
                <w:sz w:val="18"/>
                <w:szCs w:val="18"/>
              </w:rPr>
            </w:pPr>
            <w:r>
              <w:rPr>
                <w:rFonts w:ascii="宋体" w:hAnsi="宋体" w:cs="宋体" w:eastAsia="宋体" w:hint="default"/>
                <w:spacing w:val="3"/>
                <w:sz w:val="18"/>
                <w:szCs w:val="18"/>
              </w:rPr>
              <w:t>范德兰德物流自动化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w:t>
            </w:r>
            <w:r>
              <w:rPr>
                <w:rFonts w:ascii="宋体" w:hAnsi="宋体" w:cs="宋体" w:eastAsia="宋体" w:hint="default"/>
                <w:spacing w:val="-84"/>
                <w:sz w:val="18"/>
                <w:szCs w:val="18"/>
              </w:rPr>
              <w:t> </w:t>
            </w:r>
            <w:r>
              <w:rPr>
                <w:rFonts w:ascii="宋体" w:hAnsi="宋体" w:cs="宋体" w:eastAsia="宋体" w:hint="default"/>
                <w:sz w:val="18"/>
                <w:szCs w:val="18"/>
              </w:rPr>
              <w:t>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27,849,149.65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835,474.49</w:t>
            </w:r>
          </w:p>
        </w:tc>
      </w:tr>
      <w:tr>
        <w:trPr>
          <w:trHeight w:val="503" w:hRule="exact"/>
        </w:trPr>
        <w:tc>
          <w:tcPr>
            <w:tcW w:w="25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成都轨道交通有限公司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pacing w:val="-1"/>
                <w:sz w:val="18"/>
              </w:rPr>
              <w:t>17,712,249.60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2.46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531,367.49</w:t>
            </w:r>
          </w:p>
        </w:tc>
      </w:tr>
      <w:tr>
        <w:trPr>
          <w:trHeight w:val="504" w:hRule="exact"/>
        </w:trPr>
        <w:tc>
          <w:tcPr>
            <w:tcW w:w="2553"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pacing w:val="-1"/>
                <w:sz w:val="18"/>
              </w:rPr>
              <w:t>1,358,965.12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0.19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67,948.26</w:t>
            </w:r>
          </w:p>
        </w:tc>
      </w:tr>
      <w:tr>
        <w:trPr>
          <w:trHeight w:val="503" w:hRule="exact"/>
        </w:trPr>
        <w:tc>
          <w:tcPr>
            <w:tcW w:w="2553"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1,535,672.41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z w:val="18"/>
              </w:rPr>
              <w:t>0.21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z w:val="18"/>
              </w:rPr>
              <w:t>153,567.24</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洛阳市中心医院（原洛阳市第 二人民医院）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20,089,671.24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602,690.14</w:t>
            </w:r>
          </w:p>
        </w:tc>
      </w:tr>
      <w:tr>
        <w:trPr>
          <w:trHeight w:val="50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144,424,891.04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z w:val="18"/>
              </w:rPr>
              <w:t>20.04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4,467,423.11</w:t>
            </w:r>
          </w:p>
        </w:tc>
      </w:tr>
    </w:tbl>
    <w:p>
      <w:pPr>
        <w:spacing w:line="240" w:lineRule="auto" w:before="2"/>
        <w:rPr>
          <w:rFonts w:ascii="宋体" w:hAnsi="宋体" w:cs="宋体" w:eastAsia="宋体" w:hint="default"/>
          <w:b/>
          <w:bCs/>
          <w:sz w:val="19"/>
          <w:szCs w:val="19"/>
        </w:rPr>
      </w:pPr>
    </w:p>
    <w:p>
      <w:pPr>
        <w:pStyle w:val="Heading3"/>
        <w:spacing w:line="240" w:lineRule="auto" w:before="35"/>
        <w:ind w:right="1017"/>
        <w:jc w:val="left"/>
        <w:rPr>
          <w:b w:val="0"/>
          <w:bCs w:val="0"/>
        </w:rPr>
      </w:pPr>
      <w:bookmarkStart w:name="2、其他应收款" w:id="361"/>
      <w:bookmarkEnd w:id="36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7"/>
        <w:jc w:val="left"/>
        <w:rPr>
          <w:b w:val="0"/>
          <w:bCs w:val="0"/>
        </w:rPr>
      </w:pPr>
      <w:bookmarkStart w:name="（1）其他应收款分类披露" w:id="362"/>
      <w:bookmarkEnd w:id="36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61,737,2</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71.33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3,610,56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58,126,70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4.21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172,779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,012.92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2,448,915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170,330,09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7.54</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30,000.00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61,757,2</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71.33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3,630,56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5.88%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58,126,70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4.21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172,809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,012.92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2,478,915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1.43%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170,330,09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7.54</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019" w:top="1100" w:bottom="120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7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580" w:bottom="7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34,361,505.59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942,219.39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20,098,078.59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359,903.94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3,325,999.47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332,599.95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3,951,687.68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1,975,843.84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2,469,070.57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1,234,535.28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704,883.78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352,441.89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777,733.33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388,866.67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61,737,271.33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3,610,567.12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10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1017"/>
        <w:jc w:val="left"/>
        <w:rPr>
          <w:b w:val="0"/>
          <w:bCs w:val="0"/>
        </w:rPr>
      </w:pPr>
      <w:bookmarkStart w:name="（2）本期计提、收回或转回的坏账准备情况" w:id="363"/>
      <w:bookmarkEnd w:id="36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154" w:right="1017"/>
        <w:jc w:val="left"/>
      </w:pPr>
      <w:r>
        <w:rPr/>
        <w:t>本期计提坏账准备金额</w:t>
      </w:r>
      <w:r>
        <w:rPr>
          <w:spacing w:val="-54"/>
        </w:rPr>
        <w:t> </w:t>
      </w:r>
      <w:r>
        <w:rPr>
          <w:rFonts w:ascii="宋体" w:hAnsi="宋体" w:cs="宋体" w:eastAsia="宋体" w:hint="default"/>
        </w:rPr>
        <w:t>1,161,651.74</w:t>
      </w:r>
      <w:r>
        <w:rPr>
          <w:rFonts w:ascii="宋体" w:hAnsi="宋体" w:cs="宋体" w:eastAsia="宋体" w:hint="default"/>
          <w:spacing w:val="-56"/>
        </w:rPr>
        <w:t> </w:t>
      </w:r>
      <w:r>
        <w:rPr/>
        <w:t>元；本期收回或转回坏账准备金额</w:t>
      </w:r>
      <w:r>
        <w:rPr>
          <w:spacing w:val="-54"/>
        </w:rPr>
        <w:t> </w:t>
      </w:r>
      <w:r>
        <w:rPr>
          <w:rFonts w:ascii="宋体" w:hAnsi="宋体" w:cs="宋体" w:eastAsia="宋体" w:hint="default"/>
        </w:rPr>
        <w:t>10,000.00</w:t>
      </w:r>
      <w:r>
        <w:rPr>
          <w:rFonts w:ascii="宋体" w:hAnsi="宋体" w:cs="宋体" w:eastAsia="宋体" w:hint="default"/>
          <w:spacing w:val="-54"/>
        </w:rPr>
        <w:t> </w:t>
      </w:r>
      <w:r>
        <w:rPr/>
        <w:t>元。</w:t>
      </w:r>
    </w:p>
    <w:p>
      <w:pPr>
        <w:spacing w:line="240" w:lineRule="auto" w:before="9"/>
        <w:rPr>
          <w:rFonts w:ascii="宋体" w:hAnsi="宋体" w:cs="宋体" w:eastAsia="宋体" w:hint="default"/>
          <w:sz w:val="25"/>
          <w:szCs w:val="25"/>
        </w:rPr>
      </w:pPr>
    </w:p>
    <w:p>
      <w:pPr>
        <w:pStyle w:val="Heading3"/>
        <w:spacing w:line="240" w:lineRule="auto"/>
        <w:ind w:right="1017"/>
        <w:jc w:val="left"/>
        <w:rPr>
          <w:b w:val="0"/>
          <w:bCs w:val="0"/>
        </w:rPr>
      </w:pPr>
      <w:bookmarkStart w:name="（3）本期无实际核销的其他应收款情况" w:id="364"/>
      <w:bookmarkEnd w:id="364"/>
      <w:r>
        <w:rPr>
          <w:b w:val="0"/>
          <w:bCs w:val="0"/>
        </w:rPr>
      </w:r>
      <w:r>
        <w:rPr/>
        <w:t>（</w:t>
      </w:r>
      <w:r>
        <w:rPr>
          <w:rFonts w:ascii="Times New Roman" w:hAnsi="Times New Roman" w:cs="Times New Roman" w:eastAsia="Times New Roman" w:hint="default"/>
        </w:rPr>
        <w:t>3</w:t>
      </w:r>
      <w:r>
        <w:rPr/>
        <w:t>）本期无实际核销的其他应收款情况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7"/>
        <w:jc w:val="left"/>
        <w:rPr>
          <w:b w:val="0"/>
          <w:bCs w:val="0"/>
        </w:rPr>
      </w:pPr>
      <w:bookmarkStart w:name="（4）其他应收款按款项性质分类情况" w:id="365"/>
      <w:bookmarkEnd w:id="36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7,303,785.43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7,461,271.18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28,431,242.41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32,075,892.85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15,854,192.70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10,168,050.79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371,848.89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61,757,271.33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172,809,012.92</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5）按欠款方归集的期末余额前五名的其他应收款情况" w:id="366"/>
      <w:bookmarkEnd w:id="36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851"/>
        <w:gridCol w:w="1418"/>
        <w:gridCol w:w="1236"/>
        <w:gridCol w:w="1614"/>
        <w:gridCol w:w="1615"/>
      </w:tblGrid>
      <w:tr>
        <w:trPr>
          <w:trHeight w:val="71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0" w:right="59" w:hanging="270"/>
              <w:jc w:val="left"/>
              <w:rPr>
                <w:rFonts w:ascii="宋体" w:hAnsi="宋体" w:cs="宋体" w:eastAsia="宋体" w:hint="default"/>
                <w:sz w:val="18"/>
                <w:szCs w:val="18"/>
              </w:rPr>
            </w:pPr>
            <w:r>
              <w:rPr>
                <w:rFonts w:ascii="宋体" w:hAnsi="宋体" w:cs="宋体" w:eastAsia="宋体" w:hint="default"/>
                <w:sz w:val="18"/>
                <w:szCs w:val="18"/>
              </w:rPr>
              <w:t>款项的性 质</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宏伟建设工程股份有限公司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押金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42,000.00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成都市城乡建设委员会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押金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海南亿隆城建投资有限公司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押金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851"/>
        <w:gridCol w:w="1418"/>
        <w:gridCol w:w="1236"/>
        <w:gridCol w:w="1614"/>
        <w:gridCol w:w="1615"/>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淘宝（中国）软件有限公司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押金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963,022.00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28,890.66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瑞和安惠项目管理集团有限公司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押金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5,163,022.00</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660,890.66</w:t>
            </w:r>
          </w:p>
        </w:tc>
      </w:tr>
    </w:tbl>
    <w:p>
      <w:pPr>
        <w:spacing w:line="240" w:lineRule="auto" w:before="3"/>
        <w:rPr>
          <w:rFonts w:ascii="宋体" w:hAnsi="宋体" w:cs="宋体" w:eastAsia="宋体" w:hint="default"/>
          <w:sz w:val="19"/>
          <w:szCs w:val="19"/>
        </w:rPr>
      </w:pPr>
    </w:p>
    <w:p>
      <w:pPr>
        <w:pStyle w:val="Heading3"/>
        <w:spacing w:line="240" w:lineRule="auto" w:before="35"/>
        <w:ind w:right="1017"/>
        <w:jc w:val="left"/>
        <w:rPr>
          <w:b w:val="0"/>
          <w:bCs w:val="0"/>
        </w:rPr>
      </w:pPr>
      <w:bookmarkStart w:name="3、长期股权投资" w:id="367"/>
      <w:bookmarkEnd w:id="36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161"/>
        <w:gridCol w:w="1419"/>
        <w:gridCol w:w="984"/>
        <w:gridCol w:w="1367"/>
        <w:gridCol w:w="1367"/>
        <w:gridCol w:w="1100"/>
        <w:gridCol w:w="1277"/>
      </w:tblGrid>
      <w:tr>
        <w:trPr>
          <w:trHeight w:val="206" w:hRule="exact"/>
        </w:trPr>
        <w:tc>
          <w:tcPr>
            <w:tcW w:w="216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7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4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1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70" w:type="dxa"/>
            <w:gridSpan w:val="3"/>
            <w:vMerge/>
            <w:tcBorders>
              <w:left w:val="single" w:sz="4" w:space="0" w:color="000000"/>
              <w:bottom w:val="single" w:sz="4" w:space="0" w:color="000000"/>
              <w:right w:val="single" w:sz="4" w:space="0" w:color="000000"/>
            </w:tcBorders>
            <w:shd w:val="clear" w:color="auto" w:fill="D2D2D2"/>
          </w:tcPr>
          <w:p>
            <w:pPr/>
          </w:p>
        </w:tc>
        <w:tc>
          <w:tcPr>
            <w:tcW w:w="3744"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161"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8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1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984"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1,421,960,610.91</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1,421,960,610.91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370,604,109.17</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370,604,109.17</w:t>
            </w:r>
          </w:p>
        </w:tc>
      </w:tr>
      <w:tr>
        <w:trPr>
          <w:trHeight w:val="402" w:hRule="exact"/>
        </w:trPr>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19,403,292.95</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19,403,292.95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1,441,363,903.86</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1,441,363,903.86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370,604,109.17</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370,604,109.17</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1）对子公司投资" w:id="368"/>
      <w:bookmarkEnd w:id="36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上海达实自动化 工程有限公司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2,678,144.91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164,715.52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2,842,860.43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深圳达实信息技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68,150,000.00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91,153,008.64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159,303,008.64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上海达实联欣科 技发展有限公司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197,780,716.00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3,239,405.16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201,020,121.16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北京达实德润能 源科技有限公司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219,620.68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13,719,620.68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深圳达实融资租 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75,395,248.26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74,604,751.74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遵义达实绿色智 慧发展有限公司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珠海达实科技发 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江苏久信医疗科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871,975,000.00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871,975,000.00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淮南达实智慧城 市投资发展有限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370,604,109.17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1,051,356,501.74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1,421,960,610.91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19" w:top="1100" w:bottom="120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017"/>
        <w:jc w:val="left"/>
        <w:rPr>
          <w:b w:val="0"/>
          <w:bCs w:val="0"/>
        </w:rPr>
      </w:pPr>
      <w:bookmarkStart w:name="（2）对联营、合营企业投资" w:id="369"/>
      <w:bookmarkEnd w:id="36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深圳市小 鹿暖暖科 技有限公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-281,575.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9,718,424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融智节能 环保（深 圳）有限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-315,131.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9,684,868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-596,707.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19,403,29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2.95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-596,707.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19,403,29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2.95</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4、营业收入和营业成本" w:id="370"/>
      <w:bookmarkEnd w:id="37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1,205,947,856.42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929,300,085.29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778,865,868.80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582,762,359.01</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443,148.85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84,369.48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422,048.12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84,369.48</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1,206,391,005.27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929,384,454.77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779,287,916.92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582,846,728.49</w:t>
            </w:r>
          </w:p>
        </w:tc>
      </w:tr>
    </w:tbl>
    <w:p>
      <w:pPr>
        <w:spacing w:line="240" w:lineRule="auto" w:before="2"/>
        <w:rPr>
          <w:rFonts w:ascii="宋体" w:hAnsi="宋体" w:cs="宋体" w:eastAsia="宋体" w:hint="default"/>
          <w:sz w:val="19"/>
          <w:szCs w:val="19"/>
        </w:rPr>
      </w:pPr>
    </w:p>
    <w:p>
      <w:pPr>
        <w:pStyle w:val="Heading3"/>
        <w:spacing w:line="240" w:lineRule="auto" w:before="35"/>
        <w:ind w:right="1017"/>
        <w:jc w:val="left"/>
        <w:rPr>
          <w:b w:val="0"/>
          <w:bCs w:val="0"/>
        </w:rPr>
      </w:pPr>
      <w:bookmarkStart w:name="5、投资收益" w:id="371"/>
      <w:bookmarkEnd w:id="37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28,513,016.09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18,815,032.13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-596,707.05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27,916,309.04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18,815,032.13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19" w:top="1100" w:bottom="1200" w:left="980" w:right="0"/>
        </w:sectPr>
      </w:pPr>
    </w:p>
    <w:p>
      <w:pPr>
        <w:spacing w:line="240" w:lineRule="auto" w:before="9"/>
        <w:rPr>
          <w:rFonts w:ascii="宋体" w:hAnsi="宋体" w:cs="宋体" w:eastAsia="宋体" w:hint="default"/>
          <w:sz w:val="19"/>
          <w:szCs w:val="19"/>
        </w:rPr>
      </w:pPr>
    </w:p>
    <w:p>
      <w:pPr>
        <w:pStyle w:val="Heading2"/>
        <w:spacing w:line="240" w:lineRule="auto" w:before="26"/>
        <w:ind w:left="194" w:right="0"/>
        <w:jc w:val="left"/>
        <w:rPr>
          <w:b w:val="0"/>
          <w:bCs w:val="0"/>
        </w:rPr>
      </w:pPr>
      <w:bookmarkStart w:name="十六、补充资料" w:id="372"/>
      <w:bookmarkEnd w:id="372"/>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94" w:right="0"/>
        <w:jc w:val="left"/>
        <w:rPr>
          <w:b w:val="0"/>
          <w:bCs w:val="0"/>
        </w:rPr>
      </w:pPr>
      <w:bookmarkStart w:name="1、当期非经常性损益明细表" w:id="373"/>
      <w:bookmarkEnd w:id="37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00" w:type="dxa"/>
        <w:tblLayout w:type="fixed"/>
        <w:tblCellMar>
          <w:top w:w="0" w:type="dxa"/>
          <w:left w:w="0" w:type="dxa"/>
          <w:bottom w:w="0" w:type="dxa"/>
          <w:right w:w="0" w:type="dxa"/>
        </w:tblCellMar>
        <w:tblLook w:val="01E0"/>
      </w:tblPr>
      <w:tblGrid>
        <w:gridCol w:w="4940"/>
        <w:gridCol w:w="2315"/>
        <w:gridCol w:w="2304"/>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175,357.22</w:t>
            </w:r>
          </w:p>
        </w:tc>
        <w:tc>
          <w:tcPr>
            <w:tcW w:w="23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 一标准定额或定量享受的政府补助除外）</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14,914,406.04</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-135,830.41</w:t>
            </w:r>
            <w:r>
              <w:rPr>
                <w:rFonts w:ascii="Times New Roman"/>
                <w:sz w:val="18"/>
              </w:rPr>
            </w:r>
          </w:p>
        </w:tc>
        <w:tc>
          <w:tcPr>
            <w:tcW w:w="23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2,263,674.54</w:t>
            </w:r>
          </w:p>
        </w:tc>
        <w:tc>
          <w:tcPr>
            <w:tcW w:w="23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2,149,348.71</w:t>
            </w:r>
          </w:p>
        </w:tc>
        <w:tc>
          <w:tcPr>
            <w:tcW w:w="23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1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10,540,909.60</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9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9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93" w:right="0"/>
        <w:jc w:val="left"/>
        <w:rPr>
          <w:b w:val="0"/>
          <w:bCs w:val="0"/>
        </w:rPr>
      </w:pPr>
      <w:bookmarkStart w:name="2、净资产收益率及每股收益" w:id="374"/>
      <w:bookmarkEnd w:id="37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8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0.2679</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0.2494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0.2494</w:t>
            </w:r>
          </w:p>
        </w:tc>
      </w:tr>
    </w:tbl>
    <w:p>
      <w:pPr>
        <w:spacing w:line="240" w:lineRule="auto" w:before="2"/>
        <w:rPr>
          <w:rFonts w:ascii="宋体" w:hAnsi="宋体" w:cs="宋体" w:eastAsia="宋体" w:hint="default"/>
          <w:b/>
          <w:bCs/>
          <w:sz w:val="19"/>
          <w:szCs w:val="19"/>
        </w:rPr>
      </w:pPr>
    </w:p>
    <w:p>
      <w:pPr>
        <w:pStyle w:val="Heading3"/>
        <w:spacing w:line="240" w:lineRule="auto" w:before="35"/>
        <w:ind w:left="194" w:right="0"/>
        <w:jc w:val="left"/>
        <w:rPr>
          <w:b w:val="0"/>
          <w:bCs w:val="0"/>
        </w:rPr>
      </w:pPr>
      <w:bookmarkStart w:name="3、公司主要会计报表科目的变动原因说明" w:id="375"/>
      <w:bookmarkEnd w:id="375"/>
      <w:r>
        <w:rPr>
          <w:b w:val="0"/>
          <w:bCs w:val="0"/>
        </w:rPr>
      </w:r>
      <w:r>
        <w:rPr>
          <w:rFonts w:ascii="Times New Roman" w:hAnsi="Times New Roman" w:cs="Times New Roman" w:eastAsia="Times New Roman" w:hint="default"/>
        </w:rPr>
        <w:t>3</w:t>
      </w:r>
      <w:r>
        <w:rPr/>
        <w:t>、公司主要会计报表科目的变动原因说明</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259"/>
        <w:gridCol w:w="1935"/>
        <w:gridCol w:w="1336"/>
        <w:gridCol w:w="4288"/>
      </w:tblGrid>
      <w:tr>
        <w:trPr>
          <w:trHeight w:val="672" w:hRule="exact"/>
        </w:trPr>
        <w:tc>
          <w:tcPr>
            <w:tcW w:w="22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9"/>
              <w:ind w:left="724" w:right="0"/>
              <w:jc w:val="left"/>
              <w:rPr>
                <w:rFonts w:ascii="宋体" w:hAnsi="宋体" w:cs="宋体" w:eastAsia="宋体" w:hint="default"/>
                <w:sz w:val="20"/>
                <w:szCs w:val="20"/>
              </w:rPr>
            </w:pPr>
            <w:r>
              <w:rPr>
                <w:rFonts w:ascii="宋体" w:hAnsi="宋体" w:cs="宋体" w:eastAsia="宋体" w:hint="default"/>
                <w:sz w:val="20"/>
                <w:szCs w:val="20"/>
              </w:rPr>
              <w:t>报表科目</w:t>
            </w:r>
          </w:p>
        </w:tc>
        <w:tc>
          <w:tcPr>
            <w:tcW w:w="19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9"/>
              <w:ind w:left="561" w:right="0"/>
              <w:jc w:val="left"/>
              <w:rPr>
                <w:rFonts w:ascii="宋体" w:hAnsi="宋体" w:cs="宋体" w:eastAsia="宋体" w:hint="default"/>
                <w:sz w:val="20"/>
                <w:szCs w:val="20"/>
              </w:rPr>
            </w:pPr>
            <w:r>
              <w:rPr>
                <w:rFonts w:ascii="宋体" w:hAnsi="宋体" w:cs="宋体" w:eastAsia="宋体" w:hint="default"/>
                <w:sz w:val="20"/>
                <w:szCs w:val="20"/>
              </w:rPr>
              <w:t>变动金额</w:t>
            </w:r>
          </w:p>
        </w:tc>
        <w:tc>
          <w:tcPr>
            <w:tcW w:w="1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9"/>
              <w:ind w:left="261" w:right="0"/>
              <w:jc w:val="left"/>
              <w:rPr>
                <w:rFonts w:ascii="宋体" w:hAnsi="宋体" w:cs="宋体" w:eastAsia="宋体" w:hint="default"/>
                <w:sz w:val="20"/>
                <w:szCs w:val="20"/>
              </w:rPr>
            </w:pPr>
            <w:r>
              <w:rPr>
                <w:rFonts w:ascii="宋体" w:hAnsi="宋体" w:cs="宋体" w:eastAsia="宋体" w:hint="default"/>
                <w:sz w:val="20"/>
                <w:szCs w:val="20"/>
              </w:rPr>
              <w:t>变动比例</w:t>
            </w:r>
          </w:p>
        </w:tc>
        <w:tc>
          <w:tcPr>
            <w:tcW w:w="42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9"/>
              <w:ind w:right="0"/>
              <w:jc w:val="center"/>
              <w:rPr>
                <w:rFonts w:ascii="宋体" w:hAnsi="宋体" w:cs="宋体" w:eastAsia="宋体" w:hint="default"/>
                <w:sz w:val="20"/>
                <w:szCs w:val="20"/>
              </w:rPr>
            </w:pPr>
            <w:r>
              <w:rPr>
                <w:rFonts w:ascii="宋体" w:hAnsi="宋体" w:cs="宋体" w:eastAsia="宋体" w:hint="default"/>
                <w:sz w:val="20"/>
                <w:szCs w:val="20"/>
              </w:rPr>
              <w:t>原因说明</w:t>
            </w:r>
          </w:p>
        </w:tc>
      </w:tr>
      <w:tr>
        <w:trPr>
          <w:trHeight w:val="1026"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619,759,862.02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131.75%</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1"/>
              <w:jc w:val="both"/>
              <w:rPr>
                <w:rFonts w:ascii="宋体" w:hAnsi="宋体" w:cs="宋体" w:eastAsia="宋体" w:hint="default"/>
                <w:sz w:val="20"/>
                <w:szCs w:val="20"/>
              </w:rPr>
            </w:pPr>
            <w:r>
              <w:rPr>
                <w:rFonts w:ascii="宋体" w:hAnsi="宋体" w:cs="宋体" w:eastAsia="宋体" w:hint="default"/>
                <w:spacing w:val="2"/>
                <w:sz w:val="20"/>
                <w:szCs w:val="20"/>
              </w:rPr>
              <w:t>主要原因是期初母公司计</w:t>
            </w:r>
            <w:r>
              <w:rPr>
                <w:rFonts w:ascii="宋体" w:hAnsi="宋体" w:cs="宋体" w:eastAsia="宋体" w:hint="default"/>
                <w:spacing w:val="2"/>
                <w:sz w:val="20"/>
                <w:szCs w:val="20"/>
              </w:rPr>
              <w:t>"</w:t>
            </w:r>
            <w:r>
              <w:rPr>
                <w:rFonts w:ascii="宋体" w:hAnsi="宋体" w:cs="宋体" w:eastAsia="宋体" w:hint="default"/>
                <w:spacing w:val="2"/>
                <w:sz w:val="20"/>
                <w:szCs w:val="20"/>
              </w:rPr>
              <w:t>“其他流动资产</w:t>
            </w:r>
            <w:r>
              <w:rPr>
                <w:rFonts w:ascii="宋体" w:hAnsi="宋体" w:cs="宋体" w:eastAsia="宋体" w:hint="default"/>
                <w:spacing w:val="2"/>
                <w:sz w:val="20"/>
                <w:szCs w:val="20"/>
              </w:rPr>
              <w:t>"</w:t>
            </w:r>
            <w:r>
              <w:rPr>
                <w:rFonts w:ascii="宋体" w:hAnsi="宋体" w:cs="宋体" w:eastAsia="宋体" w:hint="default"/>
                <w:spacing w:val="2"/>
                <w:sz w:val="20"/>
                <w:szCs w:val="20"/>
              </w:rPr>
              <w:t>的</w:t>
            </w:r>
            <w:r>
              <w:rPr>
                <w:rFonts w:ascii="宋体" w:hAnsi="宋体" w:cs="宋体" w:eastAsia="宋体" w:hint="default"/>
                <w:spacing w:val="-76"/>
                <w:sz w:val="20"/>
                <w:szCs w:val="20"/>
              </w:rPr>
              <w:t> </w:t>
            </w:r>
            <w:r>
              <w:rPr>
                <w:rFonts w:ascii="宋体" w:hAnsi="宋体" w:cs="宋体" w:eastAsia="宋体" w:hint="default"/>
                <w:sz w:val="20"/>
                <w:szCs w:val="20"/>
              </w:rPr>
              <w:t>合计 </w:t>
            </w:r>
            <w:r>
              <w:rPr>
                <w:rFonts w:ascii="宋体" w:hAnsi="宋体" w:cs="宋体" w:eastAsia="宋体" w:hint="default"/>
                <w:sz w:val="20"/>
                <w:szCs w:val="20"/>
              </w:rPr>
              <w:t>5</w:t>
            </w:r>
            <w:r>
              <w:rPr>
                <w:rFonts w:ascii="宋体" w:hAnsi="宋体" w:cs="宋体" w:eastAsia="宋体" w:hint="default"/>
                <w:spacing w:val="-32"/>
                <w:sz w:val="20"/>
                <w:szCs w:val="20"/>
              </w:rPr>
              <w:t> </w:t>
            </w:r>
            <w:r>
              <w:rPr>
                <w:rFonts w:ascii="宋体" w:hAnsi="宋体" w:cs="宋体" w:eastAsia="宋体" w:hint="default"/>
                <w:sz w:val="20"/>
                <w:szCs w:val="20"/>
              </w:rPr>
              <w:t>亿元保本型银行理财产品到期计入及子</w:t>
            </w:r>
            <w:r>
              <w:rPr>
                <w:rFonts w:ascii="宋体" w:hAnsi="宋体" w:cs="宋体" w:eastAsia="宋体" w:hint="default"/>
                <w:w w:val="100"/>
                <w:sz w:val="20"/>
                <w:szCs w:val="20"/>
              </w:rPr>
              <w:t> </w:t>
            </w:r>
            <w:r>
              <w:rPr>
                <w:rFonts w:ascii="宋体" w:hAnsi="宋体" w:cs="宋体" w:eastAsia="宋体" w:hint="default"/>
                <w:sz w:val="20"/>
                <w:szCs w:val="20"/>
              </w:rPr>
              <w:t>公司久信医疗纳入合并报表所致。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15,187,567.29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0"/>
                <w:szCs w:val="20"/>
              </w:rPr>
            </w:pPr>
            <w:r>
              <w:rPr>
                <w:rFonts w:ascii="宋体"/>
                <w:sz w:val="20"/>
              </w:rPr>
              <w:t>33.21%</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3"/>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主要原因是报告期内母公司及子公司达实信息</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收到的承兑汇票增加所致。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596,688,900.02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0"/>
                <w:szCs w:val="20"/>
              </w:rPr>
            </w:pPr>
            <w:r>
              <w:rPr>
                <w:rFonts w:ascii="宋体"/>
                <w:sz w:val="20"/>
              </w:rPr>
              <w:t>94.30%</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1"/>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主要原因是报告期内母公司收入较快增长以及</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子公司久信医疗纳入合并报表所致。</w:t>
            </w:r>
          </w:p>
        </w:tc>
      </w:tr>
    </w:tbl>
    <w:p>
      <w:pPr>
        <w:spacing w:after="0" w:line="285" w:lineRule="auto"/>
        <w:jc w:val="left"/>
        <w:rPr>
          <w:rFonts w:ascii="宋体" w:hAnsi="宋体" w:cs="宋体" w:eastAsia="宋体" w:hint="default"/>
          <w:sz w:val="20"/>
          <w:szCs w:val="20"/>
        </w:rPr>
        <w:sectPr>
          <w:pgSz w:w="11910" w:h="16840"/>
          <w:pgMar w:header="877" w:footer="1019" w:top="1100" w:bottom="1200" w:left="9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2259"/>
        <w:gridCol w:w="1935"/>
        <w:gridCol w:w="1336"/>
        <w:gridCol w:w="4288"/>
      </w:tblGrid>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36,078,613.64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z w:val="20"/>
              </w:rPr>
              <w:t>85.56%</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101" w:right="103"/>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主要原因是报告期内子公司久信医疗纳入合并</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报表所致。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17,100,654.28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z w:val="20"/>
              </w:rPr>
              <w:t>32.37%</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101" w:right="103"/>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主要原因是报告期内子公司久信医疗纳入合并</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报表所致。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-472,294,647.19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-93.64%</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101" w:right="105"/>
              <w:jc w:val="left"/>
              <w:rPr>
                <w:rFonts w:ascii="宋体" w:hAnsi="宋体" w:cs="宋体" w:eastAsia="宋体" w:hint="default"/>
                <w:sz w:val="20"/>
                <w:szCs w:val="20"/>
              </w:rPr>
            </w:pPr>
            <w:r>
              <w:rPr>
                <w:rFonts w:ascii="宋体" w:hAnsi="宋体" w:cs="宋体" w:eastAsia="宋体" w:hint="default"/>
                <w:spacing w:val="2"/>
                <w:sz w:val="20"/>
                <w:szCs w:val="20"/>
              </w:rPr>
              <w:t>主要原因是期初母公司购买的保本型银行理财</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产品合计</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1"/>
                <w:sz w:val="20"/>
                <w:szCs w:val="20"/>
              </w:rPr>
              <w:t> </w:t>
            </w:r>
            <w:r>
              <w:rPr>
                <w:rFonts w:ascii="宋体" w:hAnsi="宋体" w:cs="宋体" w:eastAsia="宋体" w:hint="default"/>
                <w:sz w:val="20"/>
                <w:szCs w:val="20"/>
              </w:rPr>
              <w:t>亿元到期计入货币资金所致。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539,516,748.54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426.43%</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101" w:right="105"/>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主要原因是报告期内子公司达实租赁的融资租</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赁业务快速增长所致。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19,403,292.95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100.00%</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101" w:right="103"/>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主要原因是报告期内母公司参股小鹿暖暖、融</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智节能所致。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42,209,983.50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z w:val="20"/>
              </w:rPr>
              <w:t>45.31%</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101" w:right="103"/>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主要原因是报告期内子公司久信医疗纳入合并</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报表所致。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151,882,267.28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1,604.39%</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101" w:right="101"/>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主要原因是报告期内母公司建筑节能在建项目</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及子公司达实信息物业改扩建持续投入所致。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44,308,029.43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1,879.90%</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101" w:right="103"/>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主要原因是报告期内子公司久信医疗纳入合并</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报表所致。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3,078,822.79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100.00%</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101" w:right="105"/>
              <w:jc w:val="left"/>
              <w:rPr>
                <w:rFonts w:ascii="宋体" w:hAnsi="宋体" w:cs="宋体" w:eastAsia="宋体" w:hint="default"/>
                <w:sz w:val="20"/>
                <w:szCs w:val="20"/>
              </w:rPr>
            </w:pPr>
            <w:r>
              <w:rPr>
                <w:rFonts w:ascii="宋体" w:hAnsi="宋体" w:cs="宋体" w:eastAsia="宋体" w:hint="default"/>
                <w:spacing w:val="2"/>
                <w:sz w:val="20"/>
                <w:szCs w:val="20"/>
              </w:rPr>
              <w:t>主要原因是报告期末母公司及子公司达实联欣</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新增研发项目尚未开发完成所致。</w:t>
            </w:r>
          </w:p>
        </w:tc>
      </w:tr>
      <w:tr>
        <w:trPr>
          <w:trHeight w:val="1026"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pacing w:val="-1"/>
                <w:sz w:val="20"/>
              </w:rPr>
              <w:t>604,746,526.55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pacing w:val="-1"/>
                <w:sz w:val="20"/>
              </w:rPr>
              <w:t>358.76%</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101" w:right="101"/>
              <w:jc w:val="both"/>
              <w:rPr>
                <w:rFonts w:ascii="宋体" w:hAnsi="宋体" w:cs="宋体" w:eastAsia="宋体" w:hint="default"/>
                <w:sz w:val="20"/>
                <w:szCs w:val="20"/>
              </w:rPr>
            </w:pPr>
            <w:r>
              <w:rPr>
                <w:rFonts w:ascii="宋体" w:hAnsi="宋体" w:cs="宋体" w:eastAsia="宋体" w:hint="default"/>
                <w:spacing w:val="2"/>
                <w:sz w:val="20"/>
                <w:szCs w:val="20"/>
              </w:rPr>
              <w:t>主要原因是报告期内公司发行股份及支付现金</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购买久信医疗</w:t>
            </w:r>
            <w:r>
              <w:rPr>
                <w:rFonts w:ascii="宋体" w:hAnsi="宋体" w:cs="宋体" w:eastAsia="宋体" w:hint="default"/>
                <w:spacing w:val="-32"/>
                <w:sz w:val="20"/>
                <w:szCs w:val="20"/>
              </w:rPr>
              <w:t> </w:t>
            </w:r>
            <w:r>
              <w:rPr>
                <w:rFonts w:ascii="宋体" w:hAnsi="宋体" w:cs="宋体" w:eastAsia="宋体" w:hint="default"/>
                <w:sz w:val="20"/>
                <w:szCs w:val="20"/>
              </w:rPr>
              <w:t>100%</w:t>
            </w:r>
            <w:r>
              <w:rPr>
                <w:rFonts w:ascii="宋体" w:hAnsi="宋体" w:cs="宋体" w:eastAsia="宋体" w:hint="default"/>
                <w:sz w:val="20"/>
                <w:szCs w:val="20"/>
              </w:rPr>
              <w:t>股权，非同一控制下合并支</w:t>
            </w:r>
            <w:r>
              <w:rPr>
                <w:rFonts w:ascii="宋体" w:hAnsi="宋体" w:cs="宋体" w:eastAsia="宋体" w:hint="default"/>
                <w:w w:val="100"/>
                <w:sz w:val="20"/>
                <w:szCs w:val="20"/>
              </w:rPr>
              <w:t> </w:t>
            </w:r>
            <w:r>
              <w:rPr>
                <w:rFonts w:ascii="宋体" w:hAnsi="宋体" w:cs="宋体" w:eastAsia="宋体" w:hint="default"/>
                <w:sz w:val="20"/>
                <w:szCs w:val="20"/>
              </w:rPr>
              <w:t>付对价大于可辨认净资产的公允价值所致。</w:t>
            </w:r>
          </w:p>
        </w:tc>
      </w:tr>
      <w:tr>
        <w:trPr>
          <w:trHeight w:val="1338"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10,687,318.55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143.88%</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5"/>
              <w:jc w:val="both"/>
              <w:rPr>
                <w:rFonts w:ascii="宋体" w:hAnsi="宋体" w:cs="宋体" w:eastAsia="宋体" w:hint="default"/>
                <w:sz w:val="20"/>
                <w:szCs w:val="20"/>
              </w:rPr>
            </w:pPr>
            <w:r>
              <w:rPr>
                <w:rFonts w:ascii="宋体" w:hAnsi="宋体" w:cs="宋体" w:eastAsia="宋体" w:hint="default"/>
                <w:spacing w:val="12"/>
                <w:sz w:val="20"/>
                <w:szCs w:val="20"/>
              </w:rPr>
              <w:t>主要原因是报告期内母公司计提坏账准备增</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pacing w:val="2"/>
                <w:sz w:val="20"/>
                <w:szCs w:val="20"/>
              </w:rPr>
              <w:t>加、未达到收入确认条件的政府补助增加、限</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pacing w:val="2"/>
                <w:sz w:val="20"/>
                <w:szCs w:val="20"/>
              </w:rPr>
              <w:t>制性股票摊销增加而确认递延所得税以及子公</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司久信医疗纳入合并报表所致。</w:t>
            </w:r>
          </w:p>
        </w:tc>
      </w:tr>
      <w:tr>
        <w:trPr>
          <w:trHeight w:val="1026"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pacing w:val="-1"/>
                <w:sz w:val="20"/>
              </w:rPr>
              <w:t>197,310,105.05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pacing w:val="-1"/>
                <w:sz w:val="20"/>
              </w:rPr>
              <w:t>730.78%</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3"/>
              <w:jc w:val="both"/>
              <w:rPr>
                <w:rFonts w:ascii="宋体" w:hAnsi="宋体" w:cs="宋体" w:eastAsia="宋体" w:hint="default"/>
                <w:sz w:val="20"/>
                <w:szCs w:val="20"/>
              </w:rPr>
            </w:pPr>
            <w:r>
              <w:rPr>
                <w:rFonts w:ascii="宋体" w:hAnsi="宋体" w:cs="宋体" w:eastAsia="宋体" w:hint="default"/>
                <w:spacing w:val="2"/>
                <w:sz w:val="20"/>
                <w:szCs w:val="20"/>
              </w:rPr>
              <w:t>主要原因是报告期内子公司达实租赁银行短期</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pacing w:val="12"/>
                <w:sz w:val="20"/>
                <w:szCs w:val="20"/>
              </w:rPr>
              <w:t>借款增加及子公司久信医疗纳入合并报表所</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z w:val="20"/>
                <w:szCs w:val="20"/>
              </w:rPr>
              <w:t>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174,156,357.78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410.27%</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101" w:right="103"/>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主要原因是报告期内母公司及子公司达实租赁</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较多使用承兑汇票支付货款所致。</w:t>
            </w:r>
          </w:p>
        </w:tc>
      </w:tr>
      <w:tr>
        <w:trPr>
          <w:trHeight w:val="1026"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pacing w:val="-1"/>
                <w:sz w:val="20"/>
              </w:rPr>
              <w:t>321,794,012.40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z w:val="20"/>
              </w:rPr>
              <w:t>72.53%</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1"/>
              <w:jc w:val="both"/>
              <w:rPr>
                <w:rFonts w:ascii="宋体" w:hAnsi="宋体" w:cs="宋体" w:eastAsia="宋体" w:hint="default"/>
                <w:sz w:val="20"/>
                <w:szCs w:val="20"/>
              </w:rPr>
            </w:pPr>
            <w:r>
              <w:rPr>
                <w:rFonts w:ascii="宋体" w:hAnsi="宋体" w:cs="宋体" w:eastAsia="宋体" w:hint="default"/>
                <w:spacing w:val="2"/>
                <w:sz w:val="20"/>
                <w:szCs w:val="20"/>
              </w:rPr>
              <w:t>主要原因是报告期内公司业务规模增长，期末</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pacing w:val="2"/>
                <w:sz w:val="20"/>
                <w:szCs w:val="20"/>
              </w:rPr>
              <w:t>未到付款期的材料款和进度款增加，以及子公</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司久信医疗纳入合并报表所致。</w:t>
            </w:r>
          </w:p>
        </w:tc>
      </w:tr>
      <w:tr>
        <w:trPr>
          <w:trHeight w:val="1026"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pacing w:val="-1"/>
                <w:sz w:val="20"/>
              </w:rPr>
              <w:t>13,868,194.53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z w:val="20"/>
              </w:rPr>
              <w:t>77.52%</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2"/>
              <w:jc w:val="both"/>
              <w:rPr>
                <w:rFonts w:ascii="宋体" w:hAnsi="宋体" w:cs="宋体" w:eastAsia="宋体" w:hint="default"/>
                <w:sz w:val="20"/>
                <w:szCs w:val="20"/>
              </w:rPr>
            </w:pPr>
            <w:r>
              <w:rPr>
                <w:rFonts w:ascii="宋体" w:hAnsi="宋体" w:cs="宋体" w:eastAsia="宋体" w:hint="default"/>
                <w:spacing w:val="2"/>
                <w:sz w:val="20"/>
                <w:szCs w:val="20"/>
              </w:rPr>
              <w:t>主要原因是报告期内公司员工人数及薪酬较上</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pacing w:val="2"/>
                <w:sz w:val="20"/>
                <w:szCs w:val="20"/>
              </w:rPr>
              <w:t>期增加，以及子公司久信医疗纳入合并报表所</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56,568,800.54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170.95%</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101" w:right="105"/>
              <w:jc w:val="left"/>
              <w:rPr>
                <w:rFonts w:ascii="宋体" w:hAnsi="宋体" w:cs="宋体" w:eastAsia="宋体" w:hint="default"/>
                <w:sz w:val="20"/>
                <w:szCs w:val="20"/>
              </w:rPr>
            </w:pPr>
            <w:r>
              <w:rPr>
                <w:rFonts w:ascii="宋体" w:hAnsi="宋体" w:cs="宋体" w:eastAsia="宋体" w:hint="default"/>
                <w:spacing w:val="2"/>
                <w:sz w:val="20"/>
                <w:szCs w:val="20"/>
              </w:rPr>
              <w:t>主要原因是本报告期母公司利润增加及子公司</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久信医疗纳入合并报表所致。</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spacing w:val="-1"/>
                <w:sz w:val="20"/>
              </w:rPr>
              <w:t>1,289,879.96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sz w:val="20"/>
              </w:rPr>
              <w:t>88.18%</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1" w:right="0"/>
              <w:jc w:val="left"/>
              <w:rPr>
                <w:rFonts w:ascii="宋体" w:hAnsi="宋体" w:cs="宋体" w:eastAsia="宋体" w:hint="default"/>
                <w:sz w:val="20"/>
                <w:szCs w:val="20"/>
              </w:rPr>
            </w:pPr>
            <w:r>
              <w:rPr>
                <w:rFonts w:ascii="宋体" w:hAnsi="宋体" w:cs="宋体" w:eastAsia="宋体" w:hint="default"/>
                <w:spacing w:val="2"/>
                <w:sz w:val="20"/>
                <w:szCs w:val="20"/>
              </w:rPr>
              <w:t>主要原因是本报告期子公司达实租赁计提未到</w:t>
            </w:r>
          </w:p>
        </w:tc>
      </w:tr>
    </w:tbl>
    <w:p>
      <w:pPr>
        <w:spacing w:after="0" w:line="240" w:lineRule="auto"/>
        <w:jc w:val="left"/>
        <w:rPr>
          <w:rFonts w:ascii="宋体" w:hAnsi="宋体" w:cs="宋体" w:eastAsia="宋体" w:hint="default"/>
          <w:sz w:val="20"/>
          <w:szCs w:val="20"/>
        </w:rPr>
        <w:sectPr>
          <w:pgSz w:w="11910" w:h="16840"/>
          <w:pgMar w:header="877" w:footer="1019" w:top="1100" w:bottom="1200" w:left="9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2259"/>
        <w:gridCol w:w="1935"/>
        <w:gridCol w:w="1336"/>
        <w:gridCol w:w="4288"/>
      </w:tblGrid>
      <w:tr>
        <w:trPr>
          <w:trHeight w:val="362" w:hRule="exact"/>
        </w:trPr>
        <w:tc>
          <w:tcPr>
            <w:tcW w:w="2259"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1" w:right="0"/>
              <w:jc w:val="left"/>
              <w:rPr>
                <w:rFonts w:ascii="宋体" w:hAnsi="宋体" w:cs="宋体" w:eastAsia="宋体" w:hint="default"/>
                <w:sz w:val="20"/>
                <w:szCs w:val="20"/>
              </w:rPr>
            </w:pPr>
            <w:r>
              <w:rPr>
                <w:rFonts w:ascii="宋体" w:hAnsi="宋体" w:cs="宋体" w:eastAsia="宋体" w:hint="default"/>
                <w:sz w:val="20"/>
                <w:szCs w:val="20"/>
              </w:rPr>
              <w:t>支付期的银行贷款利息所致。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209,000.00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z w:val="20"/>
              </w:rPr>
              <w:t>61.11%</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5"/>
              <w:jc w:val="left"/>
              <w:rPr>
                <w:rFonts w:ascii="宋体" w:hAnsi="宋体" w:cs="宋体" w:eastAsia="宋体" w:hint="default"/>
                <w:sz w:val="20"/>
                <w:szCs w:val="20"/>
              </w:rPr>
            </w:pPr>
            <w:r>
              <w:rPr>
                <w:rFonts w:ascii="宋体" w:hAnsi="宋体" w:cs="宋体" w:eastAsia="宋体" w:hint="default"/>
                <w:spacing w:val="2"/>
                <w:sz w:val="20"/>
                <w:szCs w:val="20"/>
              </w:rPr>
              <w:t>主要原因是公司未解禁的员工限制性股票分红</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款由公司代管所致。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434,169,116.49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1,544.90%</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1"/>
              <w:jc w:val="left"/>
              <w:rPr>
                <w:rFonts w:ascii="宋体" w:hAnsi="宋体" w:cs="宋体" w:eastAsia="宋体" w:hint="default"/>
                <w:sz w:val="20"/>
                <w:szCs w:val="20"/>
              </w:rPr>
            </w:pPr>
            <w:r>
              <w:rPr>
                <w:rFonts w:ascii="宋体" w:hAnsi="宋体" w:cs="宋体" w:eastAsia="宋体" w:hint="default"/>
                <w:spacing w:val="2"/>
                <w:sz w:val="20"/>
                <w:szCs w:val="20"/>
              </w:rPr>
              <w:t>主要原因是报告期末公司尚未支付收购久信医</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疗的现金对价部分所致。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102"/>
              <w:jc w:val="left"/>
              <w:rPr>
                <w:rFonts w:ascii="宋体" w:hAnsi="宋体" w:cs="宋体" w:eastAsia="宋体" w:hint="default"/>
                <w:sz w:val="20"/>
                <w:szCs w:val="20"/>
              </w:rPr>
            </w:pPr>
            <w:r>
              <w:rPr>
                <w:rFonts w:ascii="宋体" w:hAnsi="宋体" w:cs="宋体" w:eastAsia="宋体" w:hint="default"/>
                <w:spacing w:val="2"/>
                <w:sz w:val="20"/>
                <w:szCs w:val="20"/>
              </w:rPr>
              <w:t>一年内到期的非流动负</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债</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-22,724,894.00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-100.00%</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3"/>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主要原因是报告期内支付达实联欣的第四期股</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权收购款所致。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100.00%</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3"/>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主要原因是报告期内子公司达实租赁取得银行</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年期借款所致。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9,040,000.00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z w:val="20"/>
              </w:rPr>
              <w:t>96.68%</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3"/>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主要原因是报告期内母公司收到未达到收入确</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认条件的政府补贴较多所致。</w:t>
            </w:r>
          </w:p>
        </w:tc>
      </w:tr>
      <w:tr>
        <w:trPr>
          <w:trHeight w:val="1026"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pacing w:val="-1"/>
                <w:sz w:val="20"/>
              </w:rPr>
              <w:t>386,682,792.00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pacing w:val="-1"/>
                <w:sz w:val="20"/>
              </w:rPr>
              <w:t>151.17%</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1" w:right="0"/>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主要原因是报告期内公司实施 </w:t>
            </w:r>
            <w:r>
              <w:rPr>
                <w:rFonts w:ascii="宋体" w:hAnsi="宋体" w:cs="宋体" w:eastAsia="宋体" w:hint="default"/>
                <w:sz w:val="20"/>
                <w:szCs w:val="20"/>
              </w:rPr>
              <w:t>2014</w:t>
            </w:r>
            <w:r>
              <w:rPr>
                <w:rFonts w:ascii="宋体" w:hAnsi="宋体" w:cs="宋体" w:eastAsia="宋体" w:hint="default"/>
                <w:spacing w:val="29"/>
                <w:sz w:val="20"/>
                <w:szCs w:val="20"/>
              </w:rPr>
              <w:t> </w:t>
            </w:r>
            <w:r>
              <w:rPr>
                <w:rFonts w:ascii="宋体" w:hAnsi="宋体" w:cs="宋体" w:eastAsia="宋体" w:hint="default"/>
                <w:spacing w:val="2"/>
                <w:sz w:val="20"/>
                <w:szCs w:val="20"/>
              </w:rPr>
              <w:t>年实施每</w:t>
            </w:r>
          </w:p>
          <w:p>
            <w:pPr>
              <w:pStyle w:val="TableParagraph"/>
              <w:spacing w:line="288" w:lineRule="auto" w:before="49"/>
              <w:ind w:left="101" w:right="101"/>
              <w:jc w:val="left"/>
              <w:rPr>
                <w:rFonts w:ascii="宋体" w:hAnsi="宋体" w:cs="宋体" w:eastAsia="宋体" w:hint="default"/>
                <w:sz w:val="20"/>
                <w:szCs w:val="20"/>
              </w:rPr>
            </w:pPr>
            <w:r>
              <w:rPr>
                <w:rFonts w:ascii="宋体" w:hAnsi="宋体" w:cs="宋体" w:eastAsia="宋体" w:hint="default"/>
                <w:sz w:val="20"/>
                <w:szCs w:val="20"/>
              </w:rPr>
              <w:t>10 </w:t>
            </w:r>
            <w:r>
              <w:rPr>
                <w:rFonts w:ascii="宋体" w:hAnsi="宋体" w:cs="宋体" w:eastAsia="宋体" w:hint="default"/>
                <w:sz w:val="20"/>
                <w:szCs w:val="20"/>
              </w:rPr>
              <w:t>股转增 </w:t>
            </w:r>
            <w:r>
              <w:rPr>
                <w:rFonts w:ascii="宋体" w:hAnsi="宋体" w:cs="宋体" w:eastAsia="宋体" w:hint="default"/>
                <w:sz w:val="20"/>
                <w:szCs w:val="20"/>
              </w:rPr>
              <w:t>12</w:t>
            </w:r>
            <w:r>
              <w:rPr>
                <w:rFonts w:ascii="宋体" w:hAnsi="宋体" w:cs="宋体" w:eastAsia="宋体" w:hint="default"/>
                <w:spacing w:val="-34"/>
                <w:sz w:val="20"/>
                <w:szCs w:val="20"/>
              </w:rPr>
              <w:t> </w:t>
            </w:r>
            <w:r>
              <w:rPr>
                <w:rFonts w:ascii="宋体" w:hAnsi="宋体" w:cs="宋体" w:eastAsia="宋体" w:hint="default"/>
                <w:sz w:val="20"/>
                <w:szCs w:val="20"/>
              </w:rPr>
              <w:t>股利润分配方案及因收购久信医</w:t>
            </w:r>
            <w:r>
              <w:rPr>
                <w:rFonts w:ascii="宋体" w:hAnsi="宋体" w:cs="宋体" w:eastAsia="宋体" w:hint="default"/>
                <w:w w:val="100"/>
                <w:sz w:val="20"/>
                <w:szCs w:val="20"/>
              </w:rPr>
              <w:t> </w:t>
            </w:r>
            <w:r>
              <w:rPr>
                <w:rFonts w:ascii="宋体" w:hAnsi="宋体" w:cs="宋体" w:eastAsia="宋体" w:hint="default"/>
                <w:sz w:val="20"/>
                <w:szCs w:val="20"/>
              </w:rPr>
              <w:t>疗增发股票所致。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497,375,241.94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z w:val="20"/>
              </w:rPr>
              <w:t>50.01%</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1"/>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主要原因是报告期内公司实施发行股份购买资</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产收购江苏久信股本溢价所致。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库存股</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91,408,000.00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100.00%</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3"/>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主要原因是报告期内公司实施第二期限制性股</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票激励未到解锁期所致。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12,821,254.48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z w:val="20"/>
              </w:rPr>
              <w:t>37.88%</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5"/>
              <w:jc w:val="left"/>
              <w:rPr>
                <w:rFonts w:ascii="宋体" w:hAnsi="宋体" w:cs="宋体" w:eastAsia="宋体" w:hint="default"/>
                <w:sz w:val="20"/>
                <w:szCs w:val="20"/>
              </w:rPr>
            </w:pPr>
            <w:r>
              <w:rPr>
                <w:rFonts w:ascii="宋体" w:hAnsi="宋体" w:cs="宋体" w:eastAsia="宋体" w:hint="default"/>
                <w:spacing w:val="2"/>
                <w:sz w:val="20"/>
                <w:szCs w:val="20"/>
              </w:rPr>
              <w:t>主要原因是本报告期公司利润增加，计提盈余</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公积相应增加所致。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113,652,049.19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z w:val="20"/>
              </w:rPr>
              <w:t>34.08%</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3"/>
              <w:jc w:val="left"/>
              <w:rPr>
                <w:rFonts w:ascii="宋体" w:hAnsi="宋体" w:cs="宋体" w:eastAsia="宋体" w:hint="default"/>
                <w:sz w:val="20"/>
                <w:szCs w:val="20"/>
              </w:rPr>
            </w:pPr>
            <w:r>
              <w:rPr>
                <w:rFonts w:ascii="宋体" w:hAnsi="宋体" w:cs="宋体" w:eastAsia="宋体" w:hint="default"/>
                <w:spacing w:val="12"/>
                <w:sz w:val="20"/>
                <w:szCs w:val="20"/>
              </w:rPr>
              <w:t>主要原因是报告期内公司净利润持续增长所</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448,246,402.03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z w:val="20"/>
              </w:rPr>
              <w:t>35.49%</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5"/>
              <w:jc w:val="left"/>
              <w:rPr>
                <w:rFonts w:ascii="宋体" w:hAnsi="宋体" w:cs="宋体" w:eastAsia="宋体" w:hint="default"/>
                <w:sz w:val="20"/>
                <w:szCs w:val="20"/>
              </w:rPr>
            </w:pPr>
            <w:r>
              <w:rPr>
                <w:rFonts w:ascii="宋体" w:hAnsi="宋体" w:cs="宋体" w:eastAsia="宋体" w:hint="default"/>
                <w:spacing w:val="2"/>
                <w:sz w:val="20"/>
                <w:szCs w:val="20"/>
              </w:rPr>
              <w:t>主要原因是公司前期签约项目实现收入增加及</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子公司久信医疗纳入合并报表所致。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356,064,815.61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z w:val="20"/>
              </w:rPr>
              <w:t>41.23%</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3"/>
              <w:jc w:val="left"/>
              <w:rPr>
                <w:rFonts w:ascii="宋体" w:hAnsi="宋体" w:cs="宋体" w:eastAsia="宋体" w:hint="default"/>
                <w:sz w:val="20"/>
                <w:szCs w:val="20"/>
              </w:rPr>
            </w:pPr>
            <w:r>
              <w:rPr>
                <w:rFonts w:ascii="宋体" w:hAnsi="宋体" w:cs="宋体" w:eastAsia="宋体" w:hint="default"/>
                <w:spacing w:val="2"/>
                <w:sz w:val="20"/>
                <w:szCs w:val="20"/>
              </w:rPr>
              <w:t>主要原因是本报告期收入增加成本相应增加及</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子公司久信医疗纳入合并报表所致。</w:t>
            </w:r>
          </w:p>
        </w:tc>
      </w:tr>
      <w:tr>
        <w:trPr>
          <w:trHeight w:val="1026"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pacing w:val="-1"/>
                <w:sz w:val="20"/>
              </w:rPr>
              <w:t>30,633,640.46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z w:val="20"/>
              </w:rPr>
              <w:t>33.01%</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73"/>
              <w:jc w:val="both"/>
              <w:rPr>
                <w:rFonts w:ascii="宋体" w:hAnsi="宋体" w:cs="宋体" w:eastAsia="宋体" w:hint="default"/>
                <w:sz w:val="20"/>
                <w:szCs w:val="20"/>
              </w:rPr>
            </w:pPr>
            <w:r>
              <w:rPr>
                <w:rFonts w:ascii="宋体" w:hAnsi="宋体" w:cs="宋体" w:eastAsia="宋体" w:hint="default"/>
                <w:sz w:val="20"/>
                <w:szCs w:val="20"/>
              </w:rPr>
              <w:t>主要原因是本报告期薪酬增加、第二期限制性</w:t>
            </w:r>
            <w:r>
              <w:rPr>
                <w:rFonts w:ascii="宋体" w:hAnsi="宋体" w:cs="宋体" w:eastAsia="宋体" w:hint="default"/>
                <w:w w:val="100"/>
                <w:sz w:val="20"/>
                <w:szCs w:val="20"/>
              </w:rPr>
              <w:t> </w:t>
            </w:r>
            <w:r>
              <w:rPr>
                <w:rFonts w:ascii="宋体" w:hAnsi="宋体" w:cs="宋体" w:eastAsia="宋体" w:hint="default"/>
                <w:sz w:val="20"/>
                <w:szCs w:val="20"/>
              </w:rPr>
              <w:t>股票激励费用摊销及子公司久信医疗纳入合并</w:t>
            </w:r>
            <w:r>
              <w:rPr>
                <w:rFonts w:ascii="宋体" w:hAnsi="宋体" w:cs="宋体" w:eastAsia="宋体" w:hint="default"/>
                <w:w w:val="100"/>
                <w:sz w:val="20"/>
                <w:szCs w:val="20"/>
              </w:rPr>
              <w:t> </w:t>
            </w:r>
            <w:r>
              <w:rPr>
                <w:rFonts w:ascii="宋体" w:hAnsi="宋体" w:cs="宋体" w:eastAsia="宋体" w:hint="default"/>
                <w:sz w:val="20"/>
                <w:szCs w:val="20"/>
              </w:rPr>
              <w:t>报表所致。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38,065,393.05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z w:val="20"/>
              </w:rPr>
              <w:t>41.77%</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73"/>
              <w:jc w:val="left"/>
              <w:rPr>
                <w:rFonts w:ascii="宋体" w:hAnsi="宋体" w:cs="宋体" w:eastAsia="宋体" w:hint="default"/>
                <w:sz w:val="20"/>
                <w:szCs w:val="20"/>
              </w:rPr>
            </w:pPr>
            <w:r>
              <w:rPr>
                <w:rFonts w:ascii="宋体" w:hAnsi="宋体" w:cs="宋体" w:eastAsia="宋体" w:hint="default"/>
                <w:sz w:val="20"/>
                <w:szCs w:val="20"/>
              </w:rPr>
              <w:t>主要原因是本报告期薪酬增加及子公司久信医</w:t>
            </w:r>
            <w:r>
              <w:rPr>
                <w:rFonts w:ascii="宋体" w:hAnsi="宋体" w:cs="宋体" w:eastAsia="宋体" w:hint="default"/>
                <w:w w:val="100"/>
                <w:sz w:val="20"/>
                <w:szCs w:val="20"/>
              </w:rPr>
              <w:t> </w:t>
            </w:r>
            <w:r>
              <w:rPr>
                <w:rFonts w:ascii="宋体" w:hAnsi="宋体" w:cs="宋体" w:eastAsia="宋体" w:hint="default"/>
                <w:sz w:val="20"/>
                <w:szCs w:val="20"/>
              </w:rPr>
              <w:t>疗纳入合并报表所致。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-21,008,274.33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-465.71%</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374"/>
              <w:jc w:val="left"/>
              <w:rPr>
                <w:rFonts w:ascii="宋体" w:hAnsi="宋体" w:cs="宋体" w:eastAsia="宋体" w:hint="default"/>
                <w:sz w:val="20"/>
                <w:szCs w:val="20"/>
              </w:rPr>
            </w:pPr>
            <w:r>
              <w:rPr>
                <w:rFonts w:ascii="宋体" w:hAnsi="宋体" w:cs="宋体" w:eastAsia="宋体" w:hint="default"/>
                <w:spacing w:val="-1"/>
                <w:sz w:val="20"/>
                <w:szCs w:val="20"/>
              </w:rPr>
              <w:t>本报告期母公司结构性存款利息收入较多所</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致。</w:t>
            </w:r>
          </w:p>
        </w:tc>
      </w:tr>
      <w:tr>
        <w:trPr>
          <w:trHeight w:val="1026"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pacing w:val="-1"/>
                <w:sz w:val="20"/>
              </w:rPr>
              <w:t>25,926,397.23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pacing w:val="-1"/>
                <w:sz w:val="20"/>
              </w:rPr>
              <w:t>252.16%</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97"/>
              <w:jc w:val="both"/>
              <w:rPr>
                <w:rFonts w:ascii="宋体" w:hAnsi="宋体" w:cs="宋体" w:eastAsia="宋体" w:hint="default"/>
                <w:sz w:val="20"/>
                <w:szCs w:val="20"/>
              </w:rPr>
            </w:pPr>
            <w:r>
              <w:rPr>
                <w:rFonts w:ascii="宋体" w:hAnsi="宋体" w:cs="宋体" w:eastAsia="宋体" w:hint="default"/>
                <w:spacing w:val="3"/>
                <w:sz w:val="20"/>
                <w:szCs w:val="20"/>
              </w:rPr>
              <w:t>主要原因是本报告期公司收入增长计提的应收</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2"/>
                <w:sz w:val="20"/>
                <w:szCs w:val="20"/>
              </w:rPr>
              <w:t>账款坏账准备增加、计提子公司达实联欣及达</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实德润商誉减值所致。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-596,707.05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-100.00%</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5"/>
              <w:jc w:val="left"/>
              <w:rPr>
                <w:rFonts w:ascii="宋体" w:hAnsi="宋体" w:cs="宋体" w:eastAsia="宋体" w:hint="default"/>
                <w:sz w:val="20"/>
                <w:szCs w:val="20"/>
              </w:rPr>
            </w:pPr>
            <w:r>
              <w:rPr>
                <w:rFonts w:ascii="宋体" w:hAnsi="宋体" w:cs="宋体" w:eastAsia="宋体" w:hint="default"/>
                <w:spacing w:val="2"/>
                <w:sz w:val="20"/>
                <w:szCs w:val="20"/>
              </w:rPr>
              <w:t>主要原因是本报告期参股公司小鹿暖暖及融智</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节能亏损所致。</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spacing w:val="-1"/>
                <w:sz w:val="20"/>
              </w:rPr>
              <w:t>4,904,470.97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sz w:val="20"/>
              </w:rPr>
              <w:t>46.22%</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1" w:right="0"/>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主要原因是报告期内母公司收到政府补助较多</w:t>
            </w:r>
          </w:p>
        </w:tc>
      </w:tr>
    </w:tbl>
    <w:p>
      <w:pPr>
        <w:spacing w:after="0" w:line="240" w:lineRule="auto"/>
        <w:jc w:val="left"/>
        <w:rPr>
          <w:rFonts w:ascii="宋体" w:hAnsi="宋体" w:cs="宋体" w:eastAsia="宋体" w:hint="default"/>
          <w:sz w:val="20"/>
          <w:szCs w:val="20"/>
        </w:rPr>
        <w:sectPr>
          <w:pgSz w:w="11910" w:h="16840"/>
          <w:pgMar w:header="877" w:footer="1019" w:top="1100" w:bottom="1200" w:left="9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2259"/>
        <w:gridCol w:w="1935"/>
        <w:gridCol w:w="1336"/>
        <w:gridCol w:w="4288"/>
      </w:tblGrid>
      <w:tr>
        <w:trPr>
          <w:trHeight w:val="362" w:hRule="exact"/>
        </w:trPr>
        <w:tc>
          <w:tcPr>
            <w:tcW w:w="2259"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1" w:right="0"/>
              <w:jc w:val="left"/>
              <w:rPr>
                <w:rFonts w:ascii="宋体" w:hAnsi="宋体" w:cs="宋体" w:eastAsia="宋体" w:hint="default"/>
                <w:sz w:val="20"/>
                <w:szCs w:val="20"/>
              </w:rPr>
            </w:pPr>
            <w:r>
              <w:rPr>
                <w:rFonts w:ascii="宋体" w:hAnsi="宋体" w:cs="宋体" w:eastAsia="宋体" w:hint="default"/>
                <w:sz w:val="20"/>
                <w:szCs w:val="20"/>
              </w:rPr>
              <w:t>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102"/>
              <w:jc w:val="left"/>
              <w:rPr>
                <w:rFonts w:ascii="宋体" w:hAnsi="宋体" w:cs="宋体" w:eastAsia="宋体" w:hint="default"/>
                <w:sz w:val="20"/>
                <w:szCs w:val="20"/>
              </w:rPr>
            </w:pPr>
            <w:r>
              <w:rPr>
                <w:rFonts w:ascii="宋体" w:hAnsi="宋体" w:cs="宋体" w:eastAsia="宋体" w:hint="default"/>
                <w:spacing w:val="2"/>
                <w:sz w:val="20"/>
                <w:szCs w:val="20"/>
              </w:rPr>
              <w:t>归属于母公司所有者的</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净利润</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40,465,445.56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z w:val="20"/>
              </w:rPr>
              <w:t>36.08%</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5"/>
              <w:jc w:val="left"/>
              <w:rPr>
                <w:rFonts w:ascii="宋体" w:hAnsi="宋体" w:cs="宋体" w:eastAsia="宋体" w:hint="default"/>
                <w:sz w:val="20"/>
                <w:szCs w:val="20"/>
              </w:rPr>
            </w:pPr>
            <w:r>
              <w:rPr>
                <w:rFonts w:ascii="宋体" w:hAnsi="宋体" w:cs="宋体" w:eastAsia="宋体" w:hint="default"/>
                <w:spacing w:val="2"/>
                <w:sz w:val="20"/>
                <w:szCs w:val="20"/>
              </w:rPr>
              <w:t>主要原因是本报告期母公司及全资子公司利润</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增长较多所致。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-28,278,787.81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-79.50%</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1"/>
              <w:jc w:val="left"/>
              <w:rPr>
                <w:rFonts w:ascii="宋体" w:hAnsi="宋体" w:cs="宋体" w:eastAsia="宋体" w:hint="default"/>
                <w:sz w:val="20"/>
                <w:szCs w:val="20"/>
              </w:rPr>
            </w:pPr>
            <w:r>
              <w:rPr>
                <w:rFonts w:ascii="宋体" w:hAnsi="宋体" w:cs="宋体" w:eastAsia="宋体" w:hint="default"/>
                <w:spacing w:val="2"/>
                <w:sz w:val="20"/>
                <w:szCs w:val="20"/>
              </w:rPr>
              <w:t>主要原因是本报告期持股</w:t>
            </w:r>
            <w:r>
              <w:rPr>
                <w:rFonts w:ascii="宋体" w:hAnsi="宋体" w:cs="宋体" w:eastAsia="宋体" w:hint="default"/>
                <w:spacing w:val="34"/>
                <w:sz w:val="20"/>
                <w:szCs w:val="20"/>
              </w:rPr>
              <w:t> </w:t>
            </w:r>
            <w:r>
              <w:rPr>
                <w:rFonts w:ascii="宋体" w:hAnsi="宋体" w:cs="宋体" w:eastAsia="宋体" w:hint="default"/>
                <w:sz w:val="20"/>
                <w:szCs w:val="20"/>
              </w:rPr>
              <w:t>51%</w:t>
            </w:r>
            <w:r>
              <w:rPr>
                <w:rFonts w:ascii="宋体" w:hAnsi="宋体" w:cs="宋体" w:eastAsia="宋体" w:hint="default"/>
                <w:sz w:val="20"/>
                <w:szCs w:val="20"/>
              </w:rPr>
              <w:t>子公司达实联欣</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净利润较去年同期大幅减少所致。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102"/>
              <w:jc w:val="left"/>
              <w:rPr>
                <w:rFonts w:ascii="宋体" w:hAnsi="宋体" w:cs="宋体" w:eastAsia="宋体" w:hint="default"/>
                <w:sz w:val="20"/>
                <w:szCs w:val="20"/>
              </w:rPr>
            </w:pPr>
            <w:r>
              <w:rPr>
                <w:rFonts w:ascii="宋体" w:hAnsi="宋体" w:cs="宋体" w:eastAsia="宋体" w:hint="default"/>
                <w:spacing w:val="2"/>
                <w:sz w:val="20"/>
                <w:szCs w:val="20"/>
              </w:rPr>
              <w:t>收到的其它与经营活动</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有关的现金</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25,723,792.22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135.21%</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3"/>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主要原因是报告期内收到退回的保函保证金增</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加以及子公司达实租赁收到租赁保证金所致。</w:t>
            </w:r>
          </w:p>
        </w:tc>
      </w:tr>
      <w:tr>
        <w:trPr>
          <w:trHeight w:val="1026"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85" w:lineRule="auto"/>
              <w:ind w:left="103" w:right="102"/>
              <w:jc w:val="left"/>
              <w:rPr>
                <w:rFonts w:ascii="宋体" w:hAnsi="宋体" w:cs="宋体" w:eastAsia="宋体" w:hint="default"/>
                <w:sz w:val="20"/>
                <w:szCs w:val="20"/>
              </w:rPr>
            </w:pPr>
            <w:r>
              <w:rPr>
                <w:rFonts w:ascii="宋体" w:hAnsi="宋体" w:cs="宋体" w:eastAsia="宋体" w:hint="default"/>
                <w:spacing w:val="2"/>
                <w:sz w:val="20"/>
                <w:szCs w:val="20"/>
              </w:rPr>
              <w:t>支付给职工以及为职工</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支付的现金</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pacing w:val="-1"/>
                <w:sz w:val="20"/>
              </w:rPr>
              <w:t>50,578,467.83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z w:val="20"/>
              </w:rPr>
              <w:t>37.18%</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2"/>
              <w:jc w:val="both"/>
              <w:rPr>
                <w:rFonts w:ascii="宋体" w:hAnsi="宋体" w:cs="宋体" w:eastAsia="宋体" w:hint="default"/>
                <w:sz w:val="20"/>
                <w:szCs w:val="20"/>
              </w:rPr>
            </w:pPr>
            <w:r>
              <w:rPr>
                <w:rFonts w:ascii="宋体" w:hAnsi="宋体" w:cs="宋体" w:eastAsia="宋体" w:hint="default"/>
                <w:spacing w:val="2"/>
                <w:sz w:val="20"/>
                <w:szCs w:val="20"/>
              </w:rPr>
              <w:t>主要原因是本报告期公司员工人数增加导致薪</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pacing w:val="2"/>
                <w:sz w:val="20"/>
                <w:szCs w:val="20"/>
              </w:rPr>
              <w:t>酬支出增加、发放上年末预提的年终奖金以及</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子公司久信医疗纳入合并报表所致。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收回投资所收到的现金</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-115,017,875.73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-76.68%</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4"/>
              <w:jc w:val="left"/>
              <w:rPr>
                <w:rFonts w:ascii="宋体" w:hAnsi="宋体" w:cs="宋体" w:eastAsia="宋体" w:hint="default"/>
                <w:sz w:val="20"/>
                <w:szCs w:val="20"/>
              </w:rPr>
            </w:pPr>
            <w:r>
              <w:rPr>
                <w:rFonts w:ascii="宋体" w:hAnsi="宋体" w:cs="宋体" w:eastAsia="宋体" w:hint="default"/>
                <w:spacing w:val="2"/>
                <w:sz w:val="20"/>
                <w:szCs w:val="20"/>
              </w:rPr>
              <w:t>主要原因是上年子公司达实租赁收回前期融资</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租赁投资本金较多所致。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102"/>
              <w:jc w:val="left"/>
              <w:rPr>
                <w:rFonts w:ascii="宋体" w:hAnsi="宋体" w:cs="宋体" w:eastAsia="宋体" w:hint="default"/>
                <w:sz w:val="20"/>
                <w:szCs w:val="20"/>
              </w:rPr>
            </w:pPr>
            <w:r>
              <w:rPr>
                <w:rFonts w:ascii="宋体" w:hAnsi="宋体" w:cs="宋体" w:eastAsia="宋体" w:hint="default"/>
                <w:spacing w:val="2"/>
                <w:sz w:val="20"/>
                <w:szCs w:val="20"/>
              </w:rPr>
              <w:t>取得投资收益收到的现</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金</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11,777,256.53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1,913.37%</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5"/>
              <w:jc w:val="left"/>
              <w:rPr>
                <w:rFonts w:ascii="宋体" w:hAnsi="宋体" w:cs="宋体" w:eastAsia="宋体" w:hint="default"/>
                <w:sz w:val="20"/>
                <w:szCs w:val="20"/>
              </w:rPr>
            </w:pPr>
            <w:r>
              <w:rPr>
                <w:rFonts w:ascii="宋体" w:hAnsi="宋体" w:cs="宋体" w:eastAsia="宋体" w:hint="default"/>
                <w:spacing w:val="2"/>
                <w:sz w:val="20"/>
                <w:szCs w:val="20"/>
              </w:rPr>
              <w:t>主要原因是本报告期母公司购买的保本型银行</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理财产品确认收益所致。</w:t>
            </w:r>
          </w:p>
        </w:tc>
      </w:tr>
      <w:tr>
        <w:trPr>
          <w:trHeight w:val="1026"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102"/>
              <w:jc w:val="both"/>
              <w:rPr>
                <w:rFonts w:ascii="宋体" w:hAnsi="宋体" w:cs="宋体" w:eastAsia="宋体" w:hint="default"/>
                <w:sz w:val="20"/>
                <w:szCs w:val="20"/>
              </w:rPr>
            </w:pPr>
            <w:r>
              <w:rPr>
                <w:rFonts w:ascii="宋体" w:hAnsi="宋体" w:cs="宋体" w:eastAsia="宋体" w:hint="default"/>
                <w:spacing w:val="2"/>
                <w:sz w:val="20"/>
                <w:szCs w:val="20"/>
              </w:rPr>
              <w:t>处置固定资产、无形资</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2"/>
                <w:sz w:val="20"/>
                <w:szCs w:val="20"/>
              </w:rPr>
              <w:t>产和其它长期资产而收</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到的现金净额</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pacing w:val="-1"/>
                <w:sz w:val="20"/>
              </w:rPr>
              <w:t>381,069.00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pacing w:val="-1"/>
                <w:sz w:val="20"/>
              </w:rPr>
              <w:t>162,157.02%</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85" w:lineRule="auto"/>
              <w:ind w:left="101" w:right="103"/>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主要原因是报告期内子公司达实联欣处置固定</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资产残值收入所致。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102"/>
              <w:jc w:val="left"/>
              <w:rPr>
                <w:rFonts w:ascii="宋体" w:hAnsi="宋体" w:cs="宋体" w:eastAsia="宋体" w:hint="default"/>
                <w:sz w:val="20"/>
                <w:szCs w:val="20"/>
              </w:rPr>
            </w:pPr>
            <w:r>
              <w:rPr>
                <w:rFonts w:ascii="宋体" w:hAnsi="宋体" w:cs="宋体" w:eastAsia="宋体" w:hint="default"/>
                <w:spacing w:val="2"/>
                <w:sz w:val="20"/>
                <w:szCs w:val="20"/>
              </w:rPr>
              <w:t>收到的其它与投资活动</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有关的现金</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1,453,200,116.45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100.00%</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3"/>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主要原因是报告期内母公司购买的保本型银行</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理财产品到期，收到本金所致。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276,935,413.68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196.63%</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5"/>
              <w:jc w:val="left"/>
              <w:rPr>
                <w:rFonts w:ascii="宋体" w:hAnsi="宋体" w:cs="宋体" w:eastAsia="宋体" w:hint="default"/>
                <w:sz w:val="20"/>
                <w:szCs w:val="20"/>
              </w:rPr>
            </w:pPr>
            <w:r>
              <w:rPr>
                <w:rFonts w:ascii="宋体" w:hAnsi="宋体" w:cs="宋体" w:eastAsia="宋体" w:hint="default"/>
                <w:spacing w:val="2"/>
                <w:sz w:val="20"/>
                <w:szCs w:val="20"/>
              </w:rPr>
              <w:t>主要原因是本报告期子公司达实租赁购买融资</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租赁资产增加所致。</w:t>
            </w:r>
          </w:p>
        </w:tc>
      </w:tr>
      <w:tr>
        <w:trPr>
          <w:trHeight w:val="1026"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85" w:lineRule="auto"/>
              <w:ind w:left="103" w:right="102"/>
              <w:jc w:val="left"/>
              <w:rPr>
                <w:rFonts w:ascii="宋体" w:hAnsi="宋体" w:cs="宋体" w:eastAsia="宋体" w:hint="default"/>
                <w:sz w:val="20"/>
                <w:szCs w:val="20"/>
              </w:rPr>
            </w:pPr>
            <w:r>
              <w:rPr>
                <w:rFonts w:ascii="宋体" w:hAnsi="宋体" w:cs="宋体" w:eastAsia="宋体" w:hint="default"/>
                <w:spacing w:val="2"/>
                <w:sz w:val="20"/>
                <w:szCs w:val="20"/>
              </w:rPr>
              <w:t>取得子公司及其他营业</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单位支付的现金净额</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pacing w:val="-1"/>
                <w:sz w:val="20"/>
              </w:rPr>
              <w:t>20,727,148.36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pacing w:val="-1"/>
                <w:sz w:val="20"/>
              </w:rPr>
              <w:t>204.38%</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5"/>
              <w:jc w:val="both"/>
              <w:rPr>
                <w:rFonts w:ascii="宋体" w:hAnsi="宋体" w:cs="宋体" w:eastAsia="宋体" w:hint="default"/>
                <w:sz w:val="20"/>
                <w:szCs w:val="20"/>
              </w:rPr>
            </w:pPr>
            <w:r>
              <w:rPr>
                <w:rFonts w:ascii="宋体" w:hAnsi="宋体" w:cs="宋体" w:eastAsia="宋体" w:hint="default"/>
                <w:spacing w:val="12"/>
                <w:sz w:val="20"/>
                <w:szCs w:val="20"/>
              </w:rPr>
              <w:t>主要原因是本报告期全资收购子公司久信医</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pacing w:val="2"/>
                <w:sz w:val="20"/>
                <w:szCs w:val="20"/>
              </w:rPr>
              <w:t>疗，支付的收购款与久信医疗账面货币资金差</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额所致。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102"/>
              <w:jc w:val="left"/>
              <w:rPr>
                <w:rFonts w:ascii="宋体" w:hAnsi="宋体" w:cs="宋体" w:eastAsia="宋体" w:hint="default"/>
                <w:sz w:val="20"/>
                <w:szCs w:val="20"/>
              </w:rPr>
            </w:pPr>
            <w:r>
              <w:rPr>
                <w:rFonts w:ascii="宋体" w:hAnsi="宋体" w:cs="宋体" w:eastAsia="宋体" w:hint="default"/>
                <w:spacing w:val="2"/>
                <w:sz w:val="20"/>
                <w:szCs w:val="20"/>
              </w:rPr>
              <w:t>支付的其它与投资活动</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有关的现金</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455,897,792.97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z w:val="20"/>
              </w:rPr>
              <w:t>91.18%</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3"/>
              <w:jc w:val="left"/>
              <w:rPr>
                <w:rFonts w:ascii="宋体" w:hAnsi="宋体" w:cs="宋体" w:eastAsia="宋体" w:hint="default"/>
                <w:sz w:val="20"/>
                <w:szCs w:val="20"/>
              </w:rPr>
            </w:pPr>
            <w:r>
              <w:rPr>
                <w:rFonts w:ascii="宋体" w:hAnsi="宋体" w:cs="宋体" w:eastAsia="宋体" w:hint="default"/>
                <w:spacing w:val="2"/>
                <w:sz w:val="20"/>
                <w:szCs w:val="20"/>
              </w:rPr>
              <w:t>主要原因是本报告期母公司购买保本型银行理</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财产品所致。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-420,538,167.20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-54.58%</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5"/>
              <w:jc w:val="left"/>
              <w:rPr>
                <w:rFonts w:ascii="宋体" w:hAnsi="宋体" w:cs="宋体" w:eastAsia="宋体" w:hint="default"/>
                <w:sz w:val="20"/>
                <w:szCs w:val="20"/>
              </w:rPr>
            </w:pPr>
            <w:r>
              <w:rPr>
                <w:rFonts w:ascii="宋体" w:hAnsi="宋体" w:cs="宋体" w:eastAsia="宋体" w:hint="default"/>
                <w:spacing w:val="2"/>
                <w:sz w:val="20"/>
                <w:szCs w:val="20"/>
              </w:rPr>
              <w:t>主要原因是上年母公司实施定向发行股票募集</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资金较大所致。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102"/>
              <w:jc w:val="left"/>
              <w:rPr>
                <w:rFonts w:ascii="宋体" w:hAnsi="宋体" w:cs="宋体" w:eastAsia="宋体" w:hint="default"/>
                <w:sz w:val="20"/>
                <w:szCs w:val="20"/>
              </w:rPr>
            </w:pPr>
            <w:r>
              <w:rPr>
                <w:rFonts w:ascii="宋体" w:hAnsi="宋体" w:cs="宋体" w:eastAsia="宋体" w:hint="default"/>
                <w:spacing w:val="2"/>
                <w:sz w:val="20"/>
                <w:szCs w:val="20"/>
              </w:rPr>
              <w:t>子公司吸收少数股东投</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资收到的现金</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7,170,159.28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z w:val="20"/>
              </w:rPr>
              <w:t>40.64%</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5"/>
              <w:jc w:val="left"/>
              <w:rPr>
                <w:rFonts w:ascii="宋体" w:hAnsi="宋体" w:cs="宋体" w:eastAsia="宋体" w:hint="default"/>
                <w:sz w:val="20"/>
                <w:szCs w:val="20"/>
              </w:rPr>
            </w:pPr>
            <w:r>
              <w:rPr>
                <w:rFonts w:ascii="宋体" w:hAnsi="宋体" w:cs="宋体" w:eastAsia="宋体" w:hint="default"/>
                <w:spacing w:val="2"/>
                <w:sz w:val="20"/>
                <w:szCs w:val="20"/>
              </w:rPr>
              <w:t>主要原因是子公司达实租赁收到少数股东投资</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款比去年同期增加所致。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177,625,600.97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183.12%</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2"/>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主要原因是报告期内子公司达实租赁取得</w:t>
            </w:r>
            <w:r>
              <w:rPr>
                <w:rFonts w:ascii="宋体" w:hAnsi="宋体" w:cs="宋体" w:eastAsia="宋体" w:hint="default"/>
                <w:spacing w:val="20"/>
                <w:sz w:val="20"/>
                <w:szCs w:val="20"/>
              </w:rPr>
              <w:t> </w:t>
            </w:r>
            <w:r>
              <w:rPr>
                <w:rFonts w:ascii="宋体" w:hAnsi="宋体" w:cs="宋体" w:eastAsia="宋体" w:hint="default"/>
                <w:sz w:val="20"/>
                <w:szCs w:val="20"/>
              </w:rPr>
              <w:t>2.4</w:t>
            </w:r>
            <w:r>
              <w:rPr>
                <w:rFonts w:ascii="宋体" w:hAnsi="宋体" w:cs="宋体" w:eastAsia="宋体" w:hint="default"/>
                <w:spacing w:val="-97"/>
                <w:sz w:val="20"/>
                <w:szCs w:val="20"/>
              </w:rPr>
              <w:t> </w:t>
            </w:r>
            <w:r>
              <w:rPr>
                <w:rFonts w:ascii="宋体" w:hAnsi="宋体" w:cs="宋体" w:eastAsia="宋体" w:hint="default"/>
                <w:sz w:val="20"/>
                <w:szCs w:val="20"/>
              </w:rPr>
              <w:t>亿元银行借款所致。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102"/>
              <w:jc w:val="left"/>
              <w:rPr>
                <w:rFonts w:ascii="宋体" w:hAnsi="宋体" w:cs="宋体" w:eastAsia="宋体" w:hint="default"/>
                <w:sz w:val="20"/>
                <w:szCs w:val="20"/>
              </w:rPr>
            </w:pPr>
            <w:r>
              <w:rPr>
                <w:rFonts w:ascii="宋体" w:hAnsi="宋体" w:cs="宋体" w:eastAsia="宋体" w:hint="default"/>
                <w:spacing w:val="2"/>
                <w:sz w:val="20"/>
                <w:szCs w:val="20"/>
              </w:rPr>
              <w:t>收到的其它与筹资活动</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有关的现金</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-150,000,000.00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-100.00%</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5"/>
              <w:jc w:val="left"/>
              <w:rPr>
                <w:rFonts w:ascii="宋体" w:hAnsi="宋体" w:cs="宋体" w:eastAsia="宋体" w:hint="default"/>
                <w:sz w:val="20"/>
                <w:szCs w:val="20"/>
              </w:rPr>
            </w:pPr>
            <w:r>
              <w:rPr>
                <w:rFonts w:ascii="宋体" w:hAnsi="宋体" w:cs="宋体" w:eastAsia="宋体" w:hint="default"/>
                <w:spacing w:val="2"/>
                <w:sz w:val="20"/>
                <w:szCs w:val="20"/>
              </w:rPr>
              <w:t>主要原因是去年同期子公司达实租赁收到筹资</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款</w:t>
            </w:r>
            <w:r>
              <w:rPr>
                <w:rFonts w:ascii="宋体" w:hAnsi="宋体" w:cs="宋体" w:eastAsia="宋体" w:hint="default"/>
                <w:spacing w:val="-52"/>
                <w:sz w:val="20"/>
                <w:szCs w:val="20"/>
              </w:rPr>
              <w:t> </w:t>
            </w:r>
            <w:r>
              <w:rPr>
                <w:rFonts w:ascii="宋体" w:hAnsi="宋体" w:cs="宋体" w:eastAsia="宋体" w:hint="default"/>
                <w:sz w:val="20"/>
                <w:szCs w:val="20"/>
              </w:rPr>
              <w:t>1.5</w:t>
            </w:r>
            <w:r>
              <w:rPr>
                <w:rFonts w:ascii="宋体" w:hAnsi="宋体" w:cs="宋体" w:eastAsia="宋体" w:hint="default"/>
                <w:spacing w:val="-51"/>
                <w:sz w:val="20"/>
                <w:szCs w:val="20"/>
              </w:rPr>
              <w:t> </w:t>
            </w:r>
            <w:r>
              <w:rPr>
                <w:rFonts w:ascii="宋体" w:hAnsi="宋体" w:cs="宋体" w:eastAsia="宋体" w:hint="default"/>
                <w:sz w:val="20"/>
                <w:szCs w:val="20"/>
              </w:rPr>
              <w:t>亿元所致。</w:t>
            </w:r>
          </w:p>
        </w:tc>
      </w:tr>
      <w:tr>
        <w:trPr>
          <w:trHeight w:val="1026"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pacing w:val="-1"/>
                <w:sz w:val="20"/>
              </w:rPr>
              <w:t>-61,684,504.08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宋体" w:hAnsi="宋体" w:cs="宋体" w:eastAsia="宋体" w:hint="default"/>
                <w:sz w:val="20"/>
                <w:szCs w:val="20"/>
              </w:rPr>
            </w:pPr>
            <w:r>
              <w:rPr>
                <w:rFonts w:ascii="宋体"/>
                <w:spacing w:val="-1"/>
                <w:sz w:val="20"/>
              </w:rPr>
              <w:t>-51.40%</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3"/>
              <w:jc w:val="both"/>
              <w:rPr>
                <w:rFonts w:ascii="宋体" w:hAnsi="宋体" w:cs="宋体" w:eastAsia="宋体" w:hint="default"/>
                <w:sz w:val="20"/>
                <w:szCs w:val="20"/>
              </w:rPr>
            </w:pPr>
            <w:r>
              <w:rPr>
                <w:rFonts w:ascii="宋体" w:hAnsi="宋体" w:cs="宋体" w:eastAsia="宋体" w:hint="default"/>
                <w:spacing w:val="2"/>
                <w:sz w:val="20"/>
                <w:szCs w:val="20"/>
              </w:rPr>
              <w:t>主要原因是报告期内子公司达实联欣及新纳入</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pacing w:val="2"/>
                <w:sz w:val="20"/>
                <w:szCs w:val="20"/>
              </w:rPr>
              <w:t>合并报表的子公司久信医疗归还银行短期借款</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所致。</w:t>
            </w:r>
          </w:p>
        </w:tc>
      </w:tr>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102"/>
              <w:jc w:val="left"/>
              <w:rPr>
                <w:rFonts w:ascii="宋体" w:hAnsi="宋体" w:cs="宋体" w:eastAsia="宋体" w:hint="default"/>
                <w:sz w:val="20"/>
                <w:szCs w:val="20"/>
              </w:rPr>
            </w:pPr>
            <w:r>
              <w:rPr>
                <w:rFonts w:ascii="宋体" w:hAnsi="宋体" w:cs="宋体" w:eastAsia="宋体" w:hint="default"/>
                <w:spacing w:val="2"/>
                <w:sz w:val="20"/>
                <w:szCs w:val="20"/>
              </w:rPr>
              <w:t>子公司支付给少数股东</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的股利、利润</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9,316,603.14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z w:val="20"/>
              </w:rPr>
              <w:t>51.50%</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1" w:right="105"/>
              <w:jc w:val="left"/>
              <w:rPr>
                <w:rFonts w:ascii="宋体" w:hAnsi="宋体" w:cs="宋体" w:eastAsia="宋体" w:hint="default"/>
                <w:sz w:val="20"/>
                <w:szCs w:val="20"/>
              </w:rPr>
            </w:pPr>
            <w:r>
              <w:rPr>
                <w:rFonts w:ascii="宋体" w:hAnsi="宋体" w:cs="宋体" w:eastAsia="宋体" w:hint="default"/>
                <w:spacing w:val="2"/>
                <w:sz w:val="20"/>
                <w:szCs w:val="20"/>
              </w:rPr>
              <w:t>主要原因是本报告期子公司达实联欣支付分红</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款较去年增加所致。</w:t>
            </w:r>
          </w:p>
        </w:tc>
      </w:tr>
    </w:tbl>
    <w:p>
      <w:pPr>
        <w:spacing w:after="0" w:line="285" w:lineRule="auto"/>
        <w:jc w:val="left"/>
        <w:rPr>
          <w:rFonts w:ascii="宋体" w:hAnsi="宋体" w:cs="宋体" w:eastAsia="宋体" w:hint="default"/>
          <w:sz w:val="20"/>
          <w:szCs w:val="20"/>
        </w:rPr>
        <w:sectPr>
          <w:pgSz w:w="11910" w:h="16840"/>
          <w:pgMar w:header="877" w:footer="1019" w:top="1100" w:bottom="1200" w:left="9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2259"/>
        <w:gridCol w:w="1935"/>
        <w:gridCol w:w="1336"/>
        <w:gridCol w:w="4288"/>
      </w:tblGrid>
      <w:tr>
        <w:trPr>
          <w:trHeight w:val="71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103" w:right="102"/>
              <w:jc w:val="left"/>
              <w:rPr>
                <w:rFonts w:ascii="宋体" w:hAnsi="宋体" w:cs="宋体" w:eastAsia="宋体" w:hint="default"/>
                <w:sz w:val="20"/>
                <w:szCs w:val="20"/>
              </w:rPr>
            </w:pPr>
            <w:r>
              <w:rPr>
                <w:rFonts w:ascii="宋体" w:hAnsi="宋体" w:cs="宋体" w:eastAsia="宋体" w:hint="default"/>
                <w:spacing w:val="2"/>
                <w:sz w:val="20"/>
                <w:szCs w:val="20"/>
              </w:rPr>
              <w:t>支付其它与筹资活动有</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关的现金</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521" w:right="0"/>
              <w:jc w:val="left"/>
              <w:rPr>
                <w:rFonts w:ascii="宋体" w:hAnsi="宋体" w:cs="宋体" w:eastAsia="宋体" w:hint="default"/>
                <w:sz w:val="20"/>
                <w:szCs w:val="20"/>
              </w:rPr>
            </w:pPr>
            <w:r>
              <w:rPr>
                <w:rFonts w:ascii="宋体"/>
                <w:sz w:val="20"/>
              </w:rPr>
              <w:t>61,234,449.59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521" w:right="0"/>
              <w:jc w:val="left"/>
              <w:rPr>
                <w:rFonts w:ascii="宋体" w:hAnsi="宋体" w:cs="宋体" w:eastAsia="宋体" w:hint="default"/>
                <w:sz w:val="20"/>
                <w:szCs w:val="20"/>
              </w:rPr>
            </w:pPr>
            <w:r>
              <w:rPr>
                <w:rFonts w:ascii="宋体"/>
                <w:sz w:val="20"/>
              </w:rPr>
              <w:t>117.60%</w:t>
            </w:r>
          </w:p>
        </w:tc>
        <w:tc>
          <w:tcPr>
            <w:tcW w:w="4288"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101" w:right="103"/>
              <w:jc w:val="left"/>
              <w:rPr>
                <w:rFonts w:ascii="宋体" w:hAnsi="宋体" w:cs="宋体" w:eastAsia="宋体" w:hint="default"/>
                <w:sz w:val="20"/>
                <w:szCs w:val="20"/>
              </w:rPr>
            </w:pPr>
            <w:r>
              <w:rPr>
                <w:rFonts w:ascii="宋体" w:hAnsi="宋体" w:cs="宋体" w:eastAsia="宋体" w:hint="default"/>
                <w:spacing w:val="2"/>
                <w:sz w:val="20"/>
                <w:szCs w:val="20"/>
              </w:rPr>
              <w:t>主要原因是报告期内子公司达实租赁开立银承</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汇票支付的保证金本金所致</w:t>
            </w:r>
          </w:p>
        </w:tc>
      </w:tr>
    </w:tbl>
    <w:p>
      <w:pPr>
        <w:spacing w:after="0" w:line="288" w:lineRule="auto"/>
        <w:jc w:val="left"/>
        <w:rPr>
          <w:rFonts w:ascii="宋体" w:hAnsi="宋体" w:cs="宋体" w:eastAsia="宋体" w:hint="default"/>
          <w:sz w:val="20"/>
          <w:szCs w:val="20"/>
        </w:rPr>
        <w:sectPr>
          <w:pgSz w:w="11910" w:h="16840"/>
          <w:pgMar w:header="877" w:footer="1019" w:top="1100" w:bottom="120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left="3286" w:right="1017"/>
        <w:jc w:val="left"/>
        <w:rPr>
          <w:b w:val="0"/>
          <w:bCs w:val="0"/>
        </w:rPr>
      </w:pPr>
      <w:bookmarkStart w:name="第十一节 备查文件目录" w:id="376"/>
      <w:bookmarkEnd w:id="376"/>
      <w:r>
        <w:rPr>
          <w:b w:val="0"/>
          <w:bCs w:val="0"/>
        </w:rPr>
      </w:r>
      <w:bookmarkStart w:name="_bookmark10" w:id="377"/>
      <w:bookmarkEnd w:id="377"/>
      <w:r>
        <w:rPr>
          <w:b w:val="0"/>
          <w:bCs w:val="0"/>
        </w:rPr>
      </w:r>
      <w:r>
        <w:rPr/>
        <w:t>第十一节</w:t>
      </w:r>
      <w:r>
        <w:rPr>
          <w:spacing w:val="-8"/>
        </w:rPr>
        <w:t> </w:t>
      </w:r>
      <w:r>
        <w:rPr/>
        <w:t>备查文件目录</w:t>
      </w:r>
      <w:r>
        <w:rPr>
          <w:b w:val="0"/>
          <w:bCs w:val="0"/>
        </w:rPr>
      </w:r>
    </w:p>
    <w:p>
      <w:pPr>
        <w:spacing w:line="240" w:lineRule="auto" w:before="8"/>
        <w:rPr>
          <w:rFonts w:ascii="宋体" w:hAnsi="宋体" w:cs="宋体" w:eastAsia="宋体" w:hint="default"/>
          <w:b/>
          <w:bCs/>
          <w:sz w:val="46"/>
          <w:szCs w:val="46"/>
        </w:rPr>
      </w:pPr>
    </w:p>
    <w:p>
      <w:pPr>
        <w:pStyle w:val="BodyText"/>
        <w:spacing w:line="434" w:lineRule="auto" w:before="0"/>
        <w:ind w:left="575" w:right="1017"/>
        <w:jc w:val="left"/>
      </w:pPr>
      <w:r>
        <w:rPr/>
        <w:t>一、载有董事长刘磅先生签名的</w:t>
      </w:r>
      <w:r>
        <w:rPr>
          <w:rFonts w:ascii="Times New Roman" w:hAnsi="Times New Roman" w:cs="Times New Roman" w:eastAsia="Times New Roman" w:hint="default"/>
        </w:rPr>
        <w:t>2015</w:t>
      </w:r>
      <w:r>
        <w:rPr/>
        <w:t>年年度报告全文及摘要。 二、载有公司法定代表人、主管会计工作负责人及会计机构负责人签名并盖章的会计报表。 三、载有会计师事务所、注册会计师签名并盖章的公司</w:t>
      </w:r>
      <w:r>
        <w:rPr>
          <w:rFonts w:ascii="宋体" w:hAnsi="宋体" w:cs="宋体" w:eastAsia="宋体" w:hint="default"/>
        </w:rPr>
        <w:t>2015</w:t>
      </w:r>
      <w:r>
        <w:rPr/>
        <w:t>年年度审计报告。 </w:t>
      </w:r>
      <w:r>
        <w:rPr>
          <w:spacing w:val="-1"/>
        </w:rPr>
        <w:t>四、报告期内在中国证监会指定报纸《证券时报》、《中国证券报》上公开披露过的所有公司文件的</w:t>
      </w:r>
    </w:p>
    <w:p>
      <w:pPr>
        <w:pStyle w:val="BodyText"/>
        <w:spacing w:line="444" w:lineRule="auto" w:before="24"/>
        <w:ind w:left="575" w:right="6761" w:hanging="422"/>
        <w:jc w:val="left"/>
      </w:pPr>
      <w:r>
        <w:rPr/>
        <w:t>正本及公告原稿。 五、备查文件备置地点：公司证券部。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before="0"/>
        <w:ind w:left="0" w:right="1130"/>
        <w:jc w:val="right"/>
      </w:pPr>
      <w:r>
        <w:rPr/>
        <w:t>深圳达实智能股份有限公司</w:t>
      </w:r>
    </w:p>
    <w:p>
      <w:pPr>
        <w:spacing w:line="240" w:lineRule="auto" w:before="11"/>
        <w:rPr>
          <w:rFonts w:ascii="宋体" w:hAnsi="宋体" w:cs="宋体" w:eastAsia="宋体" w:hint="default"/>
          <w:sz w:val="17"/>
          <w:szCs w:val="17"/>
        </w:rPr>
      </w:pPr>
    </w:p>
    <w:p>
      <w:pPr>
        <w:pStyle w:val="BodyText"/>
        <w:spacing w:line="444" w:lineRule="auto" w:before="0"/>
        <w:ind w:left="8429" w:right="1130" w:firstLine="105"/>
        <w:jc w:val="right"/>
      </w:pPr>
      <w:r>
        <w:rPr>
          <w:spacing w:val="-1"/>
        </w:rPr>
        <w:t>董事长：刘磅</w:t>
      </w:r>
      <w:r>
        <w:rPr/>
        <w:t> </w:t>
      </w:r>
      <w:r>
        <w:rPr>
          <w:rFonts w:ascii="宋体" w:hAnsi="宋体" w:cs="宋体" w:eastAsia="宋体" w:hint="default"/>
          <w:spacing w:val="-1"/>
        </w:rPr>
        <w:t>2016</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22</w:t>
      </w:r>
      <w:r>
        <w:rPr>
          <w:spacing w:val="-1"/>
        </w:rPr>
        <w:t>日</w:t>
      </w:r>
    </w:p>
    <w:sectPr>
      <w:pgSz w:w="11910" w:h="16840"/>
      <w:pgMar w:header="877" w:footer="1019" w:top="1100" w:bottom="120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56320"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56248" type="#_x0000_t75" stroked="false">
          <v:imagedata r:id="rId1" o:title=""/>
        </v:shape>
      </w:pict>
    </w:r>
    <w:r>
      <w:rPr/>
      <w:pict>
        <v:shape style="position:absolute;margin-left:291.200012pt;margin-top:779.977905pt;width:13pt;height:11pt;mso-position-horizontal-relative:page;mso-position-vertical-relative:page;z-index:-956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56200" type="#_x0000_t75" stroked="false">
          <v:imagedata r:id="rId1" o:title=""/>
        </v:shape>
      </w:pict>
    </w:r>
    <w:r>
      <w:rPr/>
      <w:pict>
        <v:shape style="position:absolute;margin-left:289.920013pt;margin-top:779.977905pt;width:15.5pt;height:11pt;mso-position-horizontal-relative:page;mso-position-vertical-relative:page;z-index:-9561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56152" type="#_x0000_t75" stroked="false">
          <v:imagedata r:id="rId1" o:title=""/>
        </v:shape>
      </w:pict>
    </w:r>
    <w:r>
      <w:rPr/>
      <w:pict>
        <v:shape style="position:absolute;margin-left:288.920013pt;margin-top:779.977905pt;width:17.5pt;height:11pt;mso-position-horizontal-relative:page;mso-position-vertical-relative:page;z-index:-956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56104" type="#_x0000_t75" stroked="false">
          <v:imagedata r:id="rId1" o:title=""/>
        </v:shape>
      </w:pict>
    </w:r>
    <w:r>
      <w:rPr/>
      <w:pict>
        <v:shape style="position:absolute;margin-left:288.920013pt;margin-top:779.977905pt;width:17.5pt;height:11pt;mso-position-horizontal-relative:page;mso-position-vertical-relative:page;z-index:-956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5629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44.220001pt;margin-top:42.865608pt;width:195.5pt;height:11.5pt;mso-position-horizontal-relative:page;mso-position-vertical-relative:page;z-index:-9562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2"/>
      <w:ind w:left="153"/>
    </w:pPr>
    <w:rPr>
      <w:rFonts w:ascii="宋体" w:hAnsi="宋体" w:eastAsia="宋体"/>
      <w:sz w:val="24"/>
      <w:szCs w:val="24"/>
    </w:rPr>
  </w:style>
  <w:style w:styleId="BodyText" w:type="paragraph">
    <w:name w:val="Body Text"/>
    <w:basedOn w:val="Normal"/>
    <w:uiPriority w:val="1"/>
    <w:qFormat/>
    <w:pPr>
      <w:spacing w:before="30"/>
      <w:ind w:left="153"/>
    </w:pPr>
    <w:rPr>
      <w:rFonts w:ascii="宋体" w:hAnsi="宋体" w:eastAsia="宋体"/>
      <w:sz w:val="21"/>
      <w:szCs w:val="21"/>
    </w:rPr>
  </w:style>
  <w:style w:styleId="Heading1" w:type="paragraph">
    <w:name w:val="Heading 1"/>
    <w:basedOn w:val="Normal"/>
    <w:uiPriority w:val="1"/>
    <w:qFormat/>
    <w:pPr>
      <w:spacing w:before="1"/>
      <w:ind w:left="134"/>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chn-das.com/" TargetMode="External"/><Relationship Id="rId10" Type="http://schemas.openxmlformats.org/officeDocument/2006/relationships/hyperlink" Target="mailto:das@chn-das.com" TargetMode="External"/><Relationship Id="rId11" Type="http://schemas.openxmlformats.org/officeDocument/2006/relationships/hyperlink" Target="http://www.cninfo.com.cn/" TargetMode="External"/><Relationship Id="rId12" Type="http://schemas.openxmlformats.org/officeDocument/2006/relationships/hyperlink" Target="http://irm.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深圳达实智能股份有限公司</dc:creator>
  <dc:title>深圳达实智能股份有限公司2015年年度报告全文</dc:title>
  <dcterms:created xsi:type="dcterms:W3CDTF">2020-05-04T13:37:49Z</dcterms:created>
  <dcterms:modified xsi:type="dcterms:W3CDTF">2020-05-04T13:37:49Z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2016-04-22T00:00:00Z</vt:filetime>
  </property>
  <property fmtid="{D5CDD505-2E9C-101B-9397-08002B2CF9AE}" pid="3" name="Creator">
    <vt:lpwstr>Microsoft® Office Word 2007</vt:lpwstr>
  </property>
  <property fmtid="{D5CDD505-2E9C-101B-9397-08002B2CF9AE}" pid="4" name="LastSaved">
    <vt:filetime>2020-05-04T00:00:00Z</vt:filetime>
  </property>
</Properties>
</file>