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3"/>
        <w:ind w:left="774" w:right="1748" w:firstLine="0"/>
        <w:jc w:val="center"/>
        <w:rPr>
          <w:rFonts w:ascii="黑体" w:hAnsi="黑体" w:cs="黑体" w:eastAsia="黑体" w:hint="default"/>
          <w:sz w:val="44"/>
          <w:szCs w:val="44"/>
        </w:rPr>
      </w:pPr>
      <w:r>
        <w:rPr>
          <w:rFonts w:ascii="黑体" w:hAnsi="黑体" w:cs="黑体" w:eastAsia="黑体" w:hint="default"/>
          <w:sz w:val="44"/>
          <w:szCs w:val="44"/>
        </w:rPr>
        <w:t>深圳达实智能股份有限公司</w:t>
      </w:r>
    </w:p>
    <w:p>
      <w:pPr>
        <w:spacing w:before="35"/>
        <w:ind w:left="774" w:right="1751" w:firstLine="0"/>
        <w:jc w:val="center"/>
        <w:rPr>
          <w:rFonts w:ascii="黑体" w:hAnsi="黑体" w:cs="黑体" w:eastAsia="黑体" w:hint="default"/>
          <w:sz w:val="44"/>
          <w:szCs w:val="44"/>
        </w:rPr>
      </w:pPr>
      <w:r>
        <w:rPr>
          <w:rFonts w:ascii="黑体" w:hAnsi="黑体" w:cs="黑体" w:eastAsia="黑体" w:hint="default"/>
          <w:sz w:val="44"/>
          <w:szCs w:val="44"/>
        </w:rPr>
        <w:t>（</w:t>
      </w:r>
      <w:r>
        <w:rPr>
          <w:rFonts w:ascii="黑体" w:hAnsi="黑体" w:cs="黑体" w:eastAsia="黑体" w:hint="default"/>
          <w:sz w:val="44"/>
          <w:szCs w:val="44"/>
        </w:rPr>
        <w:t>SHENZHEN DAS INTELLITECH CO.,</w:t>
      </w:r>
      <w:r>
        <w:rPr>
          <w:rFonts w:ascii="黑体" w:hAnsi="黑体" w:cs="黑体" w:eastAsia="黑体" w:hint="default"/>
          <w:spacing w:val="1"/>
          <w:sz w:val="44"/>
          <w:szCs w:val="44"/>
        </w:rPr>
        <w:t> </w:t>
      </w:r>
      <w:r>
        <w:rPr>
          <w:rFonts w:ascii="黑体" w:hAnsi="黑体" w:cs="黑体" w:eastAsia="黑体" w:hint="default"/>
          <w:sz w:val="44"/>
          <w:szCs w:val="44"/>
        </w:rPr>
        <w:t>LTD.</w:t>
      </w:r>
      <w:r>
        <w:rPr>
          <w:rFonts w:ascii="黑体" w:hAnsi="黑体" w:cs="黑体" w:eastAsia="黑体" w:hint="default"/>
          <w:sz w:val="44"/>
          <w:szCs w:val="44"/>
        </w:rPr>
        <w:t>）</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4"/>
          <w:szCs w:val="14"/>
        </w:rPr>
      </w:pPr>
    </w:p>
    <w:p>
      <w:pPr>
        <w:spacing w:line="1231" w:lineRule="exact"/>
        <w:ind w:left="2909" w:right="0" w:firstLine="0"/>
        <w:rPr>
          <w:rFonts w:ascii="黑体" w:hAnsi="黑体" w:cs="黑体" w:eastAsia="黑体" w:hint="default"/>
          <w:sz w:val="20"/>
          <w:szCs w:val="20"/>
        </w:rPr>
      </w:pPr>
      <w:r>
        <w:rPr>
          <w:rFonts w:ascii="黑体" w:hAnsi="黑体" w:cs="黑体" w:eastAsia="黑体" w:hint="default"/>
          <w:position w:val="-24"/>
          <w:sz w:val="20"/>
          <w:szCs w:val="20"/>
        </w:rPr>
        <w:drawing>
          <wp:inline distT="0" distB="0" distL="0" distR="0">
            <wp:extent cx="2616819" cy="781812"/>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2616819" cy="781812"/>
                    </a:xfrm>
                    <a:prstGeom prst="rect">
                      <a:avLst/>
                    </a:prstGeom>
                  </pic:spPr>
                </pic:pic>
              </a:graphicData>
            </a:graphic>
          </wp:inline>
        </w:drawing>
      </w:r>
      <w:r>
        <w:rPr>
          <w:rFonts w:ascii="黑体" w:hAnsi="黑体" w:cs="黑体" w:eastAsia="黑体" w:hint="default"/>
          <w:position w:val="-24"/>
          <w:sz w:val="20"/>
          <w:szCs w:val="20"/>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2"/>
          <w:szCs w:val="22"/>
        </w:rPr>
      </w:pPr>
    </w:p>
    <w:p>
      <w:pPr>
        <w:spacing w:line="659" w:lineRule="exact" w:before="0"/>
        <w:ind w:left="774" w:right="1750" w:firstLine="0"/>
        <w:jc w:val="center"/>
        <w:rPr>
          <w:rFonts w:ascii="宋体" w:hAnsi="宋体" w:cs="宋体" w:eastAsia="宋体" w:hint="default"/>
          <w:sz w:val="52"/>
          <w:szCs w:val="52"/>
        </w:rPr>
      </w:pPr>
      <w:r>
        <w:rPr>
          <w:rFonts w:ascii="Times New Roman" w:hAnsi="Times New Roman" w:cs="Times New Roman" w:eastAsia="Times New Roman" w:hint="default"/>
          <w:b/>
          <w:bCs/>
          <w:sz w:val="52"/>
          <w:szCs w:val="52"/>
        </w:rPr>
        <w:t>2017</w:t>
      </w:r>
      <w:r>
        <w:rPr>
          <w:rFonts w:ascii="Times New Roman" w:hAnsi="Times New Roman" w:cs="Times New Roman" w:eastAsia="Times New Roman" w:hint="default"/>
          <w:b/>
          <w:bCs/>
          <w:spacing w:val="-2"/>
          <w:sz w:val="52"/>
          <w:szCs w:val="52"/>
        </w:rPr>
        <w:t> </w:t>
      </w:r>
      <w:r>
        <w:rPr>
          <w:rFonts w:ascii="宋体" w:hAnsi="宋体" w:cs="宋体" w:eastAsia="宋体" w:hint="default"/>
          <w:b/>
          <w:bCs/>
          <w:sz w:val="52"/>
          <w:szCs w:val="52"/>
        </w:rPr>
        <w:t>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3"/>
        <w:rPr>
          <w:rFonts w:ascii="宋体" w:hAnsi="宋体" w:cs="宋体" w:eastAsia="宋体" w:hint="default"/>
          <w:b/>
          <w:bCs/>
          <w:sz w:val="54"/>
          <w:szCs w:val="54"/>
        </w:rPr>
      </w:pPr>
    </w:p>
    <w:p>
      <w:pPr>
        <w:spacing w:before="0"/>
        <w:ind w:left="774" w:right="175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公司负责人刘磅、主管会计工作负责人黄天朗及会计机构负责人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张长伟声明：保证年度报告中财务报告的真实、准确、完整。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本年度报告中涉及的公司未来计划等前瞻性陈述，不构成对投资者的实质</w:t>
      </w:r>
      <w:r>
        <w:rPr>
          <w:rFonts w:ascii="宋体" w:hAnsi="宋体" w:cs="宋体" w:eastAsia="宋体" w:hint="default"/>
          <w:spacing w:val="3"/>
          <w:sz w:val="28"/>
          <w:szCs w:val="28"/>
        </w:rPr>
      </w:r>
    </w:p>
    <w:p>
      <w:pPr>
        <w:spacing w:line="410" w:lineRule="auto" w:before="0"/>
        <w:ind w:left="153"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承诺，请投资者及相关人士对此保持足够的风险认识，理解计划、预测与承诺</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之间的差异。</w:t>
      </w:r>
      <w:r>
        <w:rPr>
          <w:rFonts w:ascii="宋体" w:hAnsi="宋体" w:cs="宋体" w:eastAsia="宋体" w:hint="default"/>
          <w:sz w:val="28"/>
          <w:szCs w:val="28"/>
        </w:rPr>
      </w:r>
    </w:p>
    <w:p>
      <w:pPr>
        <w:spacing w:line="398" w:lineRule="auto" w:before="158"/>
        <w:ind w:left="153" w:right="1132"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公司在本报告</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第四节经营情况讨论与分析</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之</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九、公司未来发展的展望</w:t>
      </w:r>
      <w:r>
        <w:rPr>
          <w:rFonts w:ascii="Times New Roman" w:hAnsi="Times New Roman" w:cs="Times New Roman" w:eastAsia="Times New Roman" w:hint="default"/>
          <w:b/>
          <w:bCs/>
          <w:spacing w:val="3"/>
          <w:w w:val="95"/>
          <w:sz w:val="28"/>
          <w:szCs w:val="28"/>
        </w:rPr>
        <w:t>”</w:t>
      </w:r>
      <w:r>
        <w:rPr>
          <w:rFonts w:ascii="Times New Roman" w:hAnsi="Times New Roman" w:cs="Times New Roman" w:eastAsia="Times New Roman" w:hint="default"/>
          <w:b/>
          <w:bCs/>
          <w:w w:val="99"/>
          <w:sz w:val="28"/>
          <w:szCs w:val="28"/>
        </w:rPr>
        <w:t> </w:t>
      </w:r>
      <w:r>
        <w:rPr>
          <w:rFonts w:ascii="宋体" w:hAnsi="宋体" w:cs="宋体" w:eastAsia="宋体" w:hint="default"/>
          <w:b/>
          <w:bCs/>
          <w:spacing w:val="3"/>
          <w:w w:val="95"/>
          <w:sz w:val="28"/>
          <w:szCs w:val="28"/>
        </w:rPr>
        <w:t>部分详细描述了公司未来经营中可能存在的风险及应对措施，敬请投资者关注</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相关内容。</w:t>
      </w:r>
      <w:r>
        <w:rPr>
          <w:rFonts w:ascii="宋体" w:hAnsi="宋体" w:cs="宋体" w:eastAsia="宋体" w:hint="default"/>
          <w:sz w:val="28"/>
          <w:szCs w:val="28"/>
        </w:rPr>
      </w:r>
    </w:p>
    <w:p>
      <w:pPr>
        <w:spacing w:line="408" w:lineRule="auto" w:before="171"/>
        <w:ind w:left="153" w:right="1134"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公司经本次董事会审议通过的利润分配预案为：以未来实施分配方案时股</w:t>
      </w:r>
      <w:r>
        <w:rPr>
          <w:rFonts w:ascii="宋体" w:hAnsi="宋体" w:cs="宋体" w:eastAsia="宋体" w:hint="default"/>
          <w:b/>
          <w:bCs/>
          <w:w w:val="99"/>
          <w:sz w:val="28"/>
          <w:szCs w:val="28"/>
        </w:rPr>
        <w:t> 权登记日的总股本为基数，向全体股东每</w:t>
      </w:r>
      <w:r>
        <w:rPr>
          <w:rFonts w:ascii="宋体" w:hAnsi="宋体" w:cs="宋体" w:eastAsia="宋体" w:hint="default"/>
          <w:b/>
          <w:bCs/>
          <w:spacing w:val="-57"/>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8"/>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1"/>
          <w:w w:val="99"/>
          <w:sz w:val="28"/>
          <w:szCs w:val="28"/>
        </w:rPr>
        <w:t> </w:t>
      </w:r>
      <w:r>
        <w:rPr>
          <w:rFonts w:ascii="Times New Roman" w:hAnsi="Times New Roman" w:cs="Times New Roman" w:eastAsia="Times New Roman" w:hint="default"/>
          <w:b/>
          <w:bCs/>
          <w:w w:val="99"/>
          <w:sz w:val="28"/>
          <w:szCs w:val="28"/>
        </w:rPr>
        <w:t>0.30</w:t>
      </w:r>
      <w:r>
        <w:rPr>
          <w:rFonts w:ascii="Times New Roman" w:hAnsi="Times New Roman" w:cs="Times New Roman" w:eastAsia="Times New Roman" w:hint="default"/>
          <w:b/>
          <w:bCs/>
          <w:spacing w:val="7"/>
          <w:w w:val="99"/>
          <w:sz w:val="28"/>
          <w:szCs w:val="28"/>
        </w:rPr>
        <w:t> </w:t>
      </w:r>
      <w:r>
        <w:rPr>
          <w:rFonts w:ascii="宋体" w:hAnsi="宋体" w:cs="宋体" w:eastAsia="宋体" w:hint="default"/>
          <w:b/>
          <w:bCs/>
          <w:spacing w:val="-24"/>
          <w:w w:val="99"/>
          <w:sz w:val="28"/>
          <w:szCs w:val="28"/>
        </w:rPr>
        <w:t>元（含税），</w:t>
      </w:r>
      <w:r>
        <w:rPr>
          <w:rFonts w:ascii="宋体" w:hAnsi="宋体" w:cs="宋体" w:eastAsia="宋体" w:hint="default"/>
          <w:spacing w:val="-24"/>
          <w:sz w:val="28"/>
          <w:szCs w:val="28"/>
        </w:rPr>
      </w:r>
    </w:p>
    <w:p>
      <w:pPr>
        <w:spacing w:before="20"/>
        <w:ind w:left="153" w:right="0" w:firstLine="0"/>
        <w:jc w:val="left"/>
        <w:rPr>
          <w:rFonts w:ascii="宋体" w:hAnsi="宋体" w:cs="宋体" w:eastAsia="宋体" w:hint="default"/>
          <w:sz w:val="28"/>
          <w:szCs w:val="28"/>
        </w:rPr>
      </w:pPr>
      <w:r>
        <w:rPr>
          <w:rFonts w:ascii="宋体" w:hAnsi="宋体" w:cs="宋体" w:eastAsia="宋体" w:hint="default"/>
          <w:b/>
          <w:bCs/>
          <w:spacing w:val="1"/>
          <w:w w:val="99"/>
          <w:sz w:val="28"/>
          <w:szCs w:val="28"/>
        </w:rPr>
        <w:t>送红</w:t>
      </w:r>
      <w:r>
        <w:rPr>
          <w:rFonts w:ascii="宋体" w:hAnsi="宋体" w:cs="宋体" w:eastAsia="宋体" w:hint="default"/>
          <w:b/>
          <w:bCs/>
          <w:w w:val="99"/>
          <w:sz w:val="28"/>
          <w:szCs w:val="28"/>
        </w:rPr>
        <w:t>股</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，不</w:t>
      </w:r>
      <w:r>
        <w:rPr>
          <w:rFonts w:ascii="宋体" w:hAnsi="宋体" w:cs="宋体" w:eastAsia="宋体" w:hint="default"/>
          <w:b/>
          <w:bCs/>
          <w:spacing w:val="2"/>
          <w:w w:val="99"/>
          <w:sz w:val="28"/>
          <w:szCs w:val="28"/>
        </w:rPr>
        <w:t>以</w:t>
      </w:r>
      <w:r>
        <w:rPr>
          <w:rFonts w:ascii="宋体" w:hAnsi="宋体" w:cs="宋体" w:eastAsia="宋体" w:hint="default"/>
          <w:b/>
          <w:bCs/>
          <w:w w:val="99"/>
          <w:sz w:val="28"/>
          <w:szCs w:val="28"/>
        </w:rPr>
        <w:t>公积金</w:t>
      </w:r>
      <w:r>
        <w:rPr>
          <w:rFonts w:ascii="宋体" w:hAnsi="宋体" w:cs="宋体" w:eastAsia="宋体" w:hint="default"/>
          <w:b/>
          <w:bCs/>
          <w:spacing w:val="2"/>
          <w:w w:val="99"/>
          <w:sz w:val="28"/>
          <w:szCs w:val="28"/>
        </w:rPr>
        <w:t>转</w:t>
      </w:r>
      <w:r>
        <w:rPr>
          <w:rFonts w:ascii="宋体" w:hAnsi="宋体" w:cs="宋体" w:eastAsia="宋体" w:hint="default"/>
          <w:b/>
          <w:bCs/>
          <w:w w:val="99"/>
          <w:sz w:val="28"/>
          <w:szCs w:val="28"/>
        </w:rPr>
        <w:t>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774" w:right="175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9781" w:val="right" w:leader="dot"/>
            </w:tabs>
            <w:spacing w:line="240" w:lineRule="auto"/>
            <w:ind w:right="0"/>
            <w:jc w:val="left"/>
            <w:rPr>
              <w:rFonts w:ascii="宋体" w:hAnsi="宋体" w:cs="宋体" w:eastAsia="宋体" w:hint="default"/>
              <w:b w:val="0"/>
              <w:bCs w:val="0"/>
            </w:rPr>
          </w:pPr>
          <w:hyperlink w:history="true" w:anchor="_bookmark1">
            <w:r>
              <w:rPr/>
              <w:t>第二节</w:t>
            </w:r>
            <w:r>
              <w:rPr>
                <w:spacing w:val="-1"/>
              </w:rPr>
              <w:t> </w:t>
            </w:r>
            <w:r>
              <w:rPr/>
              <w:t>公司简介和主要财务指标</w:t>
            </w:r>
            <w:r>
              <w:rPr>
                <w:rFonts w:ascii="宋体" w:hAnsi="宋体" w:cs="宋体" w:eastAsia="宋体" w:hint="default"/>
              </w:rPr>
              <w:tab/>
              <w:t>5</w:t>
            </w:r>
            <w:r>
              <w:rPr>
                <w:rFonts w:ascii="宋体" w:hAnsi="宋体" w:cs="宋体" w:eastAsia="宋体" w:hint="default"/>
                <w:b w:val="0"/>
                <w:bCs w:val="0"/>
              </w:rPr>
            </w:r>
          </w:hyperlink>
        </w:p>
        <w:p>
          <w:pPr>
            <w:pStyle w:val="TOC1"/>
            <w:tabs>
              <w:tab w:pos="9781" w:val="right" w:leader="dot"/>
            </w:tabs>
            <w:spacing w:line="240" w:lineRule="auto" w:before="194"/>
            <w:ind w:right="0"/>
            <w:jc w:val="left"/>
            <w:rPr>
              <w:rFonts w:ascii="宋体" w:hAnsi="宋体" w:cs="宋体" w:eastAsia="宋体" w:hint="default"/>
              <w:b w:val="0"/>
              <w:bCs w:val="0"/>
            </w:rPr>
          </w:pPr>
          <w:hyperlink w:history="true" w:anchor="_bookmark2">
            <w:r>
              <w:rPr/>
              <w:t>第三节</w:t>
            </w:r>
            <w:r>
              <w:rPr>
                <w:spacing w:val="-1"/>
              </w:rPr>
              <w:t> </w:t>
            </w:r>
            <w:r>
              <w:rPr/>
              <w:t>公司业务概要</w:t>
            </w:r>
            <w:r>
              <w:rPr>
                <w:rFonts w:ascii="宋体" w:hAnsi="宋体" w:cs="宋体" w:eastAsia="宋体" w:hint="default"/>
              </w:rPr>
              <w:tab/>
              <w:t>9</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3">
            <w:r>
              <w:rPr/>
              <w:t>第四节</w:t>
            </w:r>
            <w:r>
              <w:rPr>
                <w:spacing w:val="-1"/>
              </w:rPr>
              <w:t> </w:t>
            </w:r>
            <w:r>
              <w:rPr/>
              <w:t>经营情况讨论与分析</w:t>
            </w:r>
            <w:r>
              <w:rPr>
                <w:rFonts w:ascii="宋体" w:hAnsi="宋体" w:cs="宋体" w:eastAsia="宋体" w:hint="default"/>
              </w:rPr>
              <w:tab/>
              <w:t>11</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1"/>
              </w:rPr>
              <w:t> </w:t>
            </w:r>
            <w:r>
              <w:rPr/>
              <w:t>重要事项</w:t>
            </w:r>
            <w:r>
              <w:rPr>
                <w:rFonts w:ascii="宋体" w:hAnsi="宋体" w:cs="宋体" w:eastAsia="宋体" w:hint="default"/>
              </w:rPr>
              <w:tab/>
              <w:t>26</w:t>
            </w:r>
            <w:r>
              <w:rPr>
                <w:rFonts w:ascii="宋体" w:hAnsi="宋体" w:cs="宋体" w:eastAsia="宋体" w:hint="default"/>
                <w:b w:val="0"/>
                <w:bCs w:val="0"/>
              </w:rPr>
            </w:r>
          </w:hyperlink>
        </w:p>
        <w:p>
          <w:pPr>
            <w:pStyle w:val="TOC1"/>
            <w:tabs>
              <w:tab w:pos="9782" w:val="right" w:leader="dot"/>
            </w:tabs>
            <w:spacing w:line="240" w:lineRule="auto" w:before="194"/>
            <w:ind w:right="0"/>
            <w:jc w:val="left"/>
            <w:rPr>
              <w:rFonts w:ascii="宋体" w:hAnsi="宋体" w:cs="宋体" w:eastAsia="宋体" w:hint="default"/>
              <w:b w:val="0"/>
              <w:bCs w:val="0"/>
            </w:rPr>
          </w:pPr>
          <w:hyperlink w:history="true" w:anchor="_bookmark5">
            <w:r>
              <w:rPr/>
              <w:t>第六节</w:t>
            </w:r>
            <w:r>
              <w:rPr>
                <w:spacing w:val="-1"/>
              </w:rPr>
              <w:t> </w:t>
            </w:r>
            <w:r>
              <w:rPr/>
              <w:t>股份变动及股东情况</w:t>
            </w:r>
            <w:r>
              <w:rPr>
                <w:rFonts w:ascii="宋体" w:hAnsi="宋体" w:cs="宋体" w:eastAsia="宋体" w:hint="default"/>
              </w:rPr>
              <w:tab/>
              <w:t>42</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6">
            <w:r>
              <w:rPr/>
              <w:t>第七节</w:t>
            </w:r>
            <w:r>
              <w:rPr>
                <w:spacing w:val="-1"/>
              </w:rPr>
              <w:t> </w:t>
            </w:r>
            <w:r>
              <w:rPr/>
              <w:t>优先股相关情况</w:t>
            </w:r>
            <w:r>
              <w:rPr>
                <w:rFonts w:ascii="宋体" w:hAnsi="宋体" w:cs="宋体" w:eastAsia="宋体" w:hint="default"/>
              </w:rPr>
              <w:tab/>
              <w:t>50</w:t>
            </w:r>
            <w:r>
              <w:rPr>
                <w:rFonts w:ascii="宋体" w:hAnsi="宋体" w:cs="宋体" w:eastAsia="宋体" w:hint="default"/>
                <w:b w:val="0"/>
                <w:bCs w:val="0"/>
              </w:rPr>
            </w:r>
          </w:hyperlink>
        </w:p>
        <w:p>
          <w:pPr>
            <w:pStyle w:val="TOC1"/>
            <w:tabs>
              <w:tab w:pos="9782" w:val="right" w:leader="dot"/>
            </w:tabs>
            <w:spacing w:line="240" w:lineRule="auto" w:before="194"/>
            <w:ind w:right="0"/>
            <w:jc w:val="left"/>
            <w:rPr>
              <w:rFonts w:ascii="宋体" w:hAnsi="宋体" w:cs="宋体" w:eastAsia="宋体" w:hint="default"/>
              <w:b w:val="0"/>
              <w:bCs w:val="0"/>
            </w:rPr>
          </w:pPr>
          <w:hyperlink w:history="true" w:anchor="_bookmark7">
            <w:r>
              <w:rPr/>
              <w:t>第八节</w:t>
            </w:r>
            <w:r>
              <w:rPr>
                <w:spacing w:val="-1"/>
              </w:rPr>
              <w:t> </w:t>
            </w:r>
            <w:r>
              <w:rPr/>
              <w:t>董事、监事、高级管理人员和员工情况</w:t>
            </w:r>
            <w:r>
              <w:rPr>
                <w:rFonts w:ascii="宋体" w:hAnsi="宋体" w:cs="宋体" w:eastAsia="宋体" w:hint="default"/>
              </w:rPr>
              <w:tab/>
              <w:t>51</w:t>
            </w:r>
            <w:r>
              <w:rPr>
                <w:rFonts w:ascii="宋体" w:hAnsi="宋体" w:cs="宋体" w:eastAsia="宋体" w:hint="default"/>
                <w:b w:val="0"/>
                <w:bCs w:val="0"/>
              </w:rPr>
            </w:r>
          </w:hyperlink>
        </w:p>
        <w:p>
          <w:pPr>
            <w:pStyle w:val="TOC1"/>
            <w:tabs>
              <w:tab w:pos="9782" w:val="right" w:leader="dot"/>
            </w:tabs>
            <w:spacing w:line="240" w:lineRule="auto" w:before="194"/>
            <w:ind w:right="0"/>
            <w:jc w:val="left"/>
            <w:rPr>
              <w:rFonts w:ascii="宋体" w:hAnsi="宋体" w:cs="宋体" w:eastAsia="宋体" w:hint="default"/>
              <w:b w:val="0"/>
              <w:bCs w:val="0"/>
            </w:rPr>
          </w:pPr>
          <w:hyperlink w:history="true" w:anchor="_bookmark8">
            <w:r>
              <w:rPr/>
              <w:t>第九节</w:t>
            </w:r>
            <w:r>
              <w:rPr>
                <w:spacing w:val="-1"/>
              </w:rPr>
              <w:t> </w:t>
            </w:r>
            <w:r>
              <w:rPr/>
              <w:t>公司治理</w:t>
            </w:r>
            <w:r>
              <w:rPr>
                <w:rFonts w:ascii="宋体" w:hAnsi="宋体" w:cs="宋体" w:eastAsia="宋体" w:hint="default"/>
              </w:rPr>
              <w:tab/>
              <w:t>60</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9">
            <w:r>
              <w:rPr/>
              <w:t>第十节</w:t>
            </w:r>
            <w:r>
              <w:rPr>
                <w:spacing w:val="-1"/>
              </w:rPr>
              <w:t> </w:t>
            </w:r>
            <w:r>
              <w:rPr/>
              <w:t>公司债券相关情况</w:t>
            </w:r>
            <w:r>
              <w:rPr>
                <w:rFonts w:ascii="宋体" w:hAnsi="宋体" w:cs="宋体" w:eastAsia="宋体" w:hint="default"/>
              </w:rPr>
              <w:tab/>
              <w:t>68</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10">
            <w:r>
              <w:rPr/>
              <w:t>第十一节</w:t>
            </w:r>
            <w:r>
              <w:rPr>
                <w:spacing w:val="-1"/>
              </w:rPr>
              <w:t> </w:t>
            </w:r>
            <w:r>
              <w:rPr/>
              <w:t>财务报告</w:t>
            </w:r>
            <w:r>
              <w:rPr>
                <w:rFonts w:ascii="宋体" w:hAnsi="宋体" w:cs="宋体" w:eastAsia="宋体" w:hint="default"/>
              </w:rPr>
              <w:tab/>
              <w:t>69</w:t>
            </w:r>
            <w:r>
              <w:rPr>
                <w:rFonts w:ascii="宋体" w:hAnsi="宋体" w:cs="宋体" w:eastAsia="宋体" w:hint="default"/>
                <w:b w:val="0"/>
                <w:bCs w:val="0"/>
              </w:rPr>
            </w:r>
          </w:hyperlink>
        </w:p>
        <w:p>
          <w:pPr>
            <w:pStyle w:val="TOC1"/>
            <w:tabs>
              <w:tab w:pos="9783" w:val="right" w:leader="dot"/>
            </w:tabs>
            <w:spacing w:line="240" w:lineRule="auto" w:before="194"/>
            <w:ind w:right="0"/>
            <w:jc w:val="left"/>
            <w:rPr>
              <w:rFonts w:ascii="宋体" w:hAnsi="宋体" w:cs="宋体" w:eastAsia="宋体" w:hint="default"/>
              <w:b w:val="0"/>
              <w:bCs w:val="0"/>
            </w:rPr>
          </w:pPr>
          <w:hyperlink w:history="true" w:anchor="_bookmark11">
            <w:r>
              <w:rPr/>
              <w:t>第十二节</w:t>
            </w:r>
            <w:r>
              <w:rPr>
                <w:spacing w:val="-2"/>
              </w:rPr>
              <w:t> </w:t>
            </w:r>
            <w:r>
              <w:rPr/>
              <w:t>备查文件目录</w:t>
            </w:r>
            <w:r>
              <w:rPr>
                <w:rFonts w:ascii="宋体" w:hAnsi="宋体" w:cs="宋体" w:eastAsia="宋体" w:hint="default"/>
              </w:rPr>
              <w:tab/>
              <w:t>190</w:t>
            </w:r>
            <w:r>
              <w:rPr>
                <w:rFonts w:ascii="宋体" w:hAnsi="宋体" w:cs="宋体" w:eastAsia="宋体"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774" w:right="175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深圳达实智能股份有限公司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达实信息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深圳达实信息技术有限公司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达实德润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北京达实德润能源科技有限公司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达实联欣</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上海达实联欣科技发展有限公司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久信医疗</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江苏达实久信医疗科技有限公司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达实租赁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深圳达实融资租赁有限公司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融智节能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融智节能环保（深圳）有限公司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嘉诚富通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深圳市嘉诚富通基金管理合伙企业（有限合伙）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山东茗信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山东茗信股权投资管理有限公司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淮南达实</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淮南达实智慧城市投资发展有限公司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汕头达实</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汕头达实智慧医疗投资发展有限公司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泰山保险</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泰山健康保险股份有限公司（筹）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雄安达实</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雄安达实智慧科技有限公司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洪泽湖达实</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江苏洪泽湖达实智慧医养有限公司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达实软件</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深圳达实软件有限公司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达实投资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拉萨市达实投资发展有限公司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员工持股计划</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创金合信</w:t>
            </w:r>
            <w:r>
              <w:rPr>
                <w:rFonts w:ascii="Times New Roman" w:hAnsi="Times New Roman" w:cs="Times New Roman" w:eastAsia="Times New Roman" w:hint="default"/>
                <w:sz w:val="18"/>
                <w:szCs w:val="18"/>
              </w:rPr>
              <w:t>-</w:t>
            </w:r>
            <w:r>
              <w:rPr>
                <w:rFonts w:ascii="宋体" w:hAnsi="宋体" w:cs="宋体" w:eastAsia="宋体" w:hint="default"/>
                <w:sz w:val="18"/>
                <w:szCs w:val="18"/>
              </w:rPr>
              <w:t>达实智能</w:t>
            </w:r>
            <w:r>
              <w:rPr>
                <w:rFonts w:ascii="Times New Roman" w:hAnsi="Times New Roman" w:cs="Times New Roman" w:eastAsia="Times New Roman" w:hint="default"/>
                <w:sz w:val="18"/>
                <w:szCs w:val="18"/>
              </w:rPr>
              <w:t>-</w:t>
            </w:r>
            <w:r>
              <w:rPr>
                <w:rFonts w:ascii="宋体" w:hAnsi="宋体" w:cs="宋体" w:eastAsia="宋体" w:hint="default"/>
                <w:sz w:val="18"/>
                <w:szCs w:val="18"/>
              </w:rPr>
              <w:t>员工持股计划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号特定多客户资产管理计划</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1030480"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达实智能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002421</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深圳达实智能股份有限公司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达实智能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SHENZHEN DAS INTELLITECH CO.,</w:t>
            </w:r>
            <w:r>
              <w:rPr>
                <w:rFonts w:ascii="Times New Roman"/>
                <w:spacing w:val="-2"/>
                <w:sz w:val="18"/>
              </w:rPr>
              <w:t> </w:t>
            </w:r>
            <w:r>
              <w:rPr>
                <w:rFonts w:ascii="Times New Roman"/>
                <w:spacing w:val="-5"/>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DAS</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刘磅</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深圳市南山区高新技术村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W1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座五楼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深圳市南山区高新技术产业园达实智能大厦</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http://www.chn-das.com/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color w:val="0000FF"/>
                <w:w w:val="99"/>
                <w:sz w:val="18"/>
              </w:rPr>
            </w:r>
            <w:hyperlink r:id="rId10">
              <w:r>
                <w:rPr>
                  <w:rFonts w:ascii="Times New Roman"/>
                  <w:color w:val="0000FF"/>
                  <w:sz w:val="18"/>
                  <w:u w:val="single" w:color="0000FF"/>
                </w:rPr>
                <w:t>das@chn-das.com</w:t>
              </w:r>
              <w:r>
                <w:rPr>
                  <w:rFonts w:ascii="Times New Roman"/>
                  <w:color w:val="0000FF"/>
                  <w:sz w:val="18"/>
                </w:rPr>
              </w:r>
              <w:r>
                <w:rPr>
                  <w:rFonts w:ascii="Times New Roman"/>
                  <w:sz w:val="18"/>
                </w:rPr>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李硕</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深圳市南山区高新技术产业园达实智能 大厦</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深圳市南山区高新技术产业园达实智能 大厦</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0755-26525166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0755-26525166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0755-26639599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0755-26639599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das@chn-das.com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das@chn-das.com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color w:val="0000FF"/>
                <w:sz w:val="18"/>
              </w:rPr>
            </w:r>
            <w:hyperlink r:id="rId11">
              <w:r>
                <w:rPr>
                  <w:rFonts w:ascii="Times New Roman"/>
                  <w:color w:val="0000FF"/>
                  <w:sz w:val="18"/>
                  <w:u w:val="single" w:color="0000FF"/>
                </w:rPr>
                <w:t>http://www.cninfo.com.cn</w:t>
              </w:r>
              <w:r>
                <w:rPr>
                  <w:rFonts w:ascii="Times New Roman"/>
                  <w:color w:val="0000FF"/>
                  <w:sz w:val="18"/>
                </w:rPr>
              </w:r>
              <w:r>
                <w:rPr>
                  <w:rFonts w:ascii="Times New Roman"/>
                  <w:sz w:val="18"/>
                </w:rPr>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914403006188861815</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北京西直门外大街</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号中糖大厦</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潘忠民、黄建军</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广州市天河区天河北路</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183-187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号大都会广场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郭国、杨华川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2,572,487,726.02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2,457,015,465.82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1,711,308,669.07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311,825,825.86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275,495,429.54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152,633,303.67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301,781,901.48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257,377,655.51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142,092,394.07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210,127,345.54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-14,817,709.65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1,518.08%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137,004,657.66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0.1435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0.1435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5,457,255,340.93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4,830,628,787.43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4,843,555,495.12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3,097,333,238.78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2,810,355,064.15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9" w:right="0"/>
              <w:jc w:val="left"/>
              <w:rPr>
                <w:rFonts w:ascii="Times New Roman" w:hAnsi="Times New Roman" w:cs="Times New Roman" w:eastAsia="Times New Roman" w:hint="default"/>
                <w:sz w:val="18"/>
                <w:szCs w:val="18"/>
              </w:rPr>
            </w:pPr>
            <w:r>
              <w:rPr>
                <w:rFonts w:ascii="Times New Roman"/>
                <w:sz w:val="18"/>
              </w:rPr>
              <w:t>10.21%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2,536,792,874.78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2"/>
        <w:spacing w:line="240" w:lineRule="auto" w:before="26"/>
        <w:ind w:left="154"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256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40" w:lineRule="auto" w:before="0"/>
        <w:ind w:left="15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449,648,354.41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705,626,403.56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642,397,616.30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774,815,351.75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40,285,574.29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63,274,255.91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103,866,822.89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104,399,172.77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38,799,364.32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54,823,257.21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100,852,837.14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107,306,442.81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-61,032,863.66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-53,845,496.09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22,881,546.63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302,124,158.66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-276,706.98</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19,934,610.36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175,357.22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10,692,100.36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14,614,168.17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14,914,406.04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54"/>
              <w:jc w:val="left"/>
              <w:rPr>
                <w:rFonts w:ascii="宋体" w:hAnsi="宋体" w:cs="宋体" w:eastAsia="宋体" w:hint="default"/>
                <w:sz w:val="18"/>
                <w:szCs w:val="18"/>
              </w:rPr>
            </w:pPr>
            <w:r>
              <w:rPr>
                <w:rFonts w:ascii="宋体" w:hAnsi="宋体" w:cs="宋体" w:eastAsia="宋体" w:hint="default"/>
                <w:sz w:val="18"/>
                <w:szCs w:val="18"/>
              </w:rPr>
              <w:t>详见附注“营业外收 </w:t>
            </w:r>
            <w:r>
              <w:rPr>
                <w:rFonts w:ascii="宋体" w:hAnsi="宋体" w:cs="宋体" w:eastAsia="宋体" w:hint="default"/>
                <w:spacing w:val="-30"/>
                <w:sz w:val="18"/>
                <w:szCs w:val="18"/>
              </w:rPr>
              <w:t>入”。</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889,016.27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478,711.53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94,147.35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-135,830.41</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482,837.91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6,583,453.70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2,263,674.54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1,256,358.89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9,941,698.15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2,149,348.71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10,043,924.38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18,117,774.03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10,540,909.60</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spacing w:line="360"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463" w:lineRule="auto" w:before="103"/>
        <w:ind w:left="153" w:right="1130" w:firstLine="414"/>
        <w:jc w:val="both"/>
        <w:rPr>
          <w:rFonts w:ascii="宋体" w:hAnsi="宋体" w:cs="宋体" w:eastAsia="宋体" w:hint="default"/>
          <w:sz w:val="18"/>
          <w:szCs w:val="18"/>
        </w:rPr>
      </w:pPr>
      <w:r>
        <w:rPr>
          <w:rFonts w:ascii="宋体" w:hAnsi="宋体" w:cs="宋体" w:eastAsia="宋体" w:hint="default"/>
          <w:sz w:val="18"/>
          <w:szCs w:val="18"/>
        </w:rPr>
        <w:t>公司采用最先进的云计算、物联网与大数据技术，构建统一的物联网感知层、大数据集成层与创新应用层三层技术体 系。物联网感知层，通过</w:t>
      </w:r>
      <w:r>
        <w:rPr>
          <w:rFonts w:ascii="Times New Roman" w:hAnsi="Times New Roman" w:cs="Times New Roman" w:eastAsia="Times New Roman" w:hint="default"/>
          <w:sz w:val="18"/>
          <w:szCs w:val="18"/>
        </w:rPr>
        <w:t>RFID</w:t>
      </w:r>
      <w:r>
        <w:rPr>
          <w:rFonts w:ascii="宋体" w:hAnsi="宋体" w:cs="宋体" w:eastAsia="宋体" w:hint="default"/>
          <w:sz w:val="18"/>
          <w:szCs w:val="18"/>
        </w:rPr>
        <w:t>技术、云端人脸识别及车牌识别等视频识别技术、体感交互技术、移动支付技术等构建完善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先进的物联网感知层。大数据集成层，基于实时大数据的智能管控技术的实时数据库</w:t>
      </w:r>
      <w:r>
        <w:rPr>
          <w:rFonts w:ascii="Times New Roman" w:hAnsi="Times New Roman" w:cs="Times New Roman" w:eastAsia="Times New Roman" w:hint="default"/>
          <w:sz w:val="18"/>
          <w:szCs w:val="18"/>
        </w:rPr>
        <w:t>dasRdb</w:t>
      </w:r>
      <w:r>
        <w:rPr>
          <w:rFonts w:ascii="宋体" w:hAnsi="宋体" w:cs="宋体" w:eastAsia="宋体" w:hint="default"/>
          <w:sz w:val="18"/>
          <w:szCs w:val="18"/>
        </w:rPr>
        <w:t>、智能建筑云管理平台</w:t>
      </w:r>
      <w:r>
        <w:rPr>
          <w:rFonts w:ascii="Times New Roman" w:hAnsi="Times New Roman" w:cs="Times New Roman" w:eastAsia="Times New Roman" w:hint="default"/>
          <w:sz w:val="18"/>
          <w:szCs w:val="18"/>
        </w:rPr>
        <w:t>IBMS</w:t>
      </w:r>
      <w:r>
        <w:rPr>
          <w:rFonts w:ascii="宋体" w:hAnsi="宋体" w:cs="宋体" w:eastAsia="宋体" w:hint="default"/>
          <w:sz w:val="18"/>
          <w:szCs w:val="18"/>
        </w:rPr>
        <w:t>等</w:t>
      </w:r>
      <w:r>
        <w:rPr>
          <w:rFonts w:ascii="宋体" w:hAnsi="宋体" w:cs="宋体" w:eastAsia="宋体" w:hint="default"/>
          <w:spacing w:val="-76"/>
          <w:sz w:val="18"/>
          <w:szCs w:val="18"/>
        </w:rPr>
        <w:t> </w:t>
      </w:r>
      <w:r>
        <w:rPr>
          <w:rFonts w:ascii="宋体" w:hAnsi="宋体" w:cs="宋体" w:eastAsia="宋体" w:hint="default"/>
          <w:spacing w:val="-2"/>
          <w:sz w:val="18"/>
          <w:szCs w:val="18"/>
        </w:rPr>
        <w:t>技术，打造支持多数据源共享、交换与协同大数据集成平台。创新应用层，上述统一的物联网感知层与大数据集成层，支撑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创新应用层的智慧医疗、智慧交通与智慧建筑三大业务板块的创新应用。</w:t>
      </w:r>
    </w:p>
    <w:p>
      <w:pPr>
        <w:spacing w:line="468" w:lineRule="auto" w:before="65"/>
        <w:ind w:left="153" w:right="0" w:firstLine="414"/>
        <w:jc w:val="left"/>
        <w:rPr>
          <w:rFonts w:ascii="宋体" w:hAnsi="宋体" w:cs="宋体" w:eastAsia="宋体" w:hint="default"/>
          <w:sz w:val="18"/>
          <w:szCs w:val="18"/>
        </w:rPr>
      </w:pPr>
      <w:r>
        <w:rPr>
          <w:rFonts w:ascii="宋体" w:hAnsi="宋体" w:cs="宋体" w:eastAsia="宋体" w:hint="default"/>
          <w:spacing w:val="-3"/>
          <w:sz w:val="18"/>
          <w:szCs w:val="18"/>
        </w:rPr>
        <w:t>智慧医疗</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公司通过</w:t>
      </w:r>
      <w:r>
        <w:rPr>
          <w:rFonts w:ascii="Times New Roman" w:hAnsi="Times New Roman" w:cs="Times New Roman" w:eastAsia="Times New Roman" w:hint="default"/>
          <w:spacing w:val="-3"/>
          <w:sz w:val="18"/>
          <w:szCs w:val="18"/>
        </w:rPr>
        <w:t>PPP</w:t>
      </w:r>
      <w:r>
        <w:rPr>
          <w:rFonts w:ascii="宋体" w:hAnsi="宋体" w:cs="宋体" w:eastAsia="宋体" w:hint="default"/>
          <w:spacing w:val="-3"/>
          <w:sz w:val="18"/>
          <w:szCs w:val="18"/>
        </w:rPr>
        <w:t>以及</w:t>
      </w:r>
      <w:r>
        <w:rPr>
          <w:rFonts w:ascii="Times New Roman" w:hAnsi="Times New Roman" w:cs="Times New Roman" w:eastAsia="Times New Roman" w:hint="default"/>
          <w:spacing w:val="-3"/>
          <w:sz w:val="18"/>
          <w:szCs w:val="18"/>
        </w:rPr>
        <w:t>EPC</w:t>
      </w:r>
      <w:r>
        <w:rPr>
          <w:rFonts w:ascii="宋体" w:hAnsi="宋体" w:cs="宋体" w:eastAsia="宋体" w:hint="default"/>
          <w:spacing w:val="-3"/>
          <w:sz w:val="18"/>
          <w:szCs w:val="18"/>
        </w:rPr>
        <w:t>等模式为大型三级医院提供医院整体建设运维服务，公司通过物联网、移动互联网，</w:t>
      </w:r>
      <w:r>
        <w:rPr>
          <w:rFonts w:ascii="宋体" w:hAnsi="宋体" w:cs="宋体" w:eastAsia="宋体" w:hint="default"/>
          <w:sz w:val="18"/>
          <w:szCs w:val="18"/>
        </w:rPr>
        <w:t> </w:t>
      </w:r>
      <w:r>
        <w:rPr>
          <w:rFonts w:ascii="宋体" w:hAnsi="宋体" w:cs="宋体" w:eastAsia="宋体" w:hint="default"/>
          <w:spacing w:val="-4"/>
          <w:sz w:val="18"/>
          <w:szCs w:val="18"/>
        </w:rPr>
        <w:t>将医院设备、信息化系统、患者可穿戴系统进行互联互通，形成医院经营管理、医院临床服务、患者监护的一体化系统服务。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同时，公司提供智慧城市智慧医疗平台建设与运营服务，实现城市各级医疗机构系统的互联互通，搭建城市医疗健康大数据</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平台，打造院内、基层医疗机构、患者家庭以及健康管理、健康保险等第三方服务机构的智慧医疗服务体系。</w:t>
      </w:r>
    </w:p>
    <w:p>
      <w:pPr>
        <w:spacing w:line="451" w:lineRule="auto" w:before="62"/>
        <w:ind w:left="154" w:right="1135" w:firstLine="414"/>
        <w:jc w:val="both"/>
        <w:rPr>
          <w:rFonts w:ascii="宋体" w:hAnsi="宋体" w:cs="宋体" w:eastAsia="宋体" w:hint="default"/>
          <w:sz w:val="18"/>
          <w:szCs w:val="18"/>
        </w:rPr>
      </w:pPr>
      <w:r>
        <w:rPr>
          <w:rFonts w:ascii="宋体" w:hAnsi="宋体" w:cs="宋体" w:eastAsia="宋体" w:hint="default"/>
          <w:sz w:val="18"/>
          <w:szCs w:val="18"/>
        </w:rPr>
        <w:t>智慧交通</w:t>
      </w:r>
      <w:r>
        <w:rPr>
          <w:rFonts w:ascii="Times New Roman" w:hAnsi="Times New Roman" w:cs="Times New Roman" w:eastAsia="Times New Roman" w:hint="default"/>
          <w:sz w:val="18"/>
          <w:szCs w:val="18"/>
        </w:rPr>
        <w:t>——</w:t>
      </w:r>
      <w:r>
        <w:rPr>
          <w:rFonts w:ascii="宋体" w:hAnsi="宋体" w:cs="宋体" w:eastAsia="宋体" w:hint="default"/>
          <w:sz w:val="18"/>
          <w:szCs w:val="18"/>
        </w:rPr>
        <w:t>公司智慧交通业务，为地铁轨道交通自动售检票、安防、消防、信息发布、列车调度等系统提供综合集 成，实现地铁轨道交通信息的互联互通与协同，为乘客提供安全、舒适、便捷的智能化出行环境。</w:t>
      </w:r>
    </w:p>
    <w:p>
      <w:pPr>
        <w:spacing w:line="458" w:lineRule="auto" w:before="74"/>
        <w:ind w:left="153" w:right="1133" w:firstLine="414"/>
        <w:jc w:val="both"/>
        <w:rPr>
          <w:rFonts w:ascii="宋体" w:hAnsi="宋体" w:cs="宋体" w:eastAsia="宋体" w:hint="default"/>
          <w:sz w:val="18"/>
          <w:szCs w:val="18"/>
        </w:rPr>
      </w:pPr>
      <w:r>
        <w:rPr>
          <w:rFonts w:ascii="宋体" w:hAnsi="宋体" w:cs="宋体" w:eastAsia="宋体" w:hint="default"/>
          <w:sz w:val="18"/>
          <w:szCs w:val="18"/>
        </w:rPr>
        <w:t>智慧建筑</w:t>
      </w:r>
      <w:r>
        <w:rPr>
          <w:rFonts w:ascii="Times New Roman" w:hAnsi="Times New Roman" w:cs="Times New Roman" w:eastAsia="Times New Roman" w:hint="default"/>
          <w:sz w:val="18"/>
          <w:szCs w:val="18"/>
        </w:rPr>
        <w:t>——</w:t>
      </w:r>
      <w:r>
        <w:rPr>
          <w:rFonts w:ascii="宋体" w:hAnsi="宋体" w:cs="宋体" w:eastAsia="宋体" w:hint="default"/>
          <w:sz w:val="18"/>
          <w:szCs w:val="18"/>
        </w:rPr>
        <w:t>智慧建筑的发展正在加速向物联网感知层与开放的云端延伸，成为</w:t>
      </w:r>
      <w:r>
        <w:rPr>
          <w:rFonts w:ascii="Times New Roman" w:hAnsi="Times New Roman" w:cs="Times New Roman" w:eastAsia="Times New Roman" w:hint="default"/>
          <w:sz w:val="18"/>
          <w:szCs w:val="18"/>
        </w:rPr>
        <w:t>“</w:t>
      </w:r>
      <w:r>
        <w:rPr>
          <w:rFonts w:ascii="宋体" w:hAnsi="宋体" w:cs="宋体" w:eastAsia="宋体" w:hint="default"/>
          <w:sz w:val="18"/>
          <w:szCs w:val="18"/>
        </w:rPr>
        <w:t>智慧城市</w:t>
      </w:r>
      <w:r>
        <w:rPr>
          <w:rFonts w:ascii="Times New Roman" w:hAnsi="Times New Roman" w:cs="Times New Roman" w:eastAsia="Times New Roman" w:hint="default"/>
          <w:sz w:val="18"/>
          <w:szCs w:val="18"/>
        </w:rPr>
        <w:t>”</w:t>
      </w:r>
      <w:r>
        <w:rPr>
          <w:rFonts w:ascii="宋体" w:hAnsi="宋体" w:cs="宋体" w:eastAsia="宋体" w:hint="default"/>
          <w:sz w:val="18"/>
          <w:szCs w:val="18"/>
        </w:rPr>
        <w:t>的有机整体。公司智慧建 筑业务以建筑物为平台，基于</w:t>
      </w:r>
      <w:r>
        <w:rPr>
          <w:rFonts w:ascii="Times New Roman" w:hAnsi="Times New Roman" w:cs="Times New Roman" w:eastAsia="Times New Roman" w:hint="default"/>
          <w:sz w:val="18"/>
          <w:szCs w:val="18"/>
        </w:rPr>
        <w:t>BIM</w:t>
      </w:r>
      <w:r>
        <w:rPr>
          <w:rFonts w:ascii="宋体" w:hAnsi="宋体" w:cs="宋体" w:eastAsia="宋体" w:hint="default"/>
          <w:sz w:val="18"/>
          <w:szCs w:val="18"/>
        </w:rPr>
        <w:t>、</w:t>
      </w:r>
      <w:r>
        <w:rPr>
          <w:rFonts w:ascii="Times New Roman" w:hAnsi="Times New Roman" w:cs="Times New Roman" w:eastAsia="Times New Roman" w:hint="default"/>
          <w:sz w:val="18"/>
          <w:szCs w:val="18"/>
        </w:rPr>
        <w:t>IBMS</w:t>
      </w:r>
      <w:r>
        <w:rPr>
          <w:rFonts w:ascii="宋体" w:hAnsi="宋体" w:cs="宋体" w:eastAsia="宋体" w:hint="default"/>
          <w:sz w:val="18"/>
          <w:szCs w:val="18"/>
        </w:rPr>
        <w:t>、人脸识别、智能停车、视频会议、智能访客服务各类智能化信息的综合应用， </w:t>
      </w:r>
      <w:r>
        <w:rPr>
          <w:rFonts w:ascii="宋体" w:hAnsi="宋体" w:cs="宋体" w:eastAsia="宋体" w:hint="default"/>
          <w:spacing w:val="-2"/>
          <w:sz w:val="18"/>
          <w:szCs w:val="18"/>
        </w:rPr>
        <w:t>形成人、设备、服务、资源的互联互通，通过海量数据的融合、计算、学习，为用户创建智慧、互联、共享、生态共建的新</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型建筑环境。</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477" w:lineRule="auto" w:before="106"/>
        <w:ind w:left="154" w:right="1087" w:firstLine="414"/>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、战略规划前瞻性与执行力。公司把握国内外经济产业与技术革新脉络，开展前瞻性战略规划，指导公司业务发展。 公司具备高效的执行力，依据公司发展战略，快速相应市场不断强化公司竞争优势。</w:t>
      </w:r>
    </w:p>
    <w:p>
      <w:pPr>
        <w:spacing w:line="477" w:lineRule="auto" w:before="54"/>
        <w:ind w:left="154" w:right="1130" w:firstLine="414"/>
        <w:jc w:val="both"/>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1"/>
          <w:sz w:val="18"/>
          <w:szCs w:val="18"/>
        </w:rPr>
        <w:t>、技术创新与集成力。公司面向客户需求，紧跟技术发展脉络，开展物联网、云计算、大数据与人工智能等技术创新</w:t>
      </w:r>
      <w:r>
        <w:rPr>
          <w:rFonts w:ascii="宋体" w:hAnsi="宋体" w:cs="宋体" w:eastAsia="宋体" w:hint="default"/>
          <w:sz w:val="18"/>
          <w:szCs w:val="18"/>
        </w:rPr>
        <w:t> 与集成，形成公司三层技术架构体系，为客户提供灵活、先进的产品与服务。</w:t>
      </w:r>
    </w:p>
    <w:p>
      <w:pPr>
        <w:spacing w:line="477" w:lineRule="auto" w:before="54"/>
        <w:ind w:left="154" w:right="1131" w:firstLine="414"/>
        <w:jc w:val="both"/>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1"/>
          <w:sz w:val="18"/>
          <w:szCs w:val="18"/>
        </w:rPr>
        <w:t>、体系化的服务模式创新力。公司充分利用上市公司资本平台的优势，以客户和项目的融资需求为出发点，将业务与</w:t>
      </w:r>
      <w:r>
        <w:rPr>
          <w:rFonts w:ascii="宋体" w:hAnsi="宋体" w:cs="宋体" w:eastAsia="宋体" w:hint="default"/>
          <w:sz w:val="18"/>
          <w:szCs w:val="18"/>
        </w:rPr>
        <w:t> </w:t>
      </w:r>
      <w:r>
        <w:rPr>
          <w:rFonts w:ascii="宋体" w:hAnsi="宋体" w:cs="宋体" w:eastAsia="宋体" w:hint="default"/>
          <w:spacing w:val="-2"/>
          <w:sz w:val="18"/>
          <w:szCs w:val="18"/>
        </w:rPr>
        <w:t>金融创新结合，在智慧城市运营及服务中辅以合同能源管理、买方信贷、</w:t>
      </w:r>
      <w:r>
        <w:rPr>
          <w:rFonts w:ascii="宋体" w:hAnsi="宋体" w:cs="宋体" w:eastAsia="宋体" w:hint="default"/>
          <w:spacing w:val="-2"/>
          <w:sz w:val="18"/>
          <w:szCs w:val="18"/>
        </w:rPr>
        <w:t>BT</w:t>
      </w:r>
      <w:r>
        <w:rPr>
          <w:rFonts w:ascii="宋体" w:hAnsi="宋体" w:cs="宋体" w:eastAsia="宋体" w:hint="default"/>
          <w:spacing w:val="-2"/>
          <w:sz w:val="18"/>
          <w:szCs w:val="18"/>
        </w:rPr>
        <w:t>、融资租赁、</w:t>
      </w:r>
      <w:r>
        <w:rPr>
          <w:rFonts w:ascii="宋体" w:hAnsi="宋体" w:cs="宋体" w:eastAsia="宋体" w:hint="default"/>
          <w:spacing w:val="-2"/>
          <w:sz w:val="18"/>
          <w:szCs w:val="18"/>
        </w:rPr>
        <w:t>PPP</w:t>
      </w:r>
      <w:r>
        <w:rPr>
          <w:rFonts w:ascii="宋体" w:hAnsi="宋体" w:cs="宋体" w:eastAsia="宋体" w:hint="default"/>
          <w:spacing w:val="-2"/>
          <w:sz w:val="18"/>
          <w:szCs w:val="18"/>
        </w:rPr>
        <w:t>等方式，形成“技术</w:t>
      </w:r>
      <w:r>
        <w:rPr>
          <w:rFonts w:ascii="宋体" w:hAnsi="宋体" w:cs="宋体" w:eastAsia="宋体" w:hint="default"/>
          <w:spacing w:val="-2"/>
          <w:sz w:val="18"/>
          <w:szCs w:val="18"/>
        </w:rPr>
        <w:t>+</w:t>
      </w:r>
      <w:r>
        <w:rPr>
          <w:rFonts w:ascii="宋体" w:hAnsi="宋体" w:cs="宋体" w:eastAsia="宋体" w:hint="default"/>
          <w:spacing w:val="-2"/>
          <w:sz w:val="18"/>
          <w:szCs w:val="18"/>
        </w:rPr>
        <w:t>金融”的</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商业模式，提高服务大客户、大项目的能力。同时基于市场需求，与第三方机构共同构建体系化的创新服务模式。</w:t>
      </w:r>
    </w:p>
    <w:p>
      <w:pPr>
        <w:spacing w:after="0" w:line="477"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32"/>
          <w:szCs w:val="32"/>
        </w:rPr>
      </w:pPr>
    </w:p>
    <w:p>
      <w:pPr>
        <w:spacing w:line="458" w:lineRule="auto" w:before="0"/>
        <w:ind w:left="153" w:right="1131" w:firstLine="357"/>
        <w:jc w:val="both"/>
        <w:rPr>
          <w:rFonts w:ascii="宋体" w:hAnsi="宋体" w:cs="宋体" w:eastAsia="宋体" w:hint="default"/>
          <w:sz w:val="18"/>
          <w:szCs w:val="18"/>
        </w:rPr>
      </w:pPr>
      <w:r>
        <w:rPr>
          <w:rFonts w:ascii="宋体" w:hAnsi="宋体" w:cs="宋体" w:eastAsia="宋体" w:hint="default"/>
          <w:spacing w:val="-2"/>
          <w:sz w:val="18"/>
          <w:szCs w:val="18"/>
        </w:rPr>
        <w:t>我国经济已由高速增长阶段转向高质量发展阶段，正处在转变发展方式、优化经济结构、转换增长动力的攻关期。国内</w:t>
      </w:r>
      <w:r>
        <w:rPr>
          <w:rFonts w:ascii="宋体" w:hAnsi="宋体" w:cs="宋体" w:eastAsia="宋体" w:hint="default"/>
          <w:sz w:val="18"/>
          <w:szCs w:val="18"/>
        </w:rPr>
        <w:t> </w:t>
      </w:r>
      <w:r>
        <w:rPr>
          <w:rFonts w:ascii="宋体" w:hAnsi="宋体" w:cs="宋体" w:eastAsia="宋体" w:hint="default"/>
          <w:spacing w:val="-2"/>
          <w:sz w:val="18"/>
          <w:szCs w:val="18"/>
        </w:rPr>
        <w:t>外技术革新进一步加快，大数据、云计算基础设施不断完善，物联网、大数据、人工智能技术不断进步，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智慧城市</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的发展</w:t>
      </w:r>
      <w:r>
        <w:rPr>
          <w:rFonts w:ascii="宋体" w:hAnsi="宋体" w:cs="宋体" w:eastAsia="宋体" w:hint="default"/>
          <w:spacing w:val="-44"/>
          <w:sz w:val="18"/>
          <w:szCs w:val="18"/>
        </w:rPr>
        <w:t> </w:t>
      </w:r>
      <w:r>
        <w:rPr>
          <w:rFonts w:ascii="宋体" w:hAnsi="宋体" w:cs="宋体" w:eastAsia="宋体" w:hint="default"/>
          <w:spacing w:val="-2"/>
          <w:sz w:val="18"/>
          <w:szCs w:val="18"/>
        </w:rPr>
        <w:t>进入到了新的发展阶段。</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年，公司积极把握市场与技术变化趋势，重点推进技术体系与服务模式创新提升、业务板块加</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速聚焦、战略区域重点布局、市场营销深度拓展等四方面工作。</w:t>
      </w:r>
    </w:p>
    <w:p>
      <w:pPr>
        <w:spacing w:line="477" w:lineRule="auto" w:before="68"/>
        <w:ind w:left="153" w:right="1039" w:firstLine="357"/>
        <w:jc w:val="left"/>
        <w:rPr>
          <w:rFonts w:ascii="宋体" w:hAnsi="宋体" w:cs="宋体" w:eastAsia="宋体" w:hint="default"/>
          <w:sz w:val="18"/>
          <w:szCs w:val="18"/>
        </w:rPr>
      </w:pPr>
      <w:r>
        <w:rPr>
          <w:rFonts w:ascii="宋体" w:hAnsi="宋体" w:cs="宋体" w:eastAsia="宋体" w:hint="default"/>
          <w:spacing w:val="-3"/>
          <w:sz w:val="18"/>
          <w:szCs w:val="18"/>
        </w:rPr>
        <w:t>2017</w:t>
      </w:r>
      <w:r>
        <w:rPr>
          <w:rFonts w:ascii="宋体" w:hAnsi="宋体" w:cs="宋体" w:eastAsia="宋体" w:hint="default"/>
          <w:spacing w:val="-3"/>
          <w:sz w:val="18"/>
          <w:szCs w:val="18"/>
        </w:rPr>
        <w:t>年，公司实现营业总收入</w:t>
      </w:r>
      <w:r>
        <w:rPr>
          <w:rFonts w:ascii="宋体" w:hAnsi="宋体" w:cs="宋体" w:eastAsia="宋体" w:hint="default"/>
          <w:spacing w:val="-3"/>
          <w:sz w:val="18"/>
          <w:szCs w:val="18"/>
        </w:rPr>
        <w:t>257,248.77</w:t>
      </w:r>
      <w:r>
        <w:rPr>
          <w:rFonts w:ascii="宋体" w:hAnsi="宋体" w:cs="宋体" w:eastAsia="宋体" w:hint="default"/>
          <w:spacing w:val="-3"/>
          <w:sz w:val="18"/>
          <w:szCs w:val="18"/>
        </w:rPr>
        <w:t>万元，较上年同期增长</w:t>
      </w:r>
      <w:r>
        <w:rPr>
          <w:rFonts w:ascii="宋体" w:hAnsi="宋体" w:cs="宋体" w:eastAsia="宋体" w:hint="default"/>
          <w:spacing w:val="-3"/>
          <w:sz w:val="18"/>
          <w:szCs w:val="18"/>
        </w:rPr>
        <w:t>4.7%</w:t>
      </w:r>
      <w:r>
        <w:rPr>
          <w:rFonts w:ascii="宋体" w:hAnsi="宋体" w:cs="宋体" w:eastAsia="宋体" w:hint="default"/>
          <w:spacing w:val="-3"/>
          <w:sz w:val="18"/>
          <w:szCs w:val="18"/>
        </w:rPr>
        <w:t>；营业利润</w:t>
      </w:r>
      <w:r>
        <w:rPr>
          <w:rFonts w:ascii="宋体" w:hAnsi="宋体" w:cs="宋体" w:eastAsia="宋体" w:hint="default"/>
          <w:spacing w:val="-3"/>
          <w:sz w:val="18"/>
          <w:szCs w:val="18"/>
        </w:rPr>
        <w:t>37,873.12</w:t>
      </w:r>
      <w:r>
        <w:rPr>
          <w:rFonts w:ascii="宋体" w:hAnsi="宋体" w:cs="宋体" w:eastAsia="宋体" w:hint="default"/>
          <w:spacing w:val="-3"/>
          <w:sz w:val="18"/>
          <w:szCs w:val="18"/>
        </w:rPr>
        <w:t>万元，较上年同期增长</w:t>
      </w:r>
      <w:r>
        <w:rPr>
          <w:rFonts w:ascii="宋体" w:hAnsi="宋体" w:cs="宋体" w:eastAsia="宋体" w:hint="default"/>
          <w:spacing w:val="-3"/>
          <w:sz w:val="18"/>
          <w:szCs w:val="18"/>
        </w:rPr>
        <w:t>16.7%</w:t>
      </w:r>
      <w:r>
        <w:rPr>
          <w:rFonts w:ascii="宋体" w:hAnsi="宋体" w:cs="宋体" w:eastAsia="宋体" w:hint="default"/>
          <w:spacing w:val="-3"/>
          <w:sz w:val="18"/>
          <w:szCs w:val="18"/>
        </w:rPr>
        <w:t>；</w:t>
      </w:r>
      <w:r>
        <w:rPr>
          <w:rFonts w:ascii="宋体" w:hAnsi="宋体" w:cs="宋体" w:eastAsia="宋体" w:hint="default"/>
          <w:sz w:val="18"/>
          <w:szCs w:val="18"/>
        </w:rPr>
        <w:t> </w:t>
      </w:r>
      <w:r>
        <w:rPr>
          <w:rFonts w:ascii="宋体" w:hAnsi="宋体" w:cs="宋体" w:eastAsia="宋体" w:hint="default"/>
          <w:spacing w:val="-2"/>
          <w:sz w:val="18"/>
          <w:szCs w:val="18"/>
        </w:rPr>
        <w:t>归属于上市公司股东的净利润</w:t>
      </w:r>
      <w:r>
        <w:rPr>
          <w:rFonts w:ascii="宋体" w:hAnsi="宋体" w:cs="宋体" w:eastAsia="宋体" w:hint="default"/>
          <w:spacing w:val="-2"/>
          <w:sz w:val="18"/>
          <w:szCs w:val="18"/>
        </w:rPr>
        <w:t>31,182.58</w:t>
      </w:r>
      <w:r>
        <w:rPr>
          <w:rFonts w:ascii="宋体" w:hAnsi="宋体" w:cs="宋体" w:eastAsia="宋体" w:hint="default"/>
          <w:spacing w:val="-2"/>
          <w:sz w:val="18"/>
          <w:szCs w:val="18"/>
        </w:rPr>
        <w:t>万元，较上年同期增长</w:t>
      </w:r>
      <w:r>
        <w:rPr>
          <w:rFonts w:ascii="宋体" w:hAnsi="宋体" w:cs="宋体" w:eastAsia="宋体" w:hint="default"/>
          <w:spacing w:val="-2"/>
          <w:sz w:val="18"/>
          <w:szCs w:val="18"/>
        </w:rPr>
        <w:t>13.19%</w:t>
      </w:r>
      <w:r>
        <w:rPr>
          <w:rFonts w:ascii="宋体" w:hAnsi="宋体" w:cs="宋体" w:eastAsia="宋体" w:hint="default"/>
          <w:spacing w:val="-2"/>
          <w:sz w:val="18"/>
          <w:szCs w:val="18"/>
        </w:rPr>
        <w:t>，经营活动现金流量净额达</w:t>
      </w:r>
      <w:r>
        <w:rPr>
          <w:rFonts w:ascii="宋体" w:hAnsi="宋体" w:cs="宋体" w:eastAsia="宋体" w:hint="default"/>
          <w:spacing w:val="-2"/>
          <w:sz w:val="18"/>
          <w:szCs w:val="18"/>
        </w:rPr>
        <w:t>21,012.73</w:t>
      </w:r>
      <w:r>
        <w:rPr>
          <w:rFonts w:ascii="宋体" w:hAnsi="宋体" w:cs="宋体" w:eastAsia="宋体" w:hint="default"/>
          <w:spacing w:val="-2"/>
          <w:sz w:val="18"/>
          <w:szCs w:val="18"/>
        </w:rPr>
        <w:t>万元，创历史最</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好水平。</w:t>
      </w:r>
    </w:p>
    <w:p>
      <w:pPr>
        <w:spacing w:line="451" w:lineRule="auto" w:before="54"/>
        <w:ind w:left="51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、技术体系与服务模式创新提升 </w:t>
      </w:r>
      <w:r>
        <w:rPr>
          <w:rFonts w:ascii="宋体" w:hAnsi="宋体" w:cs="宋体" w:eastAsia="宋体" w:hint="default"/>
          <w:spacing w:val="-2"/>
          <w:sz w:val="18"/>
          <w:szCs w:val="18"/>
        </w:rPr>
        <w:t>技术体系创新提升。</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年，公司采用最先进的云计算、物联网与大数据技术对技术体系进行全面提升，形成统一的物</w:t>
      </w:r>
    </w:p>
    <w:p>
      <w:pPr>
        <w:spacing w:line="463" w:lineRule="auto" w:before="43"/>
        <w:ind w:left="153" w:right="1039" w:firstLine="0"/>
        <w:jc w:val="left"/>
        <w:rPr>
          <w:rFonts w:ascii="宋体" w:hAnsi="宋体" w:cs="宋体" w:eastAsia="宋体" w:hint="default"/>
          <w:sz w:val="18"/>
          <w:szCs w:val="18"/>
        </w:rPr>
      </w:pPr>
      <w:r>
        <w:rPr>
          <w:rFonts w:ascii="宋体" w:hAnsi="宋体" w:cs="宋体" w:eastAsia="宋体" w:hint="default"/>
          <w:spacing w:val="-1"/>
          <w:sz w:val="18"/>
          <w:szCs w:val="18"/>
        </w:rPr>
        <w:t>联网感知层、大数据集成层与创新应用层三层技术体系。物联网感知层，在过去</w:t>
      </w:r>
      <w:r>
        <w:rPr>
          <w:rFonts w:ascii="Times New Roman" w:hAnsi="Times New Roman" w:cs="Times New Roman" w:eastAsia="Times New Roman" w:hint="default"/>
          <w:spacing w:val="-1"/>
          <w:sz w:val="18"/>
          <w:szCs w:val="18"/>
        </w:rPr>
        <w:t>RFID</w:t>
      </w:r>
      <w:r>
        <w:rPr>
          <w:rFonts w:ascii="宋体" w:hAnsi="宋体" w:cs="宋体" w:eastAsia="宋体" w:hint="default"/>
          <w:spacing w:val="-1"/>
          <w:sz w:val="18"/>
          <w:szCs w:val="18"/>
        </w:rPr>
        <w:t>等技术的基础上，采用云端人脸识别、</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车牌识别等视频识别技术、体感交互技术、移动支付技术等构建完善先进的物联网感知层。大数据集成层，基于实时大数据</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的智能管控技术的实时数据库</w:t>
      </w:r>
      <w:r>
        <w:rPr>
          <w:rFonts w:ascii="Times New Roman" w:hAnsi="Times New Roman" w:cs="Times New Roman" w:eastAsia="Times New Roman" w:hint="default"/>
          <w:sz w:val="18"/>
          <w:szCs w:val="18"/>
        </w:rPr>
        <w:t>dasRdb</w:t>
      </w:r>
      <w:r>
        <w:rPr>
          <w:rFonts w:ascii="宋体" w:hAnsi="宋体" w:cs="宋体" w:eastAsia="宋体" w:hint="default"/>
          <w:sz w:val="18"/>
          <w:szCs w:val="18"/>
        </w:rPr>
        <w:t>、智能建筑云管理平台</w:t>
      </w:r>
      <w:r>
        <w:rPr>
          <w:rFonts w:ascii="Times New Roman" w:hAnsi="Times New Roman" w:cs="Times New Roman" w:eastAsia="Times New Roman" w:hint="default"/>
          <w:sz w:val="18"/>
          <w:szCs w:val="18"/>
        </w:rPr>
        <w:t>IBMS</w:t>
      </w:r>
      <w:r>
        <w:rPr>
          <w:rFonts w:ascii="宋体" w:hAnsi="宋体" w:cs="宋体" w:eastAsia="宋体" w:hint="default"/>
          <w:sz w:val="18"/>
          <w:szCs w:val="18"/>
        </w:rPr>
        <w:t>等技术，打造支持多数据源共享、交换与协同大数据集成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平台。创新应用层，上述统一的物联网感知层与大数据集成层，支撑创新应用层的智慧医疗、智慧交通与智慧建筑三大业务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板块的创新应用。</w:t>
      </w:r>
    </w:p>
    <w:p>
      <w:pPr>
        <w:spacing w:line="477" w:lineRule="auto" w:before="65"/>
        <w:ind w:left="153" w:right="1132" w:firstLine="357"/>
        <w:jc w:val="both"/>
        <w:rPr>
          <w:rFonts w:ascii="宋体" w:hAnsi="宋体" w:cs="宋体" w:eastAsia="宋体" w:hint="default"/>
          <w:sz w:val="18"/>
          <w:szCs w:val="18"/>
        </w:rPr>
      </w:pPr>
      <w:r>
        <w:rPr>
          <w:rFonts w:ascii="宋体" w:hAnsi="宋体" w:cs="宋体" w:eastAsia="宋体" w:hint="default"/>
          <w:spacing w:val="-2"/>
          <w:sz w:val="18"/>
          <w:szCs w:val="18"/>
        </w:rPr>
        <w:t>服务模式创新提升。在上述技术体系下，公司服务模式进行了相应的创新提升，从单纯的机电设备与智能化设备的链接</w:t>
      </w:r>
      <w:r>
        <w:rPr>
          <w:rFonts w:ascii="宋体" w:hAnsi="宋体" w:cs="宋体" w:eastAsia="宋体" w:hint="default"/>
          <w:sz w:val="18"/>
          <w:szCs w:val="18"/>
        </w:rPr>
        <w:t> </w:t>
      </w:r>
      <w:r>
        <w:rPr>
          <w:rFonts w:ascii="宋体" w:hAnsi="宋体" w:cs="宋体" w:eastAsia="宋体" w:hint="default"/>
          <w:spacing w:val="-2"/>
          <w:sz w:val="18"/>
          <w:szCs w:val="18"/>
        </w:rPr>
        <w:t>与智能交互，逐步延伸至与客户业务以及终端用户的链接与大数据交互。从以客户化方案创新与工程项目服务驱动的商业模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式，逐步向以大数据驱动的商业模式转变。</w:t>
      </w:r>
    </w:p>
    <w:p>
      <w:pPr>
        <w:spacing w:before="54"/>
        <w:ind w:left="51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、业务板块加速聚焦</w:t>
      </w:r>
    </w:p>
    <w:p>
      <w:pPr>
        <w:spacing w:line="240" w:lineRule="auto" w:before="9"/>
        <w:rPr>
          <w:rFonts w:ascii="宋体" w:hAnsi="宋体" w:cs="宋体" w:eastAsia="宋体" w:hint="default"/>
          <w:sz w:val="16"/>
          <w:szCs w:val="16"/>
        </w:rPr>
      </w:pPr>
    </w:p>
    <w:p>
      <w:pPr>
        <w:spacing w:line="451" w:lineRule="auto" w:before="0"/>
        <w:ind w:left="154" w:right="1131" w:firstLine="357"/>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年，公司坚持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做大智慧医疗、做强智慧交通、做精智慧建筑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的战略，加快业务板块的聚焦，资源重点向智慧医疗</w:t>
      </w:r>
      <w:r>
        <w:rPr>
          <w:rFonts w:ascii="宋体" w:hAnsi="宋体" w:cs="宋体" w:eastAsia="宋体" w:hint="default"/>
          <w:sz w:val="18"/>
          <w:szCs w:val="18"/>
        </w:rPr>
        <w:t> 倾斜，</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年度，公司智慧医疗业务营收</w:t>
      </w:r>
      <w:r>
        <w:rPr>
          <w:rFonts w:ascii="宋体" w:hAnsi="宋体" w:cs="宋体" w:eastAsia="宋体" w:hint="default"/>
          <w:sz w:val="18"/>
          <w:szCs w:val="18"/>
        </w:rPr>
        <w:t>914,999,683.58</w:t>
      </w:r>
      <w:r>
        <w:rPr>
          <w:rFonts w:ascii="宋体" w:hAnsi="宋体" w:cs="宋体" w:eastAsia="宋体" w:hint="default"/>
          <w:sz w:val="18"/>
          <w:szCs w:val="18"/>
        </w:rPr>
        <w:t>元，占公司总营收的</w:t>
      </w:r>
      <w:r>
        <w:rPr>
          <w:rFonts w:ascii="宋体" w:hAnsi="宋体" w:cs="宋体" w:eastAsia="宋体" w:hint="default"/>
          <w:sz w:val="18"/>
          <w:szCs w:val="18"/>
        </w:rPr>
        <w:t>35.57%</w:t>
      </w:r>
      <w:r>
        <w:rPr>
          <w:rFonts w:ascii="宋体" w:hAnsi="宋体" w:cs="宋体" w:eastAsia="宋体" w:hint="default"/>
          <w:sz w:val="18"/>
          <w:szCs w:val="18"/>
        </w:rPr>
        <w:t>。</w:t>
      </w:r>
    </w:p>
    <w:p>
      <w:pPr>
        <w:spacing w:line="463" w:lineRule="auto" w:before="43"/>
        <w:ind w:left="153" w:right="1130" w:firstLine="357"/>
        <w:jc w:val="both"/>
        <w:rPr>
          <w:rFonts w:ascii="宋体" w:hAnsi="宋体" w:cs="宋体" w:eastAsia="宋体" w:hint="default"/>
          <w:sz w:val="18"/>
          <w:szCs w:val="18"/>
        </w:rPr>
      </w:pPr>
      <w:r>
        <w:rPr>
          <w:rFonts w:ascii="宋体" w:hAnsi="宋体" w:cs="宋体" w:eastAsia="宋体" w:hint="default"/>
          <w:spacing w:val="-1"/>
          <w:sz w:val="18"/>
          <w:szCs w:val="18"/>
        </w:rPr>
        <w:t>做大智慧医疗。</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年，久信医疗利润创历史最高，市场占有率稳居第一，成功研发</w:t>
      </w:r>
      <w:r>
        <w:rPr>
          <w:rFonts w:ascii="Times New Roman" w:hAnsi="Times New Roman" w:cs="Times New Roman" w:eastAsia="Times New Roman" w:hint="default"/>
          <w:spacing w:val="-1"/>
          <w:sz w:val="18"/>
          <w:szCs w:val="18"/>
        </w:rPr>
        <w:t>3D</w:t>
      </w:r>
      <w:r>
        <w:rPr>
          <w:rFonts w:ascii="宋体" w:hAnsi="宋体" w:cs="宋体" w:eastAsia="宋体" w:hint="default"/>
          <w:spacing w:val="-1"/>
          <w:sz w:val="18"/>
          <w:szCs w:val="18"/>
        </w:rPr>
        <w:t>手术诊疗辅助系统、</w:t>
      </w:r>
      <w:r>
        <w:rPr>
          <w:rFonts w:ascii="Times New Roman" w:hAnsi="Times New Roman" w:cs="Times New Roman" w:eastAsia="Times New Roman" w:hint="default"/>
          <w:spacing w:val="-1"/>
          <w:sz w:val="18"/>
          <w:szCs w:val="18"/>
        </w:rPr>
        <w:t>AR</w:t>
      </w:r>
      <w:r>
        <w:rPr>
          <w:rFonts w:ascii="宋体" w:hAnsi="宋体" w:cs="宋体" w:eastAsia="宋体" w:hint="default"/>
          <w:spacing w:val="-1"/>
          <w:sz w:val="18"/>
          <w:szCs w:val="18"/>
        </w:rPr>
        <w:t>手术实</w:t>
      </w:r>
      <w:r>
        <w:rPr>
          <w:rFonts w:ascii="宋体" w:hAnsi="宋体" w:cs="宋体" w:eastAsia="宋体" w:hint="default"/>
          <w:sz w:val="18"/>
          <w:szCs w:val="18"/>
        </w:rPr>
        <w:t> </w:t>
      </w:r>
      <w:r>
        <w:rPr>
          <w:rFonts w:ascii="宋体" w:hAnsi="宋体" w:cs="宋体" w:eastAsia="宋体" w:hint="default"/>
          <w:spacing w:val="-2"/>
          <w:sz w:val="18"/>
          <w:szCs w:val="18"/>
        </w:rPr>
        <w:t>时协作指导系统，打通放射科到手术室的全诊疗周期的数字化应用。成功引入台湾著名医疗信息化团队，极大加强了公司在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医院信息化和区域医疗信息化领域的服务能力。签约单体合同额达</w:t>
      </w:r>
      <w:r>
        <w:rPr>
          <w:rFonts w:ascii="宋体" w:hAnsi="宋体" w:cs="宋体" w:eastAsia="宋体" w:hint="default"/>
          <w:spacing w:val="-2"/>
          <w:sz w:val="18"/>
          <w:szCs w:val="18"/>
        </w:rPr>
        <w:t>5596</w:t>
      </w:r>
      <w:r>
        <w:rPr>
          <w:rFonts w:ascii="宋体" w:hAnsi="宋体" w:cs="宋体" w:eastAsia="宋体" w:hint="default"/>
          <w:spacing w:val="-2"/>
          <w:sz w:val="18"/>
          <w:szCs w:val="18"/>
        </w:rPr>
        <w:t>万元的遵义医学院第二附属医院信息化项目，开拓了</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1"/>
          <w:sz w:val="18"/>
          <w:szCs w:val="18"/>
        </w:rPr>
        <w:t>医院信息化市场，进一步完善了智慧医院全生命周期整体建设解决方案。淮南智慧医疗</w:t>
      </w:r>
      <w:r>
        <w:rPr>
          <w:rFonts w:ascii="Times New Roman" w:hAnsi="Times New Roman" w:cs="Times New Roman" w:eastAsia="Times New Roman" w:hint="default"/>
          <w:spacing w:val="-1"/>
          <w:sz w:val="18"/>
          <w:szCs w:val="18"/>
        </w:rPr>
        <w:t>PPP</w:t>
      </w:r>
      <w:r>
        <w:rPr>
          <w:rFonts w:ascii="宋体" w:hAnsi="宋体" w:cs="宋体" w:eastAsia="宋体" w:hint="default"/>
          <w:spacing w:val="-1"/>
          <w:sz w:val="18"/>
          <w:szCs w:val="18"/>
        </w:rPr>
        <w:t>项目成功通过</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年度政府绩效</w:t>
      </w:r>
      <w:r>
        <w:rPr>
          <w:rFonts w:ascii="宋体" w:hAnsi="宋体" w:cs="宋体" w:eastAsia="宋体" w:hint="default"/>
          <w:spacing w:val="-58"/>
          <w:sz w:val="18"/>
          <w:szCs w:val="18"/>
        </w:rPr>
        <w:t> </w:t>
      </w:r>
      <w:r>
        <w:rPr>
          <w:rFonts w:ascii="宋体" w:hAnsi="宋体" w:cs="宋体" w:eastAsia="宋体" w:hint="default"/>
          <w:spacing w:val="-1"/>
          <w:sz w:val="18"/>
          <w:szCs w:val="18"/>
        </w:rPr>
        <w:t>评估，为公司在健康医疗大数据领域的拓展打下坚实的基础。中标及签约洪泽湖医养融合体智慧医院等</w:t>
      </w:r>
      <w:r>
        <w:rPr>
          <w:rFonts w:ascii="Times New Roman" w:hAnsi="Times New Roman" w:cs="Times New Roman" w:eastAsia="Times New Roman" w:hint="default"/>
          <w:spacing w:val="-1"/>
          <w:sz w:val="18"/>
          <w:szCs w:val="18"/>
        </w:rPr>
        <w:t>PPP</w:t>
      </w:r>
      <w:r>
        <w:rPr>
          <w:rFonts w:ascii="宋体" w:hAnsi="宋体" w:cs="宋体" w:eastAsia="宋体" w:hint="default"/>
          <w:spacing w:val="-1"/>
          <w:sz w:val="18"/>
          <w:szCs w:val="18"/>
        </w:rPr>
        <w:t>项目合同额</w:t>
      </w:r>
      <w:r>
        <w:rPr>
          <w:rFonts w:ascii="宋体" w:hAnsi="宋体" w:cs="宋体" w:eastAsia="宋体" w:hint="default"/>
          <w:spacing w:val="-1"/>
          <w:sz w:val="18"/>
          <w:szCs w:val="18"/>
        </w:rPr>
        <w:t>22.7</w:t>
      </w:r>
    </w:p>
    <w:p>
      <w:pPr>
        <w:spacing w:after="0" w:line="463"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451" w:lineRule="auto" w:before="0"/>
        <w:ind w:left="511" w:right="0" w:hanging="358"/>
        <w:jc w:val="left"/>
        <w:rPr>
          <w:rFonts w:ascii="宋体" w:hAnsi="宋体" w:cs="宋体" w:eastAsia="宋体" w:hint="default"/>
          <w:sz w:val="18"/>
          <w:szCs w:val="18"/>
        </w:rPr>
      </w:pPr>
      <w:r>
        <w:rPr>
          <w:rFonts w:ascii="宋体" w:hAnsi="宋体" w:cs="宋体" w:eastAsia="宋体" w:hint="default"/>
          <w:sz w:val="18"/>
          <w:szCs w:val="18"/>
        </w:rPr>
        <w:t>亿元，在智慧医院领域的整体建设服务能力和</w:t>
      </w:r>
      <w:r>
        <w:rPr>
          <w:rFonts w:ascii="Times New Roman" w:hAnsi="Times New Roman" w:cs="Times New Roman" w:eastAsia="Times New Roman" w:hint="default"/>
          <w:sz w:val="18"/>
          <w:szCs w:val="18"/>
        </w:rPr>
        <w:t>PPP</w:t>
      </w:r>
      <w:r>
        <w:rPr>
          <w:rFonts w:ascii="宋体" w:hAnsi="宋体" w:cs="宋体" w:eastAsia="宋体" w:hint="default"/>
          <w:sz w:val="18"/>
          <w:szCs w:val="18"/>
        </w:rPr>
        <w:t>创新模式得到有力印证。 </w:t>
      </w:r>
      <w:r>
        <w:rPr>
          <w:rFonts w:ascii="宋体" w:hAnsi="宋体" w:cs="宋体" w:eastAsia="宋体" w:hint="default"/>
          <w:spacing w:val="-1"/>
          <w:sz w:val="18"/>
          <w:szCs w:val="18"/>
        </w:rPr>
        <w:t>做强智慧交通。签约上海轨道交通总控中心平台总集成</w:t>
      </w:r>
      <w:r>
        <w:rPr>
          <w:rFonts w:ascii="Times New Roman" w:hAnsi="Times New Roman" w:cs="Times New Roman" w:eastAsia="Times New Roman" w:hint="default"/>
          <w:spacing w:val="-1"/>
          <w:sz w:val="18"/>
          <w:szCs w:val="18"/>
        </w:rPr>
        <w:t>COCC</w:t>
      </w:r>
      <w:r>
        <w:rPr>
          <w:rFonts w:ascii="宋体" w:hAnsi="宋体" w:cs="宋体" w:eastAsia="宋体" w:hint="default"/>
          <w:spacing w:val="-1"/>
          <w:sz w:val="18"/>
          <w:szCs w:val="18"/>
        </w:rPr>
        <w:t>项目，体现了公司全国领先的技术实力，持续巩固了公司</w:t>
      </w:r>
    </w:p>
    <w:p>
      <w:pPr>
        <w:spacing w:line="451" w:lineRule="auto" w:before="43"/>
        <w:ind w:left="153" w:right="1131" w:firstLine="0"/>
        <w:jc w:val="both"/>
        <w:rPr>
          <w:rFonts w:ascii="宋体" w:hAnsi="宋体" w:cs="宋体" w:eastAsia="宋体" w:hint="default"/>
          <w:sz w:val="18"/>
          <w:szCs w:val="18"/>
        </w:rPr>
      </w:pPr>
      <w:r>
        <w:rPr>
          <w:rFonts w:ascii="宋体" w:hAnsi="宋体" w:cs="宋体" w:eastAsia="宋体" w:hint="default"/>
          <w:spacing w:val="-2"/>
          <w:sz w:val="18"/>
          <w:szCs w:val="18"/>
        </w:rPr>
        <w:t>在轨道交通领域的行业地位。公司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一卡通整体解决方案</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在轨道交通行业取得突破，以线网门禁平台独到的优势，赢得用户</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和集成商认可，成功中标</w:t>
      </w:r>
      <w:r>
        <w:rPr>
          <w:rFonts w:ascii="Times New Roman" w:hAnsi="Times New Roman" w:cs="Times New Roman" w:eastAsia="Times New Roman" w:hint="default"/>
          <w:sz w:val="18"/>
          <w:szCs w:val="18"/>
        </w:rPr>
        <w:t>8</w:t>
      </w:r>
      <w:r>
        <w:rPr>
          <w:rFonts w:ascii="宋体" w:hAnsi="宋体" w:cs="宋体" w:eastAsia="宋体" w:hint="default"/>
          <w:sz w:val="18"/>
          <w:szCs w:val="18"/>
        </w:rPr>
        <w:t>条地铁线路门禁系统。加快推进城市轨道交通云支付和人工智能自动售检票系统落地，同时介入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以无人驾驶技术为先导、信号技术为中心的综合监控和大数据平台的研究与应用。</w:t>
      </w:r>
    </w:p>
    <w:p>
      <w:pPr>
        <w:spacing w:line="458" w:lineRule="auto" w:before="74"/>
        <w:ind w:left="153" w:right="1133" w:firstLine="357"/>
        <w:jc w:val="both"/>
        <w:rPr>
          <w:rFonts w:ascii="宋体" w:hAnsi="宋体" w:cs="宋体" w:eastAsia="宋体" w:hint="default"/>
          <w:sz w:val="18"/>
          <w:szCs w:val="18"/>
        </w:rPr>
      </w:pPr>
      <w:r>
        <w:rPr>
          <w:rFonts w:ascii="宋体" w:hAnsi="宋体" w:cs="宋体" w:eastAsia="宋体" w:hint="default"/>
          <w:sz w:val="18"/>
          <w:szCs w:val="18"/>
        </w:rPr>
        <w:t>做精智慧建筑。</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年，公司与全国销售金额前十房地产商中的</w:t>
      </w:r>
      <w:r>
        <w:rPr>
          <w:rFonts w:ascii="Times New Roman" w:hAnsi="Times New Roman" w:cs="Times New Roman" w:eastAsia="Times New Roman" w:hint="default"/>
          <w:sz w:val="18"/>
          <w:szCs w:val="18"/>
        </w:rPr>
        <w:t>9</w:t>
      </w:r>
      <w:r>
        <w:rPr>
          <w:rFonts w:ascii="宋体" w:hAnsi="宋体" w:cs="宋体" w:eastAsia="宋体" w:hint="default"/>
          <w:sz w:val="18"/>
          <w:szCs w:val="18"/>
        </w:rPr>
        <w:t>家建立良好合作，并成为恒大集团</w:t>
      </w:r>
      <w:r>
        <w:rPr>
          <w:rFonts w:ascii="Times New Roman" w:hAnsi="Times New Roman" w:cs="Times New Roman" w:eastAsia="Times New Roman" w:hint="default"/>
          <w:sz w:val="18"/>
          <w:szCs w:val="18"/>
        </w:rPr>
        <w:t>20</w:t>
      </w:r>
      <w:r>
        <w:rPr>
          <w:rFonts w:ascii="宋体" w:hAnsi="宋体" w:cs="宋体" w:eastAsia="宋体" w:hint="default"/>
          <w:sz w:val="18"/>
          <w:szCs w:val="18"/>
        </w:rPr>
        <w:t>家卓越战略合作 </w:t>
      </w:r>
      <w:r>
        <w:rPr>
          <w:rFonts w:ascii="宋体" w:hAnsi="宋体" w:cs="宋体" w:eastAsia="宋体" w:hint="default"/>
          <w:spacing w:val="-2"/>
          <w:sz w:val="18"/>
          <w:szCs w:val="18"/>
        </w:rPr>
        <w:t>伙伴之一，长达十年的紧密合作得到了恒大集团的充分认可，未来公司与恒大集团将在地产、金融、健康、文化旅游领域开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展多元化深度的合作。</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年，公司签约北京中粮置地广场能源站项目，首创</w:t>
      </w:r>
      <w:r>
        <w:rPr>
          <w:rFonts w:ascii="Times New Roman" w:hAnsi="Times New Roman" w:cs="Times New Roman" w:eastAsia="Times New Roman" w:hint="default"/>
          <w:spacing w:val="-4"/>
          <w:sz w:val="18"/>
          <w:szCs w:val="18"/>
        </w:rPr>
        <w:t>“IBOS”</w:t>
      </w:r>
      <w:r>
        <w:rPr>
          <w:rFonts w:ascii="宋体" w:hAnsi="宋体" w:cs="宋体" w:eastAsia="宋体" w:hint="default"/>
          <w:spacing w:val="-4"/>
          <w:sz w:val="18"/>
          <w:szCs w:val="18"/>
        </w:rPr>
        <w:t>（投资</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建设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运营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分享）模式，通过</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技</w:t>
      </w:r>
      <w:r>
        <w:rPr>
          <w:rFonts w:ascii="宋体" w:hAnsi="宋体" w:cs="宋体" w:eastAsia="宋体" w:hint="default"/>
          <w:spacing w:val="-39"/>
          <w:sz w:val="18"/>
          <w:szCs w:val="18"/>
        </w:rPr>
        <w:t> </w:t>
      </w:r>
      <w:r>
        <w:rPr>
          <w:rFonts w:ascii="宋体" w:hAnsi="宋体" w:cs="宋体" w:eastAsia="宋体" w:hint="default"/>
          <w:sz w:val="18"/>
          <w:szCs w:val="18"/>
        </w:rPr>
        <w:t>术</w:t>
      </w:r>
      <w:r>
        <w:rPr>
          <w:rFonts w:ascii="Times New Roman" w:hAnsi="Times New Roman" w:cs="Times New Roman" w:eastAsia="Times New Roman" w:hint="default"/>
          <w:sz w:val="18"/>
          <w:szCs w:val="18"/>
        </w:rPr>
        <w:t>+</w:t>
      </w:r>
      <w:r>
        <w:rPr>
          <w:rFonts w:ascii="宋体" w:hAnsi="宋体" w:cs="宋体" w:eastAsia="宋体" w:hint="default"/>
          <w:sz w:val="18"/>
          <w:szCs w:val="18"/>
        </w:rPr>
        <w:t>金融</w:t>
      </w:r>
      <w:r>
        <w:rPr>
          <w:rFonts w:ascii="Times New Roman" w:hAnsi="Times New Roman" w:cs="Times New Roman" w:eastAsia="Times New Roman" w:hint="default"/>
          <w:sz w:val="18"/>
          <w:szCs w:val="18"/>
        </w:rPr>
        <w:t>”</w:t>
      </w:r>
      <w:r>
        <w:rPr>
          <w:rFonts w:ascii="宋体" w:hAnsi="宋体" w:cs="宋体" w:eastAsia="宋体" w:hint="default"/>
          <w:sz w:val="18"/>
          <w:szCs w:val="18"/>
        </w:rPr>
        <w:t>打造大型央企高效冷站标杆。</w:t>
      </w:r>
    </w:p>
    <w:p>
      <w:pPr>
        <w:spacing w:before="37"/>
        <w:ind w:left="51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、战略区域重点布局</w:t>
      </w:r>
    </w:p>
    <w:p>
      <w:pPr>
        <w:spacing w:line="240" w:lineRule="auto" w:before="9"/>
        <w:rPr>
          <w:rFonts w:ascii="宋体" w:hAnsi="宋体" w:cs="宋体" w:eastAsia="宋体" w:hint="default"/>
          <w:sz w:val="16"/>
          <w:szCs w:val="16"/>
        </w:rPr>
      </w:pPr>
    </w:p>
    <w:p>
      <w:pPr>
        <w:spacing w:line="451" w:lineRule="auto" w:before="0"/>
        <w:ind w:left="153" w:right="1131" w:firstLine="357"/>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年粤港澳大湾区建设正式成为国家战略，粤港澳大湾区将成为国家建设世界级城市群、参与全球竞争的重要空间载</w:t>
      </w:r>
      <w:r>
        <w:rPr>
          <w:rFonts w:ascii="宋体" w:hAnsi="宋体" w:cs="宋体" w:eastAsia="宋体" w:hint="default"/>
          <w:sz w:val="18"/>
          <w:szCs w:val="18"/>
        </w:rPr>
        <w:t> </w:t>
      </w:r>
      <w:r>
        <w:rPr>
          <w:rFonts w:ascii="宋体" w:hAnsi="宋体" w:cs="宋体" w:eastAsia="宋体" w:hint="default"/>
          <w:spacing w:val="-2"/>
          <w:sz w:val="18"/>
          <w:szCs w:val="18"/>
        </w:rPr>
        <w:t>体以及国家全方位开放、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一带一路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最重要的门户枢纽。</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年中共中央、国务院决定在雄安设立国家级新区，雄安新区是</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继深圳经济特区和上海浦东新区之后又一具有全国意义的新区，是千年大计、国家大事。</w:t>
      </w:r>
    </w:p>
    <w:p>
      <w:pPr>
        <w:spacing w:line="451" w:lineRule="auto" w:before="74"/>
        <w:ind w:left="153" w:right="0" w:firstLine="35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年，公司结合国家战略调整公司区域战略布局，依托深圳总部，深耕粤港澳大湾区并覆盖中国南方片区。在雄安新</w:t>
      </w:r>
      <w:r>
        <w:rPr>
          <w:rFonts w:ascii="宋体" w:hAnsi="宋体" w:cs="宋体" w:eastAsia="宋体" w:hint="default"/>
          <w:sz w:val="18"/>
          <w:szCs w:val="18"/>
        </w:rPr>
        <w:t> </w:t>
      </w:r>
      <w:r>
        <w:rPr>
          <w:rFonts w:ascii="宋体" w:hAnsi="宋体" w:cs="宋体" w:eastAsia="宋体" w:hint="default"/>
          <w:spacing w:val="-4"/>
          <w:sz w:val="18"/>
          <w:szCs w:val="18"/>
        </w:rPr>
        <w:t>区宣布成立后获准成为雄安新区首批入驻</w:t>
      </w:r>
      <w:r>
        <w:rPr>
          <w:rFonts w:ascii="Times New Roman" w:hAnsi="Times New Roman" w:cs="Times New Roman" w:eastAsia="Times New Roman" w:hint="default"/>
          <w:spacing w:val="-4"/>
          <w:sz w:val="18"/>
          <w:szCs w:val="18"/>
        </w:rPr>
        <w:t>48</w:t>
      </w:r>
      <w:r>
        <w:rPr>
          <w:rFonts w:ascii="宋体" w:hAnsi="宋体" w:cs="宋体" w:eastAsia="宋体" w:hint="default"/>
          <w:spacing w:val="-4"/>
          <w:sz w:val="18"/>
          <w:szCs w:val="18"/>
        </w:rPr>
        <w:t>家企业之一，雄安达实智慧科技有限公司注册成立，成为扎根雄安，深耕京津冀，</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覆盖中国北方片区的北方总部。</w:t>
      </w:r>
    </w:p>
    <w:p>
      <w:pPr>
        <w:spacing w:before="74"/>
        <w:ind w:left="51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、市场营销深度拓展</w:t>
      </w:r>
    </w:p>
    <w:p>
      <w:pPr>
        <w:spacing w:line="240" w:lineRule="auto" w:before="9"/>
        <w:rPr>
          <w:rFonts w:ascii="宋体" w:hAnsi="宋体" w:cs="宋体" w:eastAsia="宋体" w:hint="default"/>
          <w:sz w:val="16"/>
          <w:szCs w:val="16"/>
        </w:rPr>
      </w:pPr>
    </w:p>
    <w:p>
      <w:pPr>
        <w:spacing w:line="463" w:lineRule="auto" w:before="0"/>
        <w:ind w:left="153" w:right="1129" w:firstLine="357"/>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年，结合公司业务布局与区域战略，深度拓展市场营销工作。成功亮相</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年武汉医院建设大会，通过打造久信医</w:t>
      </w:r>
      <w:r>
        <w:rPr>
          <w:rFonts w:ascii="宋体" w:hAnsi="宋体" w:cs="宋体" w:eastAsia="宋体" w:hint="default"/>
          <w:sz w:val="18"/>
          <w:szCs w:val="18"/>
        </w:rPr>
        <w:t> </w:t>
      </w:r>
      <w:r>
        <w:rPr>
          <w:rFonts w:ascii="宋体" w:hAnsi="宋体" w:cs="宋体" w:eastAsia="宋体" w:hint="default"/>
          <w:spacing w:val="-2"/>
          <w:sz w:val="18"/>
          <w:szCs w:val="18"/>
        </w:rPr>
        <w:t>疗智慧医疗体验馆、冠名论坛、参与主题发言等一系列活动，提升公司在智慧医疗领域的品牌影响力。依托雄安北方总部开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展市场营销，邀请</w:t>
      </w:r>
      <w:r>
        <w:rPr>
          <w:rFonts w:ascii="Times New Roman" w:hAnsi="Times New Roman" w:cs="Times New Roman" w:eastAsia="Times New Roman" w:hint="default"/>
          <w:sz w:val="18"/>
          <w:szCs w:val="18"/>
        </w:rPr>
        <w:t>33</w:t>
      </w:r>
      <w:r>
        <w:rPr>
          <w:rFonts w:ascii="宋体" w:hAnsi="宋体" w:cs="宋体" w:eastAsia="宋体" w:hint="default"/>
          <w:sz w:val="18"/>
          <w:szCs w:val="18"/>
        </w:rPr>
        <w:t>家央企、</w:t>
      </w:r>
      <w:r>
        <w:rPr>
          <w:rFonts w:ascii="Times New Roman" w:hAnsi="Times New Roman" w:cs="Times New Roman" w:eastAsia="Times New Roman" w:hint="default"/>
          <w:sz w:val="18"/>
          <w:szCs w:val="18"/>
        </w:rPr>
        <w:t>27</w:t>
      </w:r>
      <w:r>
        <w:rPr>
          <w:rFonts w:ascii="宋体" w:hAnsi="宋体" w:cs="宋体" w:eastAsia="宋体" w:hint="default"/>
          <w:sz w:val="18"/>
          <w:szCs w:val="18"/>
        </w:rPr>
        <w:t>家国企参观，并构建合作关系。</w:t>
      </w:r>
    </w:p>
    <w:p>
      <w:pPr>
        <w:spacing w:line="451" w:lineRule="auto" w:before="33"/>
        <w:ind w:left="153" w:right="1131" w:firstLine="35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年，中国首座</w:t>
      </w:r>
      <w:r>
        <w:rPr>
          <w:rFonts w:ascii="Times New Roman" w:hAnsi="Times New Roman" w:cs="Times New Roman" w:eastAsia="Times New Roman" w:hint="default"/>
          <w:sz w:val="18"/>
          <w:szCs w:val="18"/>
        </w:rPr>
        <w:t>“</w:t>
      </w:r>
      <w:r>
        <w:rPr>
          <w:rFonts w:ascii="宋体" w:hAnsi="宋体" w:cs="宋体" w:eastAsia="宋体" w:hint="default"/>
          <w:sz w:val="18"/>
          <w:szCs w:val="18"/>
        </w:rPr>
        <w:t>双标准、三认证</w:t>
      </w:r>
      <w:r>
        <w:rPr>
          <w:rFonts w:ascii="Times New Roman" w:hAnsi="Times New Roman" w:cs="Times New Roman" w:eastAsia="Times New Roman" w:hint="default"/>
          <w:sz w:val="18"/>
          <w:szCs w:val="18"/>
        </w:rPr>
        <w:t>”</w:t>
      </w:r>
      <w:r>
        <w:rPr>
          <w:rFonts w:ascii="宋体" w:hAnsi="宋体" w:cs="宋体" w:eastAsia="宋体" w:hint="default"/>
          <w:sz w:val="18"/>
          <w:szCs w:val="18"/>
        </w:rPr>
        <w:t>绿色智慧大厦</w:t>
      </w:r>
      <w:r>
        <w:rPr>
          <w:rFonts w:ascii="Times New Roman" w:hAnsi="Times New Roman" w:cs="Times New Roman" w:eastAsia="Times New Roman" w:hint="default"/>
          <w:sz w:val="18"/>
          <w:szCs w:val="18"/>
        </w:rPr>
        <w:t>--</w:t>
      </w:r>
      <w:r>
        <w:rPr>
          <w:rFonts w:ascii="宋体" w:hAnsi="宋体" w:cs="宋体" w:eastAsia="宋体" w:hint="default"/>
          <w:sz w:val="18"/>
          <w:szCs w:val="18"/>
        </w:rPr>
        <w:t>达实大厦顺利封顶，率先在国际上采用</w:t>
      </w:r>
      <w:r>
        <w:rPr>
          <w:rFonts w:ascii="Times New Roman" w:hAnsi="Times New Roman" w:cs="Times New Roman" w:eastAsia="Times New Roman" w:hint="default"/>
          <w:sz w:val="18"/>
          <w:szCs w:val="18"/>
        </w:rPr>
        <w:t>IBMS</w:t>
      </w:r>
      <w:r>
        <w:rPr>
          <w:rFonts w:ascii="宋体" w:hAnsi="宋体" w:cs="宋体" w:eastAsia="宋体" w:hint="default"/>
          <w:sz w:val="18"/>
          <w:szCs w:val="18"/>
        </w:rPr>
        <w:t>、</w:t>
      </w:r>
      <w:r>
        <w:rPr>
          <w:rFonts w:ascii="Times New Roman" w:hAnsi="Times New Roman" w:cs="Times New Roman" w:eastAsia="Times New Roman" w:hint="default"/>
          <w:sz w:val="18"/>
          <w:szCs w:val="18"/>
        </w:rPr>
        <w:t>BIM</w:t>
      </w:r>
      <w:r>
        <w:rPr>
          <w:rFonts w:ascii="宋体" w:hAnsi="宋体" w:cs="宋体" w:eastAsia="宋体" w:hint="default"/>
          <w:sz w:val="18"/>
          <w:szCs w:val="18"/>
        </w:rPr>
        <w:t>及</w:t>
      </w:r>
      <w:r>
        <w:rPr>
          <w:rFonts w:ascii="Times New Roman" w:hAnsi="Times New Roman" w:cs="Times New Roman" w:eastAsia="Times New Roman" w:hint="default"/>
          <w:sz w:val="18"/>
          <w:szCs w:val="18"/>
        </w:rPr>
        <w:t>FM</w:t>
      </w:r>
      <w:r>
        <w:rPr>
          <w:rFonts w:ascii="宋体" w:hAnsi="宋体" w:cs="宋体" w:eastAsia="宋体" w:hint="default"/>
          <w:sz w:val="18"/>
          <w:szCs w:val="18"/>
        </w:rPr>
        <w:t>技术的融 </w:t>
      </w:r>
      <w:r>
        <w:rPr>
          <w:rFonts w:ascii="宋体" w:hAnsi="宋体" w:cs="宋体" w:eastAsia="宋体" w:hint="default"/>
          <w:spacing w:val="-2"/>
          <w:sz w:val="18"/>
          <w:szCs w:val="18"/>
        </w:rPr>
        <w:t>合，全面诠释了拥有</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智慧大脑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的建筑如何打造高效、节能、舒适的办公环境。达实智慧大厦将成为国内最先进的智慧大厦</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标杆与示范体验基地，并预计于</w:t>
      </w:r>
      <w:r>
        <w:rPr>
          <w:rFonts w:ascii="宋体" w:hAnsi="宋体" w:cs="宋体" w:eastAsia="宋体" w:hint="default"/>
          <w:sz w:val="18"/>
          <w:szCs w:val="18"/>
        </w:rPr>
        <w:t>2019</w:t>
      </w:r>
      <w:r>
        <w:rPr>
          <w:rFonts w:ascii="宋体" w:hAnsi="宋体" w:cs="宋体" w:eastAsia="宋体" w:hint="default"/>
          <w:sz w:val="18"/>
          <w:szCs w:val="18"/>
        </w:rPr>
        <w:t>年作为公司总部投入使用。</w:t>
      </w:r>
    </w:p>
    <w:p>
      <w:pPr>
        <w:spacing w:line="240" w:lineRule="auto" w:before="0"/>
        <w:rPr>
          <w:rFonts w:ascii="宋体" w:hAnsi="宋体" w:cs="宋体" w:eastAsia="宋体" w:hint="default"/>
          <w:sz w:val="19"/>
          <w:szCs w:val="19"/>
        </w:rPr>
      </w:pPr>
    </w:p>
    <w:p>
      <w:pPr>
        <w:pStyle w:val="Heading2"/>
        <w:spacing w:line="240" w:lineRule="auto"/>
        <w:ind w:left="154" w:right="0"/>
        <w:jc w:val="both"/>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2,572,487,726.02</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2,457,015,465.82</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4.70%</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2,572,487,726.02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2,457,015,465.82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4.70%</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智慧建筑及节能</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1,414,044,485.59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54.97%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1,042,405,252.58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42.43%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35.65%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智慧交通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137,947,337.98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498,652,337.00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20.30%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-72.34%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914,999,683.58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35.57%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773,868,270.29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31.50%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18.24%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105,496,218.87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142,089,605.95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5.77%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-25.75%</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702,665,960.51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27.31%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921,998,483.84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37.53%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-23.79%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970,267,549.40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37.72%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759,088,121.61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30.89%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27.82%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238,942,793.74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153,864,463.79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6.26%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55.29%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63,963,810.57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59,862,041.01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2.44%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156,673,081.39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140,154,341.95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5.70%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11.79%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354,648,702.04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13.79%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273,887,465.40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11.15%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29.49%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85,325,828.37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148,160,548.22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6.03%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-42.41%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60"/>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48" w:lineRule="auto"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215" w:space="570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2,572,487,726.02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1,735,580,804.22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2.04%</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智慧建筑及节能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1,414,044,485.59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1,018,860,655.92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35.83%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914,999,683.58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585,308,777.65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16.73%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智慧交通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137,947,337.98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101,558,641.07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-74.81%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702,665,960.51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453,404,657.83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970,267,549.40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683,339,128.83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354,648,702.04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215,894,874.49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1,735,580,804.22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1,707,827,205.71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0" w:right="0"/>
              <w:jc w:val="left"/>
              <w:rPr>
                <w:rFonts w:ascii="Times New Roman" w:hAnsi="Times New Roman" w:cs="Times New Roman" w:eastAsia="Times New Roman" w:hint="default"/>
                <w:sz w:val="18"/>
                <w:szCs w:val="18"/>
              </w:rPr>
            </w:pPr>
            <w:r>
              <w:rPr>
                <w:rFonts w:ascii="Times New Roman"/>
                <w:sz w:val="18"/>
              </w:rPr>
              <w:t>1.63%</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智慧建筑及节能</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1,018,860,655.92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750,084,104.76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35.83%</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智慧交通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101,558,641.07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403,234,391.92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-74.81%</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585,308,777.65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501,436,654.31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16.73%</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29,852,729.58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53,072,054.72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-43.75%</w:t>
            </w:r>
          </w:p>
        </w:tc>
      </w:tr>
    </w:tbl>
    <w:p>
      <w:pPr>
        <w:spacing w:line="357" w:lineRule="auto" w:before="51"/>
        <w:ind w:left="154" w:right="10392" w:firstLine="0"/>
        <w:jc w:val="left"/>
        <w:rPr>
          <w:rFonts w:ascii="宋体" w:hAnsi="宋体" w:cs="宋体" w:eastAsia="宋体" w:hint="default"/>
          <w:sz w:val="18"/>
          <w:szCs w:val="18"/>
        </w:rPr>
      </w:pPr>
      <w:r>
        <w:rPr>
          <w:rFonts w:ascii="宋体" w:hAnsi="宋体" w:cs="宋体" w:eastAsia="宋体" w:hint="default"/>
          <w:sz w:val="18"/>
          <w:szCs w:val="18"/>
        </w:rPr>
        <w:t>说明 无</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13"/>
          <w:szCs w:val="13"/>
        </w:rPr>
      </w:pPr>
    </w:p>
    <w:p>
      <w:pPr>
        <w:spacing w:line="451" w:lineRule="auto" w:before="0"/>
        <w:ind w:left="154" w:right="1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、报告期内，公司新设立深圳达实软件有限公司、雄安达实智慧科技有限公司、江苏洪泽湖达实智慧医养有限公司， 本期纳入合并报告。</w:t>
      </w:r>
    </w:p>
    <w:p>
      <w:pPr>
        <w:spacing w:before="74"/>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、报告期内，公司转让原子公司北京达实德润能源科技有限公司股权，在转让日后不再将其纳入财务报表合并范围。</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53"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401,949,077.75</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15.62%</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中国建筑一局（集团）有限公司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133,026,274.94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信利半导体有限公司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95,675,675.68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宿州市立医院</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85,526,198.53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长沙市轨道交通四号线建设发展有限公司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44,381,711.92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山东银澎云计算有限公司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43,339,216.68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401,949,077.75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188,239,087.64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11.84%</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3"/>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珠海市蓝海之略医疗股份有限公司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88,282,051.34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深圳齐心集团股份有限公司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37,215,384.65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上海大华电器设备有限公司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22,851,676.68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弘历工程管理（上海）有限公司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21,246,393.97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南京天加环境科技有限公司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18,643,581.00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188,239,087.64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485" w:right="0"/>
              <w:jc w:val="left"/>
              <w:rPr>
                <w:rFonts w:ascii="Times New Roman" w:hAnsi="Times New Roman" w:cs="Times New Roman" w:eastAsia="Times New Roman" w:hint="default"/>
                <w:sz w:val="18"/>
                <w:szCs w:val="18"/>
              </w:rPr>
            </w:pPr>
            <w:r>
              <w:rPr>
                <w:rFonts w:ascii="Times New Roman"/>
                <w:sz w:val="18"/>
              </w:rPr>
              <w:t>202,093,511.85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left"/>
              <w:rPr>
                <w:rFonts w:ascii="Times New Roman" w:hAnsi="Times New Roman" w:cs="Times New Roman" w:eastAsia="Times New Roman" w:hint="default"/>
                <w:sz w:val="18"/>
                <w:szCs w:val="18"/>
              </w:rPr>
            </w:pPr>
            <w:r>
              <w:rPr>
                <w:rFonts w:ascii="Times New Roman"/>
                <w:sz w:val="18"/>
              </w:rPr>
              <w:t>171,573,397.61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17.79%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销售费用本报告期无重大变动。</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479" w:right="0"/>
              <w:jc w:val="left"/>
              <w:rPr>
                <w:rFonts w:ascii="Times New Roman" w:hAnsi="Times New Roman" w:cs="Times New Roman" w:eastAsia="Times New Roman" w:hint="default"/>
                <w:sz w:val="18"/>
                <w:szCs w:val="18"/>
              </w:rPr>
            </w:pPr>
            <w:r>
              <w:rPr>
                <w:rFonts w:ascii="Times New Roman"/>
                <w:sz w:val="18"/>
              </w:rPr>
              <w:t>210,575,428.85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left"/>
              <w:rPr>
                <w:rFonts w:ascii="Times New Roman" w:hAnsi="Times New Roman" w:cs="Times New Roman" w:eastAsia="Times New Roman" w:hint="default"/>
                <w:sz w:val="18"/>
                <w:szCs w:val="18"/>
              </w:rPr>
            </w:pPr>
            <w:r>
              <w:rPr>
                <w:rFonts w:ascii="Times New Roman"/>
                <w:sz w:val="18"/>
              </w:rPr>
              <w:t>199,249,759.06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管理费用本报告期无重大变动。</w:t>
            </w:r>
          </w:p>
        </w:tc>
      </w:tr>
      <w:tr>
        <w:trPr>
          <w:trHeight w:val="318"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4,914,072.04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4" w:right="0"/>
              <w:jc w:val="left"/>
              <w:rPr>
                <w:rFonts w:ascii="Times New Roman" w:hAnsi="Times New Roman" w:cs="Times New Roman" w:eastAsia="Times New Roman" w:hint="default"/>
                <w:sz w:val="18"/>
                <w:szCs w:val="18"/>
              </w:rPr>
            </w:pPr>
            <w:r>
              <w:rPr>
                <w:rFonts w:ascii="Times New Roman"/>
                <w:sz w:val="18"/>
              </w:rPr>
              <w:t>-966,750.32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608.31%</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both"/>
              <w:rPr>
                <w:rFonts w:ascii="宋体" w:hAnsi="宋体" w:cs="宋体" w:eastAsia="宋体" w:hint="default"/>
                <w:sz w:val="18"/>
                <w:szCs w:val="18"/>
              </w:rPr>
            </w:pPr>
            <w:r>
              <w:rPr>
                <w:rFonts w:ascii="宋体" w:hAnsi="宋体" w:cs="宋体" w:eastAsia="宋体" w:hint="default"/>
                <w:sz w:val="18"/>
                <w:szCs w:val="18"/>
              </w:rPr>
              <w:t>财务费用本报告期增长较大主要原 因是本报告期母公司银行贷款利息 支出增加所致。</w:t>
            </w:r>
          </w:p>
        </w:tc>
      </w:tr>
      <w:tr>
        <w:trPr>
          <w:trHeight w:val="391"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8"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3"/>
          <w:szCs w:val="13"/>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报告期内，公司立足三大业务板块，持续加大技术和产品的研发投入，取得</w:t>
      </w:r>
      <w:r>
        <w:rPr>
          <w:rFonts w:ascii="Times New Roman" w:hAnsi="Times New Roman" w:cs="Times New Roman" w:eastAsia="Times New Roman" w:hint="default"/>
          <w:sz w:val="18"/>
          <w:szCs w:val="18"/>
        </w:rPr>
        <w:t>9</w:t>
      </w:r>
      <w:r>
        <w:rPr>
          <w:rFonts w:ascii="宋体" w:hAnsi="宋体" w:cs="宋体" w:eastAsia="宋体" w:hint="default"/>
          <w:sz w:val="18"/>
          <w:szCs w:val="18"/>
        </w:rPr>
        <w:t>项发明专利证书、</w:t>
      </w:r>
      <w:r>
        <w:rPr>
          <w:rFonts w:ascii="Times New Roman" w:hAnsi="Times New Roman" w:cs="Times New Roman" w:eastAsia="Times New Roman" w:hint="default"/>
          <w:sz w:val="18"/>
          <w:szCs w:val="18"/>
        </w:rPr>
        <w:t>6</w:t>
      </w:r>
      <w:r>
        <w:rPr>
          <w:rFonts w:ascii="宋体" w:hAnsi="宋体" w:cs="宋体" w:eastAsia="宋体" w:hint="default"/>
          <w:sz w:val="18"/>
          <w:szCs w:val="18"/>
        </w:rPr>
        <w:t>项实用新型专利证书、</w:t>
      </w:r>
    </w:p>
    <w:p>
      <w:pPr>
        <w:spacing w:line="240" w:lineRule="auto" w:before="9"/>
        <w:rPr>
          <w:rFonts w:ascii="宋体" w:hAnsi="宋体" w:cs="宋体" w:eastAsia="宋体" w:hint="default"/>
          <w:sz w:val="16"/>
          <w:szCs w:val="16"/>
        </w:rPr>
      </w:pPr>
    </w:p>
    <w:p>
      <w:pPr>
        <w:spacing w:line="451" w:lineRule="auto" w:before="0"/>
        <w:ind w:left="573" w:right="1126" w:hanging="42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项软件著作权，新申请</w:t>
      </w:r>
      <w:r>
        <w:rPr>
          <w:rFonts w:ascii="Times New Roman" w:hAnsi="Times New Roman" w:cs="Times New Roman" w:eastAsia="Times New Roman" w:hint="default"/>
          <w:sz w:val="18"/>
          <w:szCs w:val="18"/>
        </w:rPr>
        <w:t>80</w:t>
      </w:r>
      <w:r>
        <w:rPr>
          <w:rFonts w:ascii="宋体" w:hAnsi="宋体" w:cs="宋体" w:eastAsia="宋体" w:hint="default"/>
          <w:sz w:val="18"/>
          <w:szCs w:val="18"/>
        </w:rPr>
        <w:t>项专利（其中发明</w:t>
      </w:r>
      <w:r>
        <w:rPr>
          <w:rFonts w:ascii="Times New Roman" w:hAnsi="Times New Roman" w:cs="Times New Roman" w:eastAsia="Times New Roman" w:hint="default"/>
          <w:sz w:val="18"/>
          <w:szCs w:val="18"/>
        </w:rPr>
        <w:t>62</w:t>
      </w:r>
      <w:r>
        <w:rPr>
          <w:rFonts w:ascii="宋体" w:hAnsi="宋体" w:cs="宋体" w:eastAsia="宋体" w:hint="default"/>
          <w:sz w:val="18"/>
          <w:szCs w:val="18"/>
        </w:rPr>
        <w:t>项、实用新型</w:t>
      </w:r>
      <w:r>
        <w:rPr>
          <w:rFonts w:ascii="Times New Roman" w:hAnsi="Times New Roman" w:cs="Times New Roman" w:eastAsia="Times New Roman" w:hint="default"/>
          <w:sz w:val="18"/>
          <w:szCs w:val="18"/>
        </w:rPr>
        <w:t>18</w:t>
      </w:r>
      <w:r>
        <w:rPr>
          <w:rFonts w:ascii="宋体" w:hAnsi="宋体" w:cs="宋体" w:eastAsia="宋体" w:hint="default"/>
          <w:sz w:val="18"/>
          <w:szCs w:val="18"/>
        </w:rPr>
        <w:t>项），研发实力进一步增强。 </w:t>
      </w:r>
      <w:r>
        <w:rPr>
          <w:rFonts w:ascii="宋体" w:hAnsi="宋体" w:cs="宋体" w:eastAsia="宋体" w:hint="default"/>
          <w:spacing w:val="-1"/>
          <w:sz w:val="18"/>
          <w:szCs w:val="18"/>
        </w:rPr>
        <w:t>公司继续加大自主研发的</w:t>
      </w:r>
      <w:r>
        <w:rPr>
          <w:rFonts w:ascii="Times New Roman" w:hAnsi="Times New Roman" w:cs="Times New Roman" w:eastAsia="Times New Roman" w:hint="default"/>
          <w:spacing w:val="-1"/>
          <w:sz w:val="18"/>
          <w:szCs w:val="18"/>
        </w:rPr>
        <w:t>IBMS</w:t>
      </w:r>
      <w:r>
        <w:rPr>
          <w:rFonts w:ascii="宋体" w:hAnsi="宋体" w:cs="宋体" w:eastAsia="宋体" w:hint="default"/>
          <w:spacing w:val="-1"/>
          <w:sz w:val="18"/>
          <w:szCs w:val="18"/>
        </w:rPr>
        <w:t>系统在新签项目中的应用，并在原系统的基础上进行了升级，在满足用户安全管理、稳</w:t>
      </w:r>
    </w:p>
    <w:p>
      <w:pPr>
        <w:spacing w:line="451" w:lineRule="auto" w:before="43"/>
        <w:ind w:left="154" w:right="1132" w:firstLine="0"/>
        <w:jc w:val="left"/>
        <w:rPr>
          <w:rFonts w:ascii="宋体" w:hAnsi="宋体" w:cs="宋体" w:eastAsia="宋体" w:hint="default"/>
          <w:sz w:val="18"/>
          <w:szCs w:val="18"/>
        </w:rPr>
      </w:pPr>
      <w:r>
        <w:rPr>
          <w:rFonts w:ascii="宋体" w:hAnsi="宋体" w:cs="宋体" w:eastAsia="宋体" w:hint="default"/>
          <w:sz w:val="18"/>
          <w:szCs w:val="18"/>
        </w:rPr>
        <w:t>定可靠、节能控制的核心需求的同时，持续降低公司采购成本。公司自主研发的《智慧医院后勤运维综合管控平台》在</w:t>
      </w:r>
      <w:r>
        <w:rPr>
          <w:rFonts w:ascii="Times New Roman" w:hAnsi="Times New Roman" w:cs="Times New Roman" w:eastAsia="Times New Roman" w:hint="default"/>
          <w:sz w:val="18"/>
          <w:szCs w:val="18"/>
        </w:rPr>
        <w:t>“</w:t>
      </w:r>
      <w:r>
        <w:rPr>
          <w:rFonts w:ascii="宋体" w:hAnsi="宋体" w:cs="宋体" w:eastAsia="宋体" w:hint="default"/>
          <w:sz w:val="18"/>
          <w:szCs w:val="18"/>
        </w:rPr>
        <w:t>武 汉医院建设大会</w:t>
      </w:r>
      <w:r>
        <w:rPr>
          <w:rFonts w:ascii="Times New Roman" w:hAnsi="Times New Roman" w:cs="Times New Roman" w:eastAsia="Times New Roman" w:hint="default"/>
          <w:sz w:val="18"/>
          <w:szCs w:val="18"/>
        </w:rPr>
        <w:t>”</w:t>
      </w:r>
      <w:r>
        <w:rPr>
          <w:rFonts w:ascii="宋体" w:hAnsi="宋体" w:cs="宋体" w:eastAsia="宋体" w:hint="default"/>
          <w:sz w:val="18"/>
          <w:szCs w:val="18"/>
        </w:rPr>
        <w:t>首次成功亮相。</w:t>
      </w:r>
    </w:p>
    <w:p>
      <w:pPr>
        <w:spacing w:line="463" w:lineRule="auto" w:before="84"/>
        <w:ind w:left="153" w:right="1132" w:firstLine="420"/>
        <w:jc w:val="both"/>
        <w:rPr>
          <w:rFonts w:ascii="宋体" w:hAnsi="宋体" w:cs="宋体" w:eastAsia="宋体" w:hint="default"/>
          <w:sz w:val="18"/>
          <w:szCs w:val="18"/>
        </w:rPr>
      </w:pPr>
      <w:r>
        <w:rPr>
          <w:rFonts w:ascii="宋体" w:hAnsi="宋体" w:cs="宋体" w:eastAsia="宋体" w:hint="default"/>
          <w:sz w:val="18"/>
          <w:szCs w:val="18"/>
        </w:rPr>
        <w:t>公司还完成了核心技术</w:t>
      </w:r>
      <w:r>
        <w:rPr>
          <w:rFonts w:ascii="Times New Roman" w:hAnsi="Times New Roman" w:cs="Times New Roman" w:eastAsia="Times New Roman" w:hint="default"/>
          <w:sz w:val="18"/>
          <w:szCs w:val="18"/>
        </w:rPr>
        <w:t>dasRdb</w:t>
      </w:r>
      <w:r>
        <w:rPr>
          <w:rFonts w:ascii="宋体" w:hAnsi="宋体" w:cs="宋体" w:eastAsia="宋体" w:hint="default"/>
          <w:sz w:val="18"/>
          <w:szCs w:val="18"/>
        </w:rPr>
        <w:t>实时数据库的优化升级，且成功申请了其</w:t>
      </w:r>
      <w:r>
        <w:rPr>
          <w:rFonts w:ascii="Times New Roman" w:hAnsi="Times New Roman" w:cs="Times New Roman" w:eastAsia="Times New Roman" w:hint="default"/>
          <w:sz w:val="18"/>
          <w:szCs w:val="18"/>
        </w:rPr>
        <w:t>PCT</w:t>
      </w:r>
      <w:r>
        <w:rPr>
          <w:rFonts w:ascii="宋体" w:hAnsi="宋体" w:cs="宋体" w:eastAsia="宋体" w:hint="default"/>
          <w:sz w:val="18"/>
          <w:szCs w:val="18"/>
        </w:rPr>
        <w:t>国际专利。公司的产业化项目《智能建筑 </w:t>
      </w:r>
      <w:r>
        <w:rPr>
          <w:rFonts w:ascii="宋体" w:hAnsi="宋体" w:cs="宋体" w:eastAsia="宋体" w:hint="default"/>
          <w:spacing w:val="-2"/>
          <w:sz w:val="18"/>
          <w:szCs w:val="18"/>
        </w:rPr>
        <w:t>人工环境下的实时机电节能控制技术产业化》和技术攻关项目《基于物联网大数据的智慧能源监控系统关键技术研发》分别</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获得当地政府部门认可和资助。同时，公司积极参与制定《医院建筑运行维护技术标准 》、《公共建筑中央空调控制系统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技术规程》、《绿色建筑运行维护技术规范》、《绿色建筑</w:t>
      </w:r>
      <w:r>
        <w:rPr>
          <w:rFonts w:ascii="Times New Roman" w:hAnsi="Times New Roman" w:cs="Times New Roman" w:eastAsia="Times New Roman" w:hint="default"/>
          <w:spacing w:val="-2"/>
          <w:sz w:val="18"/>
          <w:szCs w:val="18"/>
        </w:rPr>
        <w:t>BIM</w:t>
      </w:r>
      <w:r>
        <w:rPr>
          <w:rFonts w:ascii="宋体" w:hAnsi="宋体" w:cs="宋体" w:eastAsia="宋体" w:hint="default"/>
          <w:spacing w:val="-2"/>
          <w:sz w:val="18"/>
          <w:szCs w:val="18"/>
        </w:rPr>
        <w:t>技术应用指南》等国家标准、地方标准及行业标准，持续增</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强公司在行业领军和技术更新方面的自主性和创新性。</w:t>
      </w:r>
    </w:p>
    <w:p>
      <w:pPr>
        <w:spacing w:before="28"/>
        <w:ind w:left="154" w:right="0"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105,083,506.09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91,908,595.47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18,025,156.29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12,172,039.60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2,419,976,662.35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2,049,642,619.96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2,209,849,316.81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2,064,460,329.61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210,127,345.54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-14,817,709.65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1,518.08%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824,309,891.58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1,002,897,382.19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980,796,975.60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1,541,967,754.50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-156,487,084.02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-539,070,372.31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70.97%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728,528,000.01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541,082,392.17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626,979,338.01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434,350,527.63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101,548,662.00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106,731,864.54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154,905,420.23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-447,077,263.16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134.65%</w:t>
            </w:r>
          </w:p>
        </w:tc>
      </w:tr>
    </w:tbl>
    <w:p>
      <w:pPr>
        <w:spacing w:line="240" w:lineRule="auto" w:before="6"/>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432" w:lineRule="auto" w:before="116"/>
        <w:ind w:left="153" w:right="10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1"/>
          <w:sz w:val="18"/>
          <w:szCs w:val="18"/>
        </w:rPr>
        <w:t>经营活动产生的现金流量净额较上年增长</w:t>
      </w:r>
      <w:r>
        <w:rPr>
          <w:rFonts w:ascii="Times New Roman" w:hAnsi="Times New Roman" w:cs="Times New Roman" w:eastAsia="Times New Roman" w:hint="default"/>
          <w:spacing w:val="-1"/>
          <w:sz w:val="18"/>
          <w:szCs w:val="18"/>
        </w:rPr>
        <w:t>1,518.08%</w:t>
      </w:r>
      <w:r>
        <w:rPr>
          <w:rFonts w:ascii="宋体" w:hAnsi="宋体" w:cs="宋体" w:eastAsia="宋体" w:hint="default"/>
          <w:spacing w:val="-1"/>
          <w:sz w:val="18"/>
          <w:szCs w:val="18"/>
        </w:rPr>
        <w:t>，主要原因是本报告期收到的销售款及承兑票据到期托收金额增加所致。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投资活动产生的现金流量净额较上年增长</w:t>
      </w:r>
      <w:r>
        <w:rPr>
          <w:rFonts w:ascii="Times New Roman" w:hAnsi="Times New Roman" w:cs="Times New Roman" w:eastAsia="Times New Roman" w:hint="default"/>
          <w:sz w:val="18"/>
          <w:szCs w:val="18"/>
        </w:rPr>
        <w:t>70.97%</w:t>
      </w:r>
      <w:r>
        <w:rPr>
          <w:rFonts w:ascii="宋体" w:hAnsi="宋体" w:cs="宋体" w:eastAsia="宋体" w:hint="default"/>
          <w:sz w:val="18"/>
          <w:szCs w:val="18"/>
        </w:rPr>
        <w:t>，主要原因是上年发生额包含支付收购久信医疗现金对价部分所致。</w:t>
      </w:r>
    </w:p>
    <w:p>
      <w:pPr>
        <w:spacing w:before="59"/>
        <w:ind w:left="154" w:right="0" w:firstLine="0"/>
        <w:jc w:val="left"/>
        <w:rPr>
          <w:rFonts w:ascii="宋体" w:hAnsi="宋体" w:cs="宋体" w:eastAsia="宋体" w:hint="default"/>
          <w:sz w:val="18"/>
          <w:szCs w:val="18"/>
        </w:rPr>
      </w:pPr>
      <w:r>
        <w:rPr>
          <w:rFonts w:ascii="宋体" w:hAnsi="宋体" w:cs="宋体" w:eastAsia="宋体" w:hint="default"/>
          <w:sz w:val="18"/>
          <w:szCs w:val="18"/>
        </w:rPr>
        <w:t>筹资活动产生的现金流量净额较上年下降</w:t>
      </w:r>
      <w:r>
        <w:rPr>
          <w:rFonts w:ascii="Times New Roman" w:hAnsi="Times New Roman" w:cs="Times New Roman" w:eastAsia="Times New Roman" w:hint="default"/>
          <w:sz w:val="18"/>
          <w:szCs w:val="18"/>
        </w:rPr>
        <w:t>4.86%</w:t>
      </w:r>
      <w:r>
        <w:rPr>
          <w:rFonts w:ascii="宋体" w:hAnsi="宋体" w:cs="宋体" w:eastAsia="宋体" w:hint="default"/>
          <w:sz w:val="18"/>
          <w:szCs w:val="18"/>
        </w:rPr>
        <w:t>，主要原因是本报告期子公司达实联欣分红，支付少数股东股利所致。</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2"/>
          <w:szCs w:val="22"/>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45"/>
        <w:gridCol w:w="1464"/>
        <w:gridCol w:w="1135"/>
        <w:gridCol w:w="1317"/>
        <w:gridCol w:w="865"/>
        <w:gridCol w:w="901"/>
        <w:gridCol w:w="3429"/>
      </w:tblGrid>
      <w:tr>
        <w:trPr>
          <w:trHeight w:val="384" w:hRule="exact"/>
        </w:trPr>
        <w:tc>
          <w:tcPr>
            <w:tcW w:w="545" w:type="dxa"/>
            <w:tcBorders>
              <w:top w:val="single" w:sz="4" w:space="0" w:color="000000"/>
              <w:left w:val="single" w:sz="4" w:space="0" w:color="000000"/>
              <w:bottom w:val="nil" w:sz="6" w:space="0" w:color="auto"/>
              <w:right w:val="single" w:sz="4" w:space="0" w:color="000000"/>
            </w:tcBorders>
            <w:shd w:val="clear" w:color="auto" w:fill="D2D2D2"/>
          </w:tcPr>
          <w:p>
            <w:pPr/>
          </w:p>
        </w:tc>
        <w:tc>
          <w:tcPr>
            <w:tcW w:w="25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1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42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545" w:type="dxa"/>
            <w:vMerge w:val="restart"/>
            <w:tcBorders>
              <w:top w:val="nil" w:sz="6" w:space="0" w:color="auto"/>
              <w:left w:val="single" w:sz="4" w:space="0" w:color="000000"/>
              <w:right w:val="single" w:sz="4" w:space="0" w:color="000000"/>
            </w:tcBorders>
            <w:shd w:val="clear" w:color="auto" w:fill="D2D2D2"/>
          </w:tcPr>
          <w:p>
            <w:pPr/>
          </w:p>
        </w:tc>
        <w:tc>
          <w:tcPr>
            <w:tcW w:w="14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7" w:type="dxa"/>
            <w:tcBorders>
              <w:top w:val="single" w:sz="4" w:space="0" w:color="000000"/>
              <w:left w:val="single" w:sz="4" w:space="0" w:color="000000"/>
              <w:bottom w:val="nil" w:sz="6" w:space="0" w:color="auto"/>
              <w:right w:val="single" w:sz="4" w:space="0" w:color="000000"/>
            </w:tcBorders>
            <w:shd w:val="clear" w:color="auto" w:fill="D2D2D2"/>
          </w:tcPr>
          <w:p>
            <w:pPr/>
          </w:p>
        </w:tc>
        <w:tc>
          <w:tcPr>
            <w:tcW w:w="8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47" w:right="66"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85"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4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545" w:type="dxa"/>
            <w:vMerge/>
            <w:tcBorders>
              <w:left w:val="single" w:sz="4" w:space="0" w:color="000000"/>
              <w:bottom w:val="nil" w:sz="6" w:space="0" w:color="auto"/>
              <w:right w:val="single" w:sz="4" w:space="0" w:color="000000"/>
            </w:tcBorders>
            <w:shd w:val="clear" w:color="auto" w:fill="D2D2D2"/>
          </w:tcPr>
          <w:p>
            <w:pPr/>
          </w:p>
        </w:tc>
        <w:tc>
          <w:tcPr>
            <w:tcW w:w="14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3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65" w:type="dxa"/>
            <w:vMerge/>
            <w:tcBorders>
              <w:left w:val="single" w:sz="4" w:space="0" w:color="000000"/>
              <w:right w:val="single" w:sz="4" w:space="0" w:color="000000"/>
            </w:tcBorders>
            <w:shd w:val="clear" w:color="auto" w:fill="D2D2D2"/>
          </w:tcPr>
          <w:p>
            <w:pPr/>
          </w:p>
        </w:tc>
        <w:tc>
          <w:tcPr>
            <w:tcW w:w="901" w:type="dxa"/>
            <w:vMerge/>
            <w:tcBorders>
              <w:left w:val="single" w:sz="4" w:space="0" w:color="000000"/>
              <w:bottom w:val="nil" w:sz="6" w:space="0" w:color="auto"/>
              <w:right w:val="single" w:sz="4" w:space="0" w:color="000000"/>
            </w:tcBorders>
            <w:shd w:val="clear" w:color="auto" w:fill="D2D2D2"/>
          </w:tcPr>
          <w:p>
            <w:pPr/>
          </w:p>
        </w:tc>
        <w:tc>
          <w:tcPr>
            <w:tcW w:w="342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545" w:type="dxa"/>
            <w:vMerge w:val="restart"/>
            <w:tcBorders>
              <w:top w:val="nil" w:sz="6" w:space="0" w:color="auto"/>
              <w:left w:val="single" w:sz="4" w:space="0" w:color="000000"/>
              <w:right w:val="single" w:sz="4" w:space="0" w:color="000000"/>
            </w:tcBorders>
            <w:shd w:val="clear" w:color="auto" w:fill="D2D2D2"/>
          </w:tcPr>
          <w:p>
            <w:pPr/>
          </w:p>
        </w:tc>
        <w:tc>
          <w:tcPr>
            <w:tcW w:w="1464" w:type="dxa"/>
            <w:vMerge/>
            <w:tcBorders>
              <w:left w:val="single" w:sz="4" w:space="0" w:color="000000"/>
              <w:bottom w:val="nil" w:sz="6" w:space="0" w:color="auto"/>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1317" w:type="dxa"/>
            <w:vMerge/>
            <w:tcBorders>
              <w:left w:val="single" w:sz="4" w:space="0" w:color="000000"/>
              <w:bottom w:val="nil" w:sz="6" w:space="0" w:color="auto"/>
              <w:right w:val="single" w:sz="4" w:space="0" w:color="000000"/>
            </w:tcBorders>
            <w:shd w:val="clear" w:color="auto" w:fill="D2D2D2"/>
          </w:tcPr>
          <w:p>
            <w:pPr/>
          </w:p>
        </w:tc>
        <w:tc>
          <w:tcPr>
            <w:tcW w:w="865" w:type="dxa"/>
            <w:vMerge/>
            <w:tcBorders>
              <w:left w:val="single" w:sz="4" w:space="0" w:color="000000"/>
              <w:right w:val="single" w:sz="4" w:space="0" w:color="000000"/>
            </w:tcBorders>
            <w:shd w:val="clear" w:color="auto" w:fill="D2D2D2"/>
          </w:tcPr>
          <w:p>
            <w:pPr/>
          </w:p>
        </w:tc>
        <w:tc>
          <w:tcPr>
            <w:tcW w:w="901" w:type="dxa"/>
            <w:vMerge w:val="restart"/>
            <w:tcBorders>
              <w:top w:val="nil" w:sz="6" w:space="0" w:color="auto"/>
              <w:left w:val="single" w:sz="4" w:space="0" w:color="000000"/>
              <w:right w:val="single" w:sz="4" w:space="0" w:color="000000"/>
            </w:tcBorders>
            <w:shd w:val="clear" w:color="auto" w:fill="D2D2D2"/>
          </w:tcPr>
          <w:p>
            <w:pPr/>
          </w:p>
        </w:tc>
        <w:tc>
          <w:tcPr>
            <w:tcW w:w="342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545" w:type="dxa"/>
            <w:vMerge/>
            <w:tcBorders>
              <w:left w:val="single" w:sz="4" w:space="0" w:color="000000"/>
              <w:bottom w:val="single" w:sz="4" w:space="0" w:color="000000"/>
              <w:right w:val="single" w:sz="4" w:space="0" w:color="000000"/>
            </w:tcBorders>
            <w:shd w:val="clear" w:color="auto" w:fill="D2D2D2"/>
          </w:tcPr>
          <w:p>
            <w:pPr/>
          </w:p>
        </w:tc>
        <w:tc>
          <w:tcPr>
            <w:tcW w:w="14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7" w:type="dxa"/>
            <w:tcBorders>
              <w:top w:val="nil" w:sz="6" w:space="0" w:color="auto"/>
              <w:left w:val="single" w:sz="4" w:space="0" w:color="000000"/>
              <w:bottom w:val="single" w:sz="4" w:space="0" w:color="000000"/>
              <w:right w:val="single" w:sz="4" w:space="0" w:color="000000"/>
            </w:tcBorders>
            <w:shd w:val="clear" w:color="auto" w:fill="D2D2D2"/>
          </w:tcPr>
          <w:p>
            <w:pPr/>
          </w:p>
        </w:tc>
        <w:tc>
          <w:tcPr>
            <w:tcW w:w="865" w:type="dxa"/>
            <w:vMerge/>
            <w:tcBorders>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3429"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1"/>
              <w:jc w:val="left"/>
              <w:rPr>
                <w:rFonts w:ascii="宋体" w:hAnsi="宋体" w:cs="宋体" w:eastAsia="宋体" w:hint="default"/>
                <w:sz w:val="18"/>
                <w:szCs w:val="18"/>
              </w:rPr>
            </w:pPr>
            <w:r>
              <w:rPr>
                <w:rFonts w:ascii="宋体" w:hAnsi="宋体" w:cs="宋体" w:eastAsia="宋体" w:hint="default"/>
                <w:sz w:val="18"/>
                <w:szCs w:val="18"/>
              </w:rPr>
              <w:t>货币 资金</w:t>
            </w:r>
          </w:p>
        </w:tc>
        <w:tc>
          <w:tcPr>
            <w:tcW w:w="14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710,989,421.21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13.03%</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555,956,768.82</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11.51%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w:t>
            </w:r>
          </w:p>
        </w:tc>
        <w:tc>
          <w:tcPr>
            <w:tcW w:w="342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1"/>
              <w:jc w:val="left"/>
              <w:rPr>
                <w:rFonts w:ascii="宋体" w:hAnsi="宋体" w:cs="宋体" w:eastAsia="宋体" w:hint="default"/>
                <w:sz w:val="18"/>
                <w:szCs w:val="18"/>
              </w:rPr>
            </w:pPr>
            <w:r>
              <w:rPr>
                <w:rFonts w:ascii="宋体" w:hAnsi="宋体" w:cs="宋体" w:eastAsia="宋体" w:hint="default"/>
                <w:sz w:val="18"/>
                <w:szCs w:val="18"/>
              </w:rPr>
              <w:t>应收 账款</w:t>
            </w:r>
          </w:p>
        </w:tc>
        <w:tc>
          <w:tcPr>
            <w:tcW w:w="14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1,758,638,160.79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32.23%</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1,536,770,120.68</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31.81%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0.42%</w:t>
            </w:r>
          </w:p>
        </w:tc>
        <w:tc>
          <w:tcPr>
            <w:tcW w:w="34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286,340,219.90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306,823,429.32</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-1.10%</w:t>
            </w:r>
          </w:p>
        </w:tc>
        <w:tc>
          <w:tcPr>
            <w:tcW w:w="342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1"/>
              <w:jc w:val="both"/>
              <w:rPr>
                <w:rFonts w:ascii="宋体" w:hAnsi="宋体" w:cs="宋体" w:eastAsia="宋体" w:hint="default"/>
                <w:sz w:val="18"/>
                <w:szCs w:val="18"/>
              </w:rPr>
            </w:pPr>
            <w:r>
              <w:rPr>
                <w:rFonts w:ascii="宋体" w:hAnsi="宋体" w:cs="宋体" w:eastAsia="宋体" w:hint="default"/>
                <w:sz w:val="18"/>
                <w:szCs w:val="18"/>
              </w:rPr>
              <w:t>投资 性房 地产</w:t>
            </w:r>
          </w:p>
        </w:tc>
        <w:tc>
          <w:tcPr>
            <w:tcW w:w="14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66,115,847.38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84,282,177.28</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-0.53%</w:t>
            </w:r>
          </w:p>
        </w:tc>
        <w:tc>
          <w:tcPr>
            <w:tcW w:w="342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1"/>
              <w:jc w:val="both"/>
              <w:rPr>
                <w:rFonts w:ascii="宋体" w:hAnsi="宋体" w:cs="宋体" w:eastAsia="宋体" w:hint="default"/>
                <w:sz w:val="18"/>
                <w:szCs w:val="18"/>
              </w:rPr>
            </w:pPr>
            <w:r>
              <w:rPr>
                <w:rFonts w:ascii="宋体" w:hAnsi="宋体" w:cs="宋体" w:eastAsia="宋体" w:hint="default"/>
                <w:sz w:val="18"/>
                <w:szCs w:val="18"/>
              </w:rPr>
              <w:t>长期 股权 投资</w:t>
            </w:r>
          </w:p>
        </w:tc>
        <w:tc>
          <w:tcPr>
            <w:tcW w:w="14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28,798,842.88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0.53%</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27,848,837.90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c>
          <w:tcPr>
            <w:tcW w:w="342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1"/>
              <w:jc w:val="left"/>
              <w:rPr>
                <w:rFonts w:ascii="宋体" w:hAnsi="宋体" w:cs="宋体" w:eastAsia="宋体" w:hint="default"/>
                <w:sz w:val="18"/>
                <w:szCs w:val="18"/>
              </w:rPr>
            </w:pPr>
            <w:r>
              <w:rPr>
                <w:rFonts w:ascii="宋体" w:hAnsi="宋体" w:cs="宋体" w:eastAsia="宋体" w:hint="default"/>
                <w:sz w:val="18"/>
                <w:szCs w:val="18"/>
              </w:rPr>
              <w:t>固定 资产</w:t>
            </w:r>
          </w:p>
        </w:tc>
        <w:tc>
          <w:tcPr>
            <w:tcW w:w="14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166,620,641.28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3.05%</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167,943,537.46</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-0.43%</w:t>
            </w:r>
          </w:p>
        </w:tc>
        <w:tc>
          <w:tcPr>
            <w:tcW w:w="342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5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384,916,055.78</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8" w:right="0"/>
              <w:jc w:val="left"/>
              <w:rPr>
                <w:rFonts w:ascii="Times New Roman" w:hAnsi="Times New Roman" w:cs="Times New Roman" w:eastAsia="Times New Roman" w:hint="default"/>
                <w:sz w:val="18"/>
                <w:szCs w:val="18"/>
              </w:rPr>
            </w:pPr>
            <w:r>
              <w:rPr>
                <w:rFonts w:ascii="Times New Roman"/>
                <w:sz w:val="18"/>
              </w:rPr>
              <w:t>7.05%</w:t>
            </w:r>
          </w:p>
        </w:tc>
        <w:tc>
          <w:tcPr>
            <w:tcW w:w="13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184,110,231.50</w:t>
            </w:r>
          </w:p>
        </w:tc>
        <w:tc>
          <w:tcPr>
            <w:tcW w:w="8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7" w:right="0"/>
              <w:jc w:val="left"/>
              <w:rPr>
                <w:rFonts w:ascii="Times New Roman" w:hAnsi="Times New Roman" w:cs="Times New Roman" w:eastAsia="Times New Roman" w:hint="default"/>
                <w:sz w:val="18"/>
                <w:szCs w:val="18"/>
              </w:rPr>
            </w:pPr>
            <w:r>
              <w:rPr>
                <w:rFonts w:ascii="Times New Roman"/>
                <w:sz w:val="18"/>
              </w:rPr>
              <w:t>3.81%</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3.24%</w:t>
            </w:r>
          </w:p>
        </w:tc>
        <w:tc>
          <w:tcPr>
            <w:tcW w:w="3429"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125"/>
              <w:jc w:val="both"/>
              <w:rPr>
                <w:rFonts w:ascii="宋体" w:hAnsi="宋体" w:cs="宋体" w:eastAsia="宋体" w:hint="default"/>
                <w:sz w:val="18"/>
                <w:szCs w:val="18"/>
              </w:rPr>
            </w:pPr>
            <w:r>
              <w:rPr>
                <w:rFonts w:ascii="宋体" w:hAnsi="宋体" w:cs="宋体" w:eastAsia="宋体" w:hint="default"/>
                <w:sz w:val="18"/>
                <w:szCs w:val="18"/>
              </w:rPr>
              <w:t>主要原因是子公司达实信息在建达实大厦 项目及子公司淮南达实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项目投入增加 所致。</w:t>
            </w:r>
          </w:p>
        </w:tc>
      </w:tr>
      <w:tr>
        <w:trPr>
          <w:trHeight w:val="704" w:hRule="exact"/>
        </w:trPr>
        <w:tc>
          <w:tcPr>
            <w:tcW w:w="5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61"/>
              <w:jc w:val="left"/>
              <w:rPr>
                <w:rFonts w:ascii="宋体" w:hAnsi="宋体" w:cs="宋体" w:eastAsia="宋体" w:hint="default"/>
                <w:sz w:val="18"/>
                <w:szCs w:val="18"/>
              </w:rPr>
            </w:pPr>
            <w:r>
              <w:rPr>
                <w:rFonts w:ascii="宋体" w:hAnsi="宋体" w:cs="宋体" w:eastAsia="宋体" w:hint="default"/>
                <w:sz w:val="18"/>
                <w:szCs w:val="18"/>
              </w:rPr>
              <w:t>在建 工程</w:t>
            </w:r>
          </w:p>
        </w:tc>
        <w:tc>
          <w:tcPr>
            <w:tcW w:w="1464" w:type="dxa"/>
            <w:vMerge/>
            <w:tcBorders>
              <w:left w:val="single" w:sz="9" w:space="0" w:color="D2D2D2"/>
              <w:right w:val="single" w:sz="4" w:space="0" w:color="000000"/>
            </w:tcBorders>
          </w:tcPr>
          <w:p>
            <w:pPr/>
          </w:p>
        </w:tc>
        <w:tc>
          <w:tcPr>
            <w:tcW w:w="1135" w:type="dxa"/>
            <w:vMerge/>
            <w:tcBorders>
              <w:left w:val="single" w:sz="4" w:space="0" w:color="000000"/>
              <w:right w:val="single" w:sz="4" w:space="0" w:color="000000"/>
            </w:tcBorders>
          </w:tcPr>
          <w:p>
            <w:pPr/>
          </w:p>
        </w:tc>
        <w:tc>
          <w:tcPr>
            <w:tcW w:w="1317"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3429" w:type="dxa"/>
            <w:vMerge/>
            <w:tcBorders>
              <w:left w:val="single" w:sz="4" w:space="0" w:color="000000"/>
              <w:right w:val="single" w:sz="4" w:space="0" w:color="000000"/>
            </w:tcBorders>
          </w:tcPr>
          <w:p>
            <w:pPr/>
          </w:p>
        </w:tc>
      </w:tr>
      <w:tr>
        <w:trPr>
          <w:trHeight w:val="161" w:hRule="exact"/>
        </w:trPr>
        <w:tc>
          <w:tcPr>
            <w:tcW w:w="5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4" w:type="dxa"/>
            <w:vMerge/>
            <w:tcBorders>
              <w:left w:val="single" w:sz="9" w:space="0" w:color="D2D2D2"/>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317" w:type="dxa"/>
            <w:vMerge/>
            <w:tcBorders>
              <w:left w:val="single" w:sz="4" w:space="0" w:color="000000"/>
              <w:bottom w:val="single" w:sz="4" w:space="0" w:color="000000"/>
              <w:right w:val="single" w:sz="4" w:space="0" w:color="000000"/>
            </w:tcBorders>
          </w:tcPr>
          <w:p>
            <w:pPr/>
          </w:p>
        </w:tc>
        <w:tc>
          <w:tcPr>
            <w:tcW w:w="865" w:type="dxa"/>
            <w:vMerge/>
            <w:tcBorders>
              <w:left w:val="single" w:sz="4" w:space="0" w:color="000000"/>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3429" w:type="dxa"/>
            <w:vMerge/>
            <w:tcBorders>
              <w:left w:val="single" w:sz="4" w:space="0" w:color="000000"/>
              <w:bottom w:val="single" w:sz="4" w:space="0" w:color="000000"/>
              <w:right w:val="single" w:sz="4" w:space="0" w:color="000000"/>
            </w:tcBorders>
          </w:tcPr>
          <w:p>
            <w:pPr/>
          </w:p>
        </w:tc>
      </w:tr>
      <w:tr>
        <w:trPr>
          <w:trHeight w:val="714" w:hRule="exact"/>
        </w:trPr>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1"/>
              <w:jc w:val="left"/>
              <w:rPr>
                <w:rFonts w:ascii="宋体" w:hAnsi="宋体" w:cs="宋体" w:eastAsia="宋体" w:hint="default"/>
                <w:sz w:val="18"/>
                <w:szCs w:val="18"/>
              </w:rPr>
            </w:pPr>
            <w:r>
              <w:rPr>
                <w:rFonts w:ascii="宋体" w:hAnsi="宋体" w:cs="宋体" w:eastAsia="宋体" w:hint="default"/>
                <w:sz w:val="18"/>
                <w:szCs w:val="18"/>
              </w:rPr>
              <w:t>短期 借款</w:t>
            </w:r>
          </w:p>
        </w:tc>
        <w:tc>
          <w:tcPr>
            <w:tcW w:w="14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368,490,150.22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6.75%</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224,354,946.66</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2.11%</w:t>
            </w:r>
          </w:p>
        </w:tc>
        <w:tc>
          <w:tcPr>
            <w:tcW w:w="34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主要原因是本报告期内子公司达实租赁、久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信医疗银行借款增加所致。</w:t>
            </w:r>
          </w:p>
        </w:tc>
      </w:tr>
      <w:tr>
        <w:trPr>
          <w:trHeight w:val="714" w:hRule="exact"/>
        </w:trPr>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1"/>
              <w:jc w:val="left"/>
              <w:rPr>
                <w:rFonts w:ascii="宋体" w:hAnsi="宋体" w:cs="宋体" w:eastAsia="宋体" w:hint="default"/>
                <w:sz w:val="18"/>
                <w:szCs w:val="18"/>
              </w:rPr>
            </w:pPr>
            <w:r>
              <w:rPr>
                <w:rFonts w:ascii="宋体" w:hAnsi="宋体" w:cs="宋体" w:eastAsia="宋体" w:hint="default"/>
                <w:sz w:val="18"/>
                <w:szCs w:val="18"/>
              </w:rPr>
              <w:t>长期 借款</w:t>
            </w:r>
          </w:p>
        </w:tc>
        <w:tc>
          <w:tcPr>
            <w:tcW w:w="14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233,163,273.86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4.27%</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53,183,042.53</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3.17%</w:t>
            </w:r>
          </w:p>
        </w:tc>
        <w:tc>
          <w:tcPr>
            <w:tcW w:w="34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主要原因是本报告期内子公司达实信息、淮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南达实银行借款增加所致。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line="544" w:lineRule="auto" w:before="0"/>
        <w:ind w:left="153" w:right="6813"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3、截至报告期末的资产权利受限情况" w:id="44"/>
      <w:bookmarkEnd w:id="44"/>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七、</w:t>
      </w:r>
      <w:r>
        <w:rPr>
          <w:rFonts w:ascii="Times New Roman" w:hAnsi="Times New Roman" w:cs="Times New Roman" w:eastAsia="Times New Roman" w:hint="default"/>
          <w:sz w:val="18"/>
          <w:szCs w:val="18"/>
        </w:rPr>
        <w:t>78</w:t>
      </w:r>
      <w:r>
        <w:rPr>
          <w:rFonts w:ascii="宋体" w:hAnsi="宋体" w:cs="宋体" w:eastAsia="宋体" w:hint="default"/>
          <w:sz w:val="18"/>
          <w:szCs w:val="18"/>
        </w:rPr>
        <w:t>所有权或使用权受到限制的资产</w:t>
      </w:r>
      <w:r>
        <w:rPr>
          <w:rFonts w:ascii="Times New Roman" w:hAnsi="Times New Roman" w:cs="Times New Roman" w:eastAsia="Times New Roman" w:hint="default"/>
          <w:sz w:val="18"/>
          <w:szCs w:val="18"/>
        </w:rPr>
        <w:t>”</w:t>
      </w:r>
    </w:p>
    <w:p>
      <w:pPr>
        <w:spacing w:after="0" w:line="544"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26"/>
          <w:szCs w:val="26"/>
        </w:rPr>
      </w:pPr>
      <w:r>
        <w:rPr/>
        <w:pict>
          <v:group style="position:absolute;margin-left:90.800003pt;margin-top:575.919983pt;width:29.85pt;height:15.6pt;mso-position-horizontal-relative:page;mso-position-vertical-relative:page;z-index:-1030456" coordorigin="1816,11518" coordsize="597,312">
            <v:shape style="position:absolute;left:1816;top:11518;width:597;height:312" coordorigin="1816,11518" coordsize="597,312" path="m1816,11830l2412,11830,2412,11518,1816,11518,1816,11830xe" filled="true" fillcolor="#ffffff" stroked="false">
              <v:path arrowok="t"/>
              <v:fill type="solid"/>
            </v:shape>
            <w10:wrap type="none"/>
          </v:group>
        </w:pict>
      </w:r>
    </w:p>
    <w:p>
      <w:pPr>
        <w:pStyle w:val="Heading2"/>
        <w:spacing w:line="240" w:lineRule="auto" w:before="26"/>
        <w:ind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5" w:right="0"/>
              <w:jc w:val="left"/>
              <w:rPr>
                <w:rFonts w:ascii="Times New Roman" w:hAnsi="Times New Roman" w:cs="Times New Roman" w:eastAsia="Times New Roman" w:hint="default"/>
                <w:sz w:val="18"/>
                <w:szCs w:val="18"/>
              </w:rPr>
            </w:pPr>
            <w:r>
              <w:rPr>
                <w:rFonts w:ascii="Times New Roman"/>
                <w:sz w:val="18"/>
              </w:rPr>
              <w:t>1,450,000,000.00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3" w:right="0"/>
              <w:jc w:val="left"/>
              <w:rPr>
                <w:rFonts w:ascii="Times New Roman" w:hAnsi="Times New Roman" w:cs="Times New Roman" w:eastAsia="Times New Roman" w:hint="default"/>
                <w:sz w:val="18"/>
                <w:szCs w:val="18"/>
              </w:rPr>
            </w:pPr>
            <w:r>
              <w:rPr>
                <w:rFonts w:ascii="Times New Roman"/>
                <w:sz w:val="18"/>
              </w:rPr>
              <w:t>515,364,400.00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181.35%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66"/>
        <w:gridCol w:w="640"/>
        <w:gridCol w:w="623"/>
        <w:gridCol w:w="766"/>
        <w:gridCol w:w="708"/>
        <w:gridCol w:w="568"/>
        <w:gridCol w:w="708"/>
        <w:gridCol w:w="568"/>
        <w:gridCol w:w="566"/>
        <w:gridCol w:w="568"/>
        <w:gridCol w:w="566"/>
        <w:gridCol w:w="578"/>
        <w:gridCol w:w="690"/>
        <w:gridCol w:w="690"/>
        <w:gridCol w:w="668"/>
      </w:tblGrid>
      <w:tr>
        <w:trPr>
          <w:trHeight w:val="2274" w:hRule="exact"/>
        </w:trPr>
        <w:tc>
          <w:tcPr>
            <w:tcW w:w="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1" w:right="62"/>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9" w:right="4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7"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88" w:right="107"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57" w:right="7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8" w:right="99"/>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9" w:right="96"/>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8" w:right="96"/>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9" w:right="96"/>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8" w:right="96"/>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4" w:right="101"/>
              <w:jc w:val="both"/>
              <w:rPr>
                <w:rFonts w:ascii="宋体" w:hAnsi="宋体" w:cs="宋体" w:eastAsia="宋体" w:hint="default"/>
                <w:sz w:val="18"/>
                <w:szCs w:val="18"/>
              </w:rPr>
            </w:pPr>
            <w:r>
              <w:rPr>
                <w:rFonts w:ascii="宋体" w:hAnsi="宋体" w:cs="宋体" w:eastAsia="宋体" w:hint="default"/>
                <w:sz w:val="18"/>
                <w:szCs w:val="18"/>
              </w:rPr>
              <w:t>本期 投资 盈亏</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9" w:right="68"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8" w:right="5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7538" w:hRule="exact"/>
        </w:trPr>
        <w:tc>
          <w:tcPr>
            <w:tcW w:w="66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28"/>
              <w:jc w:val="left"/>
              <w:rPr>
                <w:rFonts w:ascii="宋体" w:hAnsi="宋体" w:cs="宋体" w:eastAsia="宋体" w:hint="default"/>
                <w:sz w:val="18"/>
                <w:szCs w:val="18"/>
              </w:rPr>
            </w:pPr>
            <w:r>
              <w:rPr>
                <w:rFonts w:ascii="宋体" w:hAnsi="宋体" w:cs="宋体" w:eastAsia="宋体" w:hint="default"/>
                <w:sz w:val="18"/>
                <w:szCs w:val="18"/>
              </w:rPr>
              <w:t>泰山保 </w:t>
            </w:r>
            <w:r>
              <w:rPr>
                <w:rFonts w:ascii="宋体" w:hAnsi="宋体" w:cs="宋体" w:eastAsia="宋体" w:hint="default"/>
                <w:spacing w:val="-17"/>
                <w:sz w:val="18"/>
                <w:szCs w:val="18"/>
              </w:rPr>
              <w:t>险（筹）</w:t>
            </w:r>
            <w:r>
              <w:rPr>
                <w:rFonts w:ascii="宋体" w:hAnsi="宋体" w:cs="宋体" w:eastAsia="宋体" w:hint="default"/>
                <w:sz w:val="18"/>
                <w:szCs w:val="18"/>
              </w:rPr>
            </w:r>
          </w:p>
        </w:tc>
        <w:tc>
          <w:tcPr>
            <w:tcW w:w="640" w:type="dxa"/>
            <w:tcBorders>
              <w:top w:val="single" w:sz="4" w:space="0" w:color="000000"/>
              <w:left w:val="single" w:sz="9" w:space="0" w:color="FFFFFF"/>
              <w:bottom w:val="single" w:sz="4" w:space="0" w:color="000000"/>
              <w:right w:val="single" w:sz="4" w:space="0" w:color="000000"/>
            </w:tcBorders>
          </w:tcPr>
          <w:p>
            <w:pPr>
              <w:pStyle w:val="TableParagraph"/>
              <w:spacing w:line="316" w:lineRule="auto" w:before="51"/>
              <w:ind w:left="4" w:right="77"/>
              <w:jc w:val="left"/>
              <w:rPr>
                <w:rFonts w:ascii="宋体" w:hAnsi="宋体" w:cs="宋体" w:eastAsia="宋体" w:hint="default"/>
                <w:sz w:val="18"/>
                <w:szCs w:val="18"/>
              </w:rPr>
            </w:pPr>
            <w:r>
              <w:rPr>
                <w:rFonts w:ascii="宋体" w:hAnsi="宋体" w:cs="宋体" w:eastAsia="宋体" w:hint="default"/>
                <w:sz w:val="18"/>
                <w:szCs w:val="18"/>
              </w:rPr>
              <w:t>个人长 期健康 保险业 务；短 期健康 保险业 务；意 外伤害 保险业 务；上 述业务 的再保 险业 务；国 家法律 法规允 许的保 险资金 运用业 务；与 健康保 险有关 的咨询 服务业</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9" w:right="0"/>
              <w:jc w:val="left"/>
              <w:rPr>
                <w:rFonts w:ascii="Times New Roman" w:hAnsi="Times New Roman" w:cs="Times New Roman" w:eastAsia="Times New Roman" w:hint="default"/>
                <w:sz w:val="18"/>
                <w:szCs w:val="18"/>
              </w:rPr>
            </w:pPr>
            <w:r>
              <w:rPr>
                <w:rFonts w:ascii="Times New Roman"/>
                <w:sz w:val="18"/>
              </w:rPr>
              <w:t>20.00%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山东高 速集团 有限公 </w:t>
            </w:r>
            <w:r>
              <w:rPr>
                <w:rFonts w:ascii="宋体" w:hAnsi="宋体" w:cs="宋体" w:eastAsia="宋体" w:hint="default"/>
                <w:spacing w:val="-17"/>
                <w:sz w:val="18"/>
                <w:szCs w:val="18"/>
              </w:rPr>
              <w:t>司、泰山</w:t>
            </w:r>
            <w:r>
              <w:rPr>
                <w:rFonts w:ascii="宋体" w:hAnsi="宋体" w:cs="宋体" w:eastAsia="宋体" w:hint="default"/>
                <w:sz w:val="18"/>
                <w:szCs w:val="18"/>
              </w:rPr>
              <w:t> 财产保 险股份 有限公 </w:t>
            </w:r>
            <w:r>
              <w:rPr>
                <w:rFonts w:ascii="宋体" w:hAnsi="宋体" w:cs="宋体" w:eastAsia="宋体" w:hint="default"/>
                <w:spacing w:val="-17"/>
                <w:sz w:val="18"/>
                <w:szCs w:val="18"/>
              </w:rPr>
              <w:t>司、山东</w:t>
            </w:r>
            <w:r>
              <w:rPr>
                <w:rFonts w:ascii="宋体" w:hAnsi="宋体" w:cs="宋体" w:eastAsia="宋体" w:hint="default"/>
                <w:sz w:val="18"/>
                <w:szCs w:val="18"/>
              </w:rPr>
              <w:t> 南山铝 业股份 有限公 </w:t>
            </w:r>
            <w:r>
              <w:rPr>
                <w:rFonts w:ascii="宋体" w:hAnsi="宋体" w:cs="宋体" w:eastAsia="宋体" w:hint="default"/>
                <w:spacing w:val="-17"/>
                <w:sz w:val="18"/>
                <w:szCs w:val="18"/>
              </w:rPr>
              <w:t>司、重庆</w:t>
            </w:r>
            <w:r>
              <w:rPr>
                <w:rFonts w:ascii="宋体" w:hAnsi="宋体" w:cs="宋体" w:eastAsia="宋体" w:hint="default"/>
                <w:sz w:val="18"/>
                <w:szCs w:val="18"/>
              </w:rPr>
              <w:t> 协信远 创实业 有限公 </w:t>
            </w:r>
            <w:r>
              <w:rPr>
                <w:rFonts w:ascii="宋体" w:hAnsi="宋体" w:cs="宋体" w:eastAsia="宋体" w:hint="default"/>
                <w:spacing w:val="-17"/>
                <w:sz w:val="18"/>
                <w:szCs w:val="18"/>
              </w:rPr>
              <w:t>司、山东</w:t>
            </w:r>
            <w:r>
              <w:rPr>
                <w:rFonts w:ascii="宋体" w:hAnsi="宋体" w:cs="宋体" w:eastAsia="宋体" w:hint="default"/>
                <w:sz w:val="18"/>
                <w:szCs w:val="18"/>
              </w:rPr>
              <w:t> 天业房 地产开 发集团</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保险 服务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9" w:lineRule="auto"/>
              <w:ind w:left="23" w:right="173"/>
              <w:jc w:val="both"/>
              <w:rPr>
                <w:rFonts w:ascii="宋体" w:hAnsi="宋体" w:cs="宋体" w:eastAsia="宋体" w:hint="default"/>
                <w:sz w:val="18"/>
                <w:szCs w:val="18"/>
              </w:rPr>
            </w:pPr>
            <w:r>
              <w:rPr>
                <w:rFonts w:ascii="宋体" w:hAnsi="宋体" w:cs="宋体" w:eastAsia="宋体" w:hint="default"/>
                <w:sz w:val="18"/>
                <w:szCs w:val="18"/>
              </w:rPr>
              <w:t>项目 筹备 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9" w:right="0"/>
              <w:jc w:val="lef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0" w:right="0"/>
              <w:jc w:val="lef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《关于 对外投 资参与 设立保 险公司 的公 </w:t>
            </w:r>
            <w:r>
              <w:rPr>
                <w:rFonts w:ascii="宋体" w:hAnsi="宋体" w:cs="宋体" w:eastAsia="宋体" w:hint="default"/>
                <w:spacing w:val="-27"/>
                <w:sz w:val="18"/>
                <w:szCs w:val="18"/>
              </w:rPr>
              <w:t>告》（公</w:t>
            </w:r>
            <w:r>
              <w:rPr>
                <w:rFonts w:ascii="宋体" w:hAnsi="宋体" w:cs="宋体" w:eastAsia="宋体" w:hint="default"/>
                <w:sz w:val="18"/>
                <w:szCs w:val="18"/>
              </w:rPr>
              <w:t> 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2017-02</w:t>
            </w:r>
          </w:p>
          <w:p>
            <w:pPr>
              <w:pStyle w:val="TableParagraph"/>
              <w:spacing w:line="300" w:lineRule="auto" w:before="65"/>
              <w:ind w:left="22" w:right="95"/>
              <w:jc w:val="left"/>
              <w:rPr>
                <w:rFonts w:ascii="宋体" w:hAnsi="宋体" w:cs="宋体" w:eastAsia="宋体" w:hint="default"/>
                <w:sz w:val="18"/>
                <w:szCs w:val="18"/>
              </w:rPr>
            </w:pPr>
            <w:r>
              <w:rPr>
                <w:rFonts w:ascii="Times New Roman" w:hAnsi="Times New Roman" w:cs="Times New Roman" w:eastAsia="Times New Roman" w:hint="default"/>
                <w:spacing w:val="-23"/>
                <w:sz w:val="18"/>
                <w:szCs w:val="18"/>
              </w:rPr>
              <w:t>5</w:t>
            </w:r>
            <w:r>
              <w:rPr>
                <w:rFonts w:ascii="宋体" w:hAnsi="宋体" w:cs="宋体" w:eastAsia="宋体" w:hint="default"/>
                <w:spacing w:val="-23"/>
                <w:sz w:val="18"/>
                <w:szCs w:val="18"/>
              </w:rPr>
              <w:t>），刊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登于</w:t>
            </w:r>
          </w:p>
          <w:p>
            <w:pPr>
              <w:pStyle w:val="TableParagraph"/>
              <w:spacing w:line="316" w:lineRule="auto" w:before="31"/>
              <w:ind w:left="22" w:right="5"/>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9" w:lineRule="auto" w:before="19"/>
              <w:ind w:left="22" w:right="95"/>
              <w:jc w:val="left"/>
              <w:rPr>
                <w:rFonts w:ascii="宋体" w:hAnsi="宋体" w:cs="宋体" w:eastAsia="宋体" w:hint="default"/>
                <w:sz w:val="18"/>
                <w:szCs w:val="18"/>
              </w:rPr>
            </w:pPr>
            <w:r>
              <w:rPr>
                <w:rFonts w:ascii="宋体" w:hAnsi="宋体" w:cs="宋体" w:eastAsia="宋体" w:hint="default"/>
                <w:sz w:val="18"/>
                <w:szCs w:val="18"/>
              </w:rPr>
              <w:t>《中国 证券 报》及 巨潮资 讯网。</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766"/>
        <w:gridCol w:w="708"/>
        <w:gridCol w:w="568"/>
        <w:gridCol w:w="708"/>
        <w:gridCol w:w="568"/>
        <w:gridCol w:w="566"/>
        <w:gridCol w:w="568"/>
        <w:gridCol w:w="566"/>
        <w:gridCol w:w="578"/>
        <w:gridCol w:w="690"/>
        <w:gridCol w:w="690"/>
        <w:gridCol w:w="668"/>
      </w:tblGrid>
      <w:tr>
        <w:trPr>
          <w:trHeight w:val="986"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务及代 理业 务。</w:t>
            </w:r>
          </w:p>
        </w:tc>
        <w:tc>
          <w:tcPr>
            <w:tcW w:w="623"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2844"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22" w:right="81"/>
              <w:jc w:val="left"/>
              <w:rPr>
                <w:rFonts w:ascii="宋体" w:hAnsi="宋体" w:cs="宋体" w:eastAsia="宋体" w:hint="default"/>
                <w:sz w:val="18"/>
                <w:szCs w:val="18"/>
              </w:rPr>
            </w:pPr>
            <w:r>
              <w:rPr>
                <w:rFonts w:ascii="宋体" w:hAnsi="宋体" w:cs="宋体" w:eastAsia="宋体" w:hint="default"/>
                <w:sz w:val="18"/>
                <w:szCs w:val="18"/>
              </w:rPr>
              <w:t>雄安达 实</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互联 网、云 计算软 件与平 台服 务，物 联网系 统研发 与应用 服务； 智慧医 疗信息 系统研 发与集 成服 务，医 疗大数 据开发 与应用 服务， 智能交 通含轨 道交通 信号监 控系统 开发、 技术咨 询设 计、销 售与集 成服 务；智 能建筑 系统开 发与集 成、技 术咨询 设计、 机电总 包服 务，机</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80" w:right="0"/>
              <w:jc w:val="center"/>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100.00%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22" w:right="17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2" w:right="173"/>
              <w:jc w:val="both"/>
              <w:rPr>
                <w:rFonts w:ascii="宋体" w:hAnsi="宋体" w:cs="宋体" w:eastAsia="宋体" w:hint="default"/>
                <w:sz w:val="18"/>
                <w:szCs w:val="18"/>
              </w:rPr>
            </w:pPr>
            <w:r>
              <w:rPr>
                <w:rFonts w:ascii="宋体" w:hAnsi="宋体" w:cs="宋体" w:eastAsia="宋体" w:hint="default"/>
                <w:sz w:val="18"/>
                <w:szCs w:val="18"/>
              </w:rPr>
              <w:t>智慧 城市 解决 方案</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23" w:right="37"/>
              <w:jc w:val="left"/>
              <w:rPr>
                <w:rFonts w:ascii="Times New Roman" w:hAnsi="Times New Roman" w:cs="Times New Roman" w:eastAsia="Times New Roman" w:hint="default"/>
                <w:sz w:val="18"/>
                <w:szCs w:val="18"/>
              </w:rPr>
            </w:pPr>
            <w:r>
              <w:rPr>
                <w:rFonts w:ascii="宋体" w:hAnsi="宋体" w:cs="宋体" w:eastAsia="宋体" w:hint="default"/>
                <w:sz w:val="18"/>
                <w:szCs w:val="18"/>
              </w:rPr>
              <w:t>已实 际投 入资 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w:t>
            </w:r>
          </w:p>
          <w:p>
            <w:pPr>
              <w:pStyle w:val="TableParagraph"/>
              <w:spacing w:line="234" w:lineRule="exact"/>
              <w:ind w:left="23" w:right="-7"/>
              <w:jc w:val="left"/>
              <w:rPr>
                <w:rFonts w:ascii="宋体" w:hAnsi="宋体" w:cs="宋体" w:eastAsia="宋体" w:hint="default"/>
                <w:sz w:val="18"/>
                <w:szCs w:val="18"/>
              </w:rPr>
            </w:pPr>
            <w:r>
              <w:rPr>
                <w:rFonts w:ascii="宋体" w:hAnsi="宋体" w:cs="宋体" w:eastAsia="宋体" w:hint="default"/>
                <w:sz w:val="18"/>
                <w:szCs w:val="18"/>
              </w:rPr>
              <w:t>万元。</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《关于 雄安新 区全资 子公司 完成工 商注册 的公 </w:t>
            </w:r>
            <w:r>
              <w:rPr>
                <w:rFonts w:ascii="宋体" w:hAnsi="宋体" w:cs="宋体" w:eastAsia="宋体" w:hint="default"/>
                <w:spacing w:val="-27"/>
                <w:sz w:val="18"/>
                <w:szCs w:val="18"/>
              </w:rPr>
              <w:t>告》（公</w:t>
            </w:r>
            <w:r>
              <w:rPr>
                <w:rFonts w:ascii="宋体" w:hAnsi="宋体" w:cs="宋体" w:eastAsia="宋体" w:hint="default"/>
                <w:sz w:val="18"/>
                <w:szCs w:val="18"/>
              </w:rPr>
              <w:t> 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2017-05</w:t>
            </w:r>
          </w:p>
          <w:p>
            <w:pPr>
              <w:pStyle w:val="TableParagraph"/>
              <w:spacing w:line="300" w:lineRule="auto" w:before="65"/>
              <w:ind w:left="22" w:right="95"/>
              <w:jc w:val="left"/>
              <w:rPr>
                <w:rFonts w:ascii="宋体" w:hAnsi="宋体" w:cs="宋体" w:eastAsia="宋体" w:hint="default"/>
                <w:sz w:val="18"/>
                <w:szCs w:val="18"/>
              </w:rPr>
            </w:pPr>
            <w:r>
              <w:rPr>
                <w:rFonts w:ascii="Times New Roman" w:hAnsi="Times New Roman" w:cs="Times New Roman" w:eastAsia="Times New Roman" w:hint="default"/>
                <w:spacing w:val="-23"/>
                <w:sz w:val="18"/>
                <w:szCs w:val="18"/>
              </w:rPr>
              <w:t>1</w:t>
            </w:r>
            <w:r>
              <w:rPr>
                <w:rFonts w:ascii="宋体" w:hAnsi="宋体" w:cs="宋体" w:eastAsia="宋体" w:hint="default"/>
                <w:spacing w:val="-23"/>
                <w:sz w:val="18"/>
                <w:szCs w:val="18"/>
              </w:rPr>
              <w:t>），刊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登于</w:t>
            </w:r>
          </w:p>
          <w:p>
            <w:pPr>
              <w:pStyle w:val="TableParagraph"/>
              <w:spacing w:line="316" w:lineRule="auto" w:before="31"/>
              <w:ind w:left="22" w:right="5"/>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9" w:lineRule="auto" w:before="19"/>
              <w:ind w:left="22" w:right="95"/>
              <w:jc w:val="left"/>
              <w:rPr>
                <w:rFonts w:ascii="宋体" w:hAnsi="宋体" w:cs="宋体" w:eastAsia="宋体" w:hint="default"/>
                <w:sz w:val="18"/>
                <w:szCs w:val="18"/>
              </w:rPr>
            </w:pPr>
            <w:r>
              <w:rPr>
                <w:rFonts w:ascii="宋体" w:hAnsi="宋体" w:cs="宋体" w:eastAsia="宋体" w:hint="default"/>
                <w:sz w:val="18"/>
                <w:szCs w:val="18"/>
              </w:rPr>
              <w:t>《中国 证券 报》及 巨潮资 讯网。</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766"/>
        <w:gridCol w:w="708"/>
        <w:gridCol w:w="568"/>
        <w:gridCol w:w="708"/>
        <w:gridCol w:w="568"/>
        <w:gridCol w:w="566"/>
        <w:gridCol w:w="568"/>
        <w:gridCol w:w="566"/>
        <w:gridCol w:w="578"/>
        <w:gridCol w:w="690"/>
        <w:gridCol w:w="690"/>
        <w:gridCol w:w="668"/>
      </w:tblGrid>
      <w:tr>
        <w:trPr>
          <w:trHeight w:val="13156"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电设备 安装工 程；能 源监测 与节能 服务、 合同能 源管理 服务， 新能源 技术开 发和咨 询设计 服务， 电力建 设工程 施工， 承装、 承修、 承试电 力设 施，变 电站、 施工用 电箱式 变压器 的运行 管理、 设备调 试、维 修保养 服务。</w:t>
            </w:r>
          </w:p>
          <w:p>
            <w:pPr>
              <w:pStyle w:val="TableParagraph"/>
              <w:spacing w:line="319" w:lineRule="auto" w:before="19"/>
              <w:ind w:left="22" w:right="77"/>
              <w:jc w:val="left"/>
              <w:rPr>
                <w:rFonts w:ascii="宋体" w:hAnsi="宋体" w:cs="宋体" w:eastAsia="宋体" w:hint="default"/>
                <w:sz w:val="18"/>
                <w:szCs w:val="18"/>
              </w:rPr>
            </w:pPr>
            <w:r>
              <w:rPr>
                <w:rFonts w:ascii="宋体" w:hAnsi="宋体" w:cs="宋体" w:eastAsia="宋体" w:hint="default"/>
                <w:sz w:val="18"/>
                <w:szCs w:val="18"/>
              </w:rPr>
              <w:t>（依法 须经批 准的项 目，经 相关部 门批准 后方可 开展经 营活 动）</w:t>
            </w:r>
          </w:p>
        </w:tc>
        <w:tc>
          <w:tcPr>
            <w:tcW w:w="623"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1,100,00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0,000.00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left="153"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650"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1"/>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3"/>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539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 w:right="159"/>
              <w:jc w:val="both"/>
              <w:rPr>
                <w:rFonts w:ascii="宋体" w:hAnsi="宋体" w:cs="宋体" w:eastAsia="宋体" w:hint="default"/>
                <w:sz w:val="18"/>
                <w:szCs w:val="18"/>
              </w:rPr>
            </w:pPr>
            <w:r>
              <w:rPr>
                <w:rFonts w:ascii="宋体" w:hAnsi="宋体" w:cs="宋体" w:eastAsia="宋体" w:hint="default"/>
                <w:sz w:val="18"/>
                <w:szCs w:val="18"/>
              </w:rPr>
              <w:t>达实智 能大厦 改扩建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176,374,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708.01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338,492,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338.07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自有资 </w:t>
            </w:r>
            <w:r>
              <w:rPr>
                <w:rFonts w:ascii="宋体" w:hAnsi="宋体" w:cs="宋体" w:eastAsia="宋体" w:hint="default"/>
                <w:spacing w:val="-10"/>
                <w:sz w:val="18"/>
                <w:szCs w:val="18"/>
              </w:rPr>
              <w:t>金、金融</w:t>
            </w:r>
            <w:r>
              <w:rPr>
                <w:rFonts w:ascii="宋体" w:hAnsi="宋体" w:cs="宋体" w:eastAsia="宋体" w:hint="default"/>
                <w:sz w:val="18"/>
                <w:szCs w:val="18"/>
              </w:rPr>
              <w:t> 机构贷 款</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尚在建 </w:t>
            </w:r>
            <w:r>
              <w:rPr>
                <w:rFonts w:ascii="宋体" w:hAnsi="宋体" w:cs="宋体" w:eastAsia="宋体" w:hint="default"/>
                <w:spacing w:val="-10"/>
                <w:sz w:val="18"/>
                <w:szCs w:val="18"/>
              </w:rPr>
              <w:t>设期，正</w:t>
            </w:r>
            <w:r>
              <w:rPr>
                <w:rFonts w:ascii="宋体" w:hAnsi="宋体" w:cs="宋体" w:eastAsia="宋体" w:hint="default"/>
                <w:sz w:val="18"/>
                <w:szCs w:val="18"/>
              </w:rPr>
              <w:t> 常进行 中</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《关于 全资子 公司物 业改扩 建追加 投资的 公告》</w:t>
            </w:r>
          </w:p>
          <w:p>
            <w:pPr>
              <w:pStyle w:val="TableParagraph"/>
              <w:spacing w:line="338" w:lineRule="auto" w:before="19"/>
              <w:ind w:left="22"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2016-03</w:t>
            </w:r>
          </w:p>
          <w:p>
            <w:pPr>
              <w:pStyle w:val="TableParagraph"/>
              <w:spacing w:line="233"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pacing w:val="-90"/>
                <w:sz w:val="18"/>
                <w:szCs w:val="18"/>
              </w:rPr>
              <w:t>）</w:t>
            </w:r>
            <w:r>
              <w:rPr>
                <w:rFonts w:ascii="宋体" w:hAnsi="宋体" w:cs="宋体" w:eastAsia="宋体" w:hint="default"/>
                <w:spacing w:val="-40"/>
                <w:sz w:val="18"/>
                <w:szCs w:val="18"/>
              </w:rPr>
              <w:t>，</w:t>
            </w:r>
            <w:r>
              <w:rPr>
                <w:rFonts w:ascii="宋体" w:hAnsi="宋体" w:cs="宋体" w:eastAsia="宋体" w:hint="default"/>
                <w:sz w:val="18"/>
                <w:szCs w:val="18"/>
              </w:rPr>
              <w:t>刊登</w:t>
            </w:r>
          </w:p>
          <w:p>
            <w:pPr>
              <w:pStyle w:val="TableParagraph"/>
              <w:spacing w:line="319" w:lineRule="auto" w:before="63"/>
              <w:ind w:left="22" w:right="20"/>
              <w:jc w:val="left"/>
              <w:rPr>
                <w:rFonts w:ascii="宋体" w:hAnsi="宋体" w:cs="宋体" w:eastAsia="宋体" w:hint="default"/>
                <w:sz w:val="18"/>
                <w:szCs w:val="18"/>
              </w:rPr>
            </w:pPr>
            <w:r>
              <w:rPr>
                <w:rFonts w:ascii="宋体" w:hAnsi="宋体" w:cs="宋体" w:eastAsia="宋体" w:hint="default"/>
                <w:spacing w:val="-10"/>
                <w:sz w:val="18"/>
                <w:szCs w:val="18"/>
              </w:rPr>
              <w:t>于《证券</w:t>
            </w:r>
            <w:r>
              <w:rPr>
                <w:rFonts w:ascii="宋体" w:hAnsi="宋体" w:cs="宋体" w:eastAsia="宋体" w:hint="default"/>
                <w:sz w:val="18"/>
                <w:szCs w:val="18"/>
              </w:rPr>
              <w:t> </w:t>
            </w:r>
            <w:r>
              <w:rPr>
                <w:rFonts w:ascii="宋体" w:hAnsi="宋体" w:cs="宋体" w:eastAsia="宋体" w:hint="default"/>
                <w:spacing w:val="-23"/>
                <w:sz w:val="18"/>
                <w:szCs w:val="18"/>
              </w:rPr>
              <w:t>时报》、</w:t>
            </w:r>
          </w:p>
          <w:p>
            <w:pPr>
              <w:pStyle w:val="TableParagraph"/>
              <w:spacing w:line="319" w:lineRule="auto" w:before="17"/>
              <w:ind w:left="22" w:right="-17"/>
              <w:jc w:val="left"/>
              <w:rPr>
                <w:rFonts w:ascii="宋体" w:hAnsi="宋体" w:cs="宋体" w:eastAsia="宋体" w:hint="default"/>
                <w:sz w:val="18"/>
                <w:szCs w:val="18"/>
              </w:rPr>
            </w:pPr>
            <w:r>
              <w:rPr>
                <w:rFonts w:ascii="宋体" w:hAnsi="宋体" w:cs="宋体" w:eastAsia="宋体" w:hint="default"/>
                <w:sz w:val="18"/>
                <w:szCs w:val="18"/>
              </w:rPr>
              <w:t>《中国 证券报》 及巨潮 资讯网。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176,374,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708.01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338,492,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338.07</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line="340"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公司报告期无募集资金使用情况。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公司报告期未出售重大资产。</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4"/>
      <w:bookmarkEnd w:id="54"/>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51"/>
        <w:gridCol w:w="709"/>
        <w:gridCol w:w="992"/>
        <w:gridCol w:w="991"/>
        <w:gridCol w:w="1277"/>
        <w:gridCol w:w="1276"/>
        <w:gridCol w:w="1276"/>
        <w:gridCol w:w="1134"/>
        <w:gridCol w:w="1134"/>
      </w:tblGrid>
      <w:tr>
        <w:trPr>
          <w:trHeight w:val="75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51"/>
              <w:ind w:left="169" w:right="168"/>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67"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75"/>
              <w:jc w:val="center"/>
              <w:rPr>
                <w:rFonts w:ascii="宋体" w:hAnsi="宋体" w:cs="宋体" w:eastAsia="宋体" w:hint="default"/>
                <w:sz w:val="18"/>
                <w:szCs w:val="18"/>
              </w:rPr>
            </w:pPr>
            <w:r>
              <w:rPr>
                <w:rFonts w:ascii="宋体" w:hAnsi="宋体" w:cs="宋体" w:eastAsia="宋体" w:hint="default"/>
                <w:sz w:val="18"/>
                <w:szCs w:val="18"/>
              </w:rPr>
              <w:t>久信医疗</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1"/>
              <w:ind w:left="22" w:right="59"/>
              <w:jc w:val="both"/>
              <w:rPr>
                <w:rFonts w:ascii="宋体" w:hAnsi="宋体" w:cs="宋体" w:eastAsia="宋体" w:hint="default"/>
                <w:sz w:val="18"/>
                <w:szCs w:val="18"/>
              </w:rPr>
            </w:pPr>
            <w:r>
              <w:rPr>
                <w:rFonts w:ascii="宋体" w:hAnsi="宋体" w:cs="宋体" w:eastAsia="宋体" w:hint="default"/>
                <w:sz w:val="18"/>
                <w:szCs w:val="18"/>
              </w:rPr>
              <w:t>数字化手术 与洁净手术 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936,891,659.98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484,247,430.47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693,069,888.71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95,749,150.50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84,194,152.36</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达实联欣</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综合能源服 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315,639,868.27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159,937,117.92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276,164,161.47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22,204,311.72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21,312,857.82</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5"/>
              <w:jc w:val="center"/>
              <w:rPr>
                <w:rFonts w:ascii="宋体" w:hAnsi="宋体" w:cs="宋体" w:eastAsia="宋体" w:hint="default"/>
                <w:sz w:val="18"/>
                <w:szCs w:val="18"/>
              </w:rPr>
            </w:pPr>
            <w:r>
              <w:rPr>
                <w:rFonts w:ascii="宋体" w:hAnsi="宋体" w:cs="宋体" w:eastAsia="宋体" w:hint="default"/>
                <w:sz w:val="18"/>
                <w:szCs w:val="18"/>
              </w:rPr>
              <w:t>达实信息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身份识别与 出入口控制 产品</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570,141,920.50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368,017,242.73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139,801,049.44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51,765,739.98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44,446,262.32</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宋体" w:hAnsi="宋体" w:cs="宋体" w:eastAsia="宋体" w:hint="default"/>
                <w:sz w:val="18"/>
                <w:szCs w:val="18"/>
              </w:rPr>
              <w:t>达实租赁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616,142,785.69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292,757,065.21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63,070,237.83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48,249,419.27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42,017,577.62</w:t>
            </w:r>
          </w:p>
        </w:tc>
      </w:tr>
    </w:tbl>
    <w:p>
      <w:pPr>
        <w:spacing w:line="240" w:lineRule="auto" w:before="6"/>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达实德润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转让达实德润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的股权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有利于进一步优化公司战略布局以及整 体资源配置。</w:t>
            </w:r>
          </w:p>
        </w:tc>
      </w:tr>
      <w:tr>
        <w:trPr>
          <w:trHeight w:val="165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达实软件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有助于加强公司在软件产品、物联网开 发等领域的综合实力，提升公司项目实 施力度，提高公司在智慧医疗、智慧交 通、智慧建筑领域的竞争优势，进一步 增强公司的核心竞争力。</w:t>
            </w:r>
          </w:p>
        </w:tc>
      </w:tr>
      <w:tr>
        <w:trPr>
          <w:trHeight w:val="133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雄安达实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首批取得雄安新区工商营业执照，彰显 了公司在智慧城市领域的综合实力及执 行力，体现了公司深耕雄安新区、布局 京津冀区域的战略决心。</w:t>
            </w:r>
          </w:p>
        </w:tc>
      </w:tr>
      <w:tr>
        <w:trPr>
          <w:trHeight w:val="98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洪泽湖达实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67"/>
              <w:jc w:val="both"/>
              <w:rPr>
                <w:rFonts w:ascii="宋体" w:hAnsi="宋体" w:cs="宋体" w:eastAsia="宋体" w:hint="default"/>
                <w:sz w:val="18"/>
                <w:szCs w:val="18"/>
              </w:rPr>
            </w:pPr>
            <w:r>
              <w:rPr>
                <w:rFonts w:ascii="宋体" w:hAnsi="宋体" w:cs="宋体" w:eastAsia="宋体" w:hint="default"/>
                <w:sz w:val="18"/>
                <w:szCs w:val="18"/>
              </w:rPr>
              <w:t>有助于加强公司在江浙地区的综合业务 开拓能力，有利于公司以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模式推动 智慧医疗项目的落地运营，对公司全面</w:t>
            </w:r>
          </w:p>
        </w:tc>
      </w:tr>
    </w:tbl>
    <w:p>
      <w:pPr>
        <w:spacing w:after="0" w:line="309"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986" w:hRule="exact"/>
        </w:trPr>
        <w:tc>
          <w:tcPr>
            <w:tcW w:w="3189"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6"/>
              <w:jc w:val="both"/>
              <w:rPr>
                <w:rFonts w:ascii="宋体" w:hAnsi="宋体" w:cs="宋体" w:eastAsia="宋体" w:hint="default"/>
                <w:sz w:val="18"/>
                <w:szCs w:val="18"/>
              </w:rPr>
            </w:pPr>
            <w:r>
              <w:rPr>
                <w:rFonts w:ascii="宋体" w:hAnsi="宋体" w:cs="宋体" w:eastAsia="宋体" w:hint="default"/>
                <w:sz w:val="18"/>
                <w:szCs w:val="18"/>
              </w:rPr>
              <w:t>实施智慧医疗建设和运营服务的发展战 略、扩大公司区域影响力、实现公司的 全国化扩张具有一定的促进作用。</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6"/>
      <w:bookmarkEnd w:id="56"/>
      <w:r>
        <w:rPr>
          <w:b w:val="0"/>
          <w:bCs w:val="0"/>
        </w:rPr>
      </w:r>
      <w:r>
        <w:rPr/>
        <w:t>九、公司未来发展的展望</w:t>
      </w:r>
      <w:r>
        <w:rPr>
          <w:b w:val="0"/>
          <w:bCs w:val="0"/>
        </w:rPr>
      </w:r>
    </w:p>
    <w:p>
      <w:pPr>
        <w:spacing w:line="240" w:lineRule="auto" w:before="7"/>
        <w:rPr>
          <w:rFonts w:ascii="宋体" w:hAnsi="宋体" w:cs="宋体" w:eastAsia="宋体" w:hint="default"/>
          <w:b/>
          <w:bCs/>
          <w:sz w:val="32"/>
          <w:szCs w:val="32"/>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（一）</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年度经营计划</w:t>
      </w:r>
    </w:p>
    <w:p>
      <w:pPr>
        <w:spacing w:line="240" w:lineRule="auto" w:before="9"/>
        <w:rPr>
          <w:rFonts w:ascii="宋体" w:hAnsi="宋体" w:cs="宋体" w:eastAsia="宋体" w:hint="default"/>
          <w:sz w:val="16"/>
          <w:szCs w:val="16"/>
        </w:rPr>
      </w:pPr>
    </w:p>
    <w:p>
      <w:pPr>
        <w:spacing w:line="451" w:lineRule="auto" w:before="0"/>
        <w:ind w:left="154" w:right="1132"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年是公司新的战略发展阶段的开局之年，展望未来，公司将通过以下四方面工作巩固公司发展基础，推进公司发展</w:t>
      </w:r>
      <w:r>
        <w:rPr>
          <w:rFonts w:ascii="宋体" w:hAnsi="宋体" w:cs="宋体" w:eastAsia="宋体" w:hint="default"/>
          <w:sz w:val="18"/>
          <w:szCs w:val="18"/>
        </w:rPr>
        <w:t> 再上新台阶。</w:t>
      </w:r>
    </w:p>
    <w:p>
      <w:pPr>
        <w:spacing w:line="451" w:lineRule="auto" w:before="74"/>
        <w:ind w:left="153" w:right="1130" w:firstLine="360"/>
        <w:jc w:val="both"/>
        <w:rPr>
          <w:rFonts w:ascii="宋体" w:hAnsi="宋体" w:cs="宋体" w:eastAsia="宋体" w:hint="default"/>
          <w:sz w:val="18"/>
          <w:szCs w:val="18"/>
        </w:rPr>
      </w:pPr>
      <w:r>
        <w:rPr>
          <w:rFonts w:ascii="宋体" w:hAnsi="宋体" w:cs="宋体" w:eastAsia="宋体" w:hint="default"/>
          <w:spacing w:val="-2"/>
          <w:sz w:val="18"/>
          <w:szCs w:val="18"/>
        </w:rPr>
        <w:t>业务聚焦。围绕</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做大做强智慧医疗、做精智慧交通与智慧建筑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的发展战略，公司业务进一步向智慧医疗聚焦，综合运</w:t>
      </w:r>
      <w:r>
        <w:rPr>
          <w:rFonts w:ascii="宋体" w:hAnsi="宋体" w:cs="宋体" w:eastAsia="宋体" w:hint="default"/>
          <w:sz w:val="18"/>
          <w:szCs w:val="18"/>
        </w:rPr>
        <w:t> </w:t>
      </w:r>
      <w:r>
        <w:rPr>
          <w:rFonts w:ascii="宋体" w:hAnsi="宋体" w:cs="宋体" w:eastAsia="宋体" w:hint="default"/>
          <w:spacing w:val="-2"/>
          <w:sz w:val="18"/>
          <w:szCs w:val="18"/>
        </w:rPr>
        <w:t>用信息化、智能化、手术室净化等专项技术打造高品质的智慧医院，以</w:t>
      </w:r>
      <w:r>
        <w:rPr>
          <w:rFonts w:ascii="Times New Roman" w:hAnsi="Times New Roman" w:cs="Times New Roman" w:eastAsia="Times New Roman" w:hint="default"/>
          <w:spacing w:val="-2"/>
          <w:sz w:val="18"/>
          <w:szCs w:val="18"/>
        </w:rPr>
        <w:t>PPP</w:t>
      </w:r>
      <w:r>
        <w:rPr>
          <w:rFonts w:ascii="宋体" w:hAnsi="宋体" w:cs="宋体" w:eastAsia="宋体" w:hint="default"/>
          <w:spacing w:val="-2"/>
          <w:sz w:val="18"/>
          <w:szCs w:val="18"/>
        </w:rPr>
        <w:t>及</w:t>
      </w:r>
      <w:r>
        <w:rPr>
          <w:rFonts w:ascii="Times New Roman" w:hAnsi="Times New Roman" w:cs="Times New Roman" w:eastAsia="Times New Roman" w:hint="default"/>
          <w:spacing w:val="-2"/>
          <w:sz w:val="18"/>
          <w:szCs w:val="18"/>
        </w:rPr>
        <w:t>EPC</w:t>
      </w:r>
      <w:r>
        <w:rPr>
          <w:rFonts w:ascii="宋体" w:hAnsi="宋体" w:cs="宋体" w:eastAsia="宋体" w:hint="default"/>
          <w:spacing w:val="-2"/>
          <w:sz w:val="18"/>
          <w:szCs w:val="18"/>
        </w:rPr>
        <w:t>模式快速抢占市场，力争在</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年内成为中国</w:t>
      </w:r>
      <w:r>
        <w:rPr>
          <w:rFonts w:ascii="宋体" w:hAnsi="宋体" w:cs="宋体" w:eastAsia="宋体" w:hint="default"/>
          <w:spacing w:val="-64"/>
          <w:sz w:val="18"/>
          <w:szCs w:val="18"/>
        </w:rPr>
        <w:t> </w:t>
      </w:r>
      <w:r>
        <w:rPr>
          <w:rFonts w:ascii="宋体" w:hAnsi="宋体" w:cs="宋体" w:eastAsia="宋体" w:hint="default"/>
          <w:sz w:val="18"/>
          <w:szCs w:val="18"/>
        </w:rPr>
        <w:t>智慧医院总体建设与运营第一品牌。</w:t>
      </w:r>
    </w:p>
    <w:p>
      <w:pPr>
        <w:spacing w:line="477" w:lineRule="auto" w:before="74"/>
        <w:ind w:left="154" w:right="1133" w:firstLine="360"/>
        <w:jc w:val="both"/>
        <w:rPr>
          <w:rFonts w:ascii="宋体" w:hAnsi="宋体" w:cs="宋体" w:eastAsia="宋体" w:hint="default"/>
          <w:sz w:val="18"/>
          <w:szCs w:val="18"/>
        </w:rPr>
      </w:pPr>
      <w:r>
        <w:rPr>
          <w:rFonts w:ascii="宋体" w:hAnsi="宋体" w:cs="宋体" w:eastAsia="宋体" w:hint="default"/>
          <w:spacing w:val="-2"/>
          <w:sz w:val="18"/>
          <w:szCs w:val="18"/>
        </w:rPr>
        <w:t>组织优化。围绕公司聚焦智慧医疗的发展战略，加快公司组织架构与人才团队的优化与提升，加大高端人才的培养与引</w:t>
      </w:r>
      <w:r>
        <w:rPr>
          <w:rFonts w:ascii="宋体" w:hAnsi="宋体" w:cs="宋体" w:eastAsia="宋体" w:hint="default"/>
          <w:sz w:val="18"/>
          <w:szCs w:val="18"/>
        </w:rPr>
        <w:t> 进，建立国内外顶级专家资源库。</w:t>
      </w:r>
    </w:p>
    <w:p>
      <w:pPr>
        <w:spacing w:line="477" w:lineRule="auto" w:before="54"/>
        <w:ind w:left="154" w:right="1130" w:firstLine="360"/>
        <w:jc w:val="both"/>
        <w:rPr>
          <w:rFonts w:ascii="宋体" w:hAnsi="宋体" w:cs="宋体" w:eastAsia="宋体" w:hint="default"/>
          <w:sz w:val="18"/>
          <w:szCs w:val="18"/>
        </w:rPr>
      </w:pPr>
      <w:r>
        <w:rPr>
          <w:rFonts w:ascii="宋体" w:hAnsi="宋体" w:cs="宋体" w:eastAsia="宋体" w:hint="default"/>
          <w:spacing w:val="-2"/>
          <w:sz w:val="18"/>
          <w:szCs w:val="18"/>
        </w:rPr>
        <w:t>技术提升。加大技术研发力度，通过物联网、云计算、大数据、人工智能等技术，加快公司从以客户化方案创新与工程</w:t>
      </w:r>
      <w:r>
        <w:rPr>
          <w:rFonts w:ascii="宋体" w:hAnsi="宋体" w:cs="宋体" w:eastAsia="宋体" w:hint="default"/>
          <w:sz w:val="18"/>
          <w:szCs w:val="18"/>
        </w:rPr>
        <w:t> 项目服务驱动的商业模式，逐步向以大数据驱动的商业模式转变。</w:t>
      </w:r>
    </w:p>
    <w:p>
      <w:pPr>
        <w:spacing w:line="463" w:lineRule="auto" w:before="54"/>
        <w:ind w:left="154" w:right="1032" w:firstLine="360"/>
        <w:jc w:val="left"/>
        <w:rPr>
          <w:rFonts w:ascii="宋体" w:hAnsi="宋体" w:cs="宋体" w:eastAsia="宋体" w:hint="default"/>
          <w:sz w:val="18"/>
          <w:szCs w:val="18"/>
        </w:rPr>
      </w:pPr>
      <w:r>
        <w:rPr>
          <w:rFonts w:ascii="宋体" w:hAnsi="宋体" w:cs="宋体" w:eastAsia="宋体" w:hint="default"/>
          <w:sz w:val="18"/>
          <w:szCs w:val="18"/>
        </w:rPr>
        <w:t>模式创新。依托公司资源及业务优势，借力资本，通过开展股权投资、建立战略合作等多种方式完善智慧医疗产业链， 提升公司竞争优势，进一步巩固医疗产业布局。顺应产业发展趋势，探索业务创新模式，积极推进</w:t>
      </w:r>
      <w:r>
        <w:rPr>
          <w:rFonts w:ascii="Times New Roman" w:hAnsi="Times New Roman" w:cs="Times New Roman" w:eastAsia="Times New Roman" w:hint="default"/>
          <w:sz w:val="18"/>
          <w:szCs w:val="18"/>
        </w:rPr>
        <w:t>PPP</w:t>
      </w:r>
      <w:r>
        <w:rPr>
          <w:rFonts w:ascii="宋体" w:hAnsi="宋体" w:cs="宋体" w:eastAsia="宋体" w:hint="default"/>
          <w:sz w:val="18"/>
          <w:szCs w:val="18"/>
        </w:rPr>
        <w:t>、融资租赁等新型商 业模式。强化深度运营，以</w:t>
      </w:r>
      <w:r>
        <w:rPr>
          <w:rFonts w:ascii="Times New Roman" w:hAnsi="Times New Roman" w:cs="Times New Roman" w:eastAsia="Times New Roman" w:hint="default"/>
          <w:sz w:val="18"/>
          <w:szCs w:val="18"/>
        </w:rPr>
        <w:t>PPP</w:t>
      </w:r>
      <w:r>
        <w:rPr>
          <w:rFonts w:ascii="宋体" w:hAnsi="宋体" w:cs="宋体" w:eastAsia="宋体" w:hint="default"/>
          <w:sz w:val="18"/>
          <w:szCs w:val="18"/>
        </w:rPr>
        <w:t>模式快速布局市场，实现以运营为导向的全面发展。</w:t>
      </w:r>
    </w:p>
    <w:p>
      <w:pPr>
        <w:spacing w:before="33"/>
        <w:ind w:left="513" w:right="0" w:firstLine="0"/>
        <w:jc w:val="left"/>
        <w:rPr>
          <w:rFonts w:ascii="宋体" w:hAnsi="宋体" w:cs="宋体" w:eastAsia="宋体" w:hint="default"/>
          <w:sz w:val="18"/>
          <w:szCs w:val="18"/>
        </w:rPr>
      </w:pPr>
      <w:r>
        <w:rPr>
          <w:rFonts w:ascii="宋体" w:hAnsi="宋体" w:cs="宋体" w:eastAsia="宋体" w:hint="default"/>
          <w:sz w:val="18"/>
          <w:szCs w:val="18"/>
        </w:rPr>
        <w:t>（二）面临的风险</w:t>
      </w:r>
    </w:p>
    <w:p>
      <w:pPr>
        <w:spacing w:line="240" w:lineRule="auto" w:before="10"/>
        <w:rPr>
          <w:rFonts w:ascii="宋体" w:hAnsi="宋体" w:cs="宋体" w:eastAsia="宋体" w:hint="default"/>
          <w:sz w:val="17"/>
          <w:szCs w:val="17"/>
        </w:rPr>
      </w:pPr>
    </w:p>
    <w:p>
      <w:pPr>
        <w:spacing w:line="451" w:lineRule="auto" w:before="0"/>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、创新商业模式的管理风险 </w:t>
      </w:r>
      <w:r>
        <w:rPr>
          <w:rFonts w:ascii="宋体" w:hAnsi="宋体" w:cs="宋体" w:eastAsia="宋体" w:hint="default"/>
          <w:spacing w:val="-2"/>
          <w:sz w:val="18"/>
          <w:szCs w:val="18"/>
        </w:rPr>
        <w:t>为提高服务客户的能力，公司已将融资租赁、买方信贷等金融要素成功引入到智慧城市建设及运营服务业务中，同时新</w:t>
      </w:r>
    </w:p>
    <w:p>
      <w:pPr>
        <w:spacing w:line="463" w:lineRule="auto" w:before="74"/>
        <w:ind w:left="154" w:right="0" w:firstLine="0"/>
        <w:jc w:val="left"/>
        <w:rPr>
          <w:rFonts w:ascii="宋体" w:hAnsi="宋体" w:cs="宋体" w:eastAsia="宋体"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PPP</w:t>
      </w:r>
      <w:r>
        <w:rPr>
          <w:rFonts w:ascii="宋体" w:hAnsi="宋体" w:cs="宋体" w:eastAsia="宋体" w:hint="default"/>
          <w:sz w:val="18"/>
          <w:szCs w:val="18"/>
        </w:rPr>
        <w:t>商业模式。虽然公司已经针对</w:t>
      </w:r>
      <w:r>
        <w:rPr>
          <w:rFonts w:ascii="Times New Roman" w:hAnsi="Times New Roman" w:cs="Times New Roman" w:eastAsia="Times New Roman" w:hint="default"/>
          <w:sz w:val="18"/>
          <w:szCs w:val="18"/>
        </w:rPr>
        <w:t>“</w:t>
      </w:r>
      <w:r>
        <w:rPr>
          <w:rFonts w:ascii="宋体" w:hAnsi="宋体" w:cs="宋体" w:eastAsia="宋体" w:hint="default"/>
          <w:sz w:val="18"/>
          <w:szCs w:val="18"/>
        </w:rPr>
        <w:t>技术</w:t>
      </w:r>
      <w:r>
        <w:rPr>
          <w:rFonts w:ascii="Times New Roman" w:hAnsi="Times New Roman" w:cs="Times New Roman" w:eastAsia="Times New Roman" w:hint="default"/>
          <w:sz w:val="18"/>
          <w:szCs w:val="18"/>
        </w:rPr>
        <w:t>+</w:t>
      </w:r>
      <w:r>
        <w:rPr>
          <w:rFonts w:ascii="宋体" w:hAnsi="宋体" w:cs="宋体" w:eastAsia="宋体" w:hint="default"/>
          <w:sz w:val="18"/>
          <w:szCs w:val="18"/>
        </w:rPr>
        <w:t>金融</w:t>
      </w:r>
      <w:r>
        <w:rPr>
          <w:rFonts w:ascii="Times New Roman" w:hAnsi="Times New Roman" w:cs="Times New Roman" w:eastAsia="Times New Roman" w:hint="default"/>
          <w:sz w:val="18"/>
          <w:szCs w:val="18"/>
        </w:rPr>
        <w:t>”</w:t>
      </w:r>
      <w:r>
        <w:rPr>
          <w:rFonts w:ascii="宋体" w:hAnsi="宋体" w:cs="宋体" w:eastAsia="宋体" w:hint="default"/>
          <w:sz w:val="18"/>
          <w:szCs w:val="18"/>
        </w:rPr>
        <w:t>的创新型业务建立了严格的风险评估程序，但项目实施过程中涉及的金 </w:t>
      </w:r>
      <w:r>
        <w:rPr>
          <w:rFonts w:ascii="宋体" w:hAnsi="宋体" w:cs="宋体" w:eastAsia="宋体" w:hint="default"/>
          <w:spacing w:val="-2"/>
          <w:sz w:val="18"/>
          <w:szCs w:val="18"/>
        </w:rPr>
        <w:t>融、法律问题，对项目推进和经营带来一定的管理风险。公司将通过引入专业人才、与地方国资平台以及大集团进行合作的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方式，实现项目收益共享并降低项目投资和执行风险。</w:t>
      </w:r>
    </w:p>
    <w:p>
      <w:pPr>
        <w:spacing w:line="477" w:lineRule="auto" w:before="65"/>
        <w:ind w:left="154" w:right="1132" w:firstLine="360"/>
        <w:jc w:val="both"/>
        <w:rPr>
          <w:rFonts w:ascii="宋体" w:hAnsi="宋体" w:cs="宋体" w:eastAsia="宋体" w:hint="default"/>
          <w:sz w:val="18"/>
          <w:szCs w:val="18"/>
        </w:rPr>
      </w:pPr>
      <w:r>
        <w:rPr>
          <w:rFonts w:ascii="宋体" w:hAnsi="宋体" w:cs="宋体" w:eastAsia="宋体" w:hint="default"/>
          <w:spacing w:val="-2"/>
          <w:sz w:val="18"/>
          <w:szCs w:val="18"/>
        </w:rPr>
        <w:t>同时，公司服务模式进行了相应的创新提升，从单纯的机电设备与智能化设备的链接与智能交互，逐步延伸至与客户业</w:t>
      </w:r>
      <w:r>
        <w:rPr>
          <w:rFonts w:ascii="宋体" w:hAnsi="宋体" w:cs="宋体" w:eastAsia="宋体" w:hint="default"/>
          <w:sz w:val="18"/>
          <w:szCs w:val="18"/>
        </w:rPr>
        <w:t> </w:t>
      </w:r>
      <w:r>
        <w:rPr>
          <w:rFonts w:ascii="宋体" w:hAnsi="宋体" w:cs="宋体" w:eastAsia="宋体" w:hint="default"/>
          <w:spacing w:val="-2"/>
          <w:sz w:val="18"/>
          <w:szCs w:val="18"/>
        </w:rPr>
        <w:t>务以及终端用户的链接与大数据交互。从以客户化方案创新与工程项目服务驱动的商业模式，逐步向以大数据驱动的商业模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式转变。公司需持续加大相关人才的引进，实施开放合作战略，积极拓展战略合作伙伴，加快公司商业模式的转变，降低经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营风险。</w:t>
      </w:r>
    </w:p>
    <w:p>
      <w:pPr>
        <w:spacing w:after="0" w:line="477"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451" w:lineRule="auto" w:before="0"/>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、公司快速发展带来的管理风险 </w:t>
      </w:r>
      <w:r>
        <w:rPr>
          <w:rFonts w:ascii="宋体" w:hAnsi="宋体" w:cs="宋体" w:eastAsia="宋体" w:hint="default"/>
          <w:spacing w:val="-2"/>
          <w:sz w:val="18"/>
          <w:szCs w:val="18"/>
        </w:rPr>
        <w:t>公司自上市以来，先后进行了多次投资收购，分支机构已遍布全国，销售规模、员工人数快速提升。如果不能做好对各</w:t>
      </w:r>
    </w:p>
    <w:p>
      <w:pPr>
        <w:spacing w:line="477" w:lineRule="auto" w:before="74"/>
        <w:ind w:left="153" w:right="1132" w:firstLine="0"/>
        <w:jc w:val="both"/>
        <w:rPr>
          <w:rFonts w:ascii="宋体" w:hAnsi="宋体" w:cs="宋体" w:eastAsia="宋体" w:hint="default"/>
          <w:sz w:val="18"/>
          <w:szCs w:val="18"/>
        </w:rPr>
      </w:pPr>
      <w:r>
        <w:rPr>
          <w:rFonts w:ascii="宋体" w:hAnsi="宋体" w:cs="宋体" w:eastAsia="宋体" w:hint="default"/>
          <w:spacing w:val="-2"/>
          <w:sz w:val="18"/>
          <w:szCs w:val="18"/>
        </w:rPr>
        <w:t>分支机构的监督和管控以满足规模增长产生的人员增加和业务整合的需要，将给公司经营带来一定的管理风险。公司将通过</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实施股权激励及健全内部管理机制的方式加强对子公司、分公司及各部门的管理，尽量消除由于规模快速扩大带来的管理风</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险。</w:t>
      </w:r>
    </w:p>
    <w:p>
      <w:pPr>
        <w:spacing w:line="489" w:lineRule="auto" w:before="54"/>
        <w:ind w:left="513" w:right="11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、人才风险 </w:t>
      </w:r>
      <w:r>
        <w:rPr>
          <w:rFonts w:ascii="宋体" w:hAnsi="宋体" w:cs="宋体" w:eastAsia="宋体" w:hint="default"/>
          <w:spacing w:val="-2"/>
          <w:sz w:val="18"/>
          <w:szCs w:val="18"/>
        </w:rPr>
        <w:t>人力资源是高科技企业生存和发展的重要因素，核心技术与销售人员、优质领导团队是维持和提高公司核心竞争力的基</w:t>
      </w:r>
    </w:p>
    <w:p>
      <w:pPr>
        <w:spacing w:line="472" w:lineRule="auto" w:before="44"/>
        <w:ind w:left="153" w:right="1131" w:firstLine="0"/>
        <w:jc w:val="both"/>
        <w:rPr>
          <w:rFonts w:ascii="宋体" w:hAnsi="宋体" w:cs="宋体" w:eastAsia="宋体" w:hint="default"/>
          <w:sz w:val="18"/>
          <w:szCs w:val="18"/>
        </w:rPr>
      </w:pPr>
      <w:r>
        <w:rPr>
          <w:rFonts w:ascii="宋体" w:hAnsi="宋体" w:cs="宋体" w:eastAsia="宋体" w:hint="default"/>
          <w:spacing w:val="-2"/>
          <w:sz w:val="18"/>
          <w:szCs w:val="18"/>
        </w:rPr>
        <w:t>石。公司作为高新技术企业，在多年的发展过程中，通过自身培养和外部引进积累了一批技术骨干和业务精英，形成了行之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有效的技术研发体系，保障了公司在市场竞争中的领先地位。但随着业务规模的不断扩大、行业竞争的日趋激烈以及行业人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力成本的大幅度提高，公司可能在高端人才的吸引和保留、人力资源体系结构优化等方面面临压力和挑战。公司必须持续通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过内培外引的方式维持人才积累，夯实高绩效组织建设，打造创新业务团队，强化创新、高绩效文化，以适应公司规模的扩</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张对技术和管理人才的需求；同时，公司将始终贯彻</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达则兼善天下，实则恒心如一</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的企业文化，利用有效的激励和奖励机</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制，持续改进和提高员工薪酬、福利待遇，广泛吸纳和善用各类人才。</w:t>
      </w:r>
    </w:p>
    <w:p>
      <w:pPr>
        <w:spacing w:line="240" w:lineRule="auto" w:before="9"/>
        <w:rPr>
          <w:rFonts w:ascii="宋体" w:hAnsi="宋体" w:cs="宋体" w:eastAsia="宋体" w:hint="default"/>
          <w:sz w:val="17"/>
          <w:szCs w:val="17"/>
        </w:rPr>
      </w:pPr>
    </w:p>
    <w:p>
      <w:pPr>
        <w:pStyle w:val="Heading2"/>
        <w:spacing w:line="240" w:lineRule="auto"/>
        <w:ind w:right="0"/>
        <w:jc w:val="both"/>
        <w:rPr>
          <w:b w:val="0"/>
          <w:bCs w:val="0"/>
        </w:rPr>
      </w:pPr>
      <w:bookmarkStart w:name="十、接待调研、沟通、采访等活动" w:id="57"/>
      <w:bookmarkEnd w:id="57"/>
      <w:r>
        <w:rPr>
          <w:b w:val="0"/>
          <w:bCs w:val="0"/>
        </w:rPr>
      </w: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both"/>
        <w:rPr>
          <w:b w:val="0"/>
          <w:bCs w:val="0"/>
        </w:rPr>
      </w:pPr>
      <w:bookmarkStart w:name="1、报告期内接待调研、沟通、采访等活动登记表" w:id="58"/>
      <w:bookmarkEnd w:id="5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23"/>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2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日投资者关系活动记 </w:t>
            </w:r>
            <w:r>
              <w:rPr>
                <w:rFonts w:ascii="宋体" w:hAnsi="宋体" w:cs="宋体" w:eastAsia="宋体" w:hint="default"/>
                <w:spacing w:val="-8"/>
                <w:sz w:val="18"/>
                <w:szCs w:val="18"/>
              </w:rPr>
              <w:t>录表》，刊登于巨潮资讯网</w:t>
            </w:r>
          </w:p>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2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日投资者关系活动记 </w:t>
            </w:r>
            <w:r>
              <w:rPr>
                <w:rFonts w:ascii="宋体" w:hAnsi="宋体" w:cs="宋体" w:eastAsia="宋体" w:hint="default"/>
                <w:spacing w:val="-8"/>
                <w:sz w:val="18"/>
                <w:szCs w:val="18"/>
              </w:rPr>
              <w:t>录表》，刊登于巨潮资讯网</w:t>
            </w:r>
          </w:p>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2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 </w:t>
            </w:r>
            <w:r>
              <w:rPr>
                <w:rFonts w:ascii="宋体" w:hAnsi="宋体" w:cs="宋体" w:eastAsia="宋体" w:hint="default"/>
                <w:spacing w:val="-8"/>
                <w:sz w:val="18"/>
                <w:szCs w:val="18"/>
              </w:rPr>
              <w:t>录表》，刊登于巨潮资讯网</w:t>
            </w:r>
          </w:p>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2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 </w:t>
            </w:r>
            <w:r>
              <w:rPr>
                <w:rFonts w:ascii="宋体" w:hAnsi="宋体" w:cs="宋体" w:eastAsia="宋体" w:hint="default"/>
                <w:spacing w:val="-8"/>
                <w:sz w:val="18"/>
                <w:szCs w:val="18"/>
              </w:rPr>
              <w:t>录表》，刊登于巨潮资讯网</w:t>
            </w:r>
          </w:p>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2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日投资者关系活动记 </w:t>
            </w:r>
            <w:r>
              <w:rPr>
                <w:rFonts w:ascii="宋体" w:hAnsi="宋体" w:cs="宋体" w:eastAsia="宋体" w:hint="default"/>
                <w:spacing w:val="-8"/>
                <w:sz w:val="18"/>
                <w:szCs w:val="18"/>
              </w:rPr>
              <w:t>录表》，刊登于巨潮资讯网</w:t>
            </w:r>
          </w:p>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773" w:right="1751"/>
        <w:jc w:val="center"/>
        <w:rPr>
          <w:b w:val="0"/>
          <w:bCs w:val="0"/>
        </w:rPr>
      </w:pPr>
      <w:bookmarkStart w:name="第五节 重要事项" w:id="59"/>
      <w:bookmarkEnd w:id="59"/>
      <w:r>
        <w:rPr>
          <w:b w:val="0"/>
          <w:bCs w:val="0"/>
        </w:rPr>
      </w:r>
      <w:bookmarkStart w:name="_bookmark4" w:id="60"/>
      <w:bookmarkEnd w:id="60"/>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spacing w:line="240" w:lineRule="auto" w:before="9"/>
        <w:rPr>
          <w:rFonts w:ascii="宋体" w:hAnsi="宋体" w:cs="宋体" w:eastAsia="宋体" w:hint="default"/>
          <w:sz w:val="13"/>
          <w:szCs w:val="13"/>
        </w:rPr>
      </w:pPr>
    </w:p>
    <w:p>
      <w:pPr>
        <w:spacing w:line="451" w:lineRule="auto" w:before="0"/>
        <w:ind w:left="153" w:right="1035" w:firstLine="35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年度分配方案：以公司</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日总股本</w:t>
      </w:r>
      <w:r>
        <w:rPr>
          <w:rFonts w:ascii="Times New Roman" w:hAnsi="Times New Roman" w:cs="Times New Roman" w:eastAsia="Times New Roman" w:hint="default"/>
          <w:spacing w:val="-2"/>
          <w:sz w:val="18"/>
          <w:szCs w:val="18"/>
        </w:rPr>
        <w:t>643,228,792</w:t>
      </w:r>
      <w:r>
        <w:rPr>
          <w:rFonts w:ascii="宋体" w:hAnsi="宋体" w:cs="宋体" w:eastAsia="宋体" w:hint="default"/>
          <w:spacing w:val="-2"/>
          <w:sz w:val="18"/>
          <w:szCs w:val="18"/>
        </w:rPr>
        <w:t>股为基数，向全体股东每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股派</w:t>
      </w:r>
      <w:r>
        <w:rPr>
          <w:rFonts w:ascii="Times New Roman" w:hAnsi="Times New Roman" w:cs="Times New Roman" w:eastAsia="Times New Roman" w:hint="default"/>
          <w:spacing w:val="-2"/>
          <w:sz w:val="18"/>
          <w:szCs w:val="18"/>
        </w:rPr>
        <w:t>0.5</w:t>
      </w:r>
      <w:r>
        <w:rPr>
          <w:rFonts w:ascii="宋体" w:hAnsi="宋体" w:cs="宋体" w:eastAsia="宋体" w:hint="default"/>
          <w:spacing w:val="-2"/>
          <w:sz w:val="18"/>
          <w:szCs w:val="18"/>
        </w:rPr>
        <w:t>元人民币现金（含税），</w:t>
      </w:r>
      <w:r>
        <w:rPr>
          <w:rFonts w:ascii="宋体" w:hAnsi="宋体" w:cs="宋体" w:eastAsia="宋体" w:hint="default"/>
          <w:sz w:val="18"/>
          <w:szCs w:val="18"/>
        </w:rPr>
        <w:t> 本年度不转增，不送红股，剩余未分配利润结转以后年度进行分配。</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日，该方案得以实施。</w:t>
      </w:r>
    </w:p>
    <w:p>
      <w:pPr>
        <w:spacing w:before="43"/>
        <w:ind w:left="51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年半年度分配方案：以公司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日总股本</w:t>
      </w:r>
      <w:r>
        <w:rPr>
          <w:rFonts w:ascii="Times New Roman" w:hAnsi="Times New Roman" w:cs="Times New Roman" w:eastAsia="Times New Roman" w:hint="default"/>
          <w:sz w:val="18"/>
          <w:szCs w:val="18"/>
        </w:rPr>
        <w:t>642,399,392</w:t>
      </w:r>
      <w:r>
        <w:rPr>
          <w:rFonts w:ascii="宋体" w:hAnsi="宋体" w:cs="宋体" w:eastAsia="宋体" w:hint="default"/>
          <w:sz w:val="18"/>
          <w:szCs w:val="18"/>
        </w:rPr>
        <w:t>股为基数，以资本公积金向全体股东每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20</w:t>
      </w:r>
    </w:p>
    <w:p>
      <w:pPr>
        <w:spacing w:line="240" w:lineRule="auto" w:before="0"/>
        <w:rPr>
          <w:rFonts w:ascii="Times New Roman" w:hAnsi="Times New Roman" w:cs="Times New Roman" w:eastAsia="Times New Roman" w:hint="default"/>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股，不送红股，不派发现金红利。</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日，该方案得以实施。</w:t>
      </w:r>
    </w:p>
    <w:p>
      <w:pPr>
        <w:spacing w:line="240" w:lineRule="auto" w:before="9"/>
        <w:rPr>
          <w:rFonts w:ascii="宋体" w:hAnsi="宋体" w:cs="宋体" w:eastAsia="宋体" w:hint="default"/>
          <w:sz w:val="16"/>
          <w:szCs w:val="16"/>
        </w:rPr>
      </w:pPr>
    </w:p>
    <w:p>
      <w:pPr>
        <w:spacing w:line="451" w:lineRule="auto" w:before="0"/>
        <w:ind w:left="153" w:right="0" w:firstLine="35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年度分配方案：以公司</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19</w:t>
      </w:r>
      <w:r>
        <w:rPr>
          <w:rFonts w:ascii="宋体" w:hAnsi="宋体" w:cs="宋体" w:eastAsia="宋体" w:hint="default"/>
          <w:spacing w:val="-4"/>
          <w:sz w:val="18"/>
          <w:szCs w:val="18"/>
        </w:rPr>
        <w:t>日总股本</w:t>
      </w:r>
      <w:r>
        <w:rPr>
          <w:rFonts w:ascii="Times New Roman" w:hAnsi="Times New Roman" w:cs="Times New Roman" w:eastAsia="Times New Roman" w:hint="default"/>
          <w:spacing w:val="-4"/>
          <w:sz w:val="18"/>
          <w:szCs w:val="18"/>
        </w:rPr>
        <w:t>1,926,729,576</w:t>
      </w:r>
      <w:r>
        <w:rPr>
          <w:rFonts w:ascii="宋体" w:hAnsi="宋体" w:cs="宋体" w:eastAsia="宋体" w:hint="default"/>
          <w:spacing w:val="-4"/>
          <w:sz w:val="18"/>
          <w:szCs w:val="18"/>
        </w:rPr>
        <w:t>股为基数，向全体股东每</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股派</w:t>
      </w:r>
      <w:r>
        <w:rPr>
          <w:rFonts w:ascii="Times New Roman" w:hAnsi="Times New Roman" w:cs="Times New Roman" w:eastAsia="Times New Roman" w:hint="default"/>
          <w:spacing w:val="-4"/>
          <w:sz w:val="18"/>
          <w:szCs w:val="18"/>
        </w:rPr>
        <w:t>0.3</w:t>
      </w:r>
      <w:r>
        <w:rPr>
          <w:rFonts w:ascii="宋体" w:hAnsi="宋体" w:cs="宋体" w:eastAsia="宋体" w:hint="default"/>
          <w:spacing w:val="-4"/>
          <w:sz w:val="18"/>
          <w:szCs w:val="18"/>
        </w:rPr>
        <w:t>元人民币现金（含税），</w:t>
      </w:r>
      <w:r>
        <w:rPr>
          <w:rFonts w:ascii="宋体" w:hAnsi="宋体" w:cs="宋体" w:eastAsia="宋体" w:hint="default"/>
          <w:sz w:val="18"/>
          <w:szCs w:val="18"/>
        </w:rPr>
        <w:t> 本年度不转增，不送红股，剩余未分配利润结转以后年度进行分配。</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日，该方案得以实施。</w:t>
      </w:r>
    </w:p>
    <w:p>
      <w:pPr>
        <w:spacing w:line="451" w:lineRule="auto" w:before="43"/>
        <w:ind w:left="153" w:right="0" w:firstLine="35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年度分配预案：以未来实施分配方案时股权登记日的总股本为基数，向全体股东每</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股派</w:t>
      </w:r>
      <w:r>
        <w:rPr>
          <w:rFonts w:ascii="Times New Roman" w:hAnsi="Times New Roman" w:cs="Times New Roman" w:eastAsia="Times New Roman" w:hint="default"/>
          <w:spacing w:val="-4"/>
          <w:sz w:val="18"/>
          <w:szCs w:val="18"/>
        </w:rPr>
        <w:t>0.3</w:t>
      </w:r>
      <w:r>
        <w:rPr>
          <w:rFonts w:ascii="宋体" w:hAnsi="宋体" w:cs="宋体" w:eastAsia="宋体" w:hint="default"/>
          <w:spacing w:val="-4"/>
          <w:sz w:val="18"/>
          <w:szCs w:val="18"/>
        </w:rPr>
        <w:t>元人民币现金（含税），</w:t>
      </w:r>
      <w:r>
        <w:rPr>
          <w:rFonts w:ascii="宋体" w:hAnsi="宋体" w:cs="宋体" w:eastAsia="宋体" w:hint="default"/>
          <w:sz w:val="18"/>
          <w:szCs w:val="18"/>
        </w:rPr>
        <w:t> 本年度不转增，不送红股，剩余未分配利润结转以后年度进行分配。该预案尚需股东大会批准。</w:t>
      </w:r>
    </w:p>
    <w:p>
      <w:pPr>
        <w:spacing w:line="240" w:lineRule="auto" w:before="4"/>
        <w:rPr>
          <w:rFonts w:ascii="宋体" w:hAnsi="宋体" w:cs="宋体" w:eastAsia="宋体" w:hint="default"/>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83"/>
        <w:gridCol w:w="2125"/>
        <w:gridCol w:w="2127"/>
        <w:gridCol w:w="2067"/>
        <w:gridCol w:w="1177"/>
        <w:gridCol w:w="1177"/>
      </w:tblGrid>
      <w:tr>
        <w:trPr>
          <w:trHeight w:val="162" w:hRule="exact"/>
        </w:trPr>
        <w:tc>
          <w:tcPr>
            <w:tcW w:w="983" w:type="dxa"/>
            <w:vMerge w:val="restart"/>
            <w:tcBorders>
              <w:top w:val="single" w:sz="4" w:space="0" w:color="000000"/>
              <w:left w:val="single" w:sz="4" w:space="0" w:color="000000"/>
              <w:right w:val="single" w:sz="4" w:space="0" w:color="000000"/>
            </w:tcBorders>
            <w:shd w:val="clear" w:color="auto" w:fill="D2D2D2"/>
          </w:tcPr>
          <w:p>
            <w:pPr/>
          </w:p>
        </w:tc>
        <w:tc>
          <w:tcPr>
            <w:tcW w:w="2125" w:type="dxa"/>
            <w:vMerge w:val="restart"/>
            <w:tcBorders>
              <w:top w:val="single" w:sz="4" w:space="0" w:color="000000"/>
              <w:left w:val="single" w:sz="4" w:space="0" w:color="000000"/>
              <w:right w:val="single" w:sz="4" w:space="0" w:color="000000"/>
            </w:tcBorders>
            <w:shd w:val="clear" w:color="auto" w:fill="D2D2D2"/>
          </w:tcPr>
          <w:p>
            <w:pPr/>
          </w:p>
        </w:tc>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7" w:right="69"/>
              <w:jc w:val="center"/>
              <w:rPr>
                <w:rFonts w:ascii="宋体" w:hAnsi="宋体" w:cs="宋体" w:eastAsia="宋体" w:hint="default"/>
                <w:sz w:val="18"/>
                <w:szCs w:val="18"/>
              </w:rPr>
            </w:pPr>
            <w:r>
              <w:rPr>
                <w:rFonts w:ascii="宋体" w:hAnsi="宋体" w:cs="宋体" w:eastAsia="宋体" w:hint="default"/>
                <w:sz w:val="18"/>
                <w:szCs w:val="18"/>
              </w:rPr>
              <w:t>分红年度合并报表中归属 于上市公司普通股股东的 净利润</w:t>
            </w:r>
          </w:p>
        </w:tc>
        <w:tc>
          <w:tcPr>
            <w:tcW w:w="20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8" w:right="36"/>
              <w:jc w:val="center"/>
              <w:rPr>
                <w:rFonts w:ascii="宋体" w:hAnsi="宋体" w:cs="宋体" w:eastAsia="宋体" w:hint="default"/>
                <w:sz w:val="18"/>
                <w:szCs w:val="18"/>
              </w:rPr>
            </w:pPr>
            <w:r>
              <w:rPr>
                <w:rFonts w:ascii="宋体" w:hAnsi="宋体" w:cs="宋体" w:eastAsia="宋体" w:hint="default"/>
                <w:sz w:val="18"/>
                <w:szCs w:val="18"/>
              </w:rPr>
              <w:t>占合并报表中归属于上市 公司普通股股东的净利润 的比率</w:t>
            </w:r>
          </w:p>
        </w:tc>
        <w:tc>
          <w:tcPr>
            <w:tcW w:w="1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983" w:type="dxa"/>
            <w:vMerge/>
            <w:tcBorders>
              <w:left w:val="single" w:sz="4" w:space="0" w:color="000000"/>
              <w:bottom w:val="nil" w:sz="6" w:space="0" w:color="auto"/>
              <w:right w:val="single" w:sz="4" w:space="0" w:color="000000"/>
            </w:tcBorders>
            <w:shd w:val="clear" w:color="auto" w:fill="D2D2D2"/>
          </w:tcPr>
          <w:p>
            <w:pPr/>
          </w:p>
        </w:tc>
        <w:tc>
          <w:tcPr>
            <w:tcW w:w="2125" w:type="dxa"/>
            <w:vMerge/>
            <w:tcBorders>
              <w:left w:val="single" w:sz="4" w:space="0" w:color="000000"/>
              <w:bottom w:val="nil" w:sz="6" w:space="0" w:color="auto"/>
              <w:right w:val="single" w:sz="4" w:space="0" w:color="000000"/>
            </w:tcBorders>
            <w:shd w:val="clear" w:color="auto" w:fill="D2D2D2"/>
          </w:tcPr>
          <w:p>
            <w:pPr/>
          </w:p>
        </w:tc>
        <w:tc>
          <w:tcPr>
            <w:tcW w:w="2127" w:type="dxa"/>
            <w:vMerge/>
            <w:tcBorders>
              <w:left w:val="single" w:sz="4" w:space="0" w:color="000000"/>
              <w:right w:val="single" w:sz="4" w:space="0" w:color="000000"/>
            </w:tcBorders>
            <w:shd w:val="clear" w:color="auto" w:fill="D2D2D2"/>
          </w:tcPr>
          <w:p>
            <w:pPr/>
          </w:p>
        </w:tc>
        <w:tc>
          <w:tcPr>
            <w:tcW w:w="2067" w:type="dxa"/>
            <w:vMerge/>
            <w:tcBorders>
              <w:left w:val="single" w:sz="4" w:space="0" w:color="000000"/>
              <w:right w:val="single" w:sz="4" w:space="0" w:color="000000"/>
            </w:tcBorders>
            <w:shd w:val="clear" w:color="auto" w:fill="D2D2D2"/>
          </w:tcPr>
          <w:p>
            <w:pPr/>
          </w:p>
        </w:tc>
        <w:tc>
          <w:tcPr>
            <w:tcW w:w="117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4" w:right="41"/>
              <w:jc w:val="left"/>
              <w:rPr>
                <w:rFonts w:ascii="宋体" w:hAnsi="宋体" w:cs="宋体" w:eastAsia="宋体" w:hint="default"/>
                <w:sz w:val="18"/>
                <w:szCs w:val="18"/>
              </w:rPr>
            </w:pPr>
            <w:r>
              <w:rPr>
                <w:rFonts w:ascii="宋体" w:hAnsi="宋体" w:cs="宋体" w:eastAsia="宋体" w:hint="default"/>
                <w:sz w:val="18"/>
                <w:szCs w:val="18"/>
              </w:rPr>
              <w:t>以其他方式现 金分红的金额</w:t>
            </w:r>
          </w:p>
        </w:tc>
        <w:tc>
          <w:tcPr>
            <w:tcW w:w="117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 w:right="42"/>
              <w:jc w:val="left"/>
              <w:rPr>
                <w:rFonts w:ascii="宋体" w:hAnsi="宋体" w:cs="宋体" w:eastAsia="宋体" w:hint="default"/>
                <w:sz w:val="18"/>
                <w:szCs w:val="18"/>
              </w:rPr>
            </w:pPr>
            <w:r>
              <w:rPr>
                <w:rFonts w:ascii="宋体" w:hAnsi="宋体" w:cs="宋体" w:eastAsia="宋体" w:hint="default"/>
                <w:sz w:val="18"/>
                <w:szCs w:val="18"/>
              </w:rPr>
              <w:t>以其他方式现 金分红的比例</w:t>
            </w:r>
          </w:p>
        </w:tc>
      </w:tr>
      <w:tr>
        <w:trPr>
          <w:trHeight w:val="391" w:hRule="exact"/>
        </w:trPr>
        <w:tc>
          <w:tcPr>
            <w:tcW w:w="9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21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127" w:type="dxa"/>
            <w:vMerge/>
            <w:tcBorders>
              <w:left w:val="single" w:sz="4" w:space="0" w:color="000000"/>
              <w:right w:val="single" w:sz="4" w:space="0" w:color="000000"/>
            </w:tcBorders>
            <w:shd w:val="clear" w:color="auto" w:fill="D2D2D2"/>
          </w:tcPr>
          <w:p>
            <w:pPr/>
          </w:p>
        </w:tc>
        <w:tc>
          <w:tcPr>
            <w:tcW w:w="2067" w:type="dxa"/>
            <w:vMerge/>
            <w:tcBorders>
              <w:left w:val="single" w:sz="4" w:space="0" w:color="000000"/>
              <w:right w:val="single" w:sz="4" w:space="0" w:color="000000"/>
            </w:tcBorders>
            <w:shd w:val="clear" w:color="auto" w:fill="D2D2D2"/>
          </w:tcPr>
          <w:p>
            <w:pPr/>
          </w:p>
        </w:tc>
        <w:tc>
          <w:tcPr>
            <w:tcW w:w="1177" w:type="dxa"/>
            <w:vMerge/>
            <w:tcBorders>
              <w:left w:val="single" w:sz="4" w:space="0" w:color="000000"/>
              <w:right w:val="single" w:sz="4" w:space="0" w:color="000000"/>
            </w:tcBorders>
            <w:shd w:val="clear" w:color="auto" w:fill="D2D2D2"/>
          </w:tcPr>
          <w:p>
            <w:pPr/>
          </w:p>
        </w:tc>
        <w:tc>
          <w:tcPr>
            <w:tcW w:w="1177" w:type="dxa"/>
            <w:vMerge/>
            <w:tcBorders>
              <w:left w:val="single" w:sz="4" w:space="0" w:color="000000"/>
              <w:right w:val="single" w:sz="4" w:space="0" w:color="000000"/>
            </w:tcBorders>
            <w:shd w:val="clear" w:color="auto" w:fill="D2D2D2"/>
          </w:tcPr>
          <w:p>
            <w:pPr/>
          </w:p>
        </w:tc>
      </w:tr>
      <w:tr>
        <w:trPr>
          <w:trHeight w:val="156" w:hRule="exact"/>
        </w:trPr>
        <w:tc>
          <w:tcPr>
            <w:tcW w:w="983" w:type="dxa"/>
            <w:vMerge w:val="restart"/>
            <w:tcBorders>
              <w:top w:val="nil" w:sz="6" w:space="0" w:color="auto"/>
              <w:left w:val="single" w:sz="4" w:space="0" w:color="000000"/>
              <w:right w:val="single" w:sz="4" w:space="0" w:color="000000"/>
            </w:tcBorders>
            <w:shd w:val="clear" w:color="auto" w:fill="D2D2D2"/>
          </w:tcPr>
          <w:p>
            <w:pPr/>
          </w:p>
        </w:tc>
        <w:tc>
          <w:tcPr>
            <w:tcW w:w="2125" w:type="dxa"/>
            <w:vMerge w:val="restart"/>
            <w:tcBorders>
              <w:top w:val="nil" w:sz="6" w:space="0" w:color="auto"/>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shd w:val="clear" w:color="auto" w:fill="D2D2D2"/>
          </w:tcPr>
          <w:p>
            <w:pPr/>
          </w:p>
        </w:tc>
        <w:tc>
          <w:tcPr>
            <w:tcW w:w="2067" w:type="dxa"/>
            <w:vMerge/>
            <w:tcBorders>
              <w:left w:val="single" w:sz="4" w:space="0" w:color="000000"/>
              <w:right w:val="single" w:sz="4" w:space="0" w:color="000000"/>
            </w:tcBorders>
            <w:shd w:val="clear" w:color="auto" w:fill="D2D2D2"/>
          </w:tcPr>
          <w:p>
            <w:pPr/>
          </w:p>
        </w:tc>
        <w:tc>
          <w:tcPr>
            <w:tcW w:w="1177" w:type="dxa"/>
            <w:vMerge/>
            <w:tcBorders>
              <w:left w:val="single" w:sz="4" w:space="0" w:color="000000"/>
              <w:bottom w:val="nil" w:sz="6" w:space="0" w:color="auto"/>
              <w:right w:val="single" w:sz="4" w:space="0" w:color="000000"/>
            </w:tcBorders>
            <w:shd w:val="clear" w:color="auto" w:fill="D2D2D2"/>
          </w:tcPr>
          <w:p>
            <w:pPr/>
          </w:p>
        </w:tc>
        <w:tc>
          <w:tcPr>
            <w:tcW w:w="1177"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983" w:type="dxa"/>
            <w:vMerge/>
            <w:tcBorders>
              <w:left w:val="single" w:sz="4" w:space="0" w:color="000000"/>
              <w:bottom w:val="single" w:sz="4" w:space="0" w:color="000000"/>
              <w:right w:val="single" w:sz="4" w:space="0" w:color="000000"/>
            </w:tcBorders>
            <w:shd w:val="clear" w:color="auto" w:fill="D2D2D2"/>
          </w:tcPr>
          <w:p>
            <w:pPr/>
          </w:p>
        </w:tc>
        <w:tc>
          <w:tcPr>
            <w:tcW w:w="2125" w:type="dxa"/>
            <w:vMerge/>
            <w:tcBorders>
              <w:left w:val="single" w:sz="4" w:space="0" w:color="000000"/>
              <w:bottom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shd w:val="clear" w:color="auto" w:fill="D2D2D2"/>
          </w:tcPr>
          <w:p>
            <w:pPr/>
          </w:p>
        </w:tc>
        <w:tc>
          <w:tcPr>
            <w:tcW w:w="2067" w:type="dxa"/>
            <w:vMerge/>
            <w:tcBorders>
              <w:left w:val="single" w:sz="4" w:space="0" w:color="000000"/>
              <w:bottom w:val="single" w:sz="4" w:space="0" w:color="000000"/>
              <w:right w:val="single" w:sz="4" w:space="0" w:color="000000"/>
            </w:tcBorders>
            <w:shd w:val="clear" w:color="auto" w:fill="D2D2D2"/>
          </w:tcPr>
          <w:p>
            <w:pPr/>
          </w:p>
        </w:tc>
        <w:tc>
          <w:tcPr>
            <w:tcW w:w="1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57,639,162.03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311,825,825.86</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18.48%</w:t>
            </w:r>
          </w:p>
        </w:tc>
        <w:tc>
          <w:tcPr>
            <w:tcW w:w="117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57,801,887.28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275,495,429.54</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20.98%</w:t>
            </w:r>
          </w:p>
        </w:tc>
        <w:tc>
          <w:tcPr>
            <w:tcW w:w="117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32,161,439.60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152,633,303.67</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21.07%</w:t>
            </w:r>
          </w:p>
        </w:tc>
        <w:tc>
          <w:tcPr>
            <w:tcW w:w="117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预案" w:id="62"/>
      <w:bookmarkEnd w:id="62"/>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before="44"/>
        <w:ind w:left="0" w:right="1043" w:firstLine="0"/>
        <w:jc w:val="right"/>
        <w:rPr>
          <w:rFonts w:ascii="宋体" w:hAnsi="宋体" w:cs="宋体" w:eastAsia="宋体" w:hint="default"/>
          <w:sz w:val="18"/>
          <w:szCs w:val="18"/>
        </w:rPr>
      </w:pPr>
      <w:r>
        <w:rPr/>
        <w:pict>
          <v:shape style="position:absolute;margin-left:57.029999pt;margin-top:-201.868256pt;width:483.55pt;height:237.2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00"/>
                    <w:gridCol w:w="6655"/>
                  </w:tblGrid>
                  <w:tr>
                    <w:trPr>
                      <w:trHeight w:val="402" w:hRule="exact"/>
                    </w:trPr>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66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66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66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66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1,921,305,401</w:t>
                        </w:r>
                      </w:p>
                    </w:tc>
                  </w:tr>
                  <w:tr>
                    <w:trPr>
                      <w:trHeight w:val="402" w:hRule="exact"/>
                    </w:trPr>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66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57,639,162.03</w:t>
                        </w:r>
                      </w:p>
                    </w:tc>
                  </w:tr>
                  <w:tr>
                    <w:trPr>
                      <w:trHeight w:val="402" w:hRule="exact"/>
                    </w:trPr>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66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464,883,329.27</w:t>
                        </w:r>
                      </w:p>
                    </w:tc>
                  </w:tr>
                  <w:tr>
                    <w:trPr>
                      <w:trHeight w:val="402" w:hRule="exact"/>
                    </w:trPr>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66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2" w:hRule="exact"/>
                    </w:trPr>
                    <w:tc>
                      <w:tcPr>
                        <w:tcW w:w="96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6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公司发展阶段不易区分但有重大资金支出安排的，进行利润分配时，现金分红在本次利润分配中所占比例最低应达到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6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26"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656"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1"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年度分配预案：以未来实施分配方案时股权登记日的总股本为基数，向全体股东每</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股派</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元人民币现金（含税）</w:t>
                        </w:r>
                        <w:r>
                          <w:rPr>
                            <w:rFonts w:ascii="宋体" w:hAnsi="宋体" w:cs="宋体" w:eastAsia="宋体" w:hint="default"/>
                            <w:spacing w:val="-89"/>
                            <w:sz w:val="18"/>
                            <w:szCs w:val="18"/>
                          </w:rPr>
                          <w:t> </w:t>
                        </w:r>
                        <w:r>
                          <w:rPr>
                            <w:rFonts w:ascii="宋体" w:hAnsi="宋体" w:cs="宋体" w:eastAsia="宋体" w:hint="default"/>
                            <w:sz w:val="18"/>
                            <w:szCs w:val="18"/>
                          </w:rPr>
                          <w:t>本年度不转增，不送红股，剩余未分配利润结转以后年度进行分配。该预案尚需股东大会批准。</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7"/>
        <w:ind w:left="154" w:right="0"/>
        <w:jc w:val="left"/>
        <w:rPr>
          <w:b w:val="0"/>
          <w:bCs w:val="0"/>
        </w:rPr>
      </w:pPr>
      <w:bookmarkStart w:name="三、承诺事项履行情况" w:id="63"/>
      <w:bookmarkEnd w:id="63"/>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left="153" w:right="0"/>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265"/>
        <w:gridCol w:w="1560"/>
        <w:gridCol w:w="1276"/>
        <w:gridCol w:w="2102"/>
        <w:gridCol w:w="1126"/>
        <w:gridCol w:w="1121"/>
        <w:gridCol w:w="1108"/>
      </w:tblGrid>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1"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5"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3"/>
              <w:jc w:val="righ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7"/>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560"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1"/>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1560"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5" w:type="dxa"/>
            <w:vMerge w:val="restart"/>
            <w:tcBorders>
              <w:top w:val="single" w:sz="4" w:space="0" w:color="000000"/>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房志刚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公司本次向其发行的股份 自股份发行结束之日起三 十六个月内不得转让。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6"/>
              <w:jc w:val="right"/>
              <w:rPr>
                <w:rFonts w:ascii="Times New Roman" w:hAnsi="Times New Roman" w:cs="Times New Roman" w:eastAsia="Times New Roman" w:hint="default"/>
                <w:sz w:val="18"/>
                <w:szCs w:val="18"/>
              </w:rPr>
            </w:pPr>
            <w:r>
              <w:rPr>
                <w:rFonts w:ascii="Times New Roman"/>
                <w:sz w:val="18"/>
              </w:rPr>
              <w:t>2018-12-23</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3"/>
              <w:jc w:val="righ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026" w:hRule="exact"/>
        </w:trPr>
        <w:tc>
          <w:tcPr>
            <w:tcW w:w="1265"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孙绍朋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公司本次向其发行的股份 自股份发行结束之日起三 十六个月内不得转让。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6"/>
              <w:jc w:val="right"/>
              <w:rPr>
                <w:rFonts w:ascii="Times New Roman" w:hAnsi="Times New Roman" w:cs="Times New Roman" w:eastAsia="Times New Roman" w:hint="default"/>
                <w:sz w:val="18"/>
                <w:szCs w:val="18"/>
              </w:rPr>
            </w:pPr>
            <w:r>
              <w:rPr>
                <w:rFonts w:ascii="Times New Roman"/>
                <w:sz w:val="18"/>
              </w:rPr>
              <w:t>2018-12-23</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3"/>
              <w:jc w:val="righ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42" w:hRule="exact"/>
        </w:trPr>
        <w:tc>
          <w:tcPr>
            <w:tcW w:w="1265" w:type="dxa"/>
            <w:vMerge/>
            <w:tcBorders>
              <w:left w:val="single" w:sz="4" w:space="0" w:color="000000"/>
              <w:bottom w:val="nil" w:sz="6" w:space="0" w:color="auto"/>
              <w:right w:val="single" w:sz="4" w:space="0" w:color="000000"/>
            </w:tcBorders>
            <w:shd w:val="clear" w:color="auto" w:fill="D2D2D2"/>
          </w:tcPr>
          <w:p>
            <w:pPr/>
          </w:p>
        </w:tc>
        <w:tc>
          <w:tcPr>
            <w:tcW w:w="1560"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周鸿坚</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2102"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公司本次向其发行的股份 自股份发行结束之日起三 十六个月内不得转让。</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2018-12-23</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744"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57" w:lineRule="auto" w:before="51"/>
              <w:ind w:left="11" w:right="341"/>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1560" w:type="dxa"/>
            <w:vMerge/>
            <w:tcBorders>
              <w:left w:val="single" w:sz="13" w:space="0" w:color="D2D2D2"/>
              <w:right w:val="single" w:sz="4" w:space="0" w:color="000000"/>
            </w:tcBorders>
          </w:tcPr>
          <w:p>
            <w:pPr/>
          </w:p>
        </w:tc>
        <w:tc>
          <w:tcPr>
            <w:tcW w:w="1276" w:type="dxa"/>
            <w:vMerge/>
            <w:tcBorders>
              <w:left w:val="single" w:sz="4" w:space="0" w:color="000000"/>
              <w:right w:val="single" w:sz="4" w:space="0" w:color="000000"/>
            </w:tcBorders>
          </w:tcPr>
          <w:p>
            <w:pPr/>
          </w:p>
        </w:tc>
        <w:tc>
          <w:tcPr>
            <w:tcW w:w="210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140" w:hRule="exact"/>
        </w:trPr>
        <w:tc>
          <w:tcPr>
            <w:tcW w:w="1265" w:type="dxa"/>
            <w:vMerge w:val="restart"/>
            <w:tcBorders>
              <w:top w:val="nil" w:sz="6" w:space="0" w:color="auto"/>
              <w:left w:val="single" w:sz="4" w:space="0" w:color="000000"/>
              <w:right w:val="single" w:sz="4" w:space="0" w:color="000000"/>
            </w:tcBorders>
            <w:shd w:val="clear" w:color="auto" w:fill="D2D2D2"/>
          </w:tcPr>
          <w:p>
            <w:pPr/>
          </w:p>
        </w:tc>
        <w:tc>
          <w:tcPr>
            <w:tcW w:w="1560" w:type="dxa"/>
            <w:vMerge/>
            <w:tcBorders>
              <w:left w:val="single" w:sz="13" w:space="0" w:color="D2D2D2"/>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2102"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1026" w:hRule="exact"/>
        </w:trPr>
        <w:tc>
          <w:tcPr>
            <w:tcW w:w="1265"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储元明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公司本次向其发行的股份 自股份发行结束之日起三 十六个月内不得转让。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6"/>
              <w:jc w:val="right"/>
              <w:rPr>
                <w:rFonts w:ascii="Times New Roman" w:hAnsi="Times New Roman" w:cs="Times New Roman" w:eastAsia="Times New Roman" w:hint="default"/>
                <w:sz w:val="18"/>
                <w:szCs w:val="18"/>
              </w:rPr>
            </w:pPr>
            <w:r>
              <w:rPr>
                <w:rFonts w:ascii="Times New Roman"/>
                <w:sz w:val="18"/>
              </w:rPr>
              <w:t>2018-12-23</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3"/>
              <w:jc w:val="righ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026" w:hRule="exact"/>
        </w:trPr>
        <w:tc>
          <w:tcPr>
            <w:tcW w:w="1265"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公司本次向其发行的股份 自股份发行结束之日起三 十六个月内不得转让。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6"/>
              <w:jc w:val="right"/>
              <w:rPr>
                <w:rFonts w:ascii="Times New Roman" w:hAnsi="Times New Roman" w:cs="Times New Roman" w:eastAsia="Times New Roman" w:hint="default"/>
                <w:sz w:val="18"/>
                <w:szCs w:val="18"/>
              </w:rPr>
            </w:pPr>
            <w:r>
              <w:rPr>
                <w:rFonts w:ascii="Times New Roman"/>
                <w:sz w:val="18"/>
              </w:rPr>
              <w:t>2018-12-23</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3"/>
              <w:jc w:val="righ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560"/>
        <w:gridCol w:w="1276"/>
        <w:gridCol w:w="2102"/>
        <w:gridCol w:w="1126"/>
        <w:gridCol w:w="1121"/>
        <w:gridCol w:w="1110"/>
      </w:tblGrid>
      <w:tr>
        <w:trPr>
          <w:trHeight w:val="1026"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常州瑞信投资中心</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公司本次向其发行的股份 自股份发行结束之日起三 十六个月内不得转让。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2018-12-23</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026" w:hRule="exact"/>
        </w:trPr>
        <w:tc>
          <w:tcPr>
            <w:tcW w:w="1276"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黄天朗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公司本次向其发行的股份 自股份发行结束之日起三 十六个月内不得转让。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2018-12-23</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026" w:hRule="exact"/>
        </w:trPr>
        <w:tc>
          <w:tcPr>
            <w:tcW w:w="1276"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常州臻信投资中心</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公司本次向其发行的股份 自股份发行结束之日起三 十六个月内不得转让。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2018-12-23</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026" w:hRule="exact"/>
        </w:trPr>
        <w:tc>
          <w:tcPr>
            <w:tcW w:w="1276"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公司本次向其发行的股份 自股份发行结束之日起三 十六个月内不得转让。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2018-12-23</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026" w:hRule="exact"/>
        </w:trPr>
        <w:tc>
          <w:tcPr>
            <w:tcW w:w="1276"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公司本次向其发行的股份 自股份发行结束之日起三 十六个月内不得转让。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2018-12-23</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026" w:hRule="exact"/>
        </w:trPr>
        <w:tc>
          <w:tcPr>
            <w:tcW w:w="1276"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苏俊锋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公司本次向其发行的股份 自股份发行结束之日起三 十六个月内不得转让。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2018-12-23</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026" w:hRule="exact"/>
        </w:trPr>
        <w:tc>
          <w:tcPr>
            <w:tcW w:w="1276"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公司本次向其发行的股份 自股份发行结束之日起三 十六个月内不得转让。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2018-12-23</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146" w:hRule="exact"/>
        </w:trPr>
        <w:tc>
          <w:tcPr>
            <w:tcW w:w="1276"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常州瑞信投资中心</w:t>
            </w:r>
          </w:p>
          <w:p>
            <w:pPr>
              <w:pStyle w:val="TableParagraph"/>
              <w:spacing w:line="304" w:lineRule="auto" w:before="76"/>
              <w:ind w:left="23" w:right="35"/>
              <w:jc w:val="left"/>
              <w:rPr>
                <w:rFonts w:ascii="宋体" w:hAnsi="宋体" w:cs="宋体" w:eastAsia="宋体" w:hint="default"/>
                <w:sz w:val="18"/>
                <w:szCs w:val="18"/>
              </w:rPr>
            </w:pP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常州 臻信投资中心（有 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储元明</w:t>
            </w:r>
            <w:r>
              <w:rPr>
                <w:rFonts w:ascii="Times New Roman" w:hAnsi="Times New Roman" w:cs="Times New Roman" w:eastAsia="Times New Roman" w:hint="default"/>
                <w:sz w:val="18"/>
                <w:szCs w:val="18"/>
              </w:rPr>
              <w:t>; </w:t>
            </w:r>
            <w:r>
              <w:rPr>
                <w:rFonts w:ascii="宋体" w:hAnsi="宋体" w:cs="宋体" w:eastAsia="宋体" w:hint="default"/>
                <w:sz w:val="18"/>
                <w:szCs w:val="18"/>
              </w:rPr>
              <w:t>房志刚</w:t>
            </w:r>
            <w:r>
              <w:rPr>
                <w:rFonts w:ascii="Times New Roman" w:hAnsi="Times New Roman" w:cs="Times New Roman" w:eastAsia="Times New Roman" w:hint="default"/>
                <w:sz w:val="18"/>
                <w:szCs w:val="18"/>
              </w:rPr>
              <w:t>;</w:t>
            </w:r>
            <w:r>
              <w:rPr>
                <w:rFonts w:ascii="宋体" w:hAnsi="宋体" w:cs="宋体" w:eastAsia="宋体" w:hint="default"/>
                <w:sz w:val="18"/>
                <w:szCs w:val="18"/>
              </w:rPr>
              <w:t>孙绍朋</w:t>
            </w:r>
            <w:r>
              <w:rPr>
                <w:rFonts w:ascii="Times New Roman" w:hAnsi="Times New Roman" w:cs="Times New Roman" w:eastAsia="Times New Roman" w:hint="default"/>
                <w:sz w:val="18"/>
                <w:szCs w:val="18"/>
              </w:rPr>
              <w:t>;</w:t>
            </w:r>
            <w:r>
              <w:rPr>
                <w:rFonts w:ascii="宋体" w:hAnsi="宋体" w:cs="宋体" w:eastAsia="宋体" w:hint="default"/>
                <w:sz w:val="18"/>
                <w:szCs w:val="18"/>
              </w:rPr>
              <w:t>周 鸿坚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1"/>
              <w:ind w:left="22" w:right="161"/>
              <w:jc w:val="left"/>
              <w:rPr>
                <w:rFonts w:ascii="宋体" w:hAnsi="宋体" w:cs="宋体" w:eastAsia="宋体" w:hint="default"/>
                <w:sz w:val="18"/>
                <w:szCs w:val="18"/>
              </w:rPr>
            </w:pPr>
            <w:r>
              <w:rPr>
                <w:rFonts w:ascii="宋体" w:hAnsi="宋体" w:cs="宋体" w:eastAsia="宋体" w:hint="default"/>
                <w:sz w:val="18"/>
                <w:szCs w:val="18"/>
              </w:rPr>
              <w:t>业绩承诺及补 偿安排</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久信医疗</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年财务数据 经具有证券期货业务资格 的审计机构审计并出具无 保留意见的审计报告，确 认久信医疗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2016</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年实现的净利润 分别不低于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14" w:lineRule="auto" w:before="5"/>
              <w:ind w:left="22"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7,200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8,640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 或者虽未实现前述承诺净 利润数但承诺人已经履行 完毕盈利补偿义务的情况 下，方可对持有的上市公 司股份进行解锁。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2547"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房志刚</w:t>
            </w:r>
          </w:p>
        </w:tc>
        <w:tc>
          <w:tcPr>
            <w:tcW w:w="127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2" w:right="-28"/>
              <w:jc w:val="both"/>
              <w:rPr>
                <w:rFonts w:ascii="宋体" w:hAnsi="宋体" w:cs="宋体" w:eastAsia="宋体" w:hint="default"/>
                <w:sz w:val="18"/>
                <w:szCs w:val="18"/>
              </w:rPr>
            </w:pPr>
            <w:r>
              <w:rPr>
                <w:rFonts w:ascii="宋体" w:hAnsi="宋体" w:cs="宋体" w:eastAsia="宋体" w:hint="default"/>
                <w:sz w:val="18"/>
                <w:szCs w:val="18"/>
              </w:rPr>
              <w:t>关于同业竞争、 </w:t>
            </w:r>
            <w:r>
              <w:rPr>
                <w:rFonts w:ascii="宋体" w:hAnsi="宋体" w:cs="宋体" w:eastAsia="宋体" w:hint="default"/>
                <w:spacing w:val="-6"/>
                <w:sz w:val="18"/>
                <w:szCs w:val="18"/>
              </w:rPr>
              <w:t>关联交易、资金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占用方面的承</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诺</w:t>
            </w:r>
          </w:p>
        </w:tc>
        <w:tc>
          <w:tcPr>
            <w:tcW w:w="2102" w:type="dxa"/>
            <w:tcBorders>
              <w:top w:val="single" w:sz="4" w:space="0" w:color="000000"/>
              <w:left w:val="single" w:sz="13" w:space="0" w:color="FFFFFF"/>
              <w:bottom w:val="single" w:sz="4" w:space="0" w:color="000000"/>
              <w:right w:val="single" w:sz="4" w:space="0" w:color="000000"/>
            </w:tcBorders>
          </w:tcPr>
          <w:p>
            <w:pPr>
              <w:pStyle w:val="TableParagraph"/>
              <w:tabs>
                <w:tab w:pos="1271" w:val="left" w:leader="none"/>
              </w:tabs>
              <w:spacing w:line="314" w:lineRule="auto" w:before="51"/>
              <w:ind w:left="11"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、避免同业竞争的承诺： 本次交易前，房志刚未直 接或间接从事与达实智能 及其下属子公司相同或相 似的业务。</w:t>
              <w:tab/>
              <w:t>自本承诺 出具日，房志刚将不以任 何方式直接或间接新增与 达实智能及其下属子公司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560"/>
        <w:gridCol w:w="1276"/>
        <w:gridCol w:w="2102"/>
        <w:gridCol w:w="1126"/>
        <w:gridCol w:w="1121"/>
        <w:gridCol w:w="1108"/>
      </w:tblGrid>
      <w:tr>
        <w:trPr>
          <w:trHeight w:val="31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
        </w:tc>
        <w:tc>
          <w:tcPr>
            <w:tcW w:w="21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业务相同、相似并构成竞</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争或可能构成竞争的业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tabs>
                <w:tab w:pos="742" w:val="left" w:leader="none"/>
              </w:tabs>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w:t>
              <w:tab/>
              <w:t>房志刚若拟出售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与达实智能及其下属子公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司经营相关的任何其他资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产、业务或权益，达实智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能均有优先购买的权利。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以上声明、保证及承诺同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样适用于房志刚控制的其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他企业，房志刚将依法促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使控制的其他企业按照与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房志刚同样的标准遵守以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上声明、保证及承诺。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如以上声明、保证及承诺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事项与事实不符，或者房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志刚控制的其他企业违反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上述声明、保证及承诺事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项，因从事与达实智能及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其下属子公司竞争性业务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所取得的收益无偿归达实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tabs>
                <w:tab w:pos="1270" w:val="left" w:leader="none"/>
              </w:tabs>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智能所有。</w:t>
              <w:tab/>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、减少和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规范关联交易的承诺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tabs>
                <w:tab w:pos="1462" w:val="left" w:leader="none"/>
              </w:tabs>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房志刚承诺：</w:t>
              <w:tab/>
              <w:t>本次交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易后，本人及本人控制或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影响的企业将尽量避免、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减少与达实智能及下属子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公司的关联交易；本人及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本人控制或影响的企业将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严格避免向达实智能及其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下属子公司拆借、占用达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实智能及其下属子公司资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金或采取由达实智能及其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下属子公司代垫款、代偿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债务等方式侵占达实智能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tabs>
                <w:tab w:pos="922" w:val="left" w:leader="none"/>
              </w:tabs>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w:t>
              <w:tab/>
              <w:t>对于本人及本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人控制或影响的企业与达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实智能及其下属子公司之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间无法避免或者有合理原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因而发生的关联交易，均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将严格遵守市场原则，本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着平等互利、等价有偿的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一般原则，公平合理地进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tabs>
                <w:tab w:pos="742" w:val="left" w:leader="none"/>
              </w:tabs>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w:t>
              <w:tab/>
              <w:t>本人在达实智能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21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权力机构审议涉及本人及</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560"/>
        <w:gridCol w:w="1276"/>
        <w:gridCol w:w="2102"/>
        <w:gridCol w:w="1126"/>
        <w:gridCol w:w="1121"/>
        <w:gridCol w:w="1108"/>
      </w:tblGrid>
      <w:tr>
        <w:trPr>
          <w:trHeight w:val="2859"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89"/>
              <w:jc w:val="both"/>
              <w:rPr>
                <w:rFonts w:ascii="宋体" w:hAnsi="宋体" w:cs="宋体" w:eastAsia="宋体" w:hint="default"/>
                <w:sz w:val="18"/>
                <w:szCs w:val="18"/>
              </w:rPr>
            </w:pPr>
            <w:r>
              <w:rPr>
                <w:rFonts w:ascii="宋体" w:hAnsi="宋体" w:cs="宋体" w:eastAsia="宋体" w:hint="default"/>
                <w:sz w:val="18"/>
                <w:szCs w:val="18"/>
              </w:rPr>
              <w:t>本人控制或影响的企业的 关联交易事项时主动依法 履行回避义务，且交易须 在有权机构审议通过后方 可执行。 本人保证不 通过关联交易取得任何不 正当的利益或使达实智能 及其下属子公司承担任何 不正当的义务。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7"/>
              <w:ind w:left="22" w:right="161"/>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贾虹</w:t>
            </w:r>
            <w:r>
              <w:rPr>
                <w:rFonts w:ascii="Times New Roman" w:hAnsi="Times New Roman" w:cs="Times New Roman" w:eastAsia="Times New Roman" w:hint="default"/>
                <w:sz w:val="18"/>
                <w:szCs w:val="18"/>
              </w:rPr>
              <w:t>;</w:t>
            </w:r>
            <w:r>
              <w:rPr>
                <w:rFonts w:ascii="宋体" w:hAnsi="宋体" w:cs="宋体" w:eastAsia="宋体" w:hint="default"/>
                <w:sz w:val="18"/>
                <w:szCs w:val="18"/>
              </w:rPr>
              <w:t>刘磅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所认购的公司本次非公开 发行的股份自本次非公开 发行结束之日起</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个月内 不转让。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2017-10-14</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1338" w:hRule="exact"/>
        </w:trPr>
        <w:tc>
          <w:tcPr>
            <w:tcW w:w="1276"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3" w:right="114"/>
              <w:jc w:val="both"/>
              <w:rPr>
                <w:rFonts w:ascii="宋体" w:hAnsi="宋体" w:cs="宋体" w:eastAsia="宋体" w:hint="default"/>
                <w:sz w:val="18"/>
                <w:szCs w:val="18"/>
              </w:rPr>
            </w:pPr>
            <w:r>
              <w:rPr>
                <w:rFonts w:ascii="宋体" w:hAnsi="宋体" w:cs="宋体" w:eastAsia="宋体" w:hint="default"/>
                <w:sz w:val="18"/>
                <w:szCs w:val="18"/>
              </w:rPr>
              <w:t>程朋胜</w:t>
            </w:r>
            <w:r>
              <w:rPr>
                <w:rFonts w:ascii="Times New Roman" w:hAnsi="Times New Roman" w:cs="Times New Roman" w:eastAsia="Times New Roman" w:hint="default"/>
                <w:sz w:val="18"/>
                <w:szCs w:val="18"/>
              </w:rPr>
              <w:t>;</w:t>
            </w:r>
            <w:r>
              <w:rPr>
                <w:rFonts w:ascii="宋体" w:hAnsi="宋体" w:cs="宋体" w:eastAsia="宋体" w:hint="default"/>
                <w:sz w:val="18"/>
                <w:szCs w:val="18"/>
              </w:rPr>
              <w:t>黄天朗</w:t>
            </w:r>
            <w:r>
              <w:rPr>
                <w:rFonts w:ascii="Times New Roman" w:hAnsi="Times New Roman" w:cs="Times New Roman" w:eastAsia="Times New Roman" w:hint="default"/>
                <w:sz w:val="18"/>
                <w:szCs w:val="18"/>
              </w:rPr>
              <w:t>;</w:t>
            </w:r>
            <w:r>
              <w:rPr>
                <w:rFonts w:ascii="宋体" w:hAnsi="宋体" w:cs="宋体" w:eastAsia="宋体" w:hint="default"/>
                <w:sz w:val="18"/>
                <w:szCs w:val="18"/>
              </w:rPr>
              <w:t>刘 磅</w:t>
            </w:r>
            <w:r>
              <w:rPr>
                <w:rFonts w:ascii="Times New Roman" w:hAnsi="Times New Roman" w:cs="Times New Roman" w:eastAsia="Times New Roman" w:hint="default"/>
                <w:sz w:val="18"/>
                <w:szCs w:val="18"/>
              </w:rPr>
              <w:t>;</w:t>
            </w:r>
            <w:r>
              <w:rPr>
                <w:rFonts w:ascii="宋体" w:hAnsi="宋体" w:cs="宋体" w:eastAsia="宋体" w:hint="default"/>
                <w:sz w:val="18"/>
                <w:szCs w:val="18"/>
              </w:rPr>
              <w:t>吕枫</w:t>
            </w:r>
            <w:r>
              <w:rPr>
                <w:rFonts w:ascii="Times New Roman" w:hAnsi="Times New Roman" w:cs="Times New Roman" w:eastAsia="Times New Roman" w:hint="default"/>
                <w:sz w:val="18"/>
                <w:szCs w:val="18"/>
              </w:rPr>
              <w:t>;</w:t>
            </w:r>
            <w:r>
              <w:rPr>
                <w:rFonts w:ascii="宋体" w:hAnsi="宋体" w:cs="宋体" w:eastAsia="宋体" w:hint="default"/>
                <w:sz w:val="18"/>
                <w:szCs w:val="18"/>
              </w:rPr>
              <w:t>达实投资</w:t>
            </w:r>
            <w:r>
              <w:rPr>
                <w:rFonts w:ascii="Times New Roman" w:hAnsi="Times New Roman" w:cs="Times New Roman" w:eastAsia="Times New Roman" w:hint="default"/>
                <w:sz w:val="18"/>
                <w:szCs w:val="18"/>
              </w:rPr>
              <w:t>; </w:t>
            </w:r>
            <w:r>
              <w:rPr>
                <w:rFonts w:ascii="宋体" w:hAnsi="宋体" w:cs="宋体" w:eastAsia="宋体" w:hint="default"/>
                <w:sz w:val="18"/>
                <w:szCs w:val="18"/>
              </w:rPr>
              <w:t>苏俊锋</w:t>
            </w:r>
          </w:p>
        </w:tc>
        <w:tc>
          <w:tcPr>
            <w:tcW w:w="1276"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28"/>
              <w:jc w:val="both"/>
              <w:rPr>
                <w:rFonts w:ascii="宋体" w:hAnsi="宋体" w:cs="宋体" w:eastAsia="宋体" w:hint="default"/>
                <w:sz w:val="18"/>
                <w:szCs w:val="18"/>
              </w:rPr>
            </w:pPr>
            <w:r>
              <w:rPr>
                <w:rFonts w:ascii="宋体" w:hAnsi="宋体" w:cs="宋体" w:eastAsia="宋体" w:hint="default"/>
                <w:sz w:val="18"/>
                <w:szCs w:val="18"/>
              </w:rPr>
              <w:t>关于同业竞争、 </w:t>
            </w:r>
            <w:r>
              <w:rPr>
                <w:rFonts w:ascii="宋体" w:hAnsi="宋体" w:cs="宋体" w:eastAsia="宋体" w:hint="default"/>
                <w:spacing w:val="-6"/>
                <w:sz w:val="18"/>
                <w:szCs w:val="18"/>
              </w:rPr>
              <w:t>关联交易、资金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占用方面的承</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诺</w:t>
            </w:r>
          </w:p>
        </w:tc>
        <w:tc>
          <w:tcPr>
            <w:tcW w:w="2102"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left="11" w:right="89"/>
              <w:jc w:val="both"/>
              <w:rPr>
                <w:rFonts w:ascii="宋体" w:hAnsi="宋体" w:cs="宋体" w:eastAsia="宋体" w:hint="default"/>
                <w:sz w:val="18"/>
                <w:szCs w:val="18"/>
              </w:rPr>
            </w:pPr>
            <w:r>
              <w:rPr>
                <w:rFonts w:ascii="宋体" w:hAnsi="宋体" w:cs="宋体" w:eastAsia="宋体" w:hint="default"/>
                <w:sz w:val="18"/>
                <w:szCs w:val="18"/>
              </w:rPr>
              <w:t>避免同业竞争的承诺：不 直接或间接从事与公司经 营范围相同或相类似的业 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962" w:hRule="exact"/>
        </w:trPr>
        <w:tc>
          <w:tcPr>
            <w:tcW w:w="1276"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刘磅</w:t>
            </w:r>
            <w:r>
              <w:rPr>
                <w:rFonts w:ascii="Times New Roman" w:hAnsi="Times New Roman" w:cs="Times New Roman" w:eastAsia="Times New Roman" w:hint="default"/>
                <w:sz w:val="18"/>
                <w:szCs w:val="18"/>
              </w:rPr>
              <w:t>;</w:t>
            </w:r>
            <w:r>
              <w:rPr>
                <w:rFonts w:ascii="宋体" w:hAnsi="宋体" w:cs="宋体" w:eastAsia="宋体" w:hint="default"/>
                <w:sz w:val="18"/>
                <w:szCs w:val="18"/>
              </w:rPr>
              <w:t>达实投资</w:t>
            </w:r>
          </w:p>
        </w:tc>
        <w:tc>
          <w:tcPr>
            <w:tcW w:w="127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8"/>
              <w:jc w:val="both"/>
              <w:rPr>
                <w:rFonts w:ascii="宋体" w:hAnsi="宋体" w:cs="宋体" w:eastAsia="宋体" w:hint="default"/>
                <w:sz w:val="18"/>
                <w:szCs w:val="18"/>
              </w:rPr>
            </w:pPr>
            <w:r>
              <w:rPr>
                <w:rFonts w:ascii="宋体" w:hAnsi="宋体" w:cs="宋体" w:eastAsia="宋体" w:hint="default"/>
                <w:sz w:val="18"/>
                <w:szCs w:val="18"/>
              </w:rPr>
              <w:t>关于同业竞争、 </w:t>
            </w:r>
            <w:r>
              <w:rPr>
                <w:rFonts w:ascii="宋体" w:hAnsi="宋体" w:cs="宋体" w:eastAsia="宋体" w:hint="default"/>
                <w:spacing w:val="-6"/>
                <w:sz w:val="18"/>
                <w:szCs w:val="18"/>
              </w:rPr>
              <w:t>关联交易、资金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占用方面的承</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诺</w:t>
            </w:r>
          </w:p>
        </w:tc>
        <w:tc>
          <w:tcPr>
            <w:tcW w:w="2102"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left="11" w:right="89"/>
              <w:jc w:val="both"/>
              <w:rPr>
                <w:rFonts w:ascii="宋体" w:hAnsi="宋体" w:cs="宋体" w:eastAsia="宋体" w:hint="default"/>
                <w:sz w:val="18"/>
                <w:szCs w:val="18"/>
              </w:rPr>
            </w:pPr>
            <w:r>
              <w:rPr>
                <w:rFonts w:ascii="宋体" w:hAnsi="宋体" w:cs="宋体" w:eastAsia="宋体" w:hint="default"/>
                <w:sz w:val="18"/>
                <w:szCs w:val="18"/>
              </w:rPr>
              <w:t>关于不占用公司资金的承 诺：不以任何方式占用公 司的资产和资源，不以任 何直接或者间接的方式从 事损害或可能损害公司及 其他股东利益的行为。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962"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刘磅</w:t>
            </w:r>
            <w:r>
              <w:rPr>
                <w:rFonts w:ascii="Times New Roman" w:hAnsi="Times New Roman" w:cs="Times New Roman" w:eastAsia="Times New Roman" w:hint="default"/>
                <w:sz w:val="18"/>
                <w:szCs w:val="18"/>
              </w:rPr>
              <w:t>;</w:t>
            </w:r>
            <w:r>
              <w:rPr>
                <w:rFonts w:ascii="宋体" w:hAnsi="宋体" w:cs="宋体" w:eastAsia="宋体" w:hint="default"/>
                <w:sz w:val="18"/>
                <w:szCs w:val="18"/>
              </w:rPr>
              <w:t>达实投资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关于公司可能由于住房公 积金政策变化而导致的处 罚或损失的承诺：将对该 等处罚或损失承担连带赔 偿责任，以确保公司不会 因此遭受任何损失。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829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06"/>
        <w:gridCol w:w="822"/>
        <w:gridCol w:w="850"/>
        <w:gridCol w:w="993"/>
        <w:gridCol w:w="992"/>
        <w:gridCol w:w="1702"/>
        <w:gridCol w:w="850"/>
        <w:gridCol w:w="2052"/>
      </w:tblGrid>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5" w:right="44" w:hanging="180"/>
              <w:jc w:val="left"/>
              <w:rPr>
                <w:rFonts w:ascii="宋体" w:hAnsi="宋体" w:cs="宋体" w:eastAsia="宋体" w:hint="default"/>
                <w:sz w:val="18"/>
                <w:szCs w:val="18"/>
              </w:rPr>
            </w:pPr>
            <w:r>
              <w:rPr>
                <w:rFonts w:ascii="宋体" w:hAnsi="宋体" w:cs="宋体" w:eastAsia="宋体" w:hint="default"/>
                <w:sz w:val="18"/>
                <w:szCs w:val="18"/>
              </w:rPr>
              <w:t>预测起始 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9" w:right="59" w:hanging="180"/>
              <w:jc w:val="left"/>
              <w:rPr>
                <w:rFonts w:ascii="宋体" w:hAnsi="宋体" w:cs="宋体" w:eastAsia="宋体" w:hint="default"/>
                <w:sz w:val="18"/>
                <w:szCs w:val="18"/>
              </w:rPr>
            </w:pPr>
            <w:r>
              <w:rPr>
                <w:rFonts w:ascii="宋体" w:hAnsi="宋体" w:cs="宋体" w:eastAsia="宋体" w:hint="default"/>
                <w:sz w:val="18"/>
                <w:szCs w:val="18"/>
              </w:rPr>
              <w:t>预测终止 时间</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40"/>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41"/>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74" w:right="35" w:hanging="540"/>
              <w:jc w:val="left"/>
              <w:rPr>
                <w:rFonts w:ascii="宋体" w:hAnsi="宋体" w:cs="宋体" w:eastAsia="宋体" w:hint="default"/>
                <w:sz w:val="18"/>
                <w:szCs w:val="18"/>
              </w:rPr>
            </w:pPr>
            <w:r>
              <w:rPr>
                <w:rFonts w:ascii="宋体" w:hAnsi="宋体" w:cs="宋体" w:eastAsia="宋体" w:hint="default"/>
                <w:sz w:val="18"/>
                <w:szCs w:val="18"/>
              </w:rPr>
              <w:t>未达预测的原因（如 适用）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0" w:right="58" w:hanging="90"/>
              <w:jc w:val="left"/>
              <w:rPr>
                <w:rFonts w:ascii="宋体" w:hAnsi="宋体" w:cs="宋体" w:eastAsia="宋体" w:hint="default"/>
                <w:sz w:val="18"/>
                <w:szCs w:val="18"/>
              </w:rPr>
            </w:pPr>
            <w:r>
              <w:rPr>
                <w:rFonts w:ascii="宋体" w:hAnsi="宋体" w:cs="宋体" w:eastAsia="宋体" w:hint="default"/>
                <w:sz w:val="18"/>
                <w:szCs w:val="18"/>
              </w:rPr>
              <w:t>原预测披 露日期</w:t>
            </w:r>
          </w:p>
        </w:tc>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spacing w:before="44"/>
        <w:ind w:left="0" w:right="1142" w:firstLine="0"/>
        <w:jc w:val="right"/>
        <w:rPr>
          <w:rFonts w:ascii="宋体" w:hAnsi="宋体" w:cs="宋体" w:eastAsia="宋体" w:hint="default"/>
          <w:sz w:val="18"/>
          <w:szCs w:val="18"/>
        </w:rPr>
      </w:pPr>
      <w:r>
        <w:rPr/>
        <w:pict>
          <v:shape style="position:absolute;margin-left:56.459999pt;margin-top:-78.868256pt;width:479.05pt;height:145.4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6"/>
                    <w:gridCol w:w="822"/>
                    <w:gridCol w:w="850"/>
                    <w:gridCol w:w="993"/>
                    <w:gridCol w:w="992"/>
                    <w:gridCol w:w="1702"/>
                    <w:gridCol w:w="850"/>
                    <w:gridCol w:w="2052"/>
                  </w:tblGrid>
                  <w:tr>
                    <w:trPr>
                      <w:trHeight w:val="289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久信医疗</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554" w:right="0"/>
                          <w:jc w:val="left"/>
                          <w:rPr>
                            <w:rFonts w:ascii="Times New Roman" w:hAnsi="Times New Roman" w:cs="Times New Roman" w:eastAsia="Times New Roman" w:hint="default"/>
                            <w:sz w:val="18"/>
                            <w:szCs w:val="18"/>
                          </w:rPr>
                        </w:pPr>
                        <w:r>
                          <w:rPr>
                            <w:rFonts w:ascii="Times New Roman"/>
                            <w:sz w:val="18"/>
                          </w:rPr>
                          <w:t>8,640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375" w:right="0"/>
                          <w:jc w:val="left"/>
                          <w:rPr>
                            <w:rFonts w:ascii="Times New Roman" w:hAnsi="Times New Roman" w:cs="Times New Roman" w:eastAsia="Times New Roman" w:hint="default"/>
                            <w:sz w:val="18"/>
                            <w:szCs w:val="18"/>
                          </w:rPr>
                        </w:pPr>
                        <w:r>
                          <w:rPr>
                            <w:rFonts w:ascii="Times New Roman"/>
                            <w:sz w:val="18"/>
                          </w:rPr>
                          <w:t>8419.42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年当年未达业绩 </w:t>
                        </w:r>
                        <w:r>
                          <w:rPr>
                            <w:rFonts w:ascii="宋体" w:hAnsi="宋体" w:cs="宋体" w:eastAsia="宋体" w:hint="default"/>
                            <w:spacing w:val="-7"/>
                            <w:sz w:val="18"/>
                            <w:szCs w:val="18"/>
                          </w:rPr>
                          <w:t>目标，</w:t>
                        </w:r>
                        <w:r>
                          <w:rPr>
                            <w:rFonts w:ascii="Times New Roman" w:hAnsi="Times New Roman" w:cs="Times New Roman" w:eastAsia="Times New Roman" w:hint="default"/>
                            <w:spacing w:val="-7"/>
                            <w:sz w:val="18"/>
                            <w:szCs w:val="18"/>
                          </w:rPr>
                          <w:t>2015-2017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三年 总业绩已完成。</w:t>
                        </w:r>
                      </w:p>
                      <w:p>
                        <w:pPr>
                          <w:pStyle w:val="TableParagraph"/>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年度承诺</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盈利数合计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元，扣除非经常性损 益后净利润合计 </w:t>
                        </w:r>
                        <w:r>
                          <w:rPr>
                            <w:rFonts w:ascii="Times New Roman" w:hAnsi="Times New Roman" w:cs="Times New Roman" w:eastAsia="Times New Roman" w:hint="default"/>
                            <w:sz w:val="18"/>
                            <w:szCs w:val="18"/>
                          </w:rPr>
                          <w:t>21,957.19 </w:t>
                        </w:r>
                        <w:r>
                          <w:rPr>
                            <w:rFonts w:ascii="宋体" w:hAnsi="宋体" w:cs="宋体" w:eastAsia="宋体" w:hint="default"/>
                            <w:spacing w:val="-5"/>
                            <w:sz w:val="18"/>
                            <w:szCs w:val="18"/>
                          </w:rPr>
                          <w:t>万元，因此</w:t>
                        </w:r>
                        <w:r>
                          <w:rPr>
                            <w:rFonts w:ascii="宋体" w:hAnsi="宋体" w:cs="宋体" w:eastAsia="宋体" w:hint="default"/>
                            <w:sz w:val="18"/>
                            <w:szCs w:val="18"/>
                          </w:rPr>
                          <w:t> 完成三年业绩承诺。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37"/>
                          <w:jc w:val="both"/>
                          <w:rPr>
                            <w:rFonts w:ascii="宋体" w:hAnsi="宋体" w:cs="宋体" w:eastAsia="宋体" w:hint="default"/>
                            <w:sz w:val="18"/>
                            <w:szCs w:val="18"/>
                          </w:rPr>
                        </w:pPr>
                        <w:r>
                          <w:rPr>
                            <w:rFonts w:ascii="宋体" w:hAnsi="宋体" w:cs="宋体" w:eastAsia="宋体" w:hint="default"/>
                            <w:sz w:val="18"/>
                            <w:szCs w:val="18"/>
                          </w:rPr>
                          <w:t>《深圳达实智能股份有限 公司发行股份及支付现金 购买资产并募集配套资金 暨关联交易报告书（修订 </w:t>
                        </w:r>
                        <w:r>
                          <w:rPr>
                            <w:rFonts w:ascii="宋体" w:hAnsi="宋体" w:cs="宋体" w:eastAsia="宋体" w:hint="default"/>
                            <w:spacing w:val="-34"/>
                            <w:sz w:val="18"/>
                            <w:szCs w:val="18"/>
                          </w:rPr>
                          <w:t>稿）》，刊登于《证券时报》</w:t>
                        </w:r>
                        <w:r>
                          <w:rPr>
                            <w:rFonts w:ascii="宋体" w:hAnsi="宋体" w:cs="宋体" w:eastAsia="宋体" w:hint="default"/>
                            <w:sz w:val="18"/>
                            <w:szCs w:val="18"/>
                          </w:rPr>
                        </w:r>
                      </w:p>
                      <w:p>
                        <w:pPr>
                          <w:pStyle w:val="TableParagraph"/>
                          <w:spacing w:line="319" w:lineRule="auto" w:before="17"/>
                          <w:ind w:left="22" w:right="37"/>
                          <w:jc w:val="both"/>
                          <w:rPr>
                            <w:rFonts w:ascii="宋体" w:hAnsi="宋体" w:cs="宋体" w:eastAsia="宋体" w:hint="default"/>
                            <w:sz w:val="18"/>
                            <w:szCs w:val="18"/>
                          </w:rPr>
                        </w:pPr>
                        <w:r>
                          <w:rPr>
                            <w:rFonts w:ascii="宋体" w:hAnsi="宋体" w:cs="宋体" w:eastAsia="宋体" w:hint="default"/>
                            <w:sz w:val="18"/>
                            <w:szCs w:val="18"/>
                          </w:rPr>
                          <w:t>《中国证券报》及巨潮资 讯网。</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公司股东、交易对手方在报告年度经营业绩做出的承诺情况</w:t>
      </w:r>
    </w:p>
    <w:p>
      <w:pPr>
        <w:spacing w:line="412" w:lineRule="auto" w:before="117"/>
        <w:ind w:left="511" w:right="1125" w:hanging="358"/>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公司与房志刚、孙绍朋、周鸿坚、储元明、常州瑞信、常州臻信</w:t>
      </w:r>
      <w:r>
        <w:rPr>
          <w:rFonts w:ascii="Times New Roman" w:hAnsi="Times New Roman" w:cs="Times New Roman" w:eastAsia="Times New Roman" w:hint="default"/>
          <w:sz w:val="18"/>
          <w:szCs w:val="18"/>
        </w:rPr>
        <w:t>6</w:t>
      </w:r>
      <w:r>
        <w:rPr>
          <w:rFonts w:ascii="宋体" w:hAnsi="宋体" w:cs="宋体" w:eastAsia="宋体" w:hint="default"/>
          <w:sz w:val="18"/>
          <w:szCs w:val="18"/>
        </w:rPr>
        <w:t>名业绩承诺人签订了《盈利补偿协议》。业绩承诺人</w:t>
      </w:r>
    </w:p>
    <w:p>
      <w:pPr>
        <w:spacing w:line="451" w:lineRule="auto" w:before="75"/>
        <w:ind w:left="154" w:right="0" w:firstLine="0"/>
        <w:jc w:val="left"/>
        <w:rPr>
          <w:rFonts w:ascii="宋体" w:hAnsi="宋体" w:cs="宋体" w:eastAsia="宋体" w:hint="default"/>
          <w:sz w:val="18"/>
          <w:szCs w:val="18"/>
        </w:rPr>
      </w:pPr>
      <w:r>
        <w:rPr>
          <w:rFonts w:ascii="宋体" w:hAnsi="宋体" w:cs="宋体" w:eastAsia="宋体" w:hint="default"/>
          <w:spacing w:val="-1"/>
          <w:sz w:val="18"/>
          <w:szCs w:val="18"/>
        </w:rPr>
        <w:t>承诺，久信医疗</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年和</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年净利润分别不低于</w:t>
      </w:r>
      <w:r>
        <w:rPr>
          <w:rFonts w:ascii="Times New Roman" w:hAnsi="Times New Roman" w:cs="Times New Roman" w:eastAsia="Times New Roman" w:hint="default"/>
          <w:spacing w:val="-1"/>
          <w:sz w:val="18"/>
          <w:szCs w:val="18"/>
        </w:rPr>
        <w:t>6,000</w:t>
      </w:r>
      <w:r>
        <w:rPr>
          <w:rFonts w:ascii="宋体" w:hAnsi="宋体" w:cs="宋体" w:eastAsia="宋体" w:hint="default"/>
          <w:spacing w:val="-1"/>
          <w:sz w:val="18"/>
          <w:szCs w:val="18"/>
        </w:rPr>
        <w:t>万元、</w:t>
      </w:r>
      <w:r>
        <w:rPr>
          <w:rFonts w:ascii="Times New Roman" w:hAnsi="Times New Roman" w:cs="Times New Roman" w:eastAsia="Times New Roman" w:hint="default"/>
          <w:spacing w:val="-1"/>
          <w:sz w:val="18"/>
          <w:szCs w:val="18"/>
        </w:rPr>
        <w:t>7,200</w:t>
      </w:r>
      <w:r>
        <w:rPr>
          <w:rFonts w:ascii="宋体" w:hAnsi="宋体" w:cs="宋体" w:eastAsia="宋体" w:hint="default"/>
          <w:spacing w:val="-1"/>
          <w:sz w:val="18"/>
          <w:szCs w:val="18"/>
        </w:rPr>
        <w:t>万元和</w:t>
      </w:r>
      <w:r>
        <w:rPr>
          <w:rFonts w:ascii="Times New Roman" w:hAnsi="Times New Roman" w:cs="Times New Roman" w:eastAsia="Times New Roman" w:hint="default"/>
          <w:spacing w:val="-1"/>
          <w:sz w:val="18"/>
          <w:szCs w:val="18"/>
        </w:rPr>
        <w:t>8,640</w:t>
      </w:r>
      <w:r>
        <w:rPr>
          <w:rFonts w:ascii="宋体" w:hAnsi="宋体" w:cs="宋体" w:eastAsia="宋体" w:hint="default"/>
          <w:spacing w:val="-1"/>
          <w:sz w:val="18"/>
          <w:szCs w:val="18"/>
        </w:rPr>
        <w:t>万元。净利润为久信医疗合并报表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归属于母公司股东的净利润和扣除非经常性损益后归属于母公司股东的净利润孰低者。</w:t>
      </w:r>
    </w:p>
    <w:p>
      <w:pPr>
        <w:spacing w:line="451" w:lineRule="auto" w:before="74"/>
        <w:ind w:left="153" w:right="1129" w:firstLine="357"/>
        <w:jc w:val="left"/>
        <w:rPr>
          <w:rFonts w:ascii="宋体" w:hAnsi="宋体" w:cs="宋体" w:eastAsia="宋体" w:hint="default"/>
          <w:sz w:val="18"/>
          <w:szCs w:val="18"/>
        </w:rPr>
      </w:pPr>
      <w:r>
        <w:rPr>
          <w:rFonts w:ascii="宋体" w:hAnsi="宋体" w:cs="宋体" w:eastAsia="宋体" w:hint="default"/>
          <w:spacing w:val="-2"/>
          <w:sz w:val="18"/>
          <w:szCs w:val="18"/>
        </w:rPr>
        <w:t>根据中勤万信会计师事务所（特殊普通合伙）出具的久信医疗《</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年度审计报告》，久信医疗</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年度归属于母公司</w:t>
      </w:r>
      <w:r>
        <w:rPr>
          <w:rFonts w:ascii="宋体" w:hAnsi="宋体" w:cs="宋体" w:eastAsia="宋体" w:hint="default"/>
          <w:sz w:val="18"/>
          <w:szCs w:val="18"/>
        </w:rPr>
        <w:t> 股东的净利润为</w:t>
      </w:r>
      <w:r>
        <w:rPr>
          <w:rFonts w:ascii="Times New Roman" w:hAnsi="Times New Roman" w:cs="Times New Roman" w:eastAsia="Times New Roman" w:hint="default"/>
          <w:sz w:val="18"/>
          <w:szCs w:val="18"/>
        </w:rPr>
        <w:t>8419.42</w:t>
      </w:r>
      <w:r>
        <w:rPr>
          <w:rFonts w:ascii="宋体" w:hAnsi="宋体" w:cs="宋体" w:eastAsia="宋体" w:hint="default"/>
          <w:sz w:val="18"/>
          <w:szCs w:val="18"/>
        </w:rPr>
        <w:t>万元，扣除非经常性损益后的归属于母公司股东的净利润为</w:t>
      </w:r>
      <w:r>
        <w:rPr>
          <w:rFonts w:ascii="Times New Roman" w:hAnsi="Times New Roman" w:cs="Times New Roman" w:eastAsia="Times New Roman" w:hint="default"/>
          <w:sz w:val="18"/>
          <w:szCs w:val="18"/>
        </w:rPr>
        <w:t>8,405.23</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2015-2017</w:t>
      </w:r>
      <w:r>
        <w:rPr>
          <w:rFonts w:ascii="宋体" w:hAnsi="宋体" w:cs="宋体" w:eastAsia="宋体" w:hint="default"/>
          <w:sz w:val="18"/>
          <w:szCs w:val="18"/>
        </w:rPr>
        <w:t>年度承诺盈利 数合计</w:t>
      </w:r>
      <w:r>
        <w:rPr>
          <w:rFonts w:ascii="Times New Roman" w:hAnsi="Times New Roman" w:cs="Times New Roman" w:eastAsia="Times New Roman" w:hint="default"/>
          <w:sz w:val="18"/>
          <w:szCs w:val="18"/>
        </w:rPr>
        <w:t>21,840</w:t>
      </w:r>
      <w:r>
        <w:rPr>
          <w:rFonts w:ascii="宋体" w:hAnsi="宋体" w:cs="宋体" w:eastAsia="宋体" w:hint="default"/>
          <w:sz w:val="18"/>
          <w:szCs w:val="18"/>
        </w:rPr>
        <w:t>万元，扣除非经常性损益后净利润三年合计为</w:t>
      </w:r>
      <w:r>
        <w:rPr>
          <w:rFonts w:ascii="Times New Roman" w:hAnsi="Times New Roman" w:cs="Times New Roman" w:eastAsia="Times New Roman" w:hint="default"/>
          <w:sz w:val="18"/>
          <w:szCs w:val="18"/>
        </w:rPr>
        <w:t>21,957.19</w:t>
      </w:r>
      <w:r>
        <w:rPr>
          <w:rFonts w:ascii="宋体" w:hAnsi="宋体" w:cs="宋体" w:eastAsia="宋体" w:hint="default"/>
          <w:sz w:val="18"/>
          <w:szCs w:val="18"/>
        </w:rPr>
        <w:t>万元。</w:t>
      </w:r>
    </w:p>
    <w:p>
      <w:pPr>
        <w:spacing w:line="240" w:lineRule="auto" w:before="9"/>
        <w:rPr>
          <w:rFonts w:ascii="宋体" w:hAnsi="宋体" w:cs="宋体" w:eastAsia="宋体" w:hint="default"/>
          <w:sz w:val="16"/>
          <w:szCs w:val="16"/>
        </w:rPr>
      </w:pPr>
    </w:p>
    <w:p>
      <w:pPr>
        <w:pStyle w:val="Heading2"/>
        <w:spacing w:line="240" w:lineRule="auto"/>
        <w:ind w:right="0"/>
        <w:jc w:val="left"/>
        <w:rPr>
          <w:b w:val="0"/>
          <w:bCs w:val="0"/>
        </w:rPr>
      </w:pPr>
      <w:bookmarkStart w:name="四、控股股东及其关联方对上市公司的非经营性占用资金情况" w:id="66"/>
      <w:bookmarkEnd w:id="66"/>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67"/>
      <w:bookmarkEnd w:id="6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68"/>
      <w:bookmarkEnd w:id="68"/>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line="412" w:lineRule="auto" w:before="0"/>
        <w:ind w:left="513" w:right="8233"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一、本次会计政策变更概述</w:t>
      </w:r>
    </w:p>
    <w:p>
      <w:pPr>
        <w:spacing w:before="142"/>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、变更原因：</w:t>
      </w:r>
    </w:p>
    <w:p>
      <w:pPr>
        <w:spacing w:line="240" w:lineRule="auto" w:before="10"/>
        <w:rPr>
          <w:rFonts w:ascii="宋体" w:hAnsi="宋体" w:cs="宋体" w:eastAsia="宋体" w:hint="default"/>
          <w:sz w:val="19"/>
          <w:szCs w:val="19"/>
        </w:rPr>
      </w:pPr>
    </w:p>
    <w:p>
      <w:pPr>
        <w:spacing w:line="451" w:lineRule="auto" w:before="0"/>
        <w:ind w:left="153" w:right="0" w:firstLine="36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2017</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28</w:t>
      </w:r>
      <w:r>
        <w:rPr>
          <w:rFonts w:ascii="宋体" w:hAnsi="宋体" w:cs="宋体" w:eastAsia="宋体" w:hint="default"/>
          <w:spacing w:val="-5"/>
          <w:sz w:val="18"/>
          <w:szCs w:val="18"/>
        </w:rPr>
        <w:t>日，财政部颁布了《企业会计准则第</w:t>
      </w:r>
      <w:r>
        <w:rPr>
          <w:rFonts w:ascii="Times New Roman" w:hAnsi="Times New Roman" w:cs="Times New Roman" w:eastAsia="Times New Roman" w:hint="default"/>
          <w:spacing w:val="-5"/>
          <w:sz w:val="18"/>
          <w:szCs w:val="18"/>
        </w:rPr>
        <w:t>42</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持有待售的非流动资产、处置组和终止经营》，要求自</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日起在所有执行企业会计准则的企业范围内施行。</w:t>
      </w:r>
    </w:p>
    <w:p>
      <w:pPr>
        <w:spacing w:line="463" w:lineRule="auto" w:before="82"/>
        <w:ind w:left="153" w:right="103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日，财政部颁布了修订后的《企业会计准则第</w:t>
      </w:r>
      <w:r>
        <w:rPr>
          <w:rFonts w:ascii="Times New Roman" w:hAnsi="Times New Roman" w:cs="Times New Roman" w:eastAsia="Times New Roman" w:hint="default"/>
          <w:sz w:val="18"/>
          <w:szCs w:val="18"/>
        </w:rPr>
        <w:t>16</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政府补助》，要求自</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日起，与企业 日常活动相关的政府补助，应当按照经济业务实质，计入其他收益或冲减相关成本费用。与企业日常活动无关的政府补助， 应当计入营业外收支。企业应当在利润表中的</w:t>
      </w:r>
      <w:r>
        <w:rPr>
          <w:rFonts w:ascii="Times New Roman" w:hAnsi="Times New Roman" w:cs="Times New Roman" w:eastAsia="Times New Roman" w:hint="default"/>
          <w:sz w:val="18"/>
          <w:szCs w:val="18"/>
        </w:rPr>
        <w:t>“</w:t>
      </w: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w:t>
      </w:r>
      <w:r>
        <w:rPr>
          <w:rFonts w:ascii="宋体" w:hAnsi="宋体" w:cs="宋体" w:eastAsia="宋体" w:hint="default"/>
          <w:sz w:val="18"/>
          <w:szCs w:val="18"/>
        </w:rPr>
        <w:t>项目之上单独列报</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项目，计入其他收益的政府补助在该</w:t>
      </w:r>
    </w:p>
    <w:p>
      <w:pPr>
        <w:spacing w:after="0" w:line="463"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451" w:lineRule="auto" w:before="0"/>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项目中反映。企业对</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日存在的政府补助采用未来适用法处理，对</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日至新政府补助准则施行日之间新增</w:t>
      </w:r>
      <w:r>
        <w:rPr>
          <w:rFonts w:ascii="宋体" w:hAnsi="宋体" w:cs="宋体" w:eastAsia="宋体" w:hint="default"/>
          <w:spacing w:val="-52"/>
          <w:sz w:val="18"/>
          <w:szCs w:val="18"/>
        </w:rPr>
        <w:t> </w:t>
      </w:r>
      <w:r>
        <w:rPr>
          <w:rFonts w:ascii="宋体" w:hAnsi="宋体" w:cs="宋体" w:eastAsia="宋体" w:hint="default"/>
          <w:sz w:val="18"/>
          <w:szCs w:val="18"/>
        </w:rPr>
        <w:t>的政府补助根据新政府补助准则进行调整。</w:t>
      </w:r>
    </w:p>
    <w:p>
      <w:pPr>
        <w:spacing w:line="451" w:lineRule="auto" w:before="112"/>
        <w:ind w:left="154" w:right="1132"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日，财政部发布了《关于修订印发一般企业财务报表 格式的通知》（财会〔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号），要求 执行企业会计准则的非金融企业应当按照企业会计准则和该通知要求编制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年度及以后期间的财务报表。</w:t>
      </w:r>
    </w:p>
    <w:p>
      <w:pPr>
        <w:spacing w:line="508" w:lineRule="auto" w:before="84"/>
        <w:ind w:left="513" w:right="3733" w:firstLine="0"/>
        <w:jc w:val="left"/>
        <w:rPr>
          <w:rFonts w:ascii="宋体" w:hAnsi="宋体" w:cs="宋体" w:eastAsia="宋体" w:hint="default"/>
          <w:sz w:val="18"/>
          <w:szCs w:val="18"/>
        </w:rPr>
      </w:pPr>
      <w:r>
        <w:rPr>
          <w:rFonts w:ascii="宋体" w:hAnsi="宋体" w:cs="宋体" w:eastAsia="宋体" w:hint="default"/>
          <w:sz w:val="18"/>
          <w:szCs w:val="18"/>
        </w:rPr>
        <w:t>按照上述通知及上述企业会计准则的规定和要求，公司对原会计政策进行相应变更。 </w:t>
      </w:r>
      <w:r>
        <w:rPr>
          <w:rFonts w:ascii="Times New Roman" w:hAnsi="Times New Roman" w:cs="Times New Roman" w:eastAsia="Times New Roman" w:hint="default"/>
          <w:sz w:val="18"/>
          <w:szCs w:val="18"/>
        </w:rPr>
        <w:t>2</w:t>
      </w:r>
      <w:r>
        <w:rPr>
          <w:rFonts w:ascii="宋体" w:hAnsi="宋体" w:cs="宋体" w:eastAsia="宋体" w:hint="default"/>
          <w:sz w:val="18"/>
          <w:szCs w:val="18"/>
        </w:rPr>
        <w:t>、变更生效日期： 根据前述规定，公司于以上准则规定的施行日开始执行上述企业会计准则。 </w:t>
      </w:r>
      <w:r>
        <w:rPr>
          <w:rFonts w:ascii="Times New Roman" w:hAnsi="Times New Roman" w:cs="Times New Roman" w:eastAsia="Times New Roman" w:hint="default"/>
          <w:sz w:val="18"/>
          <w:szCs w:val="18"/>
        </w:rPr>
        <w:t>3</w:t>
      </w:r>
      <w:r>
        <w:rPr>
          <w:rFonts w:ascii="宋体" w:hAnsi="宋体" w:cs="宋体" w:eastAsia="宋体" w:hint="default"/>
          <w:sz w:val="18"/>
          <w:szCs w:val="18"/>
        </w:rPr>
        <w:t>、变更前公司所采用的会计政策：</w:t>
      </w:r>
    </w:p>
    <w:p>
      <w:pPr>
        <w:spacing w:line="451" w:lineRule="auto" w:before="0"/>
        <w:ind w:left="153" w:right="1139" w:firstLine="360"/>
        <w:jc w:val="both"/>
        <w:rPr>
          <w:rFonts w:ascii="宋体" w:hAnsi="宋体" w:cs="宋体" w:eastAsia="宋体" w:hint="default"/>
          <w:sz w:val="18"/>
          <w:szCs w:val="18"/>
        </w:rPr>
      </w:pPr>
      <w:r>
        <w:rPr>
          <w:rFonts w:ascii="宋体" w:hAnsi="宋体" w:cs="宋体" w:eastAsia="宋体" w:hint="default"/>
          <w:sz w:val="18"/>
          <w:szCs w:val="18"/>
        </w:rPr>
        <w:t>本次变更前公司执行财政部于</w:t>
      </w: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日颁布的《企业会计准则</w:t>
      </w:r>
      <w:r>
        <w:rPr>
          <w:rFonts w:ascii="Times New Roman" w:hAnsi="Times New Roman" w:cs="Times New Roman" w:eastAsia="Times New Roman" w:hint="default"/>
          <w:sz w:val="18"/>
          <w:szCs w:val="18"/>
        </w:rPr>
        <w:t>——</w:t>
      </w:r>
      <w:r>
        <w:rPr>
          <w:rFonts w:ascii="宋体" w:hAnsi="宋体" w:cs="宋体" w:eastAsia="宋体" w:hint="default"/>
          <w:sz w:val="18"/>
          <w:szCs w:val="18"/>
        </w:rPr>
        <w:t>基本准则》和</w:t>
      </w:r>
      <w:r>
        <w:rPr>
          <w:rFonts w:ascii="Times New Roman" w:hAnsi="Times New Roman" w:cs="Times New Roman" w:eastAsia="Times New Roman" w:hint="default"/>
          <w:sz w:val="18"/>
          <w:szCs w:val="18"/>
        </w:rPr>
        <w:t>38</w:t>
      </w:r>
      <w:r>
        <w:rPr>
          <w:rFonts w:ascii="宋体" w:hAnsi="宋体" w:cs="宋体" w:eastAsia="宋体" w:hint="default"/>
          <w:sz w:val="18"/>
          <w:szCs w:val="18"/>
        </w:rPr>
        <w:t>项具体准则，后续颁布和修订 的企业会计准则、企业会计准则应用指南、企业会计准备解释及其他相关规定（以下合称</w:t>
      </w:r>
      <w:r>
        <w:rPr>
          <w:rFonts w:ascii="Times New Roman" w:hAnsi="Times New Roman" w:cs="Times New Roman" w:eastAsia="Times New Roman" w:hint="default"/>
          <w:sz w:val="18"/>
          <w:szCs w:val="18"/>
        </w:rPr>
        <w:t>“</w:t>
      </w:r>
      <w:r>
        <w:rPr>
          <w:rFonts w:ascii="宋体" w:hAnsi="宋体" w:cs="宋体" w:eastAsia="宋体" w:hint="default"/>
          <w:sz w:val="18"/>
          <w:szCs w:val="18"/>
        </w:rPr>
        <w:t>企业会计准则</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451" w:lineRule="auto" w:before="43"/>
        <w:ind w:left="514"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、变更后采用的会计政策： 本次变更后，公司将按照财政部于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日颁布的《企业会计准则第</w:t>
      </w:r>
      <w:r>
        <w:rPr>
          <w:rFonts w:ascii="Times New Roman" w:hAnsi="Times New Roman" w:cs="Times New Roman" w:eastAsia="Times New Roman" w:hint="default"/>
          <w:sz w:val="18"/>
          <w:szCs w:val="18"/>
        </w:rPr>
        <w:t>42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持有待售的非流动资产、处置组和终</w:t>
      </w:r>
    </w:p>
    <w:p>
      <w:pPr>
        <w:spacing w:line="451" w:lineRule="auto" w:before="43"/>
        <w:ind w:left="153" w:right="1139" w:firstLine="0"/>
        <w:jc w:val="both"/>
        <w:rPr>
          <w:rFonts w:ascii="宋体" w:hAnsi="宋体" w:cs="宋体" w:eastAsia="宋体" w:hint="default"/>
          <w:sz w:val="18"/>
          <w:szCs w:val="18"/>
        </w:rPr>
      </w:pPr>
      <w:r>
        <w:rPr>
          <w:rFonts w:ascii="宋体" w:hAnsi="宋体" w:cs="宋体" w:eastAsia="宋体" w:hint="default"/>
          <w:sz w:val="18"/>
          <w:szCs w:val="18"/>
        </w:rPr>
        <w:t>止经营》、</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日颁布的《企业会计准则第</w:t>
      </w:r>
      <w:r>
        <w:rPr>
          <w:rFonts w:ascii="Times New Roman" w:hAnsi="Times New Roman" w:cs="Times New Roman" w:eastAsia="Times New Roman" w:hint="default"/>
          <w:sz w:val="18"/>
          <w:szCs w:val="18"/>
        </w:rPr>
        <w:t>16</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政府补助》及</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日颁布的《关于修订印发一般企业财 务报表格式的通知》（财会〔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号）中的规定执行。其余未变更部分仍按照财政部前期发布的《企业会计准则</w:t>
      </w:r>
      <w:r>
        <w:rPr>
          <w:rFonts w:ascii="Times New Roman" w:hAnsi="Times New Roman" w:cs="Times New Roman" w:eastAsia="Times New Roman" w:hint="default"/>
          <w:sz w:val="18"/>
          <w:szCs w:val="18"/>
        </w:rPr>
        <w:t>—— </w:t>
      </w:r>
      <w:r>
        <w:rPr>
          <w:rFonts w:ascii="宋体" w:hAnsi="宋体" w:cs="宋体" w:eastAsia="宋体" w:hint="default"/>
          <w:sz w:val="18"/>
          <w:szCs w:val="18"/>
        </w:rPr>
        <w:t>基本准则》和各项具体会计准则、企业会计准则应用指南、企业会计准则解释公告以及其他相关规定执行。</w:t>
      </w:r>
    </w:p>
    <w:p>
      <w:pPr>
        <w:spacing w:line="504" w:lineRule="auto" w:before="115"/>
        <w:ind w:left="513" w:right="48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、变更审议程序： 本次会计政策变更在董事会审批权限范围内，无需提交股东大会审议。 二、本次会计政策变更对公司的影响</w:t>
      </w:r>
    </w:p>
    <w:p>
      <w:pPr>
        <w:spacing w:line="451" w:lineRule="auto" w:before="73"/>
        <w:ind w:left="154" w:right="113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、执行《企业会计准则第</w:t>
      </w:r>
      <w:r>
        <w:rPr>
          <w:rFonts w:ascii="Times New Roman" w:hAnsi="Times New Roman" w:cs="Times New Roman" w:eastAsia="Times New Roman" w:hint="default"/>
          <w:sz w:val="18"/>
          <w:szCs w:val="18"/>
        </w:rPr>
        <w:t>42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持有待售的非流动资产、处置组和终止经营》，该会计政策的变更对公司财务报表无 影响。</w:t>
      </w:r>
    </w:p>
    <w:p>
      <w:pPr>
        <w:spacing w:line="451" w:lineRule="auto" w:before="112"/>
        <w:ind w:left="154" w:right="113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、根据财政部修订后的《企业会计准则第</w:t>
      </w:r>
      <w:r>
        <w:rPr>
          <w:rFonts w:ascii="Times New Roman" w:hAnsi="Times New Roman" w:cs="Times New Roman" w:eastAsia="Times New Roman" w:hint="default"/>
          <w:sz w:val="18"/>
          <w:szCs w:val="18"/>
        </w:rPr>
        <w:t>16</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政府补助》的要求，公司将修改财务报表列报，与日常活动有关的政 府补助，从利润表</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项目调整为利润表</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项目列报，该变更对公司</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年的财务状况、经营成果和现</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金流量无影响。</w:t>
      </w:r>
    </w:p>
    <w:p>
      <w:pPr>
        <w:spacing w:line="451" w:lineRule="auto" w:before="113"/>
        <w:ind w:left="154" w:right="113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、本次会计政策的变更仅对财务报表项目列示产生影响，对公司净利润、所有者权益等不产生影响，不涉及对以前年 度的追溯调整。</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七、报告期内发生重大会计差错更正需追溯重述的情况说明" w:id="69"/>
      <w:bookmarkEnd w:id="69"/>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与上年度财务报告相比，合并报表范围发生变化的情况说明" w:id="70"/>
      <w:bookmarkEnd w:id="70"/>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line="412" w:lineRule="auto" w:before="0"/>
        <w:ind w:left="513" w:right="1123"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z w:val="18"/>
          <w:szCs w:val="18"/>
        </w:rPr>
        <w:t>1</w:t>
      </w:r>
      <w:r>
        <w:rPr>
          <w:rFonts w:ascii="宋体" w:hAnsi="宋体" w:cs="宋体" w:eastAsia="宋体" w:hint="default"/>
          <w:sz w:val="18"/>
          <w:szCs w:val="18"/>
        </w:rPr>
        <w:t>、报告期内，公司新设立深圳达实软件有限公司、雄安达实智慧科技有限公司、江苏洪泽湖达实智慧医养有限公司，</w:t>
      </w:r>
    </w:p>
    <w:p>
      <w:pPr>
        <w:spacing w:line="518" w:lineRule="auto" w:before="104"/>
        <w:ind w:left="513" w:right="1123" w:hanging="360"/>
        <w:jc w:val="left"/>
        <w:rPr>
          <w:rFonts w:ascii="宋体" w:hAnsi="宋体" w:cs="宋体" w:eastAsia="宋体" w:hint="default"/>
          <w:sz w:val="18"/>
          <w:szCs w:val="18"/>
        </w:rPr>
      </w:pPr>
      <w:r>
        <w:rPr>
          <w:rFonts w:ascii="宋体" w:hAnsi="宋体" w:cs="宋体" w:eastAsia="宋体" w:hint="default"/>
          <w:sz w:val="18"/>
          <w:szCs w:val="18"/>
        </w:rPr>
        <w:t>本期纳入合并报告。 </w:t>
      </w:r>
      <w:r>
        <w:rPr>
          <w:rFonts w:ascii="宋体" w:hAnsi="宋体" w:cs="宋体" w:eastAsia="宋体" w:hint="default"/>
          <w:sz w:val="18"/>
          <w:szCs w:val="18"/>
        </w:rPr>
        <w:t>2</w:t>
      </w:r>
      <w:r>
        <w:rPr>
          <w:rFonts w:ascii="宋体" w:hAnsi="宋体" w:cs="宋体" w:eastAsia="宋体" w:hint="default"/>
          <w:sz w:val="18"/>
          <w:szCs w:val="18"/>
        </w:rPr>
        <w:t>、报告期内，公司转让原子公司北京达实德润能源科技有限公司股权，在转让日后不再将其纳入财务报表合并范围。</w:t>
      </w:r>
    </w:p>
    <w:p>
      <w:pPr>
        <w:spacing w:line="240" w:lineRule="auto" w:before="13"/>
        <w:rPr>
          <w:rFonts w:ascii="宋体" w:hAnsi="宋体" w:cs="宋体" w:eastAsia="宋体" w:hint="default"/>
          <w:sz w:val="14"/>
          <w:szCs w:val="14"/>
        </w:rPr>
      </w:pPr>
    </w:p>
    <w:p>
      <w:pPr>
        <w:pStyle w:val="Heading2"/>
        <w:spacing w:line="240" w:lineRule="auto"/>
        <w:ind w:right="0"/>
        <w:jc w:val="left"/>
        <w:rPr>
          <w:b w:val="0"/>
          <w:bCs w:val="0"/>
        </w:rPr>
      </w:pPr>
      <w:bookmarkStart w:name="九、聘任、解聘会计师事务所情况" w:id="71"/>
      <w:bookmarkEnd w:id="71"/>
      <w:r>
        <w:rPr>
          <w:b w:val="0"/>
          <w:bCs w:val="0"/>
        </w:rPr>
      </w:r>
      <w:r>
        <w:rPr/>
        <w:t>九、聘任、解聘会计师事务所情况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84</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潘忠民、黄建军</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年度报告披露后面临暂停上市和终止上市情况" w:id="72"/>
      <w:bookmarkEnd w:id="72"/>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3"/>
      <w:bookmarkEnd w:id="73"/>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4"/>
      <w:bookmarkEnd w:id="74"/>
      <w:r>
        <w:rPr>
          <w:b w:val="0"/>
          <w:bCs w:val="0"/>
        </w:rPr>
      </w:r>
      <w:r>
        <w:rPr/>
        <w:t>十二、重大诉讼、仲裁事项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三、处罚及整改情况" w:id="75"/>
      <w:bookmarkEnd w:id="75"/>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四、公司及其控股股东、实际控制人的诚信状况" w:id="76"/>
      <w:bookmarkEnd w:id="76"/>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line="328" w:lineRule="auto"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报告期内，公司及控股股东达实投资、实际控制人刘磅先生诚信状况良好，不存在未履行法院生效判决、所负数额较大的债</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务到期未清偿等情况。</w:t>
      </w:r>
    </w:p>
    <w:p>
      <w:pPr>
        <w:spacing w:line="240" w:lineRule="auto" w:before="1"/>
        <w:rPr>
          <w:rFonts w:ascii="宋体" w:hAnsi="宋体" w:cs="宋体" w:eastAsia="宋体" w:hint="default"/>
          <w:sz w:val="20"/>
          <w:szCs w:val="20"/>
        </w:rPr>
      </w:pPr>
    </w:p>
    <w:p>
      <w:pPr>
        <w:pStyle w:val="Heading2"/>
        <w:spacing w:line="240" w:lineRule="auto"/>
        <w:ind w:right="0"/>
        <w:jc w:val="left"/>
        <w:rPr>
          <w:b w:val="0"/>
          <w:bCs w:val="0"/>
        </w:rPr>
      </w:pPr>
      <w:bookmarkStart w:name="十五、公司股权激励计划、员工持股计划或其他员工激励措施的实施情况" w:id="77"/>
      <w:bookmarkEnd w:id="77"/>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3"/>
          <w:szCs w:val="13"/>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（一）第二期限制性股票激励计划</w:t>
      </w:r>
    </w:p>
    <w:p>
      <w:pPr>
        <w:spacing w:line="240" w:lineRule="auto" w:before="10"/>
        <w:rPr>
          <w:rFonts w:ascii="宋体" w:hAnsi="宋体" w:cs="宋体" w:eastAsia="宋体" w:hint="default"/>
          <w:sz w:val="17"/>
          <w:szCs w:val="17"/>
        </w:rPr>
      </w:pPr>
    </w:p>
    <w:p>
      <w:pPr>
        <w:spacing w:line="451" w:lineRule="auto" w:before="0"/>
        <w:ind w:left="153" w:right="1129"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日，公司第六届董事会第一次会议审议通过了《关于回购注销部分限制性股票的议案》，同意对已经离</w:t>
      </w:r>
      <w:r>
        <w:rPr>
          <w:rFonts w:ascii="宋体" w:hAnsi="宋体" w:cs="宋体" w:eastAsia="宋体" w:hint="default"/>
          <w:sz w:val="18"/>
          <w:szCs w:val="18"/>
        </w:rPr>
        <w:t> </w:t>
      </w:r>
      <w:r>
        <w:rPr>
          <w:rFonts w:ascii="宋体" w:hAnsi="宋体" w:cs="宋体" w:eastAsia="宋体" w:hint="default"/>
          <w:spacing w:val="-2"/>
          <w:sz w:val="18"/>
          <w:szCs w:val="18"/>
        </w:rPr>
        <w:t>职的激励对象张红萍、黄正根、孙爱萍、陈伟峰、陈舟杰、沈洋获授但尚未解锁的限制性股票予以回购注销。</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20</w:t>
      </w:r>
      <w:r>
        <w:rPr>
          <w:rFonts w:ascii="Times New Roman" w:hAnsi="Times New Roman" w:cs="Times New Roman" w:eastAsia="Times New Roman" w:hint="default"/>
          <w:spacing w:val="-13"/>
          <w:sz w:val="18"/>
          <w:szCs w:val="18"/>
        </w:rPr>
        <w:t> </w:t>
      </w:r>
      <w:r>
        <w:rPr>
          <w:rFonts w:ascii="宋体" w:hAnsi="宋体" w:cs="宋体" w:eastAsia="宋体" w:hint="default"/>
          <w:spacing w:val="-2"/>
          <w:sz w:val="18"/>
          <w:szCs w:val="18"/>
        </w:rPr>
        <w:t>日，公司第六届董事会第二次会议审议通过了《关于调整限制性股票回购价格及回购注销数量的议案》，同意根据</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年半</w:t>
      </w:r>
      <w:r>
        <w:rPr>
          <w:rFonts w:ascii="宋体" w:hAnsi="宋体" w:cs="宋体" w:eastAsia="宋体" w:hint="default"/>
          <w:spacing w:val="-62"/>
          <w:sz w:val="18"/>
          <w:szCs w:val="18"/>
        </w:rPr>
        <w:t> </w:t>
      </w:r>
      <w:r>
        <w:rPr>
          <w:rFonts w:ascii="宋体" w:hAnsi="宋体" w:cs="宋体" w:eastAsia="宋体" w:hint="default"/>
          <w:sz w:val="18"/>
          <w:szCs w:val="18"/>
        </w:rPr>
        <w:t>年度权益分派实施情况对拟回购注销的限制性股票回购价格及数量进行调整。</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日，第二期限制性股票激励计划 第二次回购注销手续完成。</w:t>
      </w:r>
    </w:p>
    <w:p>
      <w:pPr>
        <w:spacing w:line="458" w:lineRule="auto" w:before="74"/>
        <w:ind w:left="153" w:right="1033"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13</w:t>
      </w:r>
      <w:r>
        <w:rPr>
          <w:rFonts w:ascii="宋体" w:hAnsi="宋体" w:cs="宋体" w:eastAsia="宋体" w:hint="default"/>
          <w:spacing w:val="-2"/>
          <w:sz w:val="18"/>
          <w:szCs w:val="18"/>
        </w:rPr>
        <w:t>日，公司第六届董事会第六次会议审议通过了《关于第二期限制性股票激励计划第二个解锁期条件及预</w:t>
      </w:r>
      <w:r>
        <w:rPr>
          <w:rFonts w:ascii="宋体" w:hAnsi="宋体" w:cs="宋体" w:eastAsia="宋体" w:hint="default"/>
          <w:sz w:val="18"/>
          <w:szCs w:val="18"/>
        </w:rPr>
        <w:t> 留股份第一个解锁期条件满足的议案》，同意公司按照激励计划的相关规定办理解锁事宜，解锁数量为</w:t>
      </w:r>
      <w:r>
        <w:rPr>
          <w:rFonts w:ascii="Times New Roman" w:hAnsi="Times New Roman" w:cs="Times New Roman" w:eastAsia="Times New Roman" w:hint="default"/>
          <w:sz w:val="18"/>
          <w:szCs w:val="18"/>
        </w:rPr>
        <w:t>9,454,425</w:t>
      </w:r>
      <w:r>
        <w:rPr>
          <w:rFonts w:ascii="宋体" w:hAnsi="宋体" w:cs="宋体" w:eastAsia="宋体" w:hint="default"/>
          <w:sz w:val="18"/>
          <w:szCs w:val="18"/>
        </w:rPr>
        <w:t>股。同日， </w:t>
      </w:r>
      <w:r>
        <w:rPr>
          <w:rFonts w:ascii="宋体" w:hAnsi="宋体" w:cs="宋体" w:eastAsia="宋体" w:hint="default"/>
          <w:spacing w:val="-2"/>
          <w:sz w:val="18"/>
          <w:szCs w:val="18"/>
        </w:rPr>
        <w:t>董事会审议通过了《关于回购注销部分限制性股票的议案》，根据激励计划的相关规定，对部分激励对象获授的全部或部分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限制性股票进行回购注销，合计</w:t>
      </w:r>
      <w:r>
        <w:rPr>
          <w:rFonts w:ascii="Times New Roman" w:hAnsi="Times New Roman" w:cs="Times New Roman" w:eastAsia="Times New Roman" w:hint="default"/>
          <w:sz w:val="18"/>
          <w:szCs w:val="18"/>
        </w:rPr>
        <w:t>3,132,075</w:t>
      </w:r>
      <w:r>
        <w:rPr>
          <w:rFonts w:ascii="宋体" w:hAnsi="宋体" w:cs="宋体" w:eastAsia="宋体" w:hint="default"/>
          <w:sz w:val="18"/>
          <w:szCs w:val="18"/>
        </w:rPr>
        <w:t>股。</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日，上述解锁股份上市流通。</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日，第二期限制性股票 激励计划第三次回购注销手续完成。</w:t>
      </w:r>
    </w:p>
    <w:p>
      <w:pPr>
        <w:spacing w:before="68"/>
        <w:ind w:left="514" w:right="0" w:firstLine="0"/>
        <w:jc w:val="left"/>
        <w:rPr>
          <w:rFonts w:ascii="宋体" w:hAnsi="宋体" w:cs="宋体" w:eastAsia="宋体" w:hint="default"/>
          <w:sz w:val="18"/>
          <w:szCs w:val="18"/>
        </w:rPr>
      </w:pPr>
      <w:r>
        <w:rPr>
          <w:rFonts w:ascii="宋体" w:hAnsi="宋体" w:cs="宋体" w:eastAsia="宋体" w:hint="default"/>
          <w:sz w:val="18"/>
          <w:szCs w:val="18"/>
        </w:rPr>
        <w:t>相关公告均已在巨潮资讯网（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）上披露。</w:t>
      </w:r>
    </w:p>
    <w:p>
      <w:pPr>
        <w:spacing w:line="240" w:lineRule="auto" w:before="9"/>
        <w:rPr>
          <w:rFonts w:ascii="宋体" w:hAnsi="宋体" w:cs="宋体" w:eastAsia="宋体" w:hint="default"/>
          <w:sz w:val="16"/>
          <w:szCs w:val="16"/>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（二）员工持股计划</w:t>
      </w:r>
    </w:p>
    <w:p>
      <w:pPr>
        <w:spacing w:line="240" w:lineRule="auto" w:before="10"/>
        <w:rPr>
          <w:rFonts w:ascii="宋体" w:hAnsi="宋体" w:cs="宋体" w:eastAsia="宋体" w:hint="default"/>
          <w:sz w:val="17"/>
          <w:szCs w:val="17"/>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pacing w:val="-3"/>
          <w:sz w:val="18"/>
          <w:szCs w:val="18"/>
        </w:rPr>
        <w:t>2017</w:t>
      </w:r>
      <w:r>
        <w:rPr>
          <w:rFonts w:ascii="宋体" w:hAnsi="宋体" w:cs="宋体" w:eastAsia="宋体" w:hint="default"/>
          <w:spacing w:val="-3"/>
          <w:sz w:val="18"/>
          <w:szCs w:val="18"/>
        </w:rPr>
        <w:t>年</w:t>
      </w:r>
      <w:r>
        <w:rPr>
          <w:rFonts w:ascii="宋体" w:hAnsi="宋体" w:cs="宋体" w:eastAsia="宋体" w:hint="default"/>
          <w:spacing w:val="-3"/>
          <w:sz w:val="18"/>
          <w:szCs w:val="18"/>
        </w:rPr>
        <w:t>8</w:t>
      </w:r>
      <w:r>
        <w:rPr>
          <w:rFonts w:ascii="宋体" w:hAnsi="宋体" w:cs="宋体" w:eastAsia="宋体" w:hint="default"/>
          <w:spacing w:val="-3"/>
          <w:sz w:val="18"/>
          <w:szCs w:val="18"/>
        </w:rPr>
        <w:t>月</w:t>
      </w:r>
      <w:r>
        <w:rPr>
          <w:rFonts w:ascii="宋体" w:hAnsi="宋体" w:cs="宋体" w:eastAsia="宋体" w:hint="default"/>
          <w:spacing w:val="-3"/>
          <w:sz w:val="18"/>
          <w:szCs w:val="18"/>
        </w:rPr>
        <w:t>15</w:t>
      </w:r>
      <w:r>
        <w:rPr>
          <w:rFonts w:ascii="宋体" w:hAnsi="宋体" w:cs="宋体" w:eastAsia="宋体" w:hint="default"/>
          <w:spacing w:val="-3"/>
          <w:sz w:val="18"/>
          <w:szCs w:val="18"/>
        </w:rPr>
        <w:t>日，为满足后续付息的资金需求，“创金合信</w:t>
      </w:r>
      <w:r>
        <w:rPr>
          <w:rFonts w:ascii="宋体" w:hAnsi="宋体" w:cs="宋体" w:eastAsia="宋体" w:hint="default"/>
          <w:spacing w:val="-3"/>
          <w:sz w:val="18"/>
          <w:szCs w:val="18"/>
        </w:rPr>
        <w:t>-</w:t>
      </w:r>
      <w:r>
        <w:rPr>
          <w:rFonts w:ascii="宋体" w:hAnsi="宋体" w:cs="宋体" w:eastAsia="宋体" w:hint="default"/>
          <w:spacing w:val="7"/>
          <w:sz w:val="18"/>
          <w:szCs w:val="18"/>
        </w:rPr>
        <w:t> </w:t>
      </w:r>
      <w:r>
        <w:rPr>
          <w:rFonts w:ascii="宋体" w:hAnsi="宋体" w:cs="宋体" w:eastAsia="宋体" w:hint="default"/>
          <w:sz w:val="18"/>
          <w:szCs w:val="18"/>
        </w:rPr>
        <w:t>达实智能</w:t>
      </w:r>
      <w:r>
        <w:rPr>
          <w:rFonts w:ascii="宋体" w:hAnsi="宋体" w:cs="宋体" w:eastAsia="宋体" w:hint="default"/>
          <w:sz w:val="18"/>
          <w:szCs w:val="18"/>
        </w:rPr>
        <w:t>1</w:t>
      </w:r>
      <w:r>
        <w:rPr>
          <w:rFonts w:ascii="宋体" w:hAnsi="宋体" w:cs="宋体" w:eastAsia="宋体" w:hint="default"/>
          <w:sz w:val="18"/>
          <w:szCs w:val="18"/>
        </w:rPr>
        <w:t>号”通过证券交易所二级市场出售公司股票累计</w:t>
      </w:r>
    </w:p>
    <w:p>
      <w:pPr>
        <w:spacing w:line="240" w:lineRule="auto" w:before="10"/>
        <w:rPr>
          <w:rFonts w:ascii="宋体" w:hAnsi="宋体" w:cs="宋体" w:eastAsia="宋体" w:hint="default"/>
          <w:sz w:val="17"/>
          <w:szCs w:val="1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563,638</w:t>
      </w:r>
      <w:r>
        <w:rPr>
          <w:rFonts w:ascii="宋体" w:hAnsi="宋体" w:cs="宋体" w:eastAsia="宋体" w:hint="default"/>
          <w:sz w:val="18"/>
          <w:szCs w:val="18"/>
        </w:rPr>
        <w:t>股，成交均价</w:t>
      </w:r>
      <w:r>
        <w:rPr>
          <w:rFonts w:ascii="宋体" w:hAnsi="宋体" w:cs="宋体" w:eastAsia="宋体" w:hint="default"/>
          <w:sz w:val="18"/>
          <w:szCs w:val="18"/>
        </w:rPr>
        <w:t>6.88</w:t>
      </w:r>
      <w:r>
        <w:rPr>
          <w:rFonts w:ascii="宋体" w:hAnsi="宋体" w:cs="宋体" w:eastAsia="宋体" w:hint="default"/>
          <w:sz w:val="18"/>
          <w:szCs w:val="18"/>
        </w:rPr>
        <w:t>元。截至</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日，公司员工持股计划中所持公司</w:t>
      </w:r>
      <w:r>
        <w:rPr>
          <w:rFonts w:ascii="宋体" w:hAnsi="宋体" w:cs="宋体" w:eastAsia="宋体" w:hint="default"/>
          <w:sz w:val="18"/>
          <w:szCs w:val="18"/>
        </w:rPr>
        <w:t>100%</w:t>
      </w:r>
      <w:r>
        <w:rPr>
          <w:rFonts w:ascii="宋体" w:hAnsi="宋体" w:cs="宋体" w:eastAsia="宋体" w:hint="default"/>
          <w:sz w:val="18"/>
          <w:szCs w:val="18"/>
        </w:rPr>
        <w:t>股票锁定期满，持有公司股票</w:t>
      </w:r>
    </w:p>
    <w:p>
      <w:pPr>
        <w:spacing w:line="240" w:lineRule="auto" w:before="10"/>
        <w:rPr>
          <w:rFonts w:ascii="宋体" w:hAnsi="宋体" w:cs="宋体" w:eastAsia="宋体" w:hint="default"/>
          <w:sz w:val="17"/>
          <w:szCs w:val="1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14,000,000</w:t>
      </w:r>
      <w:r>
        <w:rPr>
          <w:rFonts w:ascii="宋体" w:hAnsi="宋体" w:cs="宋体" w:eastAsia="宋体" w:hint="default"/>
          <w:sz w:val="18"/>
          <w:szCs w:val="18"/>
        </w:rPr>
        <w:t>股。</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0"/>
        <w:jc w:val="left"/>
        <w:rPr>
          <w:b w:val="0"/>
          <w:bCs w:val="0"/>
        </w:rPr>
      </w:pPr>
      <w:bookmarkStart w:name="十六、重大关联交易" w:id="78"/>
      <w:bookmarkEnd w:id="78"/>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3"/>
        <w:rPr>
          <w:rFonts w:ascii="宋体" w:hAnsi="宋体" w:cs="宋体" w:eastAsia="宋体" w:hint="default"/>
          <w:sz w:val="21"/>
          <w:szCs w:val="21"/>
        </w:rPr>
      </w:pPr>
    </w:p>
    <w:p>
      <w:pPr>
        <w:pStyle w:val="Heading3"/>
        <w:spacing w:line="240" w:lineRule="auto"/>
        <w:ind w:left="153"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spacing w:before="44"/>
        <w:ind w:left="774" w:right="699" w:firstLine="0"/>
        <w:jc w:val="center"/>
        <w:rPr>
          <w:rFonts w:ascii="宋体" w:hAnsi="宋体" w:cs="宋体" w:eastAsia="宋体" w:hint="default"/>
          <w:sz w:val="18"/>
          <w:szCs w:val="18"/>
        </w:rPr>
      </w:pPr>
      <w:r>
        <w:rPr/>
        <w:pict>
          <v:shape style="position:absolute;margin-left:56.459999pt;margin-top:-39.898270pt;width:479.2pt;height:381.8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10"/>
                    <w:gridCol w:w="851"/>
                    <w:gridCol w:w="772"/>
                    <w:gridCol w:w="727"/>
                    <w:gridCol w:w="730"/>
                    <w:gridCol w:w="799"/>
                    <w:gridCol w:w="786"/>
                    <w:gridCol w:w="88"/>
                    <w:gridCol w:w="500"/>
                    <w:gridCol w:w="856"/>
                    <w:gridCol w:w="921"/>
                    <w:gridCol w:w="919"/>
                    <w:gridCol w:w="911"/>
                  </w:tblGrid>
                  <w:tr>
                    <w:trPr>
                      <w:trHeight w:val="1338"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0" w:right="109"/>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8" w:right="86"/>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88" w:right="89"/>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34" w:firstLine="12"/>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1"/>
                            <w:sz w:val="18"/>
                            <w:szCs w:val="18"/>
                          </w:rPr>
                          <w:t>值（万元）</w:t>
                        </w:r>
                        <w:r>
                          <w:rPr>
                            <w:rFonts w:ascii="宋体" w:hAnsi="宋体" w:cs="宋体" w:eastAsia="宋体" w:hint="default"/>
                            <w:sz w:val="18"/>
                            <w:szCs w:val="18"/>
                          </w:rPr>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3" w:right="30" w:firstLine="4"/>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21"/>
                            <w:sz w:val="18"/>
                            <w:szCs w:val="18"/>
                          </w:rPr>
                          <w:t>值（万元</w:t>
                        </w:r>
                      </w:p>
                    </w:tc>
                    <w:tc>
                      <w:tcPr>
                        <w:tcW w:w="88" w:type="dxa"/>
                        <w:tcBorders>
                          <w:top w:val="single" w:sz="4" w:space="0" w:color="000000"/>
                          <w:left w:val="single" w:sz="4" w:space="0" w:color="000000"/>
                          <w:bottom w:val="single" w:sz="4" w:space="0" w:color="000000"/>
                          <w:right w:val="nil" w:sz="6" w:space="0" w:color="auto"/>
                        </w:tcBorders>
                        <w:shd w:val="clear" w:color="auto" w:fill="D2D2D2"/>
                      </w:tcPr>
                      <w:p>
                        <w:pPr/>
                      </w:p>
                    </w:tc>
                    <w:tc>
                      <w:tcPr>
                        <w:tcW w:w="5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25" w:right="107"/>
                          <w:jc w:val="left"/>
                          <w:rPr>
                            <w:rFonts w:ascii="宋体" w:hAnsi="宋体" w:cs="宋体" w:eastAsia="宋体" w:hint="default"/>
                            <w:sz w:val="18"/>
                            <w:szCs w:val="18"/>
                          </w:rPr>
                        </w:pPr>
                        <w:r>
                          <w:rPr>
                            <w:rFonts w:ascii="宋体" w:hAnsi="宋体" w:cs="宋体" w:eastAsia="宋体" w:hint="default"/>
                            <w:sz w:val="18"/>
                            <w:szCs w:val="18"/>
                          </w:rPr>
                          <w:t>转让 价格</w:t>
                        </w:r>
                      </w:p>
                      <w:p>
                        <w:pPr>
                          <w:pStyle w:val="TableParagraph"/>
                          <w:spacing w:line="319" w:lineRule="auto" w:before="19"/>
                          <w:ind w:left="25" w:right="107"/>
                          <w:jc w:val="left"/>
                          <w:rPr>
                            <w:rFonts w:ascii="宋体" w:hAnsi="宋体" w:cs="宋体" w:eastAsia="宋体" w:hint="default"/>
                            <w:sz w:val="18"/>
                            <w:szCs w:val="18"/>
                          </w:rPr>
                        </w:pPr>
                        <w:r>
                          <w:rPr>
                            <w:rFonts w:ascii="宋体" w:hAnsi="宋体" w:cs="宋体" w:eastAsia="宋体" w:hint="default"/>
                            <w:sz w:val="18"/>
                            <w:szCs w:val="18"/>
                          </w:rPr>
                          <w:t>（万 元）</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0"/>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4"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14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沈宏明</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2" w:right="96"/>
                          <w:jc w:val="left"/>
                          <w:rPr>
                            <w:rFonts w:ascii="宋体" w:hAnsi="宋体" w:cs="宋体" w:eastAsia="宋体" w:hint="default"/>
                            <w:sz w:val="18"/>
                            <w:szCs w:val="18"/>
                          </w:rPr>
                        </w:pPr>
                        <w:r>
                          <w:rPr>
                            <w:rFonts w:ascii="宋体" w:hAnsi="宋体" w:cs="宋体" w:eastAsia="宋体" w:hint="default"/>
                            <w:sz w:val="18"/>
                            <w:szCs w:val="18"/>
                          </w:rPr>
                          <w:t>沈宏明为 公司监事</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2" w:right="197"/>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3" w:right="91"/>
                          <w:jc w:val="both"/>
                          <w:rPr>
                            <w:rFonts w:ascii="Times New Roman" w:hAnsi="Times New Roman" w:cs="Times New Roman" w:eastAsia="Times New Roman" w:hint="default"/>
                            <w:sz w:val="18"/>
                            <w:szCs w:val="18"/>
                          </w:rPr>
                        </w:pPr>
                        <w:r>
                          <w:rPr>
                            <w:rFonts w:ascii="宋体" w:hAnsi="宋体" w:cs="宋体" w:eastAsia="宋体" w:hint="default"/>
                            <w:sz w:val="18"/>
                            <w:szCs w:val="18"/>
                          </w:rPr>
                          <w:t>向沈宏 明转让 达实德 润 </w:t>
                        </w:r>
                        <w:r>
                          <w:rPr>
                            <w:rFonts w:ascii="Times New Roman" w:hAnsi="Times New Roman" w:cs="Times New Roman" w:eastAsia="Times New Roman" w:hint="default"/>
                            <w:sz w:val="18"/>
                            <w:szCs w:val="18"/>
                          </w:rPr>
                          <w:t>40%</w:t>
                        </w:r>
                      </w:p>
                      <w:p>
                        <w:pPr>
                          <w:pStyle w:val="TableParagraph"/>
                          <w:spacing w:line="240" w:lineRule="auto"/>
                          <w:ind w:left="23" w:right="0"/>
                          <w:jc w:val="both"/>
                          <w:rPr>
                            <w:rFonts w:ascii="宋体" w:hAnsi="宋体" w:cs="宋体" w:eastAsia="宋体" w:hint="default"/>
                            <w:sz w:val="18"/>
                            <w:szCs w:val="18"/>
                          </w:rPr>
                        </w:pPr>
                        <w:r>
                          <w:rPr>
                            <w:rFonts w:ascii="宋体" w:hAnsi="宋体" w:cs="宋体" w:eastAsia="宋体" w:hint="default"/>
                            <w:sz w:val="18"/>
                            <w:szCs w:val="18"/>
                          </w:rPr>
                          <w:t>的股权</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155"/>
                          <w:jc w:val="both"/>
                          <w:rPr>
                            <w:rFonts w:ascii="宋体" w:hAnsi="宋体" w:cs="宋体" w:eastAsia="宋体" w:hint="default"/>
                            <w:sz w:val="18"/>
                            <w:szCs w:val="18"/>
                          </w:rPr>
                        </w:pPr>
                        <w:r>
                          <w:rPr>
                            <w:rFonts w:ascii="宋体" w:hAnsi="宋体" w:cs="宋体" w:eastAsia="宋体" w:hint="default"/>
                            <w:sz w:val="18"/>
                            <w:szCs w:val="18"/>
                          </w:rPr>
                          <w:t>熟悉情 况的交 易双方 自愿进 行交易 的价格</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72" w:right="0"/>
                          <w:jc w:val="left"/>
                          <w:rPr>
                            <w:rFonts w:ascii="Times New Roman" w:hAnsi="Times New Roman" w:cs="Times New Roman" w:eastAsia="Times New Roman" w:hint="default"/>
                            <w:sz w:val="18"/>
                            <w:szCs w:val="18"/>
                          </w:rPr>
                        </w:pPr>
                        <w:r>
                          <w:rPr>
                            <w:rFonts w:ascii="Times New Roman"/>
                            <w:sz w:val="18"/>
                          </w:rPr>
                          <w:t>336.13</w:t>
                        </w:r>
                      </w:p>
                    </w:tc>
                    <w:tc>
                      <w:tcPr>
                        <w:tcW w:w="786" w:type="dxa"/>
                        <w:tcBorders>
                          <w:top w:val="single" w:sz="4" w:space="0" w:color="000000"/>
                          <w:left w:val="single" w:sz="4" w:space="0" w:color="000000"/>
                          <w:bottom w:val="single" w:sz="4" w:space="0" w:color="000000"/>
                          <w:right w:val="single" w:sz="4" w:space="0" w:color="000000"/>
                        </w:tcBorders>
                      </w:tcPr>
                      <w:p>
                        <w:pPr/>
                      </w:p>
                    </w:tc>
                    <w:tc>
                      <w:tcPr>
                        <w:tcW w:w="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460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现金结算</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512" w:right="0"/>
                          <w:jc w:val="left"/>
                          <w:rPr>
                            <w:rFonts w:ascii="Times New Roman" w:hAnsi="Times New Roman" w:cs="Times New Roman" w:eastAsia="Times New Roman" w:hint="default"/>
                            <w:sz w:val="18"/>
                            <w:szCs w:val="18"/>
                          </w:rPr>
                        </w:pPr>
                        <w:r>
                          <w:rPr>
                            <w:rFonts w:ascii="Times New Roman"/>
                            <w:sz w:val="18"/>
                          </w:rPr>
                          <w:t>-0.25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
                          <w:jc w:val="left"/>
                          <w:rPr>
                            <w:rFonts w:ascii="宋体" w:hAnsi="宋体" w:cs="宋体" w:eastAsia="宋体" w:hint="default"/>
                            <w:sz w:val="18"/>
                            <w:szCs w:val="18"/>
                          </w:rPr>
                        </w:pPr>
                        <w:r>
                          <w:rPr>
                            <w:rFonts w:ascii="宋体" w:hAnsi="宋体" w:cs="宋体" w:eastAsia="宋体" w:hint="default"/>
                            <w:sz w:val="18"/>
                            <w:szCs w:val="18"/>
                          </w:rPr>
                          <w:t>《关于转 让子公司 股权暨关 联交易的 公告 </w:t>
                        </w:r>
                        <w:r>
                          <w:rPr>
                            <w:rFonts w:ascii="宋体" w:hAnsi="宋体" w:cs="宋体" w:eastAsia="宋体" w:hint="default"/>
                            <w:spacing w:val="-45"/>
                            <w:sz w:val="18"/>
                            <w:szCs w:val="18"/>
                          </w:rPr>
                          <w:t>》（公</w:t>
                        </w:r>
                        <w:r>
                          <w:rPr>
                            <w:rFonts w:ascii="宋体" w:hAnsi="宋体" w:cs="宋体" w:eastAsia="宋体" w:hint="default"/>
                            <w:sz w:val="18"/>
                            <w:szCs w:val="18"/>
                          </w:rPr>
                          <w:t> 告编号： </w:t>
                        </w:r>
                        <w:r>
                          <w:rPr>
                            <w:rFonts w:ascii="Times New Roman" w:hAnsi="Times New Roman" w:cs="Times New Roman" w:eastAsia="Times New Roman" w:hint="default"/>
                            <w:sz w:val="18"/>
                            <w:szCs w:val="18"/>
                          </w:rPr>
                          <w:t>2017-005</w:t>
                        </w:r>
                        <w:r>
                          <w:rPr>
                            <w:rFonts w:ascii="宋体" w:hAnsi="宋体" w:cs="宋体" w:eastAsia="宋体" w:hint="default"/>
                            <w:sz w:val="18"/>
                            <w:szCs w:val="18"/>
                          </w:rPr>
                          <w:t>）</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，刊登于</w:t>
                        </w:r>
                      </w:p>
                      <w:p>
                        <w:pPr>
                          <w:pStyle w:val="TableParagraph"/>
                          <w:spacing w:line="319" w:lineRule="auto" w:before="76"/>
                          <w:ind w:left="22" w:right="20"/>
                          <w:jc w:val="left"/>
                          <w:rPr>
                            <w:rFonts w:ascii="宋体" w:hAnsi="宋体" w:cs="宋体" w:eastAsia="宋体" w:hint="default"/>
                            <w:sz w:val="18"/>
                            <w:szCs w:val="18"/>
                          </w:rPr>
                        </w:pPr>
                        <w:r>
                          <w:rPr>
                            <w:rFonts w:ascii="宋体" w:hAnsi="宋体" w:cs="宋体" w:eastAsia="宋体" w:hint="default"/>
                            <w:sz w:val="18"/>
                            <w:szCs w:val="18"/>
                          </w:rPr>
                          <w:t>《证券时 </w:t>
                        </w:r>
                        <w:r>
                          <w:rPr>
                            <w:rFonts w:ascii="宋体" w:hAnsi="宋体" w:cs="宋体" w:eastAsia="宋体" w:hint="default"/>
                            <w:spacing w:val="-38"/>
                            <w:sz w:val="18"/>
                            <w:szCs w:val="18"/>
                          </w:rPr>
                          <w:t>报》、《中国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证券报》及</w:t>
                        </w:r>
                        <w:r>
                          <w:rPr>
                            <w:rFonts w:ascii="宋体" w:hAnsi="宋体" w:cs="宋体" w:eastAsia="宋体" w:hint="default"/>
                            <w:sz w:val="18"/>
                            <w:szCs w:val="18"/>
                          </w:rPr>
                          <w:t> 巨潮资讯 网。</w:t>
                        </w:r>
                      </w:p>
                    </w:tc>
                  </w:tr>
                  <w:tr>
                    <w:trPr>
                      <w:trHeight w:val="714"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4"/>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较大的原因（如有）</w:t>
                        </w:r>
                      </w:p>
                    </w:tc>
                    <w:tc>
                      <w:tcPr>
                        <w:tcW w:w="6510" w:type="dxa"/>
                        <w:gridSpan w:val="9"/>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差异金额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44"/>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510" w:type="dxa"/>
                        <w:gridSpan w:val="9"/>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不重大</w:t>
                        </w:r>
                      </w:p>
                    </w:tc>
                  </w:tr>
                  <w:tr>
                    <w:trPr>
                      <w:trHeight w:val="715"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如相关交易涉及业绩约定的，报告期内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的业绩实现情况</w:t>
                        </w:r>
                      </w:p>
                    </w:tc>
                    <w:tc>
                      <w:tcPr>
                        <w:tcW w:w="6510" w:type="dxa"/>
                        <w:gridSpan w:val="9"/>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3"/>
        <w:spacing w:line="240" w:lineRule="auto" w:before="35"/>
        <w:ind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七、重大合同及其履行情况" w:id="84"/>
      <w:bookmarkEnd w:id="84"/>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租赁情况说明</w:t>
      </w:r>
    </w:p>
    <w:p>
      <w:pPr>
        <w:spacing w:line="451" w:lineRule="auto" w:before="120"/>
        <w:ind w:left="153" w:right="11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日，公司与全资子公司达实信息签订《房地产租赁合同书》，约定租赁其</w:t>
      </w:r>
      <w:r>
        <w:rPr>
          <w:rFonts w:ascii="Times New Roman" w:hAnsi="Times New Roman" w:cs="Times New Roman" w:eastAsia="Times New Roman" w:hint="default"/>
          <w:sz w:val="18"/>
          <w:szCs w:val="18"/>
        </w:rPr>
        <w:t>3473.12</w:t>
      </w:r>
      <w:r>
        <w:rPr>
          <w:rFonts w:ascii="宋体" w:hAnsi="宋体" w:cs="宋体" w:eastAsia="宋体" w:hint="default"/>
          <w:sz w:val="18"/>
          <w:szCs w:val="18"/>
        </w:rPr>
        <w:t>平米的场地用于办公，租 赁期限自</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p>
      <w:pPr>
        <w:spacing w:before="6"/>
        <w:ind w:left="153"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30"/>
        <w:gridCol w:w="920"/>
        <w:gridCol w:w="1296"/>
        <w:gridCol w:w="1063"/>
        <w:gridCol w:w="1034"/>
        <w:gridCol w:w="1053"/>
        <w:gridCol w:w="788"/>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8"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公立三甲医院</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单笔买方信 贷期限不超 过 </w:t>
            </w:r>
            <w:r>
              <w:rPr>
                <w:rFonts w:ascii="Times New Roman" w:hAnsi="Times New Roman" w:cs="Times New Roman" w:eastAsia="Times New Roman" w:hint="default"/>
                <w:sz w:val="18"/>
                <w:szCs w:val="18"/>
              </w:rPr>
              <w:t>6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9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中煤矿建总医院</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8"/>
              <w:jc w:val="both"/>
              <w:rPr>
                <w:rFonts w:ascii="宋体" w:hAnsi="宋体" w:cs="宋体" w:eastAsia="宋体" w:hint="default"/>
                <w:sz w:val="18"/>
                <w:szCs w:val="18"/>
              </w:rPr>
            </w:pPr>
            <w:r>
              <w:rPr>
                <w:rFonts w:ascii="宋体" w:hAnsi="宋体" w:cs="宋体" w:eastAsia="宋体" w:hint="default"/>
                <w:sz w:val="18"/>
                <w:szCs w:val="18"/>
              </w:rPr>
              <w:t>自单笔授信 业务的主合 同签订之日 起至债务人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7"/>
        <w:gridCol w:w="923"/>
        <w:gridCol w:w="1296"/>
        <w:gridCol w:w="1063"/>
        <w:gridCol w:w="1034"/>
        <w:gridCol w:w="1049"/>
        <w:gridCol w:w="792"/>
        <w:gridCol w:w="780"/>
      </w:tblGrid>
      <w:tr>
        <w:trPr>
          <w:trHeight w:val="1298"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5" w:space="0" w:color="000000"/>
            </w:tcBorders>
          </w:tcPr>
          <w:p>
            <w:pPr/>
          </w:p>
        </w:tc>
        <w:tc>
          <w:tcPr>
            <w:tcW w:w="923" w:type="dxa"/>
            <w:tcBorders>
              <w:top w:val="single" w:sz="4" w:space="0" w:color="000000"/>
              <w:left w:val="single" w:sz="5"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4"/>
              <w:jc w:val="both"/>
              <w:rPr>
                <w:rFonts w:ascii="宋体" w:hAnsi="宋体" w:cs="宋体" w:eastAsia="宋体" w:hint="default"/>
                <w:sz w:val="18"/>
                <w:szCs w:val="18"/>
              </w:rPr>
            </w:pPr>
            <w:r>
              <w:rPr>
                <w:rFonts w:ascii="宋体" w:hAnsi="宋体" w:cs="宋体" w:eastAsia="宋体" w:hint="default"/>
                <w:sz w:val="18"/>
                <w:szCs w:val="18"/>
              </w:rPr>
              <w:t>在该主合同 项下的债务 履行期限届 满日后二年</w:t>
            </w:r>
          </w:p>
        </w:tc>
        <w:tc>
          <w:tcPr>
            <w:tcW w:w="7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融智节能</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395.27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担保期限自 担保合同生 效日起至 </w:t>
            </w:r>
            <w:r>
              <w:rPr>
                <w:rFonts w:ascii="Times New Roman" w:hAnsi="Times New Roman" w:cs="Times New Roman" w:eastAsia="Times New Roman" w:hint="default"/>
                <w:sz w:val="18"/>
                <w:szCs w:val="18"/>
              </w:rPr>
              <w:t>2022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融智节能</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担保期限自 担保合同生 效日起至 </w:t>
            </w:r>
            <w:r>
              <w:rPr>
                <w:rFonts w:ascii="Times New Roman" w:hAnsi="Times New Roman" w:cs="Times New Roman" w:eastAsia="Times New Roman" w:hint="default"/>
                <w:sz w:val="18"/>
                <w:szCs w:val="18"/>
              </w:rPr>
              <w:t>2023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4,500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8,395.27</w:t>
            </w:r>
          </w:p>
        </w:tc>
      </w:tr>
      <w:tr>
        <w:trPr>
          <w:trHeight w:val="719"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32,500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8,395.27</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6" w:right="9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vMerge w:val="restart"/>
            <w:tcBorders>
              <w:top w:val="single" w:sz="4" w:space="0" w:color="000000"/>
              <w:left w:val="single" w:sz="4" w:space="0" w:color="000000"/>
              <w:right w:val="single" w:sz="4" w:space="0" w:color="000000"/>
            </w:tcBorders>
            <w:shd w:val="clear" w:color="auto" w:fill="D2D2D2"/>
          </w:tcPr>
          <w:p>
            <w:pPr/>
          </w:p>
        </w:tc>
        <w:tc>
          <w:tcPr>
            <w:tcW w:w="12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vMerge w:val="restart"/>
            <w:tcBorders>
              <w:top w:val="single" w:sz="4" w:space="0" w:color="000000"/>
              <w:left w:val="single" w:sz="4" w:space="0" w:color="000000"/>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7" w:type="dxa"/>
            <w:vMerge/>
            <w:tcBorders>
              <w:left w:val="single" w:sz="4" w:space="0" w:color="000000"/>
              <w:right w:val="single" w:sz="4" w:space="0" w:color="000000"/>
            </w:tcBorders>
            <w:shd w:val="clear" w:color="auto" w:fill="D2D2D2"/>
          </w:tcPr>
          <w:p>
            <w:pPr/>
          </w:p>
        </w:tc>
        <w:tc>
          <w:tcPr>
            <w:tcW w:w="923" w:type="dxa"/>
            <w:vMerge/>
            <w:tcBorders>
              <w:left w:val="single" w:sz="4" w:space="0" w:color="000000"/>
              <w:bottom w:val="nil" w:sz="6" w:space="0" w:color="auto"/>
              <w:right w:val="single" w:sz="4" w:space="0" w:color="000000"/>
            </w:tcBorders>
            <w:shd w:val="clear" w:color="auto" w:fill="D2D2D2"/>
          </w:tcPr>
          <w:p>
            <w:pPr/>
          </w:p>
        </w:tc>
        <w:tc>
          <w:tcPr>
            <w:tcW w:w="12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3"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vMerge/>
            <w:tcBorders>
              <w:left w:val="single" w:sz="4" w:space="0" w:color="000000"/>
              <w:right w:val="single" w:sz="4" w:space="0" w:color="000000"/>
            </w:tcBorders>
            <w:shd w:val="clear" w:color="auto" w:fill="D2D2D2"/>
          </w:tcPr>
          <w:p>
            <w:pPr/>
          </w:p>
        </w:tc>
        <w:tc>
          <w:tcPr>
            <w:tcW w:w="9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2"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7" w:type="dxa"/>
            <w:vMerge/>
            <w:tcBorders>
              <w:left w:val="single" w:sz="4" w:space="0" w:color="000000"/>
              <w:right w:val="single" w:sz="4" w:space="0" w:color="000000"/>
            </w:tcBorders>
            <w:shd w:val="clear" w:color="auto" w:fill="D2D2D2"/>
          </w:tcPr>
          <w:p>
            <w:pPr/>
          </w:p>
        </w:tc>
        <w:tc>
          <w:tcPr>
            <w:tcW w:w="923" w:type="dxa"/>
            <w:vMerge w:val="restart"/>
            <w:tcBorders>
              <w:top w:val="nil" w:sz="6" w:space="0" w:color="auto"/>
              <w:left w:val="single" w:sz="4" w:space="0" w:color="000000"/>
              <w:right w:val="single" w:sz="4" w:space="0" w:color="000000"/>
            </w:tcBorders>
            <w:shd w:val="clear" w:color="auto" w:fill="D2D2D2"/>
          </w:tcPr>
          <w:p>
            <w:pPr/>
          </w:p>
        </w:tc>
        <w:tc>
          <w:tcPr>
            <w:tcW w:w="12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34" w:type="dxa"/>
            <w:vMerge w:val="restart"/>
            <w:tcBorders>
              <w:top w:val="nil" w:sz="6" w:space="0" w:color="auto"/>
              <w:left w:val="single" w:sz="4" w:space="0" w:color="000000"/>
              <w:right w:val="single" w:sz="4" w:space="0" w:color="000000"/>
            </w:tcBorders>
            <w:shd w:val="clear" w:color="auto" w:fill="D2D2D2"/>
          </w:tcPr>
          <w:p>
            <w:pPr/>
          </w:p>
        </w:tc>
        <w:tc>
          <w:tcPr>
            <w:tcW w:w="1049" w:type="dxa"/>
            <w:vMerge w:val="restart"/>
            <w:tcBorders>
              <w:top w:val="nil" w:sz="6" w:space="0" w:color="auto"/>
              <w:left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7"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2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27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达实信息</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4"/>
              <w:jc w:val="both"/>
              <w:rPr>
                <w:rFonts w:ascii="宋体" w:hAnsi="宋体" w:cs="宋体" w:eastAsia="宋体" w:hint="default"/>
                <w:sz w:val="18"/>
                <w:szCs w:val="18"/>
              </w:rPr>
            </w:pPr>
            <w:r>
              <w:rPr>
                <w:rFonts w:ascii="宋体" w:hAnsi="宋体" w:cs="宋体" w:eastAsia="宋体" w:hint="default"/>
                <w:sz w:val="18"/>
                <w:szCs w:val="18"/>
              </w:rPr>
              <w:t>自担保合同 生效日起至 主合同项下 具体授信债 务履行期限 届满之日后 两年。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淮南达实</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达实租赁</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达实租赁</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达实租赁</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达实租赁</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15"/>
        <w:gridCol w:w="907"/>
        <w:gridCol w:w="935"/>
        <w:gridCol w:w="1299"/>
        <w:gridCol w:w="1048"/>
        <w:gridCol w:w="1046"/>
        <w:gridCol w:w="1055"/>
        <w:gridCol w:w="785"/>
        <w:gridCol w:w="785"/>
      </w:tblGrid>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达实租赁</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7,000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达实租赁</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8,000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100,000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35,587</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171,000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35,295.34</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6" w:right="9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vMerge w:val="restart"/>
            <w:tcBorders>
              <w:top w:val="single" w:sz="4" w:space="0" w:color="000000"/>
              <w:left w:val="single" w:sz="4" w:space="0" w:color="000000"/>
              <w:right w:val="single" w:sz="4" w:space="0" w:color="000000"/>
            </w:tcBorders>
            <w:shd w:val="clear" w:color="auto" w:fill="D2D2D2"/>
          </w:tcPr>
          <w:p>
            <w:pPr/>
          </w:p>
        </w:tc>
        <w:tc>
          <w:tcPr>
            <w:tcW w:w="12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12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6"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1"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7" w:type="dxa"/>
            <w:vMerge/>
            <w:tcBorders>
              <w:left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9" w:type="dxa"/>
            <w:vMerge/>
            <w:tcBorders>
              <w:left w:val="single" w:sz="4" w:space="0" w:color="000000"/>
              <w:right w:val="single" w:sz="4" w:space="0" w:color="000000"/>
            </w:tcBorders>
            <w:shd w:val="clear" w:color="auto" w:fill="D2D2D2"/>
          </w:tcPr>
          <w:p>
            <w:pPr/>
          </w:p>
        </w:tc>
        <w:tc>
          <w:tcPr>
            <w:tcW w:w="1048"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
        </w:tc>
        <w:tc>
          <w:tcPr>
            <w:tcW w:w="1299" w:type="dxa"/>
            <w:vMerge/>
            <w:tcBorders>
              <w:left w:val="single" w:sz="4" w:space="0" w:color="000000"/>
              <w:bottom w:val="nil" w:sz="6" w:space="0" w:color="auto"/>
              <w:right w:val="single" w:sz="4" w:space="0" w:color="000000"/>
            </w:tcBorders>
            <w:shd w:val="clear" w:color="auto" w:fill="D2D2D2"/>
          </w:tcPr>
          <w:p>
            <w:pPr/>
          </w:p>
        </w:tc>
        <w:tc>
          <w:tcPr>
            <w:tcW w:w="1048"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2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104,500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2"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43,982.27</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203,500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43,690.61</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14.11%</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9"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2"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40" w:lineRule="auto"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5" w:space="6785"/>
            <w:col w:w="219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31"/>
        <w:gridCol w:w="1982"/>
        <w:gridCol w:w="1908"/>
        <w:gridCol w:w="1848"/>
      </w:tblGrid>
      <w:tr>
        <w:trPr>
          <w:trHeight w:val="402" w:hRule="exact"/>
        </w:trPr>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6"/>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委托理财出现预期无法收回本金或存在其他可能导致减值的情形</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八、社会责任情况" w:id="96"/>
      <w:bookmarkEnd w:id="96"/>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履行社会责任情况" w:id="97"/>
      <w:bookmarkEnd w:id="97"/>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6"/>
        <w:rPr>
          <w:rFonts w:ascii="宋体" w:hAnsi="宋体" w:cs="宋体" w:eastAsia="宋体" w:hint="default"/>
          <w:b/>
          <w:bCs/>
          <w:sz w:val="32"/>
          <w:szCs w:val="32"/>
        </w:rPr>
      </w:pPr>
    </w:p>
    <w:p>
      <w:pPr>
        <w:spacing w:line="451" w:lineRule="auto" w:before="0"/>
        <w:ind w:left="511" w:right="0" w:firstLine="0"/>
        <w:jc w:val="left"/>
        <w:rPr>
          <w:rFonts w:ascii="宋体" w:hAnsi="宋体" w:cs="宋体" w:eastAsia="宋体" w:hint="default"/>
          <w:sz w:val="18"/>
          <w:szCs w:val="18"/>
        </w:rPr>
      </w:pPr>
      <w:r>
        <w:rPr>
          <w:rFonts w:ascii="宋体" w:hAnsi="宋体" w:cs="宋体" w:eastAsia="宋体" w:hint="default"/>
          <w:sz w:val="18"/>
          <w:szCs w:val="18"/>
        </w:rPr>
        <w:t>公司秉承</w:t>
      </w:r>
      <w:r>
        <w:rPr>
          <w:rFonts w:ascii="Times New Roman" w:hAnsi="Times New Roman" w:cs="Times New Roman" w:eastAsia="Times New Roman" w:hint="default"/>
          <w:sz w:val="18"/>
          <w:szCs w:val="18"/>
        </w:rPr>
        <w:t>“</w:t>
      </w:r>
      <w:r>
        <w:rPr>
          <w:rFonts w:ascii="宋体" w:hAnsi="宋体" w:cs="宋体" w:eastAsia="宋体" w:hint="default"/>
          <w:sz w:val="18"/>
          <w:szCs w:val="18"/>
        </w:rPr>
        <w:t>让城市更智慧、让建筑更节能</w:t>
      </w:r>
      <w:r>
        <w:rPr>
          <w:rFonts w:ascii="Times New Roman" w:hAnsi="Times New Roman" w:cs="Times New Roman" w:eastAsia="Times New Roman" w:hint="default"/>
          <w:sz w:val="18"/>
          <w:szCs w:val="18"/>
        </w:rPr>
        <w:t>”</w:t>
      </w:r>
      <w:r>
        <w:rPr>
          <w:rFonts w:ascii="宋体" w:hAnsi="宋体" w:cs="宋体" w:eastAsia="宋体" w:hint="default"/>
          <w:sz w:val="18"/>
          <w:szCs w:val="18"/>
        </w:rPr>
        <w:t>的公司使命，致力于智慧城市顶层规划、投资、建设、运营服务。 </w:t>
      </w:r>
      <w:r>
        <w:rPr>
          <w:rFonts w:ascii="宋体" w:hAnsi="宋体" w:cs="宋体" w:eastAsia="宋体" w:hint="default"/>
          <w:spacing w:val="-2"/>
          <w:sz w:val="18"/>
          <w:szCs w:val="18"/>
        </w:rPr>
        <w:t>在维护投资者权益方面，公司通过组织</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投资者接待日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、及时回复互动平台问询、接听咨询电话、举办网上投资者交流</w:t>
      </w:r>
    </w:p>
    <w:p>
      <w:pPr>
        <w:spacing w:line="477" w:lineRule="auto" w:before="44"/>
        <w:ind w:left="511" w:right="1170" w:hanging="358"/>
        <w:jc w:val="left"/>
        <w:rPr>
          <w:rFonts w:ascii="宋体" w:hAnsi="宋体" w:cs="宋体" w:eastAsia="宋体" w:hint="default"/>
          <w:sz w:val="18"/>
          <w:szCs w:val="18"/>
        </w:rPr>
      </w:pPr>
      <w:r>
        <w:rPr>
          <w:rFonts w:ascii="宋体" w:hAnsi="宋体" w:cs="宋体" w:eastAsia="宋体" w:hint="default"/>
          <w:sz w:val="18"/>
          <w:szCs w:val="18"/>
        </w:rPr>
        <w:t>会等方式，与投资者进行积极互动； 在回报股东权益方面，公司实施了</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年度分配方案，以公司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日总股本</w:t>
      </w:r>
      <w:r>
        <w:rPr>
          <w:rFonts w:ascii="Times New Roman" w:hAnsi="Times New Roman" w:cs="Times New Roman" w:eastAsia="Times New Roman" w:hint="default"/>
          <w:sz w:val="18"/>
          <w:szCs w:val="18"/>
        </w:rPr>
        <w:t>1,926,729,576</w:t>
      </w:r>
      <w:r>
        <w:rPr>
          <w:rFonts w:ascii="宋体" w:hAnsi="宋体" w:cs="宋体" w:eastAsia="宋体" w:hint="default"/>
          <w:sz w:val="18"/>
          <w:szCs w:val="18"/>
        </w:rPr>
        <w:t>股为基数，向全体股</w:t>
      </w:r>
    </w:p>
    <w:p>
      <w:pPr>
        <w:spacing w:line="451" w:lineRule="auto" w:before="21"/>
        <w:ind w:left="511" w:right="0" w:hanging="358"/>
        <w:jc w:val="left"/>
        <w:rPr>
          <w:rFonts w:ascii="宋体" w:hAnsi="宋体" w:cs="宋体" w:eastAsia="宋体" w:hint="default"/>
          <w:sz w:val="18"/>
          <w:szCs w:val="18"/>
        </w:rPr>
      </w:pPr>
      <w:r>
        <w:rPr>
          <w:rFonts w:ascii="宋体" w:hAnsi="宋体" w:cs="宋体" w:eastAsia="宋体" w:hint="default"/>
          <w:sz w:val="18"/>
          <w:szCs w:val="18"/>
        </w:rPr>
        <w:t>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w:t>
      </w:r>
      <w:r>
        <w:rPr>
          <w:rFonts w:ascii="Times New Roman" w:hAnsi="Times New Roman" w:cs="Times New Roman" w:eastAsia="Times New Roman" w:hint="default"/>
          <w:sz w:val="18"/>
          <w:szCs w:val="18"/>
        </w:rPr>
        <w:t>0.3</w:t>
      </w:r>
      <w:r>
        <w:rPr>
          <w:rFonts w:ascii="宋体" w:hAnsi="宋体" w:cs="宋体" w:eastAsia="宋体" w:hint="default"/>
          <w:sz w:val="18"/>
          <w:szCs w:val="18"/>
        </w:rPr>
        <w:t>元人民币现金，该方案于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日得以实施。 </w:t>
      </w:r>
      <w:r>
        <w:rPr>
          <w:rFonts w:ascii="宋体" w:hAnsi="宋体" w:cs="宋体" w:eastAsia="宋体" w:hint="default"/>
          <w:spacing w:val="-2"/>
          <w:sz w:val="18"/>
          <w:szCs w:val="18"/>
        </w:rPr>
        <w:t>在履行信息披露义务方面，公司在报告期内实现</w:t>
      </w:r>
      <w:r>
        <w:rPr>
          <w:rFonts w:ascii="Times New Roman" w:hAnsi="Times New Roman" w:cs="Times New Roman" w:eastAsia="Times New Roman" w:hint="default"/>
          <w:spacing w:val="-2"/>
          <w:sz w:val="18"/>
          <w:szCs w:val="18"/>
        </w:rPr>
        <w:t>81</w:t>
      </w:r>
      <w:r>
        <w:rPr>
          <w:rFonts w:ascii="宋体" w:hAnsi="宋体" w:cs="宋体" w:eastAsia="宋体" w:hint="default"/>
          <w:spacing w:val="-2"/>
          <w:sz w:val="18"/>
          <w:szCs w:val="18"/>
        </w:rPr>
        <w:t>条信息披露，坚持了适当的主动性披露，</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年度信息披露考核结果</w:t>
      </w:r>
    </w:p>
    <w:p>
      <w:pPr>
        <w:spacing w:before="43"/>
        <w:ind w:left="153" w:right="0" w:firstLine="0"/>
        <w:jc w:val="left"/>
        <w:rPr>
          <w:rFonts w:ascii="宋体" w:hAnsi="宋体" w:cs="宋体" w:eastAsia="宋体" w:hint="default"/>
          <w:sz w:val="18"/>
          <w:szCs w:val="18"/>
        </w:rPr>
      </w:pPr>
      <w:r>
        <w:rPr>
          <w:rFonts w:ascii="宋体" w:hAnsi="宋体" w:cs="宋体" w:eastAsia="宋体" w:hint="default"/>
          <w:sz w:val="18"/>
          <w:szCs w:val="18"/>
        </w:rPr>
        <w:t>为</w:t>
      </w:r>
      <w:r>
        <w:rPr>
          <w:rFonts w:ascii="Times New Roman" w:hAnsi="Times New Roman" w:cs="Times New Roman" w:eastAsia="Times New Roman" w:hint="default"/>
          <w:sz w:val="18"/>
          <w:szCs w:val="18"/>
        </w:rPr>
        <w:t>A</w:t>
      </w:r>
      <w:r>
        <w:rPr>
          <w:rFonts w:ascii="宋体" w:hAnsi="宋体" w:cs="宋体" w:eastAsia="宋体" w:hint="default"/>
          <w:sz w:val="18"/>
          <w:szCs w:val="18"/>
        </w:rPr>
        <w:t>；</w:t>
      </w:r>
    </w:p>
    <w:p>
      <w:pPr>
        <w:spacing w:line="240" w:lineRule="auto" w:before="9"/>
        <w:rPr>
          <w:rFonts w:ascii="宋体" w:hAnsi="宋体" w:cs="宋体" w:eastAsia="宋体" w:hint="default"/>
          <w:sz w:val="16"/>
          <w:szCs w:val="16"/>
        </w:rPr>
      </w:pPr>
    </w:p>
    <w:p>
      <w:pPr>
        <w:spacing w:line="451" w:lineRule="auto" w:before="0"/>
        <w:ind w:left="153" w:right="1119" w:firstLine="357"/>
        <w:jc w:val="left"/>
        <w:rPr>
          <w:rFonts w:ascii="宋体" w:hAnsi="宋体" w:cs="宋体" w:eastAsia="宋体" w:hint="default"/>
          <w:sz w:val="18"/>
          <w:szCs w:val="18"/>
        </w:rPr>
      </w:pPr>
      <w:r>
        <w:rPr>
          <w:rFonts w:ascii="宋体" w:hAnsi="宋体" w:cs="宋体" w:eastAsia="宋体" w:hint="default"/>
          <w:spacing w:val="-1"/>
          <w:sz w:val="18"/>
          <w:szCs w:val="18"/>
        </w:rPr>
        <w:t>在可持续发展与节约资源方面，公司推出建筑节能与工业节能产品，以合同能源管理（</w:t>
      </w:r>
      <w:r>
        <w:rPr>
          <w:rFonts w:ascii="Times New Roman" w:hAnsi="Times New Roman" w:cs="Times New Roman" w:eastAsia="Times New Roman" w:hint="default"/>
          <w:spacing w:val="-1"/>
          <w:sz w:val="18"/>
          <w:szCs w:val="18"/>
        </w:rPr>
        <w:t>EPC</w:t>
      </w:r>
      <w:r>
        <w:rPr>
          <w:rFonts w:ascii="宋体" w:hAnsi="宋体" w:cs="宋体" w:eastAsia="宋体" w:hint="default"/>
          <w:spacing w:val="-1"/>
          <w:sz w:val="18"/>
          <w:szCs w:val="18"/>
        </w:rPr>
        <w:t>）投资方式，帮助客户实现</w:t>
      </w:r>
      <w:r>
        <w:rPr>
          <w:rFonts w:ascii="宋体" w:hAnsi="宋体" w:cs="宋体" w:eastAsia="宋体" w:hint="default"/>
          <w:sz w:val="18"/>
          <w:szCs w:val="18"/>
        </w:rPr>
        <w:t> 节能减排；</w:t>
      </w:r>
    </w:p>
    <w:p>
      <w:pPr>
        <w:spacing w:line="463" w:lineRule="auto" w:before="74"/>
        <w:ind w:left="511" w:right="0" w:firstLine="0"/>
        <w:jc w:val="left"/>
        <w:rPr>
          <w:rFonts w:ascii="宋体" w:hAnsi="宋体" w:cs="宋体" w:eastAsia="宋体" w:hint="default"/>
          <w:sz w:val="18"/>
          <w:szCs w:val="18"/>
        </w:rPr>
      </w:pPr>
      <w:r>
        <w:rPr>
          <w:rFonts w:ascii="宋体" w:hAnsi="宋体" w:cs="宋体" w:eastAsia="宋体" w:hint="default"/>
          <w:sz w:val="18"/>
          <w:szCs w:val="18"/>
        </w:rPr>
        <w:t>在职工权益保护方面，公司为员工购买</w:t>
      </w:r>
      <w:r>
        <w:rPr>
          <w:rFonts w:ascii="Times New Roman" w:hAnsi="Times New Roman" w:cs="Times New Roman" w:eastAsia="Times New Roman" w:hint="default"/>
          <w:sz w:val="18"/>
          <w:szCs w:val="18"/>
        </w:rPr>
        <w:t>“</w:t>
      </w:r>
      <w:r>
        <w:rPr>
          <w:rFonts w:ascii="宋体" w:hAnsi="宋体" w:cs="宋体" w:eastAsia="宋体" w:hint="default"/>
          <w:sz w:val="18"/>
          <w:szCs w:val="18"/>
        </w:rPr>
        <w:t>五险</w:t>
      </w:r>
      <w:r>
        <w:rPr>
          <w:rFonts w:ascii="Times New Roman" w:hAnsi="Times New Roman" w:cs="Times New Roman" w:eastAsia="Times New Roman" w:hint="default"/>
          <w:sz w:val="18"/>
          <w:szCs w:val="18"/>
        </w:rPr>
        <w:t>”</w:t>
      </w:r>
      <w:r>
        <w:rPr>
          <w:rFonts w:ascii="宋体" w:hAnsi="宋体" w:cs="宋体" w:eastAsia="宋体" w:hint="default"/>
          <w:sz w:val="18"/>
          <w:szCs w:val="18"/>
        </w:rPr>
        <w:t>、商业保险及住房公积金，积极做好劳动安全防护措施； 在节能宣传方面，公司利用被评为广东省、深圳市的建筑节能科普教育基地的展厅，宣传了节能科普知识。 </w:t>
      </w:r>
      <w:r>
        <w:rPr>
          <w:rFonts w:ascii="宋体" w:hAnsi="宋体" w:cs="宋体" w:eastAsia="宋体" w:hint="default"/>
          <w:spacing w:val="-2"/>
          <w:sz w:val="18"/>
          <w:szCs w:val="18"/>
        </w:rPr>
        <w:t>在环境保护方面，达实自主建设的大厦获得中国绿色建筑认证三星级、深圳绿色建筑认证铂金级，并符合绿色建筑设计</w:t>
      </w:r>
    </w:p>
    <w:p>
      <w:pPr>
        <w:spacing w:before="65"/>
        <w:ind w:left="154" w:right="0" w:firstLine="0"/>
        <w:jc w:val="left"/>
        <w:rPr>
          <w:rFonts w:ascii="宋体" w:hAnsi="宋体" w:cs="宋体" w:eastAsia="宋体" w:hint="default"/>
          <w:sz w:val="18"/>
          <w:szCs w:val="18"/>
        </w:rPr>
      </w:pPr>
      <w:r>
        <w:rPr>
          <w:rFonts w:ascii="宋体" w:hAnsi="宋体" w:cs="宋体" w:eastAsia="宋体" w:hint="default"/>
          <w:sz w:val="18"/>
          <w:szCs w:val="18"/>
        </w:rPr>
        <w:t>标准和绿色建筑运营标准。</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履行精准扶贫社会责任情况" w:id="98"/>
      <w:bookmarkEnd w:id="98"/>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精准扶贫规划" w:id="99"/>
      <w:bookmarkEnd w:id="99"/>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6"/>
        <w:rPr>
          <w:rFonts w:ascii="宋体" w:hAnsi="宋体" w:cs="宋体" w:eastAsia="宋体" w:hint="default"/>
          <w:b/>
          <w:bCs/>
          <w:sz w:val="32"/>
          <w:szCs w:val="32"/>
        </w:rPr>
      </w:pPr>
    </w:p>
    <w:p>
      <w:pPr>
        <w:spacing w:line="463" w:lineRule="auto" w:before="0"/>
        <w:ind w:left="153" w:right="1033" w:firstLine="360"/>
        <w:jc w:val="left"/>
        <w:rPr>
          <w:rFonts w:ascii="宋体" w:hAnsi="宋体" w:cs="宋体" w:eastAsia="宋体" w:hint="default"/>
          <w:sz w:val="18"/>
          <w:szCs w:val="18"/>
        </w:rPr>
      </w:pPr>
      <w:r>
        <w:rPr>
          <w:rFonts w:ascii="宋体" w:hAnsi="宋体" w:cs="宋体" w:eastAsia="宋体" w:hint="default"/>
          <w:sz w:val="18"/>
          <w:szCs w:val="18"/>
        </w:rPr>
        <w:t>达实智能肩负社会责任，认真贯彻党中央、国务院扶贫关于新时代扶贫开发工作的总体要求，将精准扶贫工作系统化、 </w:t>
      </w:r>
      <w:r>
        <w:rPr>
          <w:rFonts w:ascii="宋体" w:hAnsi="宋体" w:cs="宋体" w:eastAsia="宋体" w:hint="default"/>
          <w:spacing w:val="-2"/>
          <w:sz w:val="18"/>
          <w:szCs w:val="18"/>
        </w:rPr>
        <w:t>专业化、长期化。</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年，达实智能将继续根据资源条件和市场需求，在业务所在地助力地方特色经济发展，探索开展产业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扶贫、教育扶贫等其他类扶贫项目。</w:t>
      </w:r>
    </w:p>
    <w:p>
      <w:pPr>
        <w:spacing w:line="240" w:lineRule="auto" w:before="1"/>
        <w:rPr>
          <w:rFonts w:ascii="宋体" w:hAnsi="宋体" w:cs="宋体" w:eastAsia="宋体" w:hint="default"/>
          <w:sz w:val="20"/>
          <w:szCs w:val="20"/>
        </w:rPr>
      </w:pPr>
    </w:p>
    <w:p>
      <w:pPr>
        <w:pStyle w:val="Heading3"/>
        <w:spacing w:line="240" w:lineRule="auto"/>
        <w:ind w:left="153" w:right="0"/>
        <w:jc w:val="left"/>
        <w:rPr>
          <w:b w:val="0"/>
          <w:bCs w:val="0"/>
        </w:rPr>
      </w:pPr>
      <w:bookmarkStart w:name="（2）年度精准扶贫概要" w:id="100"/>
      <w:bookmarkEnd w:id="100"/>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6"/>
        <w:rPr>
          <w:rFonts w:ascii="宋体" w:hAnsi="宋体" w:cs="宋体" w:eastAsia="宋体" w:hint="default"/>
          <w:b/>
          <w:bCs/>
          <w:sz w:val="32"/>
          <w:szCs w:val="32"/>
        </w:rPr>
      </w:pPr>
    </w:p>
    <w:p>
      <w:pPr>
        <w:spacing w:line="477" w:lineRule="auto" w:before="0"/>
        <w:ind w:left="153" w:right="0" w:firstLine="360"/>
        <w:jc w:val="left"/>
        <w:rPr>
          <w:rFonts w:ascii="宋体" w:hAnsi="宋体" w:cs="宋体" w:eastAsia="宋体" w:hint="default"/>
          <w:sz w:val="18"/>
          <w:szCs w:val="18"/>
        </w:rPr>
      </w:pPr>
      <w:r>
        <w:rPr>
          <w:rFonts w:ascii="宋体" w:hAnsi="宋体" w:cs="宋体" w:eastAsia="宋体" w:hint="default"/>
          <w:sz w:val="18"/>
          <w:szCs w:val="18"/>
        </w:rPr>
        <w:t>达实智能热心公益事业，积极承担社会责任，在重视创造企业价值的同时，一直积极回报社会，履行社会责任。</w:t>
      </w:r>
      <w:r>
        <w:rPr>
          <w:rFonts w:ascii="宋体" w:hAnsi="宋体" w:cs="宋体" w:eastAsia="宋体" w:hint="default"/>
          <w:sz w:val="18"/>
          <w:szCs w:val="18"/>
        </w:rPr>
        <w:t>2017 </w:t>
      </w:r>
      <w:r>
        <w:rPr>
          <w:rFonts w:ascii="宋体" w:hAnsi="宋体" w:cs="宋体" w:eastAsia="宋体" w:hint="default"/>
          <w:spacing w:val="-2"/>
          <w:sz w:val="18"/>
          <w:szCs w:val="18"/>
        </w:rPr>
        <w:t>年为支持中南大学开展湖南省江华瑶族自治县定点扶贫工作，达实智能向中南大学教育基金会捐赠</w:t>
      </w:r>
      <w:r>
        <w:rPr>
          <w:rFonts w:ascii="宋体" w:hAnsi="宋体" w:cs="宋体" w:eastAsia="宋体" w:hint="default"/>
          <w:spacing w:val="-2"/>
          <w:sz w:val="18"/>
          <w:szCs w:val="18"/>
        </w:rPr>
        <w:t>30</w:t>
      </w:r>
      <w:r>
        <w:rPr>
          <w:rFonts w:ascii="宋体" w:hAnsi="宋体" w:cs="宋体" w:eastAsia="宋体" w:hint="default"/>
          <w:spacing w:val="-2"/>
          <w:sz w:val="18"/>
          <w:szCs w:val="18"/>
        </w:rPr>
        <w:t>万元，用于修建江华瑶</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族自治县大圩镇社贝村村组公路。</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3）精准扶贫成效" w:id="101"/>
      <w:bookmarkEnd w:id="101"/>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572"/>
        <w:gridCol w:w="1473"/>
        <w:gridCol w:w="4512"/>
      </w:tblGrid>
      <w:tr>
        <w:trPr>
          <w:trHeight w:val="403"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35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改善贫困地区教育资源投入金</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73" w:type="dxa"/>
            <w:tcBorders>
              <w:top w:val="single" w:sz="4" w:space="0" w:color="000000"/>
              <w:left w:val="single" w:sz="4" w:space="0" w:color="000000"/>
              <w:bottom w:val="nil" w:sz="6" w:space="0" w:color="auto"/>
              <w:right w:val="single" w:sz="4" w:space="0" w:color="000000"/>
            </w:tcBorders>
            <w:shd w:val="clear" w:color="auto" w:fill="D2D2D2"/>
          </w:tcPr>
          <w:p>
            <w:pPr/>
          </w:p>
        </w:tc>
        <w:tc>
          <w:tcPr>
            <w:tcW w:w="451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w:t>
            </w:r>
          </w:p>
        </w:tc>
      </w:tr>
      <w:tr>
        <w:trPr>
          <w:trHeight w:val="391" w:hRule="exact"/>
        </w:trPr>
        <w:tc>
          <w:tcPr>
            <w:tcW w:w="3572" w:type="dxa"/>
            <w:vMerge/>
            <w:tcBorders>
              <w:left w:val="single" w:sz="4" w:space="0" w:color="000000"/>
              <w:right w:val="single" w:sz="4" w:space="0" w:color="000000"/>
            </w:tcBorders>
            <w:shd w:val="clear" w:color="auto" w:fill="D2D2D2"/>
          </w:tcPr>
          <w:p>
            <w:pPr/>
          </w:p>
        </w:tc>
        <w:tc>
          <w:tcPr>
            <w:tcW w:w="14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vMerge/>
            <w:tcBorders>
              <w:left w:val="single" w:sz="9" w:space="0" w:color="D2D2D2"/>
              <w:right w:val="single" w:sz="4" w:space="0" w:color="000000"/>
            </w:tcBorders>
          </w:tcPr>
          <w:p>
            <w:pPr/>
          </w:p>
        </w:tc>
      </w:tr>
      <w:tr>
        <w:trPr>
          <w:trHeight w:val="161" w:hRule="exact"/>
        </w:trPr>
        <w:tc>
          <w:tcPr>
            <w:tcW w:w="3572" w:type="dxa"/>
            <w:vMerge/>
            <w:tcBorders>
              <w:left w:val="single" w:sz="4" w:space="0" w:color="000000"/>
              <w:bottom w:val="single" w:sz="4" w:space="0" w:color="000000"/>
              <w:right w:val="single" w:sz="4" w:space="0" w:color="000000"/>
            </w:tcBorders>
            <w:shd w:val="clear" w:color="auto" w:fill="D2D2D2"/>
          </w:tcPr>
          <w:p>
            <w:pPr/>
          </w:p>
        </w:tc>
        <w:tc>
          <w:tcPr>
            <w:tcW w:w="1473" w:type="dxa"/>
            <w:tcBorders>
              <w:top w:val="nil" w:sz="6" w:space="0" w:color="auto"/>
              <w:left w:val="single" w:sz="4" w:space="0" w:color="000000"/>
              <w:bottom w:val="single" w:sz="4" w:space="0" w:color="000000"/>
              <w:right w:val="single" w:sz="4" w:space="0" w:color="000000"/>
            </w:tcBorders>
            <w:shd w:val="clear" w:color="auto" w:fill="D2D2D2"/>
          </w:tcPr>
          <w:p>
            <w:pPr/>
          </w:p>
        </w:tc>
        <w:tc>
          <w:tcPr>
            <w:tcW w:w="4512" w:type="dxa"/>
            <w:vMerge/>
            <w:tcBorders>
              <w:left w:val="single" w:sz="9" w:space="0" w:color="D2D2D2"/>
              <w:bottom w:val="single" w:sz="4" w:space="0" w:color="000000"/>
              <w:right w:val="single" w:sz="4" w:space="0" w:color="000000"/>
            </w:tcBorders>
          </w:tcPr>
          <w:p>
            <w:pP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4）后续精准扶贫计划" w:id="102"/>
      <w:bookmarkEnd w:id="102"/>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暂无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环境保护相关的情况" w:id="103"/>
      <w:bookmarkEnd w:id="103"/>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53" w:right="5713"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line="477" w:lineRule="auto" w:before="106"/>
        <w:ind w:left="154" w:right="1043" w:firstLine="360"/>
        <w:jc w:val="both"/>
        <w:rPr>
          <w:rFonts w:ascii="宋体" w:hAnsi="宋体" w:cs="宋体" w:eastAsia="宋体" w:hint="default"/>
          <w:sz w:val="18"/>
          <w:szCs w:val="18"/>
        </w:rPr>
      </w:pPr>
      <w:r>
        <w:rPr>
          <w:rFonts w:ascii="宋体" w:hAnsi="宋体" w:cs="宋体" w:eastAsia="宋体" w:hint="default"/>
          <w:spacing w:val="-2"/>
          <w:sz w:val="18"/>
          <w:szCs w:val="18"/>
        </w:rPr>
        <w:t>经公司核查，公司及其控股子公司不属于重点排污单位。公司及其子公司在日常生产经营中认真执行《中华人民共和国</w:t>
      </w:r>
      <w:r>
        <w:rPr>
          <w:rFonts w:ascii="宋体" w:hAnsi="宋体" w:cs="宋体" w:eastAsia="宋体" w:hint="default"/>
          <w:sz w:val="18"/>
          <w:szCs w:val="18"/>
        </w:rPr>
        <w:t> </w:t>
      </w:r>
      <w:r>
        <w:rPr>
          <w:rFonts w:ascii="宋体" w:hAnsi="宋体" w:cs="宋体" w:eastAsia="宋体" w:hint="default"/>
          <w:spacing w:val="-2"/>
          <w:sz w:val="18"/>
          <w:szCs w:val="18"/>
        </w:rPr>
        <w:t>环境保护法》、《中华人民共和国水污染防治法》、《中华人民共和国大气污染防治法》、《中华人民共和国环境噪声污染</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防治法》、《中华人民共和国固体废物污染防治法》等环保方面的法律法规，报告期内未出现因违法违规而受到处罚的情况。</w:t>
      </w:r>
    </w:p>
    <w:p>
      <w:pPr>
        <w:spacing w:line="240" w:lineRule="auto" w:before="7"/>
        <w:rPr>
          <w:rFonts w:ascii="宋体" w:hAnsi="宋体" w:cs="宋体" w:eastAsia="宋体" w:hint="default"/>
          <w:sz w:val="17"/>
          <w:szCs w:val="17"/>
        </w:rPr>
      </w:pPr>
    </w:p>
    <w:p>
      <w:pPr>
        <w:pStyle w:val="Heading2"/>
        <w:spacing w:line="240" w:lineRule="auto"/>
        <w:ind w:left="154" w:right="0"/>
        <w:jc w:val="left"/>
        <w:rPr>
          <w:b w:val="0"/>
          <w:bCs w:val="0"/>
        </w:rPr>
      </w:pPr>
      <w:bookmarkStart w:name="十九、其他重大事项的说明" w:id="104"/>
      <w:bookmarkEnd w:id="104"/>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spacing w:line="412" w:lineRule="auto" w:before="0"/>
        <w:ind w:left="513" w:right="1118"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1</w:t>
      </w:r>
      <w:r>
        <w:rPr>
          <w:rFonts w:ascii="宋体" w:hAnsi="宋体" w:cs="宋体" w:eastAsia="宋体" w:hint="default"/>
          <w:spacing w:val="-2"/>
          <w:sz w:val="18"/>
          <w:szCs w:val="18"/>
        </w:rPr>
        <w:t>、公司于</w:t>
      </w:r>
      <w:r>
        <w:rPr>
          <w:rFonts w:ascii="宋体" w:hAnsi="宋体" w:cs="宋体" w:eastAsia="宋体" w:hint="default"/>
          <w:spacing w:val="-2"/>
          <w:sz w:val="18"/>
          <w:szCs w:val="18"/>
        </w:rPr>
        <w:t>2016</w:t>
      </w:r>
      <w:r>
        <w:rPr>
          <w:rFonts w:ascii="宋体" w:hAnsi="宋体" w:cs="宋体" w:eastAsia="宋体" w:hint="default"/>
          <w:spacing w:val="-2"/>
          <w:sz w:val="18"/>
          <w:szCs w:val="18"/>
        </w:rPr>
        <w:t>年</w:t>
      </w:r>
      <w:r>
        <w:rPr>
          <w:rFonts w:ascii="宋体" w:hAnsi="宋体" w:cs="宋体" w:eastAsia="宋体" w:hint="default"/>
          <w:spacing w:val="-2"/>
          <w:sz w:val="18"/>
          <w:szCs w:val="18"/>
        </w:rPr>
        <w:t>8</w:t>
      </w:r>
      <w:r>
        <w:rPr>
          <w:rFonts w:ascii="宋体" w:hAnsi="宋体" w:cs="宋体" w:eastAsia="宋体" w:hint="default"/>
          <w:spacing w:val="-2"/>
          <w:sz w:val="18"/>
          <w:szCs w:val="18"/>
        </w:rPr>
        <w:t>月</w:t>
      </w:r>
      <w:r>
        <w:rPr>
          <w:rFonts w:ascii="宋体" w:hAnsi="宋体" w:cs="宋体" w:eastAsia="宋体" w:hint="default"/>
          <w:spacing w:val="-2"/>
          <w:sz w:val="18"/>
          <w:szCs w:val="18"/>
        </w:rPr>
        <w:t>26</w:t>
      </w:r>
      <w:r>
        <w:rPr>
          <w:rFonts w:ascii="宋体" w:hAnsi="宋体" w:cs="宋体" w:eastAsia="宋体" w:hint="default"/>
          <w:spacing w:val="-2"/>
          <w:sz w:val="18"/>
          <w:szCs w:val="18"/>
        </w:rPr>
        <w:t>日披露了《关于投资设立攀枝花市花城新区医院</w:t>
      </w:r>
      <w:r>
        <w:rPr>
          <w:rFonts w:ascii="宋体" w:hAnsi="宋体" w:cs="宋体" w:eastAsia="宋体" w:hint="default"/>
          <w:spacing w:val="-2"/>
          <w:sz w:val="18"/>
          <w:szCs w:val="18"/>
        </w:rPr>
        <w:t>PPP</w:t>
      </w:r>
      <w:r>
        <w:rPr>
          <w:rFonts w:ascii="宋体" w:hAnsi="宋体" w:cs="宋体" w:eastAsia="宋体" w:hint="default"/>
          <w:spacing w:val="-2"/>
          <w:sz w:val="18"/>
          <w:szCs w:val="18"/>
        </w:rPr>
        <w:t>基金的公告》，达实租赁拟出资</w:t>
      </w:r>
      <w:r>
        <w:rPr>
          <w:rFonts w:ascii="宋体" w:hAnsi="宋体" w:cs="宋体" w:eastAsia="宋体" w:hint="default"/>
          <w:spacing w:val="-2"/>
          <w:sz w:val="18"/>
          <w:szCs w:val="18"/>
        </w:rPr>
        <w:t>1.6</w:t>
      </w:r>
      <w:r>
        <w:rPr>
          <w:rFonts w:ascii="宋体" w:hAnsi="宋体" w:cs="宋体" w:eastAsia="宋体" w:hint="default"/>
          <w:spacing w:val="-2"/>
          <w:sz w:val="18"/>
          <w:szCs w:val="18"/>
        </w:rPr>
        <w:t>亿元参与</w:t>
      </w:r>
    </w:p>
    <w:p>
      <w:pPr>
        <w:spacing w:line="477" w:lineRule="auto" w:before="103"/>
        <w:ind w:left="513" w:right="1123" w:hanging="360"/>
        <w:jc w:val="left"/>
        <w:rPr>
          <w:rFonts w:ascii="宋体" w:hAnsi="宋体" w:cs="宋体" w:eastAsia="宋体" w:hint="default"/>
          <w:sz w:val="18"/>
          <w:szCs w:val="18"/>
        </w:rPr>
      </w:pPr>
      <w:r>
        <w:rPr>
          <w:rFonts w:ascii="宋体" w:hAnsi="宋体" w:cs="宋体" w:eastAsia="宋体" w:hint="default"/>
          <w:sz w:val="18"/>
          <w:szCs w:val="18"/>
        </w:rPr>
        <w:t>投资攀枝花市花城新区医院</w:t>
      </w:r>
      <w:r>
        <w:rPr>
          <w:rFonts w:ascii="宋体" w:hAnsi="宋体" w:cs="宋体" w:eastAsia="宋体" w:hint="default"/>
          <w:sz w:val="18"/>
          <w:szCs w:val="18"/>
        </w:rPr>
        <w:t>PPP</w:t>
      </w:r>
      <w:r>
        <w:rPr>
          <w:rFonts w:ascii="宋体" w:hAnsi="宋体" w:cs="宋体" w:eastAsia="宋体" w:hint="default"/>
          <w:sz w:val="18"/>
          <w:szCs w:val="18"/>
        </w:rPr>
        <w:t>基金设立，并参与攀枝花市花城新区医院</w:t>
      </w:r>
      <w:r>
        <w:rPr>
          <w:rFonts w:ascii="宋体" w:hAnsi="宋体" w:cs="宋体" w:eastAsia="宋体" w:hint="default"/>
          <w:sz w:val="18"/>
          <w:szCs w:val="18"/>
        </w:rPr>
        <w:t>PPP</w:t>
      </w:r>
      <w:r>
        <w:rPr>
          <w:rFonts w:ascii="宋体" w:hAnsi="宋体" w:cs="宋体" w:eastAsia="宋体" w:hint="default"/>
          <w:sz w:val="18"/>
          <w:szCs w:val="18"/>
        </w:rPr>
        <w:t>项目，报告期内，项目因客观原因终止。 </w:t>
      </w:r>
      <w:r>
        <w:rPr>
          <w:rFonts w:ascii="宋体" w:hAnsi="宋体" w:cs="宋体" w:eastAsia="宋体" w:hint="default"/>
          <w:sz w:val="18"/>
          <w:szCs w:val="18"/>
        </w:rPr>
        <w:t>2</w:t>
      </w:r>
      <w:r>
        <w:rPr>
          <w:rFonts w:ascii="宋体" w:hAnsi="宋体" w:cs="宋体" w:eastAsia="宋体" w:hint="default"/>
          <w:sz w:val="18"/>
          <w:szCs w:val="18"/>
        </w:rPr>
        <w:t>、公司于</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日披露了《关于对外投资参与设立保险公司的公告》，拟出资人民币</w:t>
      </w:r>
      <w:r>
        <w:rPr>
          <w:rFonts w:ascii="宋体" w:hAnsi="宋体" w:cs="宋体" w:eastAsia="宋体" w:hint="default"/>
          <w:sz w:val="18"/>
          <w:szCs w:val="18"/>
        </w:rPr>
        <w:t>6</w:t>
      </w:r>
      <w:r>
        <w:rPr>
          <w:rFonts w:ascii="宋体" w:hAnsi="宋体" w:cs="宋体" w:eastAsia="宋体" w:hint="default"/>
          <w:sz w:val="18"/>
          <w:szCs w:val="18"/>
        </w:rPr>
        <w:t>亿元与山东高速集团有限</w:t>
      </w:r>
    </w:p>
    <w:p>
      <w:pPr>
        <w:spacing w:line="477" w:lineRule="auto" w:before="54"/>
        <w:ind w:left="153" w:right="1131" w:firstLine="0"/>
        <w:jc w:val="both"/>
        <w:rPr>
          <w:rFonts w:ascii="宋体" w:hAnsi="宋体" w:cs="宋体" w:eastAsia="宋体" w:hint="default"/>
          <w:sz w:val="18"/>
          <w:szCs w:val="18"/>
        </w:rPr>
      </w:pPr>
      <w:r>
        <w:rPr>
          <w:rFonts w:ascii="宋体" w:hAnsi="宋体" w:cs="宋体" w:eastAsia="宋体" w:hint="default"/>
          <w:spacing w:val="-2"/>
          <w:sz w:val="18"/>
          <w:szCs w:val="18"/>
        </w:rPr>
        <w:t>公司、泰山财产保险股份有限公司、山东南山铝业股份有限公司、重庆协信远创实业有限公司、山东天业房地产开发集团有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限公司共同发起设立泰山健康保险股份有限公司，报告期内，泰山保险的预筹建工作按计划顺利推进，后续重大进展将以临</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时报告的方式进行披露。</w:t>
      </w:r>
    </w:p>
    <w:p>
      <w:pPr>
        <w:spacing w:line="477" w:lineRule="auto" w:before="54"/>
        <w:ind w:left="513"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、开展投资者保护“蓝天行动”专项工作 </w:t>
      </w:r>
      <w:r>
        <w:rPr>
          <w:rFonts w:ascii="宋体" w:hAnsi="宋体" w:cs="宋体" w:eastAsia="宋体" w:hint="default"/>
          <w:spacing w:val="-2"/>
          <w:sz w:val="18"/>
          <w:szCs w:val="18"/>
        </w:rPr>
        <w:t>为贯彻中国证监会深圳证监局下发的《关于持续深入开展投资者保护“蓝天行动</w:t>
      </w:r>
      <w:r>
        <w:rPr>
          <w:rFonts w:ascii="宋体" w:hAnsi="宋体" w:cs="宋体" w:eastAsia="宋体" w:hint="default"/>
          <w:spacing w:val="-2"/>
          <w:sz w:val="18"/>
          <w:szCs w:val="18"/>
        </w:rPr>
        <w:t>2017</w:t>
      </w:r>
      <w:r>
        <w:rPr>
          <w:rFonts w:ascii="宋体" w:hAnsi="宋体" w:cs="宋体" w:eastAsia="宋体" w:hint="default"/>
          <w:spacing w:val="-2"/>
          <w:sz w:val="18"/>
          <w:szCs w:val="18"/>
        </w:rPr>
        <w:t>”专项工作的通知》文件精神，进</w:t>
      </w:r>
    </w:p>
    <w:p>
      <w:pPr>
        <w:spacing w:line="477" w:lineRule="auto" w:before="54"/>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一步加强投资者保护工作，建立和完善回报投资者的管理机制，以帮助投资者树立理性投资、长期投资的理念，提高风险意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识和自我保护能力，促进公司股东价值最大化，公司已于</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7</w:t>
      </w:r>
      <w:r>
        <w:rPr>
          <w:rFonts w:ascii="宋体" w:hAnsi="宋体" w:cs="宋体" w:eastAsia="宋体" w:hint="default"/>
          <w:spacing w:val="-2"/>
          <w:sz w:val="18"/>
          <w:szCs w:val="18"/>
        </w:rPr>
        <w:t>月制订了《关于持续深入开展投资者保护“蓝天行动</w:t>
      </w:r>
      <w:r>
        <w:rPr>
          <w:rFonts w:ascii="宋体" w:hAnsi="宋体" w:cs="宋体" w:eastAsia="宋体" w:hint="default"/>
          <w:spacing w:val="-2"/>
          <w:sz w:val="18"/>
          <w:szCs w:val="18"/>
        </w:rPr>
        <w:t>2017</w:t>
      </w:r>
      <w:r>
        <w:rPr>
          <w:rFonts w:ascii="宋体" w:hAnsi="宋体" w:cs="宋体" w:eastAsia="宋体" w:hint="default"/>
          <w:spacing w:val="-2"/>
          <w:sz w:val="18"/>
          <w:szCs w:val="18"/>
        </w:rPr>
        <w:t>”</w:t>
      </w:r>
      <w:r>
        <w:rPr>
          <w:rFonts w:ascii="宋体" w:hAnsi="宋体" w:cs="宋体" w:eastAsia="宋体" w:hint="default"/>
          <w:spacing w:val="-56"/>
          <w:sz w:val="18"/>
          <w:szCs w:val="18"/>
        </w:rPr>
        <w:t> </w:t>
      </w:r>
      <w:r>
        <w:rPr>
          <w:rFonts w:ascii="宋体" w:hAnsi="宋体" w:cs="宋体" w:eastAsia="宋体" w:hint="default"/>
          <w:spacing w:val="-2"/>
          <w:sz w:val="18"/>
          <w:szCs w:val="18"/>
        </w:rPr>
        <w:t>专项工作的方案》，并于</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11</w:t>
      </w:r>
      <w:r>
        <w:rPr>
          <w:rFonts w:ascii="宋体" w:hAnsi="宋体" w:cs="宋体" w:eastAsia="宋体" w:hint="default"/>
          <w:spacing w:val="-2"/>
          <w:sz w:val="18"/>
          <w:szCs w:val="18"/>
        </w:rPr>
        <w:t>月完成了《关于持续深入开展投资者保护“蓝天行动</w:t>
      </w:r>
      <w:r>
        <w:rPr>
          <w:rFonts w:ascii="宋体" w:hAnsi="宋体" w:cs="宋体" w:eastAsia="宋体" w:hint="default"/>
          <w:spacing w:val="-2"/>
          <w:sz w:val="18"/>
          <w:szCs w:val="18"/>
        </w:rPr>
        <w:t>2017</w:t>
      </w:r>
      <w:r>
        <w:rPr>
          <w:rFonts w:ascii="宋体" w:hAnsi="宋体" w:cs="宋体" w:eastAsia="宋体" w:hint="default"/>
          <w:spacing w:val="-2"/>
          <w:sz w:val="18"/>
          <w:szCs w:val="18"/>
        </w:rPr>
        <w:t>”专项工作的总结报告》，未来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将继续稳步推进投资者保护工作。</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bookmarkStart w:name="二十、公司子公司重大事项" w:id="105"/>
      <w:bookmarkEnd w:id="105"/>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3"/>
          <w:szCs w:val="13"/>
        </w:rPr>
      </w:pPr>
    </w:p>
    <w:p>
      <w:pPr>
        <w:spacing w:line="477" w:lineRule="auto" w:before="0"/>
        <w:ind w:left="153" w:right="1132" w:firstLine="360"/>
        <w:jc w:val="both"/>
        <w:rPr>
          <w:rFonts w:ascii="宋体" w:hAnsi="宋体" w:cs="宋体" w:eastAsia="宋体" w:hint="default"/>
          <w:sz w:val="18"/>
          <w:szCs w:val="18"/>
        </w:rPr>
      </w:pPr>
      <w:r>
        <w:rPr>
          <w:rFonts w:ascii="宋体" w:hAnsi="宋体" w:cs="宋体" w:eastAsia="宋体" w:hint="default"/>
          <w:sz w:val="18"/>
          <w:szCs w:val="18"/>
        </w:rPr>
        <w:t>报告期内，公司子公司达实信息对达实大厦扩建项目</w:t>
      </w:r>
      <w:r>
        <w:rPr>
          <w:rFonts w:ascii="宋体" w:hAnsi="宋体" w:cs="宋体" w:eastAsia="宋体" w:hint="default"/>
          <w:sz w:val="18"/>
          <w:szCs w:val="18"/>
        </w:rPr>
        <w:t>2017</w:t>
      </w:r>
      <w:r>
        <w:rPr>
          <w:rFonts w:ascii="宋体" w:hAnsi="宋体" w:cs="宋体" w:eastAsia="宋体" w:hint="default"/>
          <w:sz w:val="18"/>
          <w:szCs w:val="18"/>
        </w:rPr>
        <w:t>年投资</w:t>
      </w:r>
      <w:r>
        <w:rPr>
          <w:rFonts w:ascii="宋体" w:hAnsi="宋体" w:cs="宋体" w:eastAsia="宋体" w:hint="default"/>
          <w:spacing w:val="-31"/>
          <w:sz w:val="18"/>
          <w:szCs w:val="18"/>
        </w:rPr>
        <w:t> </w:t>
      </w:r>
      <w:r>
        <w:rPr>
          <w:rFonts w:ascii="宋体" w:hAnsi="宋体" w:cs="宋体" w:eastAsia="宋体" w:hint="default"/>
          <w:spacing w:val="-4"/>
          <w:sz w:val="18"/>
          <w:szCs w:val="18"/>
        </w:rPr>
        <w:t>176,374,708.01</w:t>
      </w:r>
      <w:r>
        <w:rPr>
          <w:rFonts w:ascii="宋体" w:hAnsi="宋体" w:cs="宋体" w:eastAsia="宋体" w:hint="default"/>
          <w:spacing w:val="-4"/>
          <w:sz w:val="18"/>
          <w:szCs w:val="18"/>
        </w:rPr>
        <w:t>元，项目已于</w:t>
      </w:r>
      <w:r>
        <w:rPr>
          <w:rFonts w:ascii="宋体" w:hAnsi="宋体" w:cs="宋体" w:eastAsia="宋体" w:hint="default"/>
          <w:spacing w:val="-4"/>
          <w:sz w:val="18"/>
          <w:szCs w:val="18"/>
        </w:rPr>
        <w:t>2017</w:t>
      </w:r>
      <w:r>
        <w:rPr>
          <w:rFonts w:ascii="宋体" w:hAnsi="宋体" w:cs="宋体" w:eastAsia="宋体" w:hint="default"/>
          <w:spacing w:val="-4"/>
          <w:sz w:val="18"/>
          <w:szCs w:val="18"/>
        </w:rPr>
        <w:t>年底封顶，预计</w:t>
      </w:r>
      <w:r>
        <w:rPr>
          <w:rFonts w:ascii="宋体" w:hAnsi="宋体" w:cs="宋体" w:eastAsia="宋体" w:hint="default"/>
          <w:spacing w:val="-4"/>
          <w:sz w:val="18"/>
          <w:szCs w:val="18"/>
        </w:rPr>
        <w:t>2018</w:t>
      </w:r>
      <w:r>
        <w:rPr>
          <w:rFonts w:ascii="宋体" w:hAnsi="宋体" w:cs="宋体" w:eastAsia="宋体" w:hint="default"/>
          <w:sz w:val="18"/>
          <w:szCs w:val="18"/>
        </w:rPr>
        <w:t> </w:t>
      </w:r>
      <w:r>
        <w:rPr>
          <w:rFonts w:ascii="宋体" w:hAnsi="宋体" w:cs="宋体" w:eastAsia="宋体" w:hint="default"/>
          <w:sz w:val="18"/>
          <w:szCs w:val="18"/>
        </w:rPr>
        <w:t>年底交付。</w:t>
      </w:r>
    </w:p>
    <w:p>
      <w:pPr>
        <w:spacing w:after="0" w:line="477"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第六节 股份变动及股东情况" w:id="106"/>
      <w:bookmarkEnd w:id="106"/>
      <w:r>
        <w:rPr>
          <w:b w:val="0"/>
          <w:bCs w:val="0"/>
        </w:rPr>
      </w:r>
      <w:bookmarkStart w:name="_bookmark5" w:id="107"/>
      <w:bookmarkEnd w:id="107"/>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8"/>
      <w:bookmarkEnd w:id="108"/>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股份变动情况" w:id="109"/>
      <w:bookmarkEnd w:id="109"/>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33"/>
        <w:gridCol w:w="1103"/>
        <w:gridCol w:w="701"/>
        <w:gridCol w:w="777"/>
        <w:gridCol w:w="415"/>
        <w:gridCol w:w="956"/>
        <w:gridCol w:w="926"/>
        <w:gridCol w:w="926"/>
        <w:gridCol w:w="1092"/>
        <w:gridCol w:w="701"/>
      </w:tblGrid>
      <w:tr>
        <w:trPr>
          <w:trHeight w:val="206" w:hRule="exact"/>
        </w:trPr>
        <w:tc>
          <w:tcPr>
            <w:tcW w:w="18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0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4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6" w:hRule="exact"/>
        </w:trPr>
        <w:tc>
          <w:tcPr>
            <w:tcW w:w="1833" w:type="dxa"/>
            <w:vMerge w:val="restart"/>
            <w:tcBorders>
              <w:top w:val="nil" w:sz="6" w:space="0" w:color="auto"/>
              <w:left w:val="single" w:sz="4" w:space="0" w:color="000000"/>
              <w:right w:val="single" w:sz="4" w:space="0" w:color="000000"/>
            </w:tcBorders>
            <w:shd w:val="clear" w:color="auto" w:fill="D2D2D2"/>
          </w:tcPr>
          <w:p>
            <w:pPr/>
          </w:p>
        </w:tc>
        <w:tc>
          <w:tcPr>
            <w:tcW w:w="1804" w:type="dxa"/>
            <w:gridSpan w:val="2"/>
            <w:vMerge/>
            <w:tcBorders>
              <w:left w:val="single" w:sz="4" w:space="0" w:color="000000"/>
              <w:bottom w:val="single" w:sz="4" w:space="0" w:color="000000"/>
              <w:right w:val="single" w:sz="4" w:space="0" w:color="000000"/>
            </w:tcBorders>
            <w:shd w:val="clear" w:color="auto" w:fill="D2D2D2"/>
          </w:tcPr>
          <w:p>
            <w:pPr/>
          </w:p>
        </w:tc>
        <w:tc>
          <w:tcPr>
            <w:tcW w:w="4000" w:type="dxa"/>
            <w:gridSpan w:val="5"/>
            <w:vMerge/>
            <w:tcBorders>
              <w:left w:val="single" w:sz="4" w:space="0" w:color="000000"/>
              <w:bottom w:val="single" w:sz="4" w:space="0" w:color="000000"/>
              <w:right w:val="single" w:sz="4" w:space="0" w:color="000000"/>
            </w:tcBorders>
            <w:shd w:val="clear" w:color="auto" w:fill="D2D2D2"/>
          </w:tcPr>
          <w:p>
            <w:pPr/>
          </w:p>
        </w:tc>
        <w:tc>
          <w:tcPr>
            <w:tcW w:w="1793"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33" w:type="dxa"/>
            <w:vMerge/>
            <w:tcBorders>
              <w:left w:val="single" w:sz="4" w:space="0" w:color="000000"/>
              <w:bottom w:val="nil" w:sz="6" w:space="0" w:color="auto"/>
              <w:right w:val="single" w:sz="4" w:space="0" w:color="000000"/>
            </w:tcBorders>
            <w:shd w:val="clear" w:color="auto" w:fill="D2D2D2"/>
          </w:tcPr>
          <w:p>
            <w:pPr/>
          </w:p>
        </w:tc>
        <w:tc>
          <w:tcPr>
            <w:tcW w:w="1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7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03" w:type="dxa"/>
            <w:vMerge/>
            <w:tcBorders>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777" w:type="dxa"/>
            <w:vMerge/>
            <w:tcBorders>
              <w:left w:val="single" w:sz="4" w:space="0" w:color="000000"/>
              <w:bottom w:val="single" w:sz="4" w:space="0" w:color="000000"/>
              <w:right w:val="single" w:sz="4" w:space="0" w:color="000000"/>
            </w:tcBorders>
            <w:shd w:val="clear" w:color="auto" w:fill="D2D2D2"/>
          </w:tcPr>
          <w:p>
            <w:pPr/>
          </w:p>
        </w:tc>
        <w:tc>
          <w:tcPr>
            <w:tcW w:w="415" w:type="dxa"/>
            <w:vMerge/>
            <w:tcBorders>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523,156,689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27.15%</w:t>
            </w:r>
          </w:p>
        </w:tc>
        <w:tc>
          <w:tcPr>
            <w:tcW w:w="77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-98,714,237</w:t>
            </w:r>
            <w:r>
              <w:rPr>
                <w:rFonts w:ascii="Times New Roman"/>
                <w:sz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-98,714,237</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424,442,452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22.07%</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03" w:type="dxa"/>
            <w:tcBorders>
              <w:top w:val="single" w:sz="4" w:space="0" w:color="000000"/>
              <w:left w:val="single" w:sz="13" w:space="0" w:color="D2D2D2"/>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03" w:type="dxa"/>
            <w:tcBorders>
              <w:top w:val="single" w:sz="4" w:space="0" w:color="000000"/>
              <w:left w:val="single" w:sz="13" w:space="0" w:color="D2D2D2"/>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523,156,689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27.15%</w:t>
            </w:r>
          </w:p>
        </w:tc>
        <w:tc>
          <w:tcPr>
            <w:tcW w:w="77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-98,714,237</w:t>
            </w:r>
            <w:r>
              <w:rPr>
                <w:rFonts w:ascii="Times New Roman"/>
                <w:sz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-98,714,237</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424,442,452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22.07%</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8,457,483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c>
          <w:tcPr>
            <w:tcW w:w="77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8,457,483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514,699,206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26.71%</w:t>
            </w:r>
          </w:p>
        </w:tc>
        <w:tc>
          <w:tcPr>
            <w:tcW w:w="77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-98,714,237</w:t>
            </w:r>
            <w:r>
              <w:rPr>
                <w:rFonts w:ascii="Times New Roman"/>
                <w:sz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-98,714,237</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415,984,969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21.63%</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03" w:type="dxa"/>
            <w:tcBorders>
              <w:top w:val="single" w:sz="4" w:space="0" w:color="000000"/>
              <w:left w:val="single" w:sz="13" w:space="0" w:color="D2D2D2"/>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03" w:type="dxa"/>
            <w:tcBorders>
              <w:top w:val="single" w:sz="4" w:space="0" w:color="000000"/>
              <w:left w:val="single" w:sz="13" w:space="0" w:color="D2D2D2"/>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03" w:type="dxa"/>
            <w:tcBorders>
              <w:top w:val="single" w:sz="4" w:space="0" w:color="000000"/>
              <w:left w:val="single" w:sz="13" w:space="0" w:color="D2D2D2"/>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1,404,041,487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72.85%</w:t>
            </w:r>
          </w:p>
        </w:tc>
        <w:tc>
          <w:tcPr>
            <w:tcW w:w="77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95,113,562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95,113,562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1,499,155,049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77.93%</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1,404,041,487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72.85%</w:t>
            </w:r>
          </w:p>
        </w:tc>
        <w:tc>
          <w:tcPr>
            <w:tcW w:w="77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95,113,562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95,113,562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1,499,155,049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77.93%</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03" w:type="dxa"/>
            <w:tcBorders>
              <w:top w:val="single" w:sz="4" w:space="0" w:color="000000"/>
              <w:left w:val="single" w:sz="13" w:space="0" w:color="D2D2D2"/>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03" w:type="dxa"/>
            <w:tcBorders>
              <w:top w:val="single" w:sz="4" w:space="0" w:color="000000"/>
              <w:left w:val="single" w:sz="13" w:space="0" w:color="D2D2D2"/>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3" w:type="dxa"/>
            <w:tcBorders>
              <w:top w:val="single" w:sz="4" w:space="0" w:color="000000"/>
              <w:left w:val="single" w:sz="13" w:space="0" w:color="D2D2D2"/>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1,927,198,176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77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-3,600,675</w:t>
            </w:r>
            <w:r>
              <w:rPr>
                <w:rFonts w:ascii="Times New Roman"/>
                <w:sz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-3,600,675</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1,923,597,501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3"/>
          <w:szCs w:val="13"/>
        </w:rPr>
      </w:pPr>
    </w:p>
    <w:p>
      <w:pPr>
        <w:spacing w:line="451" w:lineRule="auto" w:before="0"/>
        <w:ind w:left="154" w:right="1184"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、公司第二期限制性股票激励计划中，由于个别激励对象已离职，</w:t>
      </w:r>
      <w:r>
        <w:rPr>
          <w:rFonts w:ascii="Times New Roman" w:hAnsi="Times New Roman" w:cs="Times New Roman" w:eastAsia="Times New Roman" w:hint="default"/>
          <w:sz w:val="18"/>
          <w:szCs w:val="18"/>
        </w:rPr>
        <w:t>468,600</w:t>
      </w:r>
      <w:r>
        <w:rPr>
          <w:rFonts w:ascii="宋体" w:hAnsi="宋体" w:cs="宋体" w:eastAsia="宋体" w:hint="default"/>
          <w:sz w:val="18"/>
          <w:szCs w:val="18"/>
        </w:rPr>
        <w:t>股于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日在中国证券登记结算有 限责任公司深圳分公司完成回购及注销手续；</w:t>
      </w:r>
    </w:p>
    <w:p>
      <w:pPr>
        <w:spacing w:before="74"/>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、公司第二期限制性股票激励计划首次授予股份第二个解锁期条件及预留股份第一个解锁期条件满足，</w:t>
      </w:r>
      <w:r>
        <w:rPr>
          <w:rFonts w:ascii="Times New Roman" w:hAnsi="Times New Roman" w:cs="Times New Roman" w:eastAsia="Times New Roman" w:hint="default"/>
          <w:sz w:val="18"/>
          <w:szCs w:val="18"/>
        </w:rPr>
        <w:t>9,454,425</w:t>
      </w:r>
      <w:r>
        <w:rPr>
          <w:rFonts w:ascii="宋体" w:hAnsi="宋体" w:cs="宋体" w:eastAsia="宋体" w:hint="default"/>
          <w:sz w:val="18"/>
          <w:szCs w:val="18"/>
        </w:rPr>
        <w:t>股于</w:t>
      </w:r>
    </w:p>
    <w:p>
      <w:pPr>
        <w:spacing w:line="240" w:lineRule="auto" w:before="9"/>
        <w:rPr>
          <w:rFonts w:ascii="宋体" w:hAnsi="宋体" w:cs="宋体" w:eastAsia="宋体" w:hint="default"/>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日解除限售，高管持有的股份按照深交所的相关规定进行了锁定；</w:t>
      </w:r>
    </w:p>
    <w:p>
      <w:pPr>
        <w:spacing w:line="240" w:lineRule="auto" w:before="10"/>
        <w:rPr>
          <w:rFonts w:ascii="宋体" w:hAnsi="宋体" w:cs="宋体" w:eastAsia="宋体" w:hint="default"/>
          <w:sz w:val="16"/>
          <w:szCs w:val="16"/>
        </w:rPr>
      </w:pPr>
    </w:p>
    <w:p>
      <w:pPr>
        <w:spacing w:line="451" w:lineRule="auto" w:before="0"/>
        <w:ind w:left="154" w:right="114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、公司第二期限制性股票激励计划中，由于个别激励对象已离职、考核未达全部解锁条件以及激励对象资格不再满足 首次授予股份第二个解锁期及预留股份第一个解锁期全部解锁要求</w:t>
      </w:r>
      <w:r>
        <w:rPr>
          <w:rFonts w:ascii="Times New Roman" w:hAnsi="Times New Roman" w:cs="Times New Roman" w:eastAsia="Times New Roman" w:hint="default"/>
          <w:sz w:val="18"/>
          <w:szCs w:val="18"/>
        </w:rPr>
        <w:t>,3,132,075</w:t>
      </w:r>
      <w:r>
        <w:rPr>
          <w:rFonts w:ascii="宋体" w:hAnsi="宋体" w:cs="宋体" w:eastAsia="宋体" w:hint="default"/>
          <w:sz w:val="18"/>
          <w:szCs w:val="18"/>
        </w:rPr>
        <w:t>股于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日在中国证券登记结算有限责 任公司深圳分公司完成回购及注销手续；</w:t>
      </w:r>
    </w:p>
    <w:p>
      <w:pPr>
        <w:spacing w:after="0" w:line="451"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年度非公开发行股份</w:t>
      </w:r>
      <w:r>
        <w:rPr>
          <w:rFonts w:ascii="Times New Roman" w:hAnsi="Times New Roman" w:cs="Times New Roman" w:eastAsia="Times New Roman" w:hint="default"/>
          <w:sz w:val="18"/>
          <w:szCs w:val="18"/>
        </w:rPr>
        <w:t>310,200,000</w:t>
      </w:r>
      <w:r>
        <w:rPr>
          <w:rFonts w:ascii="宋体" w:hAnsi="宋体" w:cs="宋体" w:eastAsia="宋体" w:hint="default"/>
          <w:sz w:val="18"/>
          <w:szCs w:val="18"/>
        </w:rPr>
        <w:t>股于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日上市流通；</w:t>
      </w:r>
    </w:p>
    <w:p>
      <w:pPr>
        <w:spacing w:line="240" w:lineRule="auto" w:before="9"/>
        <w:rPr>
          <w:rFonts w:ascii="宋体" w:hAnsi="宋体" w:cs="宋体" w:eastAsia="宋体" w:hint="default"/>
          <w:sz w:val="16"/>
          <w:szCs w:val="16"/>
        </w:rPr>
      </w:pPr>
    </w:p>
    <w:p>
      <w:pPr>
        <w:spacing w:before="0"/>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、高管锁定股按照深交所相关规定进行了相应的解锁。</w:t>
      </w:r>
    </w:p>
    <w:p>
      <w:pPr>
        <w:spacing w:line="240" w:lineRule="auto" w:before="9"/>
        <w:rPr>
          <w:rFonts w:ascii="宋体" w:hAnsi="宋体" w:cs="宋体" w:eastAsia="宋体" w:hint="default"/>
          <w:sz w:val="16"/>
          <w:szCs w:val="16"/>
        </w:rPr>
      </w:pPr>
    </w:p>
    <w:p>
      <w:pPr>
        <w:spacing w:line="415" w:lineRule="auto" w:before="0"/>
        <w:ind w:left="153" w:right="400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、离职高管以及新聘任高管的锁定股份按照深交所相关规定进行了相应的调整。 股份变动的批准情况</w:t>
      </w:r>
    </w:p>
    <w:p>
      <w:pPr>
        <w:spacing w:line="235" w:lineRule="exact"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3"/>
          <w:szCs w:val="13"/>
        </w:rPr>
      </w:pPr>
    </w:p>
    <w:p>
      <w:pPr>
        <w:spacing w:before="0"/>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、公司第二期限制性股票激励计划第二次回购注销事宜经公司第六届董事会第一次会议审议通过。</w:t>
      </w:r>
    </w:p>
    <w:p>
      <w:pPr>
        <w:spacing w:line="240" w:lineRule="auto" w:before="9"/>
        <w:rPr>
          <w:rFonts w:ascii="宋体" w:hAnsi="宋体" w:cs="宋体" w:eastAsia="宋体" w:hint="default"/>
          <w:sz w:val="16"/>
          <w:szCs w:val="16"/>
        </w:rPr>
      </w:pPr>
    </w:p>
    <w:p>
      <w:pPr>
        <w:spacing w:line="451" w:lineRule="auto" w:before="0"/>
        <w:ind w:left="154" w:right="1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、公司第二期限制性股票激励计划首次授予股份第二个解锁期及预留股份第一个解锁期解除限售事宜经公司第六届董 事会第六次会议审议通过。</w:t>
      </w:r>
    </w:p>
    <w:p>
      <w:pPr>
        <w:spacing w:line="415" w:lineRule="auto" w:before="74"/>
        <w:ind w:left="153" w:right="25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、公司第二期限制性股票激励计划第三次回购注销事宜经公司第六届董事会第六次会议审议通过。 股份变动的过户情况</w:t>
      </w:r>
    </w:p>
    <w:p>
      <w:pPr>
        <w:spacing w:line="235" w:lineRule="exact"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3"/>
          <w:szCs w:val="13"/>
        </w:rPr>
      </w:pPr>
    </w:p>
    <w:p>
      <w:pPr>
        <w:spacing w:before="0"/>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、公司第二期限制性股票激励计划第二次回购注销股份于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日回购注销完成；</w:t>
      </w:r>
    </w:p>
    <w:p>
      <w:pPr>
        <w:spacing w:line="240" w:lineRule="auto" w:before="9"/>
        <w:rPr>
          <w:rFonts w:ascii="宋体" w:hAnsi="宋体" w:cs="宋体" w:eastAsia="宋体" w:hint="default"/>
          <w:sz w:val="16"/>
          <w:szCs w:val="16"/>
        </w:rPr>
      </w:pPr>
    </w:p>
    <w:p>
      <w:pPr>
        <w:spacing w:before="0"/>
        <w:ind w:left="513"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、公司第二期限制性股票激励计划首次授予股份第二个解锁期及预留股份第一个解锁期解除限售股份于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p>
    <w:p>
      <w:pPr>
        <w:spacing w:line="240" w:lineRule="auto" w:before="0"/>
        <w:rPr>
          <w:rFonts w:ascii="Times New Roman" w:hAnsi="Times New Roman" w:cs="Times New Roman" w:eastAsia="Times New Roman" w:hint="default"/>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日解除限售；</w:t>
      </w:r>
    </w:p>
    <w:p>
      <w:pPr>
        <w:spacing w:line="240" w:lineRule="auto" w:before="10"/>
        <w:rPr>
          <w:rFonts w:ascii="宋体" w:hAnsi="宋体" w:cs="宋体" w:eastAsia="宋体" w:hint="default"/>
          <w:sz w:val="17"/>
          <w:szCs w:val="17"/>
        </w:rPr>
      </w:pPr>
    </w:p>
    <w:p>
      <w:pPr>
        <w:spacing w:before="0"/>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、公司第二期限制性股票激励计划第三次回购注销股份于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日回购注销完成；</w:t>
      </w:r>
    </w:p>
    <w:p>
      <w:pPr>
        <w:spacing w:line="240" w:lineRule="auto" w:before="9"/>
        <w:rPr>
          <w:rFonts w:ascii="宋体" w:hAnsi="宋体" w:cs="宋体" w:eastAsia="宋体" w:hint="default"/>
          <w:sz w:val="16"/>
          <w:szCs w:val="16"/>
        </w:rPr>
      </w:pPr>
    </w:p>
    <w:p>
      <w:pPr>
        <w:spacing w:line="415" w:lineRule="auto" w:before="0"/>
        <w:ind w:left="154" w:right="139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年度非公开发行股份于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日上市。 股份变动对最近一年和最近一期基本每股收益和稀释每股收益、归属于公司普通股股东的每股净资产等财务指标的影响</w:t>
      </w:r>
    </w:p>
    <w:p>
      <w:pPr>
        <w:spacing w:line="235" w:lineRule="exact"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3"/>
          <w:szCs w:val="13"/>
        </w:rPr>
      </w:pPr>
    </w:p>
    <w:p>
      <w:pPr>
        <w:spacing w:line="477" w:lineRule="auto" w:before="0"/>
        <w:ind w:left="153" w:right="0" w:firstLine="360"/>
        <w:jc w:val="lef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、本报告期基本每股收益</w:t>
      </w:r>
      <w:r>
        <w:rPr>
          <w:rFonts w:ascii="宋体" w:hAnsi="宋体" w:cs="宋体" w:eastAsia="宋体" w:hint="default"/>
          <w:spacing w:val="-2"/>
          <w:sz w:val="18"/>
          <w:szCs w:val="18"/>
        </w:rPr>
        <w:t>0.1635</w:t>
      </w:r>
      <w:r>
        <w:rPr>
          <w:rFonts w:ascii="宋体" w:hAnsi="宋体" w:cs="宋体" w:eastAsia="宋体" w:hint="default"/>
          <w:spacing w:val="-2"/>
          <w:sz w:val="18"/>
          <w:szCs w:val="18"/>
        </w:rPr>
        <w:t>元</w:t>
      </w:r>
      <w:r>
        <w:rPr>
          <w:rFonts w:ascii="宋体" w:hAnsi="宋体" w:cs="宋体" w:eastAsia="宋体" w:hint="default"/>
          <w:spacing w:val="-2"/>
          <w:sz w:val="18"/>
          <w:szCs w:val="18"/>
        </w:rPr>
        <w:t>/</w:t>
      </w:r>
      <w:r>
        <w:rPr>
          <w:rFonts w:ascii="宋体" w:hAnsi="宋体" w:cs="宋体" w:eastAsia="宋体" w:hint="default"/>
          <w:spacing w:val="-2"/>
          <w:sz w:val="18"/>
          <w:szCs w:val="18"/>
        </w:rPr>
        <w:t>股，稀释每股收益</w:t>
      </w:r>
      <w:r>
        <w:rPr>
          <w:rFonts w:ascii="宋体" w:hAnsi="宋体" w:cs="宋体" w:eastAsia="宋体" w:hint="default"/>
          <w:spacing w:val="-2"/>
          <w:sz w:val="18"/>
          <w:szCs w:val="18"/>
        </w:rPr>
        <w:t>0.1620</w:t>
      </w:r>
      <w:r>
        <w:rPr>
          <w:rFonts w:ascii="宋体" w:hAnsi="宋体" w:cs="宋体" w:eastAsia="宋体" w:hint="default"/>
          <w:spacing w:val="-2"/>
          <w:sz w:val="18"/>
          <w:szCs w:val="18"/>
        </w:rPr>
        <w:t>元</w:t>
      </w:r>
      <w:r>
        <w:rPr>
          <w:rFonts w:ascii="宋体" w:hAnsi="宋体" w:cs="宋体" w:eastAsia="宋体" w:hint="default"/>
          <w:spacing w:val="-2"/>
          <w:sz w:val="18"/>
          <w:szCs w:val="18"/>
        </w:rPr>
        <w:t>/</w:t>
      </w:r>
      <w:r>
        <w:rPr>
          <w:rFonts w:ascii="宋体" w:hAnsi="宋体" w:cs="宋体" w:eastAsia="宋体" w:hint="default"/>
          <w:spacing w:val="-2"/>
          <w:sz w:val="18"/>
          <w:szCs w:val="18"/>
        </w:rPr>
        <w:t>股，剔除第二期限制性股票</w:t>
      </w:r>
      <w:r>
        <w:rPr>
          <w:rFonts w:ascii="宋体" w:hAnsi="宋体" w:cs="宋体" w:eastAsia="宋体" w:hint="default"/>
          <w:spacing w:val="-2"/>
          <w:sz w:val="18"/>
          <w:szCs w:val="18"/>
        </w:rPr>
        <w:t>9,454,425</w:t>
      </w:r>
      <w:r>
        <w:rPr>
          <w:rFonts w:ascii="宋体" w:hAnsi="宋体" w:cs="宋体" w:eastAsia="宋体" w:hint="default"/>
          <w:spacing w:val="-2"/>
          <w:sz w:val="18"/>
          <w:szCs w:val="18"/>
        </w:rPr>
        <w:t>股解禁上市、第</w:t>
      </w:r>
      <w:r>
        <w:rPr>
          <w:rFonts w:ascii="宋体" w:hAnsi="宋体" w:cs="宋体" w:eastAsia="宋体" w:hint="default"/>
          <w:sz w:val="18"/>
          <w:szCs w:val="18"/>
        </w:rPr>
        <w:t> </w:t>
      </w:r>
      <w:r>
        <w:rPr>
          <w:rFonts w:ascii="宋体" w:hAnsi="宋体" w:cs="宋体" w:eastAsia="宋体" w:hint="default"/>
          <w:spacing w:val="-2"/>
          <w:sz w:val="18"/>
          <w:szCs w:val="18"/>
        </w:rPr>
        <w:t>二期限制性股票激励计划中由于个别激励对象已离职或其业绩考核结果不满足解锁要求，公司回购注销</w:t>
      </w:r>
      <w:r>
        <w:rPr>
          <w:rFonts w:ascii="宋体" w:hAnsi="宋体" w:cs="宋体" w:eastAsia="宋体" w:hint="default"/>
          <w:spacing w:val="-2"/>
          <w:sz w:val="18"/>
          <w:szCs w:val="18"/>
        </w:rPr>
        <w:t>3,132,075</w:t>
      </w:r>
      <w:r>
        <w:rPr>
          <w:rFonts w:ascii="宋体" w:hAnsi="宋体" w:cs="宋体" w:eastAsia="宋体" w:hint="default"/>
          <w:spacing w:val="-2"/>
          <w:sz w:val="18"/>
          <w:szCs w:val="18"/>
        </w:rPr>
        <w:t>股的影响，</w:t>
      </w:r>
      <w:r>
        <w:rPr>
          <w:rFonts w:ascii="宋体" w:hAnsi="宋体" w:cs="宋体" w:eastAsia="宋体" w:hint="default"/>
          <w:spacing w:val="-53"/>
          <w:sz w:val="18"/>
          <w:szCs w:val="18"/>
        </w:rPr>
        <w:t> </w:t>
      </w:r>
      <w:r>
        <w:rPr>
          <w:rFonts w:ascii="宋体" w:hAnsi="宋体" w:cs="宋体" w:eastAsia="宋体" w:hint="default"/>
          <w:sz w:val="18"/>
          <w:szCs w:val="18"/>
        </w:rPr>
        <w:t>公司基本每股收益</w:t>
      </w:r>
      <w:r>
        <w:rPr>
          <w:rFonts w:ascii="宋体" w:hAnsi="宋体" w:cs="宋体" w:eastAsia="宋体" w:hint="default"/>
          <w:sz w:val="18"/>
          <w:szCs w:val="18"/>
        </w:rPr>
        <w:t>0.1639</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股，稀释每股收益</w:t>
      </w:r>
      <w:r>
        <w:rPr>
          <w:rFonts w:ascii="宋体" w:hAnsi="宋体" w:cs="宋体" w:eastAsia="宋体" w:hint="default"/>
          <w:sz w:val="18"/>
          <w:szCs w:val="18"/>
        </w:rPr>
        <w:t>0.1618</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p>
      <w:pPr>
        <w:spacing w:line="477" w:lineRule="auto" w:before="54"/>
        <w:ind w:left="153" w:right="1131" w:firstLine="360"/>
        <w:jc w:val="both"/>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、本报告期归属于公司普通股股东的每股净资产</w:t>
      </w:r>
      <w:r>
        <w:rPr>
          <w:rFonts w:ascii="宋体" w:hAnsi="宋体" w:cs="宋体" w:eastAsia="宋体" w:hint="default"/>
          <w:spacing w:val="-2"/>
          <w:sz w:val="18"/>
          <w:szCs w:val="18"/>
        </w:rPr>
        <w:t>1.6102</w:t>
      </w:r>
      <w:r>
        <w:rPr>
          <w:rFonts w:ascii="宋体" w:hAnsi="宋体" w:cs="宋体" w:eastAsia="宋体" w:hint="default"/>
          <w:spacing w:val="-2"/>
          <w:sz w:val="18"/>
          <w:szCs w:val="18"/>
        </w:rPr>
        <w:t>元</w:t>
      </w:r>
      <w:r>
        <w:rPr>
          <w:rFonts w:ascii="宋体" w:hAnsi="宋体" w:cs="宋体" w:eastAsia="宋体" w:hint="default"/>
          <w:spacing w:val="-2"/>
          <w:sz w:val="18"/>
          <w:szCs w:val="18"/>
        </w:rPr>
        <w:t>/</w:t>
      </w:r>
      <w:r>
        <w:rPr>
          <w:rFonts w:ascii="宋体" w:hAnsi="宋体" w:cs="宋体" w:eastAsia="宋体" w:hint="default"/>
          <w:spacing w:val="-2"/>
          <w:sz w:val="18"/>
          <w:szCs w:val="18"/>
        </w:rPr>
        <w:t>股，剔除第二期限制性股票激励计划中由于个别激励对象已</w:t>
      </w:r>
      <w:r>
        <w:rPr>
          <w:rFonts w:ascii="宋体" w:hAnsi="宋体" w:cs="宋体" w:eastAsia="宋体" w:hint="default"/>
          <w:sz w:val="18"/>
          <w:szCs w:val="18"/>
        </w:rPr>
        <w:t> 离职或其业绩考核结果不满足解锁要求，公司回购注销</w:t>
      </w:r>
      <w:r>
        <w:rPr>
          <w:rFonts w:ascii="宋体" w:hAnsi="宋体" w:cs="宋体" w:eastAsia="宋体" w:hint="default"/>
          <w:sz w:val="18"/>
          <w:szCs w:val="18"/>
        </w:rPr>
        <w:t>3,132,075</w:t>
      </w:r>
      <w:r>
        <w:rPr>
          <w:rFonts w:ascii="宋体" w:hAnsi="宋体" w:cs="宋体" w:eastAsia="宋体" w:hint="default"/>
          <w:sz w:val="18"/>
          <w:szCs w:val="18"/>
        </w:rPr>
        <w:t>股的影响，归属于公司普通股股东的每股净资产为</w:t>
      </w:r>
      <w:r>
        <w:rPr>
          <w:rFonts w:ascii="宋体" w:hAnsi="宋体" w:cs="宋体" w:eastAsia="宋体" w:hint="default"/>
          <w:sz w:val="18"/>
          <w:szCs w:val="18"/>
        </w:rPr>
        <w:t>1.5912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p>
      <w:pPr>
        <w:spacing w:line="477" w:lineRule="auto" w:before="54"/>
        <w:ind w:left="153" w:right="1131" w:firstLine="36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、公司第二期限制性股票激励计划中，由于个别激励对象已离职，</w:t>
      </w:r>
      <w:r>
        <w:rPr>
          <w:rFonts w:ascii="宋体" w:hAnsi="宋体" w:cs="宋体" w:eastAsia="宋体" w:hint="default"/>
          <w:sz w:val="18"/>
          <w:szCs w:val="18"/>
        </w:rPr>
        <w:t>468,600</w:t>
      </w:r>
      <w:r>
        <w:rPr>
          <w:rFonts w:ascii="宋体" w:hAnsi="宋体" w:cs="宋体" w:eastAsia="宋体" w:hint="default"/>
          <w:sz w:val="18"/>
          <w:szCs w:val="18"/>
        </w:rPr>
        <w:t>股于</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日在中国证券登记结算有 </w:t>
      </w:r>
      <w:r>
        <w:rPr>
          <w:rFonts w:ascii="宋体" w:hAnsi="宋体" w:cs="宋体" w:eastAsia="宋体" w:hint="default"/>
          <w:spacing w:val="-2"/>
          <w:sz w:val="18"/>
          <w:szCs w:val="18"/>
        </w:rPr>
        <w:t>限责任公司深圳分公司完成回购及注销手续，回购价格为：张红萍、黄正根、孙爱萍、陈舟杰、沈洋五人为第二期限制性股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票激励计划首次授予对象，回购价格为</w:t>
      </w:r>
      <w:r>
        <w:rPr>
          <w:rFonts w:ascii="宋体" w:hAnsi="宋体" w:cs="宋体" w:eastAsia="宋体" w:hint="default"/>
          <w:spacing w:val="-3"/>
          <w:sz w:val="18"/>
          <w:szCs w:val="18"/>
        </w:rPr>
        <w:t>2.39</w:t>
      </w:r>
      <w:r>
        <w:rPr>
          <w:rFonts w:ascii="宋体" w:hAnsi="宋体" w:cs="宋体" w:eastAsia="宋体" w:hint="default"/>
          <w:spacing w:val="-3"/>
          <w:sz w:val="18"/>
          <w:szCs w:val="18"/>
        </w:rPr>
        <w:t>元</w:t>
      </w:r>
      <w:r>
        <w:rPr>
          <w:rFonts w:ascii="宋体" w:hAnsi="宋体" w:cs="宋体" w:eastAsia="宋体" w:hint="default"/>
          <w:spacing w:val="-3"/>
          <w:sz w:val="18"/>
          <w:szCs w:val="18"/>
        </w:rPr>
        <w:t>/</w:t>
      </w:r>
      <w:r>
        <w:rPr>
          <w:rFonts w:ascii="宋体" w:hAnsi="宋体" w:cs="宋体" w:eastAsia="宋体" w:hint="default"/>
          <w:spacing w:val="-3"/>
          <w:sz w:val="18"/>
          <w:szCs w:val="18"/>
        </w:rPr>
        <w:t>股，陈伟峰为第二期限制性股票激励计划预留股份授予对象，回购价格为</w:t>
      </w:r>
      <w:r>
        <w:rPr>
          <w:rFonts w:ascii="宋体" w:hAnsi="宋体" w:cs="宋体" w:eastAsia="宋体" w:hint="default"/>
          <w:spacing w:val="-3"/>
          <w:sz w:val="18"/>
          <w:szCs w:val="18"/>
        </w:rPr>
        <w:t>3.61</w:t>
      </w:r>
      <w:r>
        <w:rPr>
          <w:rFonts w:ascii="宋体" w:hAnsi="宋体" w:cs="宋体" w:eastAsia="宋体" w:hint="default"/>
          <w:spacing w:val="-87"/>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股，减少股本</w:t>
      </w:r>
      <w:r>
        <w:rPr>
          <w:rFonts w:ascii="宋体" w:hAnsi="宋体" w:cs="宋体" w:eastAsia="宋体" w:hint="default"/>
          <w:sz w:val="18"/>
          <w:szCs w:val="18"/>
        </w:rPr>
        <w:t>468,600</w:t>
      </w:r>
      <w:r>
        <w:rPr>
          <w:rFonts w:ascii="宋体" w:hAnsi="宋体" w:cs="宋体" w:eastAsia="宋体" w:hint="default"/>
          <w:sz w:val="18"/>
          <w:szCs w:val="18"/>
        </w:rPr>
        <w:t>股，资本公积</w:t>
      </w:r>
      <w:r>
        <w:rPr>
          <w:rFonts w:ascii="宋体" w:hAnsi="宋体" w:cs="宋体" w:eastAsia="宋体" w:hint="default"/>
          <w:sz w:val="18"/>
          <w:szCs w:val="18"/>
        </w:rPr>
        <w:t>772,134</w:t>
      </w:r>
      <w:r>
        <w:rPr>
          <w:rFonts w:ascii="宋体" w:hAnsi="宋体" w:cs="宋体" w:eastAsia="宋体" w:hint="default"/>
          <w:sz w:val="18"/>
          <w:szCs w:val="18"/>
        </w:rPr>
        <w:t>元，同时减少货币资金</w:t>
      </w:r>
      <w:r>
        <w:rPr>
          <w:rFonts w:ascii="宋体" w:hAnsi="宋体" w:cs="宋体" w:eastAsia="宋体" w:hint="default"/>
          <w:sz w:val="18"/>
          <w:szCs w:val="18"/>
        </w:rPr>
        <w:t>1,240,734</w:t>
      </w:r>
      <w:r>
        <w:rPr>
          <w:rFonts w:ascii="宋体" w:hAnsi="宋体" w:cs="宋体" w:eastAsia="宋体" w:hint="default"/>
          <w:sz w:val="18"/>
          <w:szCs w:val="18"/>
        </w:rPr>
        <w:t>元。</w:t>
      </w:r>
    </w:p>
    <w:p>
      <w:pPr>
        <w:spacing w:line="477" w:lineRule="auto" w:before="54"/>
        <w:ind w:left="154" w:right="1139" w:firstLine="360"/>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、公司第二期限制性股票激励计划中，由于个别激励对象已离职或其业绩考核结果不满足首次授予股份第二个解锁期 及预留股份第一个解锁期解锁要求，</w:t>
      </w:r>
      <w:r>
        <w:rPr>
          <w:rFonts w:ascii="宋体" w:hAnsi="宋体" w:cs="宋体" w:eastAsia="宋体" w:hint="default"/>
          <w:sz w:val="18"/>
          <w:szCs w:val="18"/>
        </w:rPr>
        <w:t>3,132,075</w:t>
      </w:r>
      <w:r>
        <w:rPr>
          <w:rFonts w:ascii="宋体" w:hAnsi="宋体" w:cs="宋体" w:eastAsia="宋体" w:hint="default"/>
          <w:sz w:val="18"/>
          <w:szCs w:val="18"/>
        </w:rPr>
        <w:t>股于</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日在中国证券登记结算有限责任公司深圳分公司完成回购及 注销手续，回购价格为：第二期限制性股票激励计划首次授予对象合计</w:t>
      </w:r>
      <w:r>
        <w:rPr>
          <w:rFonts w:ascii="宋体" w:hAnsi="宋体" w:cs="宋体" w:eastAsia="宋体" w:hint="default"/>
          <w:sz w:val="18"/>
          <w:szCs w:val="18"/>
        </w:rPr>
        <w:t>67</w:t>
      </w:r>
      <w:r>
        <w:rPr>
          <w:rFonts w:ascii="宋体" w:hAnsi="宋体" w:cs="宋体" w:eastAsia="宋体" w:hint="default"/>
          <w:sz w:val="18"/>
          <w:szCs w:val="18"/>
        </w:rPr>
        <w:t>人，回购价格为</w:t>
      </w:r>
      <w:r>
        <w:rPr>
          <w:rFonts w:ascii="宋体" w:hAnsi="宋体" w:cs="宋体" w:eastAsia="宋体" w:hint="default"/>
          <w:sz w:val="18"/>
          <w:szCs w:val="18"/>
        </w:rPr>
        <w:t>2.39</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股，第二期限制性股票激</w:t>
      </w:r>
    </w:p>
    <w:p>
      <w:pPr>
        <w:spacing w:after="0" w:line="477"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477" w:lineRule="auto" w:before="0"/>
        <w:ind w:left="153" w:right="1123" w:firstLine="0"/>
        <w:jc w:val="left"/>
        <w:rPr>
          <w:rFonts w:ascii="宋体" w:hAnsi="宋体" w:cs="宋体" w:eastAsia="宋体" w:hint="default"/>
          <w:sz w:val="18"/>
          <w:szCs w:val="18"/>
        </w:rPr>
      </w:pPr>
      <w:r>
        <w:rPr>
          <w:rFonts w:ascii="宋体" w:hAnsi="宋体" w:cs="宋体" w:eastAsia="宋体" w:hint="default"/>
          <w:sz w:val="18"/>
          <w:szCs w:val="18"/>
        </w:rPr>
        <w:t>励计划预留股份授予对象合计</w:t>
      </w:r>
      <w:r>
        <w:rPr>
          <w:rFonts w:ascii="宋体" w:hAnsi="宋体" w:cs="宋体" w:eastAsia="宋体" w:hint="default"/>
          <w:sz w:val="18"/>
          <w:szCs w:val="18"/>
        </w:rPr>
        <w:t>4</w:t>
      </w:r>
      <w:r>
        <w:rPr>
          <w:rFonts w:ascii="宋体" w:hAnsi="宋体" w:cs="宋体" w:eastAsia="宋体" w:hint="default"/>
          <w:sz w:val="18"/>
          <w:szCs w:val="18"/>
        </w:rPr>
        <w:t>人，回购价格为</w:t>
      </w:r>
      <w:r>
        <w:rPr>
          <w:rFonts w:ascii="宋体" w:hAnsi="宋体" w:cs="宋体" w:eastAsia="宋体" w:hint="default"/>
          <w:sz w:val="18"/>
          <w:szCs w:val="18"/>
        </w:rPr>
        <w:t>3.61</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股，减少股本</w:t>
      </w:r>
      <w:r>
        <w:rPr>
          <w:rFonts w:ascii="宋体" w:hAnsi="宋体" w:cs="宋体" w:eastAsia="宋体" w:hint="default"/>
          <w:sz w:val="18"/>
          <w:szCs w:val="18"/>
        </w:rPr>
        <w:t>3,132,075</w:t>
      </w:r>
      <w:r>
        <w:rPr>
          <w:rFonts w:ascii="宋体" w:hAnsi="宋体" w:cs="宋体" w:eastAsia="宋体" w:hint="default"/>
          <w:sz w:val="18"/>
          <w:szCs w:val="18"/>
        </w:rPr>
        <w:t>股，资本公积</w:t>
      </w:r>
      <w:r>
        <w:rPr>
          <w:rFonts w:ascii="宋体" w:hAnsi="宋体" w:cs="宋体" w:eastAsia="宋体" w:hint="default"/>
          <w:sz w:val="18"/>
          <w:szCs w:val="18"/>
        </w:rPr>
        <w:t>4,545,276.75</w:t>
      </w:r>
      <w:r>
        <w:rPr>
          <w:rFonts w:ascii="宋体" w:hAnsi="宋体" w:cs="宋体" w:eastAsia="宋体" w:hint="default"/>
          <w:sz w:val="18"/>
          <w:szCs w:val="18"/>
        </w:rPr>
        <w:t>元，同时减少货 币资金</w:t>
      </w:r>
      <w:r>
        <w:rPr>
          <w:rFonts w:ascii="宋体" w:hAnsi="宋体" w:cs="宋体" w:eastAsia="宋体" w:hint="default"/>
          <w:sz w:val="18"/>
          <w:szCs w:val="18"/>
        </w:rPr>
        <w:t>7,677,351.75</w:t>
      </w:r>
      <w:r>
        <w:rPr>
          <w:rFonts w:ascii="宋体" w:hAnsi="宋体" w:cs="宋体" w:eastAsia="宋体" w:hint="default"/>
          <w:sz w:val="18"/>
          <w:szCs w:val="18"/>
        </w:rPr>
        <w:t>元。</w:t>
      </w:r>
    </w:p>
    <w:p>
      <w:pPr>
        <w:spacing w:line="240" w:lineRule="auto" w:before="2"/>
        <w:rPr>
          <w:rFonts w:ascii="宋体" w:hAnsi="宋体" w:cs="宋体" w:eastAsia="宋体" w:hint="default"/>
          <w:sz w:val="25"/>
          <w:szCs w:val="25"/>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限售股份变动情况" w:id="110"/>
      <w:bookmarkEnd w:id="110"/>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74"/>
        <w:gridCol w:w="996"/>
        <w:gridCol w:w="1069"/>
        <w:gridCol w:w="1071"/>
        <w:gridCol w:w="994"/>
        <w:gridCol w:w="1369"/>
        <w:gridCol w:w="3294"/>
      </w:tblGrid>
      <w:tr>
        <w:trPr>
          <w:trHeight w:val="713"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3" w:right="41"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9" w:right="78"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9" w:right="81"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2" w:right="41"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贾虹</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178,200,000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178,200,000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133,650,000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133,650,000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非公开发行股份</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、非公开发行股份解除限售日期为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50"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174,737,031</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132,000,000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88,315,742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131,052,773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4"/>
              <w:jc w:val="both"/>
              <w:rPr>
                <w:rFonts w:ascii="宋体" w:hAnsi="宋体" w:cs="宋体" w:eastAsia="宋体" w:hint="default"/>
                <w:sz w:val="18"/>
                <w:szCs w:val="18"/>
              </w:rPr>
            </w:pPr>
            <w:r>
              <w:rPr>
                <w:rFonts w:ascii="宋体" w:hAnsi="宋体" w:cs="宋体" w:eastAsia="宋体" w:hint="default"/>
                <w:sz w:val="18"/>
                <w:szCs w:val="18"/>
              </w:rPr>
              <w:t>非公开发行股份 及重大资产重组 募集配套资金、 高管锁定</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、非公开发行股份解除限售日期为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w:t>
            </w:r>
            <w:r>
              <w:rPr>
                <w:rFonts w:ascii="宋体" w:hAnsi="宋体" w:cs="宋体" w:eastAsia="宋体" w:hint="default"/>
                <w:sz w:val="18"/>
                <w:szCs w:val="18"/>
              </w:rPr>
              <w:t>、重大资产重组配套募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集资金股份解除限售日期为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2" w:lineRule="auto" w:before="63"/>
              <w:ind w:left="22"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3</w:t>
            </w:r>
            <w:r>
              <w:rPr>
                <w:rFonts w:ascii="宋体" w:hAnsi="宋体" w:cs="宋体" w:eastAsia="宋体" w:hint="default"/>
                <w:sz w:val="18"/>
                <w:szCs w:val="18"/>
              </w:rPr>
              <w:t>、高管锁定股按照深交所相关规 定解除限售。</w:t>
            </w:r>
          </w:p>
        </w:tc>
      </w:tr>
      <w:tr>
        <w:trPr>
          <w:trHeight w:val="714"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房志刚</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sz w:val="18"/>
              </w:rPr>
              <w:t>97,667,640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sz w:val="18"/>
              </w:rPr>
              <w:t>97,667,640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发行股份购买资 产</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19" w:right="0"/>
              <w:jc w:val="center"/>
              <w:rPr>
                <w:rFonts w:ascii="Times New Roman" w:hAnsi="Times New Roman" w:cs="Times New Roman" w:eastAsia="Times New Roman" w:hint="default"/>
                <w:sz w:val="18"/>
                <w:szCs w:val="18"/>
              </w:rPr>
            </w:pPr>
            <w:r>
              <w:rPr>
                <w:rFonts w:ascii="Times New Roman"/>
                <w:sz w:val="18"/>
              </w:rPr>
              <w:t>9,344,532</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594,000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594,000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19" w:right="0"/>
              <w:jc w:val="center"/>
              <w:rPr>
                <w:rFonts w:ascii="Times New Roman" w:hAnsi="Times New Roman" w:cs="Times New Roman" w:eastAsia="Times New Roman" w:hint="default"/>
                <w:sz w:val="18"/>
                <w:szCs w:val="18"/>
              </w:rPr>
            </w:pPr>
            <w:r>
              <w:rPr>
                <w:rFonts w:ascii="Times New Roman"/>
                <w:sz w:val="18"/>
              </w:rPr>
              <w:t>9,344,532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both"/>
              <w:rPr>
                <w:rFonts w:ascii="宋体" w:hAnsi="宋体" w:cs="宋体" w:eastAsia="宋体" w:hint="default"/>
                <w:sz w:val="18"/>
                <w:szCs w:val="18"/>
              </w:rPr>
            </w:pPr>
            <w:r>
              <w:rPr>
                <w:rFonts w:ascii="宋体" w:hAnsi="宋体" w:cs="宋体" w:eastAsia="宋体" w:hint="default"/>
                <w:sz w:val="18"/>
                <w:szCs w:val="18"/>
              </w:rPr>
              <w:t>重大资产重组募 集配套资金、限 制性股票激励计 划、高管锁定</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、重大资产重组配套募集资金股份解除 限售日期为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w:t>
            </w:r>
            <w:r>
              <w:rPr>
                <w:rFonts w:ascii="宋体" w:hAnsi="宋体" w:cs="宋体" w:eastAsia="宋体" w:hint="default"/>
                <w:sz w:val="18"/>
                <w:szCs w:val="18"/>
              </w:rPr>
              <w:t>、限制 性股票激励计划分三期解除限售。</w:t>
            </w:r>
            <w:r>
              <w:rPr>
                <w:rFonts w:ascii="Times New Roman" w:hAnsi="Times New Roman" w:cs="Times New Roman" w:eastAsia="Times New Roman" w:hint="default"/>
                <w:sz w:val="18"/>
                <w:szCs w:val="18"/>
              </w:rPr>
              <w:t>3</w:t>
            </w:r>
            <w:r>
              <w:rPr>
                <w:rFonts w:ascii="宋体" w:hAnsi="宋体" w:cs="宋体" w:eastAsia="宋体" w:hint="default"/>
                <w:sz w:val="18"/>
                <w:szCs w:val="18"/>
              </w:rPr>
              <w:t>、高 管锁定股按照深交所相关规定解除限售。</w:t>
            </w:r>
          </w:p>
        </w:tc>
      </w:tr>
      <w:tr>
        <w:trPr>
          <w:trHeight w:val="1338"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19" w:right="0"/>
              <w:jc w:val="center"/>
              <w:rPr>
                <w:rFonts w:ascii="Times New Roman" w:hAnsi="Times New Roman" w:cs="Times New Roman" w:eastAsia="Times New Roman" w:hint="default"/>
                <w:sz w:val="18"/>
                <w:szCs w:val="18"/>
              </w:rPr>
            </w:pPr>
            <w:r>
              <w:rPr>
                <w:rFonts w:ascii="Times New Roman"/>
                <w:sz w:val="18"/>
              </w:rPr>
              <w:t>8,501,979</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495,000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942,921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19" w:right="0"/>
              <w:jc w:val="center"/>
              <w:rPr>
                <w:rFonts w:ascii="Times New Roman" w:hAnsi="Times New Roman" w:cs="Times New Roman" w:eastAsia="Times New Roman" w:hint="default"/>
                <w:sz w:val="18"/>
                <w:szCs w:val="18"/>
              </w:rPr>
            </w:pPr>
            <w:r>
              <w:rPr>
                <w:rFonts w:ascii="Times New Roman"/>
                <w:sz w:val="18"/>
              </w:rPr>
              <w:t>8,949,900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both"/>
              <w:rPr>
                <w:rFonts w:ascii="宋体" w:hAnsi="宋体" w:cs="宋体" w:eastAsia="宋体" w:hint="default"/>
                <w:sz w:val="18"/>
                <w:szCs w:val="18"/>
              </w:rPr>
            </w:pPr>
            <w:r>
              <w:rPr>
                <w:rFonts w:ascii="宋体" w:hAnsi="宋体" w:cs="宋体" w:eastAsia="宋体" w:hint="default"/>
                <w:sz w:val="18"/>
                <w:szCs w:val="18"/>
              </w:rPr>
              <w:t>重大资产重组募 集配套资金、限 制性股票激励计 划、高管锁定</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、重大资产重组配套募集资金股份解除 限售日期为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w:t>
            </w:r>
            <w:r>
              <w:rPr>
                <w:rFonts w:ascii="宋体" w:hAnsi="宋体" w:cs="宋体" w:eastAsia="宋体" w:hint="default"/>
                <w:sz w:val="18"/>
                <w:szCs w:val="18"/>
              </w:rPr>
              <w:t>、限制 性股票激励计划分三期解除限售。</w:t>
            </w:r>
            <w:r>
              <w:rPr>
                <w:rFonts w:ascii="Times New Roman" w:hAnsi="Times New Roman" w:cs="Times New Roman" w:eastAsia="Times New Roman" w:hint="default"/>
                <w:sz w:val="18"/>
                <w:szCs w:val="18"/>
              </w:rPr>
              <w:t>3</w:t>
            </w:r>
            <w:r>
              <w:rPr>
                <w:rFonts w:ascii="宋体" w:hAnsi="宋体" w:cs="宋体" w:eastAsia="宋体" w:hint="default"/>
                <w:sz w:val="18"/>
                <w:szCs w:val="18"/>
              </w:rPr>
              <w:t>、高 管锁定股按照深交所相关规定解除限售。</w:t>
            </w:r>
          </w:p>
        </w:tc>
      </w:tr>
      <w:tr>
        <w:trPr>
          <w:trHeight w:val="1338"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苏俊锋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19" w:right="0"/>
              <w:jc w:val="center"/>
              <w:rPr>
                <w:rFonts w:ascii="Times New Roman" w:hAnsi="Times New Roman" w:cs="Times New Roman" w:eastAsia="Times New Roman" w:hint="default"/>
                <w:sz w:val="18"/>
                <w:szCs w:val="18"/>
              </w:rPr>
            </w:pPr>
            <w:r>
              <w:rPr>
                <w:rFonts w:ascii="Times New Roman"/>
                <w:sz w:val="18"/>
              </w:rPr>
              <w:t>8,100,000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495,000</w:t>
            </w:r>
          </w:p>
        </w:tc>
        <w:tc>
          <w:tcPr>
            <w:tcW w:w="107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19" w:right="0"/>
              <w:jc w:val="center"/>
              <w:rPr>
                <w:rFonts w:ascii="Times New Roman" w:hAnsi="Times New Roman" w:cs="Times New Roman" w:eastAsia="Times New Roman" w:hint="default"/>
                <w:sz w:val="18"/>
                <w:szCs w:val="18"/>
              </w:rPr>
            </w:pPr>
            <w:r>
              <w:rPr>
                <w:rFonts w:ascii="Times New Roman"/>
                <w:sz w:val="18"/>
              </w:rPr>
              <w:t>7,605,000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both"/>
              <w:rPr>
                <w:rFonts w:ascii="宋体" w:hAnsi="宋体" w:cs="宋体" w:eastAsia="宋体" w:hint="default"/>
                <w:sz w:val="18"/>
                <w:szCs w:val="18"/>
              </w:rPr>
            </w:pPr>
            <w:r>
              <w:rPr>
                <w:rFonts w:ascii="宋体" w:hAnsi="宋体" w:cs="宋体" w:eastAsia="宋体" w:hint="default"/>
                <w:sz w:val="18"/>
                <w:szCs w:val="18"/>
              </w:rPr>
              <w:t>重大资产重组募 集配套资金、限 制性股票激励计 划、高管锁定</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、重大资产重组配套募集资金股份解除 限售日期为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w:t>
            </w:r>
            <w:r>
              <w:rPr>
                <w:rFonts w:ascii="宋体" w:hAnsi="宋体" w:cs="宋体" w:eastAsia="宋体" w:hint="default"/>
                <w:sz w:val="18"/>
                <w:szCs w:val="18"/>
              </w:rPr>
              <w:t>、限制 性股票激励计划分三期解除限售。</w:t>
            </w:r>
            <w:r>
              <w:rPr>
                <w:rFonts w:ascii="Times New Roman" w:hAnsi="Times New Roman" w:cs="Times New Roman" w:eastAsia="Times New Roman" w:hint="default"/>
                <w:sz w:val="18"/>
                <w:szCs w:val="18"/>
              </w:rPr>
              <w:t>3</w:t>
            </w:r>
            <w:r>
              <w:rPr>
                <w:rFonts w:ascii="宋体" w:hAnsi="宋体" w:cs="宋体" w:eastAsia="宋体" w:hint="default"/>
                <w:sz w:val="18"/>
                <w:szCs w:val="18"/>
              </w:rPr>
              <w:t>、高 管锁定股按照深交所相关规定解除限售。</w:t>
            </w:r>
          </w:p>
        </w:tc>
      </w:tr>
      <w:tr>
        <w:trPr>
          <w:trHeight w:val="1338"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常州瑞信 投资中心</w:t>
            </w:r>
          </w:p>
          <w:p>
            <w:pPr>
              <w:pStyle w:val="TableParagraph"/>
              <w:spacing w:line="319" w:lineRule="auto" w:before="19"/>
              <w:ind w:left="22" w:right="119"/>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19" w:right="0"/>
              <w:jc w:val="center"/>
              <w:rPr>
                <w:rFonts w:ascii="Times New Roman" w:hAnsi="Times New Roman" w:cs="Times New Roman" w:eastAsia="Times New Roman" w:hint="default"/>
                <w:sz w:val="18"/>
                <w:szCs w:val="18"/>
              </w:rPr>
            </w:pPr>
            <w:r>
              <w:rPr>
                <w:rFonts w:ascii="Times New Roman"/>
                <w:sz w:val="18"/>
              </w:rPr>
              <w:t>6,796,689</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19" w:right="0"/>
              <w:jc w:val="center"/>
              <w:rPr>
                <w:rFonts w:ascii="Times New Roman" w:hAnsi="Times New Roman" w:cs="Times New Roman" w:eastAsia="Times New Roman" w:hint="default"/>
                <w:sz w:val="18"/>
                <w:szCs w:val="18"/>
              </w:rPr>
            </w:pPr>
            <w:r>
              <w:rPr>
                <w:rFonts w:ascii="Times New Roman"/>
                <w:sz w:val="18"/>
              </w:rPr>
              <w:t>6,796,689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74"/>
              <w:jc w:val="left"/>
              <w:rPr>
                <w:rFonts w:ascii="宋体" w:hAnsi="宋体" w:cs="宋体" w:eastAsia="宋体" w:hint="default"/>
                <w:sz w:val="18"/>
                <w:szCs w:val="18"/>
              </w:rPr>
            </w:pPr>
            <w:r>
              <w:rPr>
                <w:rFonts w:ascii="宋体" w:hAnsi="宋体" w:cs="宋体" w:eastAsia="宋体" w:hint="default"/>
                <w:sz w:val="18"/>
                <w:szCs w:val="18"/>
              </w:rPr>
              <w:t>发行股份购买资 产</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986"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黄天朗</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19" w:right="0"/>
              <w:jc w:val="center"/>
              <w:rPr>
                <w:rFonts w:ascii="Times New Roman" w:hAnsi="Times New Roman" w:cs="Times New Roman" w:eastAsia="Times New Roman" w:hint="default"/>
                <w:sz w:val="18"/>
                <w:szCs w:val="18"/>
              </w:rPr>
            </w:pPr>
            <w:r>
              <w:rPr>
                <w:rFonts w:ascii="Times New Roman"/>
                <w:sz w:val="18"/>
              </w:rPr>
              <w:t>5,185,527</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396,000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396,000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19" w:right="0"/>
              <w:jc w:val="center"/>
              <w:rPr>
                <w:rFonts w:ascii="Times New Roman" w:hAnsi="Times New Roman" w:cs="Times New Roman" w:eastAsia="Times New Roman" w:hint="default"/>
                <w:sz w:val="18"/>
                <w:szCs w:val="18"/>
              </w:rPr>
            </w:pPr>
            <w:r>
              <w:rPr>
                <w:rFonts w:ascii="Times New Roman"/>
                <w:sz w:val="18"/>
              </w:rPr>
              <w:t>5,185,527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both"/>
              <w:rPr>
                <w:rFonts w:ascii="宋体" w:hAnsi="宋体" w:cs="宋体" w:eastAsia="宋体" w:hint="default"/>
                <w:sz w:val="18"/>
                <w:szCs w:val="18"/>
              </w:rPr>
            </w:pPr>
            <w:r>
              <w:rPr>
                <w:rFonts w:ascii="宋体" w:hAnsi="宋体" w:cs="宋体" w:eastAsia="宋体" w:hint="default"/>
                <w:sz w:val="18"/>
                <w:szCs w:val="18"/>
              </w:rPr>
              <w:t>重大资产重组募 集配套资金、限 制性股票激励计</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、重大资产重组配套募集资金股份解除 限售日期为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w:t>
            </w:r>
            <w:r>
              <w:rPr>
                <w:rFonts w:ascii="宋体" w:hAnsi="宋体" w:cs="宋体" w:eastAsia="宋体" w:hint="default"/>
                <w:sz w:val="18"/>
                <w:szCs w:val="18"/>
              </w:rPr>
              <w:t>、限制 性股票激励计划分三期解除限售。</w:t>
            </w:r>
            <w:r>
              <w:rPr>
                <w:rFonts w:ascii="Times New Roman" w:hAnsi="Times New Roman" w:cs="Times New Roman" w:eastAsia="Times New Roman" w:hint="default"/>
                <w:sz w:val="18"/>
                <w:szCs w:val="18"/>
              </w:rPr>
              <w:t>3</w:t>
            </w:r>
            <w:r>
              <w:rPr>
                <w:rFonts w:ascii="宋体" w:hAnsi="宋体" w:cs="宋体" w:eastAsia="宋体" w:hint="default"/>
                <w:sz w:val="18"/>
                <w:szCs w:val="18"/>
              </w:rPr>
              <w:t>、高</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74"/>
        <w:gridCol w:w="996"/>
        <w:gridCol w:w="1069"/>
        <w:gridCol w:w="1071"/>
        <w:gridCol w:w="994"/>
        <w:gridCol w:w="1369"/>
        <w:gridCol w:w="3294"/>
      </w:tblGrid>
      <w:tr>
        <w:trPr>
          <w:trHeight w:val="362" w:hRule="exact"/>
        </w:trPr>
        <w:tc>
          <w:tcPr>
            <w:tcW w:w="87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划、高管锁定</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管锁定股按照深交所相关规定解除限售。</w:t>
            </w:r>
          </w:p>
        </w:tc>
      </w:tr>
      <w:tr>
        <w:trPr>
          <w:trHeight w:val="1338"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9" w:right="0"/>
              <w:jc w:val="center"/>
              <w:rPr>
                <w:rFonts w:ascii="Times New Roman" w:hAnsi="Times New Roman" w:cs="Times New Roman" w:eastAsia="Times New Roman" w:hint="default"/>
                <w:sz w:val="18"/>
                <w:szCs w:val="18"/>
              </w:rPr>
            </w:pPr>
            <w:r>
              <w:rPr>
                <w:rFonts w:ascii="Times New Roman"/>
                <w:sz w:val="18"/>
              </w:rPr>
              <w:t>5,128,353</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495,000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9" w:right="0"/>
              <w:jc w:val="center"/>
              <w:rPr>
                <w:rFonts w:ascii="Times New Roman" w:hAnsi="Times New Roman" w:cs="Times New Roman" w:eastAsia="Times New Roman" w:hint="default"/>
                <w:sz w:val="18"/>
                <w:szCs w:val="18"/>
              </w:rPr>
            </w:pPr>
            <w:r>
              <w:rPr>
                <w:rFonts w:ascii="Times New Roman"/>
                <w:sz w:val="18"/>
              </w:rPr>
              <w:t>5,128,353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重大资产重组募 集配套资金、限 制性股票激励计 划、高管锁定</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、重大资产重组配套募集资金股份解除 限售日期为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w:t>
            </w:r>
            <w:r>
              <w:rPr>
                <w:rFonts w:ascii="宋体" w:hAnsi="宋体" w:cs="宋体" w:eastAsia="宋体" w:hint="default"/>
                <w:sz w:val="18"/>
                <w:szCs w:val="18"/>
              </w:rPr>
              <w:t>、限制 性股票激励计划分三期解除限售。</w:t>
            </w:r>
            <w:r>
              <w:rPr>
                <w:rFonts w:ascii="Times New Roman" w:hAnsi="Times New Roman" w:cs="Times New Roman" w:eastAsia="Times New Roman" w:hint="default"/>
                <w:sz w:val="18"/>
                <w:szCs w:val="18"/>
              </w:rPr>
              <w:t>3</w:t>
            </w:r>
            <w:r>
              <w:rPr>
                <w:rFonts w:ascii="宋体" w:hAnsi="宋体" w:cs="宋体" w:eastAsia="宋体" w:hint="default"/>
                <w:sz w:val="18"/>
                <w:szCs w:val="18"/>
              </w:rPr>
              <w:t>、高 管锁定股按照深交所相关规定解除限售。</w:t>
            </w:r>
          </w:p>
        </w:tc>
      </w:tr>
      <w:tr>
        <w:trPr>
          <w:trHeight w:val="714"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孙绍朋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center"/>
              <w:rPr>
                <w:rFonts w:ascii="Times New Roman" w:hAnsi="Times New Roman" w:cs="Times New Roman" w:eastAsia="Times New Roman" w:hint="default"/>
                <w:sz w:val="18"/>
                <w:szCs w:val="18"/>
              </w:rPr>
            </w:pPr>
            <w:r>
              <w:rPr>
                <w:rFonts w:ascii="Times New Roman"/>
                <w:sz w:val="18"/>
              </w:rPr>
              <w:t>3,650,712</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center"/>
              <w:rPr>
                <w:rFonts w:ascii="Times New Roman" w:hAnsi="Times New Roman" w:cs="Times New Roman" w:eastAsia="Times New Roman" w:hint="default"/>
                <w:sz w:val="18"/>
                <w:szCs w:val="18"/>
              </w:rPr>
            </w:pPr>
            <w:r>
              <w:rPr>
                <w:rFonts w:ascii="Times New Roman"/>
                <w:sz w:val="18"/>
              </w:rPr>
              <w:t>3,650,712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发行股份购买资 产</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9"/>
              <w:jc w:val="left"/>
              <w:rPr>
                <w:rFonts w:ascii="宋体" w:hAnsi="宋体" w:cs="宋体" w:eastAsia="宋体" w:hint="default"/>
                <w:sz w:val="18"/>
                <w:szCs w:val="18"/>
              </w:rPr>
            </w:pPr>
            <w:r>
              <w:rPr>
                <w:rFonts w:ascii="宋体" w:hAnsi="宋体" w:cs="宋体" w:eastAsia="宋体" w:hint="default"/>
                <w:sz w:val="18"/>
                <w:szCs w:val="18"/>
              </w:rPr>
              <w:t>其他限售 股东</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sz w:val="18"/>
              </w:rPr>
              <w:t>25,844,226</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10,580,100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6" w:right="0"/>
              <w:jc w:val="center"/>
              <w:rPr>
                <w:rFonts w:ascii="Times New Roman" w:hAnsi="Times New Roman" w:cs="Times New Roman" w:eastAsia="Times New Roman" w:hint="default"/>
                <w:sz w:val="18"/>
                <w:szCs w:val="18"/>
              </w:rPr>
            </w:pPr>
            <w:r>
              <w:rPr>
                <w:rFonts w:ascii="Times New Roman"/>
                <w:sz w:val="18"/>
              </w:rPr>
              <w:t>15,411,326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重大资产重组募 集配套资金、限 制性股票激励计 划、高管锁定</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、重大资产重组配套募集资金股份解除 限售日期为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w:t>
            </w:r>
            <w:r>
              <w:rPr>
                <w:rFonts w:ascii="宋体" w:hAnsi="宋体" w:cs="宋体" w:eastAsia="宋体" w:hint="default"/>
                <w:sz w:val="18"/>
                <w:szCs w:val="18"/>
              </w:rPr>
              <w:t>、限制 性股票激励计划分三期解除限售。</w:t>
            </w:r>
            <w:r>
              <w:rPr>
                <w:rFonts w:ascii="Times New Roman" w:hAnsi="Times New Roman" w:cs="Times New Roman" w:eastAsia="Times New Roman" w:hint="default"/>
                <w:sz w:val="18"/>
                <w:szCs w:val="18"/>
              </w:rPr>
              <w:t>3</w:t>
            </w:r>
            <w:r>
              <w:rPr>
                <w:rFonts w:ascii="宋体" w:hAnsi="宋体" w:cs="宋体" w:eastAsia="宋体" w:hint="default"/>
                <w:sz w:val="18"/>
                <w:szCs w:val="18"/>
              </w:rPr>
              <w:t>、高 管锁定股按照深交所相关规定解除限售。</w:t>
            </w:r>
          </w:p>
        </w:tc>
      </w:tr>
      <w:tr>
        <w:trPr>
          <w:trHeight w:val="402"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523,156,689</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323,255,100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224,540,863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424,442,452</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证券发行与上市情况" w:id="111"/>
      <w:bookmarkEnd w:id="111"/>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内证券发行（不含优先股）情况" w:id="112"/>
      <w:bookmarkEnd w:id="112"/>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公司股份总数及股东结构的变动、公司资产和负债结构的变动情况说明" w:id="113"/>
      <w:bookmarkEnd w:id="113"/>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、公司因实施限制性股票回购注销，股本减少</w:t>
      </w:r>
      <w:r>
        <w:rPr>
          <w:rFonts w:ascii="Times New Roman" w:hAnsi="Times New Roman" w:cs="Times New Roman" w:eastAsia="Times New Roman" w:hint="default"/>
          <w:sz w:val="18"/>
          <w:szCs w:val="18"/>
        </w:rPr>
        <w:t>468,600</w:t>
      </w:r>
      <w:r>
        <w:rPr>
          <w:rFonts w:ascii="宋体" w:hAnsi="宋体" w:cs="宋体" w:eastAsia="宋体" w:hint="default"/>
          <w:sz w:val="18"/>
          <w:szCs w:val="18"/>
        </w:rPr>
        <w:t>股，致使有限售条件股份减少</w:t>
      </w:r>
      <w:r>
        <w:rPr>
          <w:rFonts w:ascii="Times New Roman" w:hAnsi="Times New Roman" w:cs="Times New Roman" w:eastAsia="Times New Roman" w:hint="default"/>
          <w:sz w:val="18"/>
          <w:szCs w:val="18"/>
        </w:rPr>
        <w:t>468,600</w:t>
      </w:r>
      <w:r>
        <w:rPr>
          <w:rFonts w:ascii="宋体" w:hAnsi="宋体" w:cs="宋体" w:eastAsia="宋体" w:hint="default"/>
          <w:sz w:val="18"/>
          <w:szCs w:val="18"/>
        </w:rPr>
        <w:t>股；</w:t>
      </w:r>
    </w:p>
    <w:p>
      <w:pPr>
        <w:spacing w:line="240" w:lineRule="auto" w:before="9"/>
        <w:rPr>
          <w:rFonts w:ascii="宋体" w:hAnsi="宋体" w:cs="宋体" w:eastAsia="宋体" w:hint="default"/>
          <w:sz w:val="16"/>
          <w:szCs w:val="1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、公司因实施限制性股票回购注销，股本减少</w:t>
      </w:r>
      <w:r>
        <w:rPr>
          <w:rFonts w:ascii="Times New Roman" w:hAnsi="Times New Roman" w:cs="Times New Roman" w:eastAsia="Times New Roman" w:hint="default"/>
          <w:sz w:val="18"/>
          <w:szCs w:val="18"/>
        </w:rPr>
        <w:t>3,132,075</w:t>
      </w:r>
      <w:r>
        <w:rPr>
          <w:rFonts w:ascii="宋体" w:hAnsi="宋体" w:cs="宋体" w:eastAsia="宋体" w:hint="default"/>
          <w:sz w:val="18"/>
          <w:szCs w:val="18"/>
        </w:rPr>
        <w:t>股，致使有限售条件股份减少</w:t>
      </w:r>
      <w:r>
        <w:rPr>
          <w:rFonts w:ascii="Times New Roman" w:hAnsi="Times New Roman" w:cs="Times New Roman" w:eastAsia="Times New Roman" w:hint="default"/>
          <w:sz w:val="18"/>
          <w:szCs w:val="18"/>
        </w:rPr>
        <w:t>3,132,075</w:t>
      </w:r>
      <w:r>
        <w:rPr>
          <w:rFonts w:ascii="宋体" w:hAnsi="宋体" w:cs="宋体" w:eastAsia="宋体" w:hint="default"/>
          <w:sz w:val="18"/>
          <w:szCs w:val="18"/>
        </w:rPr>
        <w:t>股。</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53" w:right="0"/>
        <w:jc w:val="left"/>
        <w:rPr>
          <w:b w:val="0"/>
          <w:bCs w:val="0"/>
        </w:rPr>
      </w:pPr>
      <w:bookmarkStart w:name="3、现存的内部职工股情况" w:id="114"/>
      <w:bookmarkEnd w:id="114"/>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5"/>
      <w:bookmarkEnd w:id="115"/>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股东数量及持股情况" w:id="116"/>
      <w:bookmarkEnd w:id="116"/>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pict>
          <v:shape style="position:absolute;margin-left:458.277008pt;margin-top:70.491714pt;width:81.55pt;height:31.25pt;mso-position-horizontal-relative:page;mso-position-vertical-relative:paragraph;z-index:-1030360"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91.459991pt;margin-top:70.491714pt;width:48.4pt;height:31.25pt;mso-position-horizontal-relative:page;mso-position-vertical-relative:paragraph;z-index:-1030336" coordorigin="9829,1410" coordsize="968,625">
            <v:shape style="position:absolute;left:9829;top:1410;width:968;height:625" coordorigin="9829,1410" coordsize="968,625" path="m9829,2034l10796,2034,10796,1410,9829,1410,9829,2034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5"/>
        <w:gridCol w:w="633"/>
        <w:gridCol w:w="1070"/>
        <w:gridCol w:w="1102"/>
        <w:gridCol w:w="1173"/>
        <w:gridCol w:w="1263"/>
        <w:gridCol w:w="1210"/>
        <w:gridCol w:w="1363"/>
        <w:gridCol w:w="472"/>
        <w:gridCol w:w="517"/>
      </w:tblGrid>
      <w:tr>
        <w:trPr>
          <w:trHeight w:val="161" w:hRule="exact"/>
        </w:trPr>
        <w:tc>
          <w:tcPr>
            <w:tcW w:w="865" w:type="dxa"/>
            <w:vMerge w:val="restart"/>
            <w:tcBorders>
              <w:top w:val="single" w:sz="4" w:space="0" w:color="000000"/>
              <w:left w:val="single" w:sz="4" w:space="0" w:color="000000"/>
              <w:right w:val="single" w:sz="4" w:space="0" w:color="000000"/>
            </w:tcBorders>
            <w:shd w:val="clear" w:color="auto" w:fill="D2D2D2"/>
          </w:tcPr>
          <w:p>
            <w:pPr/>
          </w:p>
        </w:tc>
        <w:tc>
          <w:tcPr>
            <w:tcW w:w="633" w:type="dxa"/>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94,163</w:t>
            </w:r>
          </w:p>
        </w:tc>
        <w:tc>
          <w:tcPr>
            <w:tcW w:w="107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02" w:type="dxa"/>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67" w:right="0"/>
              <w:jc w:val="left"/>
              <w:rPr>
                <w:rFonts w:ascii="Times New Roman" w:hAnsi="Times New Roman" w:cs="Times New Roman" w:eastAsia="Times New Roman" w:hint="default"/>
                <w:sz w:val="18"/>
                <w:szCs w:val="18"/>
              </w:rPr>
            </w:pPr>
            <w:r>
              <w:rPr>
                <w:rFonts w:ascii="Times New Roman"/>
                <w:sz w:val="18"/>
              </w:rPr>
              <w:t>97,181</w:t>
            </w:r>
          </w:p>
        </w:tc>
        <w:tc>
          <w:tcPr>
            <w:tcW w:w="2436" w:type="dxa"/>
            <w:gridSpan w:val="2"/>
            <w:vMerge w:val="restart"/>
            <w:tcBorders>
              <w:top w:val="single" w:sz="4" w:space="0" w:color="000000"/>
              <w:left w:val="single" w:sz="4" w:space="0" w:color="000000"/>
              <w:right w:val="single" w:sz="4" w:space="0" w:color="000000"/>
            </w:tcBorders>
            <w:shd w:val="clear" w:color="auto" w:fill="D2D2D2"/>
          </w:tcPr>
          <w:p>
            <w:pPr/>
          </w:p>
        </w:tc>
        <w:tc>
          <w:tcPr>
            <w:tcW w:w="1210"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7" w:right="7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7"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472" w:type="dxa"/>
            <w:tcBorders>
              <w:top w:val="single" w:sz="4" w:space="0" w:color="000000"/>
              <w:left w:val="single" w:sz="13" w:space="0" w:color="D2D2D2"/>
              <w:bottom w:val="nil" w:sz="6" w:space="0" w:color="auto"/>
              <w:right w:val="nil" w:sz="6" w:space="0" w:color="auto"/>
            </w:tcBorders>
          </w:tcPr>
          <w:p>
            <w:pPr/>
          </w:p>
        </w:tc>
        <w:tc>
          <w:tcPr>
            <w:tcW w:w="517"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865" w:type="dxa"/>
            <w:vMerge/>
            <w:tcBorders>
              <w:left w:val="single" w:sz="4" w:space="0" w:color="000000"/>
              <w:bottom w:val="nil" w:sz="6" w:space="0" w:color="auto"/>
              <w:right w:val="single" w:sz="4" w:space="0" w:color="000000"/>
            </w:tcBorders>
            <w:shd w:val="clear" w:color="auto" w:fill="D2D2D2"/>
          </w:tcPr>
          <w:p>
            <w:pPr/>
          </w:p>
        </w:tc>
        <w:tc>
          <w:tcPr>
            <w:tcW w:w="633" w:type="dxa"/>
            <w:vMerge/>
            <w:tcBorders>
              <w:left w:val="single" w:sz="10" w:space="0" w:color="D2D2D2"/>
              <w:right w:val="single" w:sz="9" w:space="0" w:color="D2D2D2"/>
            </w:tcBorders>
          </w:tcPr>
          <w:p>
            <w:pPr/>
          </w:p>
        </w:tc>
        <w:tc>
          <w:tcPr>
            <w:tcW w:w="107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7" w:right="141"/>
              <w:jc w:val="both"/>
              <w:rPr>
                <w:rFonts w:ascii="宋体" w:hAnsi="宋体" w:cs="宋体" w:eastAsia="宋体" w:hint="default"/>
                <w:sz w:val="18"/>
                <w:szCs w:val="18"/>
              </w:rPr>
            </w:pPr>
            <w:r>
              <w:rPr>
                <w:rFonts w:ascii="宋体" w:hAnsi="宋体" w:cs="宋体" w:eastAsia="宋体" w:hint="default"/>
                <w:sz w:val="18"/>
                <w:szCs w:val="18"/>
              </w:rPr>
              <w:t>年度报告披 露日前上一 月末普通股 股东总数</w:t>
            </w:r>
          </w:p>
        </w:tc>
        <w:tc>
          <w:tcPr>
            <w:tcW w:w="1102" w:type="dxa"/>
            <w:vMerge/>
            <w:tcBorders>
              <w:left w:val="single" w:sz="9" w:space="0" w:color="D2D2D2"/>
              <w:right w:val="single" w:sz="10" w:space="0" w:color="D2D2D2"/>
            </w:tcBorders>
          </w:tcPr>
          <w:p>
            <w:pPr/>
          </w:p>
        </w:tc>
        <w:tc>
          <w:tcPr>
            <w:tcW w:w="2436" w:type="dxa"/>
            <w:gridSpan w:val="2"/>
            <w:vMerge/>
            <w:tcBorders>
              <w:left w:val="single" w:sz="4" w:space="0" w:color="000000"/>
              <w:right w:val="single" w:sz="4" w:space="0" w:color="000000"/>
            </w:tcBorders>
            <w:shd w:val="clear" w:color="auto" w:fill="D2D2D2"/>
          </w:tcPr>
          <w:p>
            <w:pPr/>
          </w:p>
        </w:tc>
        <w:tc>
          <w:tcPr>
            <w:tcW w:w="1210" w:type="dxa"/>
            <w:vMerge/>
            <w:tcBorders>
              <w:left w:val="single" w:sz="9" w:space="0" w:color="D2D2D2"/>
              <w:right w:val="single" w:sz="9" w:space="0" w:color="D2D2D2"/>
            </w:tcBorders>
          </w:tcPr>
          <w:p>
            <w:pPr/>
          </w:p>
        </w:tc>
        <w:tc>
          <w:tcPr>
            <w:tcW w:w="1363" w:type="dxa"/>
            <w:vMerge/>
            <w:tcBorders>
              <w:left w:val="single" w:sz="4" w:space="0" w:color="000000"/>
              <w:right w:val="single" w:sz="4" w:space="0" w:color="000000"/>
            </w:tcBorders>
            <w:shd w:val="clear" w:color="auto" w:fill="D2D2D2"/>
          </w:tcPr>
          <w:p>
            <w:pPr/>
          </w:p>
        </w:tc>
        <w:tc>
          <w:tcPr>
            <w:tcW w:w="472" w:type="dxa"/>
            <w:vMerge w:val="restart"/>
            <w:tcBorders>
              <w:top w:val="nil" w:sz="6" w:space="0" w:color="auto"/>
              <w:left w:val="single" w:sz="13" w:space="0" w:color="D2D2D2"/>
              <w:right w:val="nil" w:sz="6" w:space="0" w:color="auto"/>
            </w:tcBorders>
          </w:tcPr>
          <w:p>
            <w:pPr/>
          </w:p>
        </w:tc>
        <w:tc>
          <w:tcPr>
            <w:tcW w:w="51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8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报告期末 普通股股 东总数</w:t>
            </w:r>
          </w:p>
        </w:tc>
        <w:tc>
          <w:tcPr>
            <w:tcW w:w="633" w:type="dxa"/>
            <w:vMerge/>
            <w:tcBorders>
              <w:left w:val="single" w:sz="10" w:space="0" w:color="D2D2D2"/>
              <w:right w:val="single" w:sz="9" w:space="0" w:color="D2D2D2"/>
            </w:tcBorders>
          </w:tcPr>
          <w:p>
            <w:pPr/>
          </w:p>
        </w:tc>
        <w:tc>
          <w:tcPr>
            <w:tcW w:w="1070" w:type="dxa"/>
            <w:vMerge/>
            <w:tcBorders>
              <w:left w:val="single" w:sz="4" w:space="0" w:color="000000"/>
              <w:right w:val="single" w:sz="4" w:space="0" w:color="000000"/>
            </w:tcBorders>
            <w:shd w:val="clear" w:color="auto" w:fill="D2D2D2"/>
          </w:tcPr>
          <w:p>
            <w:pPr/>
          </w:p>
        </w:tc>
        <w:tc>
          <w:tcPr>
            <w:tcW w:w="1102" w:type="dxa"/>
            <w:vMerge/>
            <w:tcBorders>
              <w:left w:val="single" w:sz="9" w:space="0" w:color="D2D2D2"/>
              <w:right w:val="single" w:sz="10" w:space="0" w:color="D2D2D2"/>
            </w:tcBorders>
          </w:tcPr>
          <w:p>
            <w:pPr/>
          </w:p>
        </w:tc>
        <w:tc>
          <w:tcPr>
            <w:tcW w:w="2436" w:type="dxa"/>
            <w:gridSpan w:val="2"/>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9" w:space="0" w:color="D2D2D2"/>
              <w:right w:val="single" w:sz="9" w:space="0" w:color="D2D2D2"/>
            </w:tcBorders>
          </w:tcPr>
          <w:p>
            <w:pPr/>
          </w:p>
        </w:tc>
        <w:tc>
          <w:tcPr>
            <w:tcW w:w="1363" w:type="dxa"/>
            <w:vMerge/>
            <w:tcBorders>
              <w:left w:val="single" w:sz="4" w:space="0" w:color="000000"/>
              <w:right w:val="single" w:sz="4" w:space="0" w:color="000000"/>
            </w:tcBorders>
            <w:shd w:val="clear" w:color="auto" w:fill="D2D2D2"/>
          </w:tcPr>
          <w:p>
            <w:pPr/>
          </w:p>
        </w:tc>
        <w:tc>
          <w:tcPr>
            <w:tcW w:w="472" w:type="dxa"/>
            <w:vMerge/>
            <w:tcBorders>
              <w:left w:val="single" w:sz="13" w:space="0" w:color="D2D2D2"/>
              <w:right w:val="nil" w:sz="6" w:space="0" w:color="auto"/>
            </w:tcBorders>
          </w:tcPr>
          <w:p>
            <w:pPr/>
          </w:p>
        </w:tc>
        <w:tc>
          <w:tcPr>
            <w:tcW w:w="517" w:type="dxa"/>
            <w:tcBorders>
              <w:top w:val="nil" w:sz="6" w:space="0" w:color="auto"/>
              <w:left w:val="nil" w:sz="6" w:space="0" w:color="auto"/>
              <w:bottom w:val="nil" w:sz="6" w:space="0" w:color="auto"/>
              <w:right w:val="single" w:sz="4" w:space="0" w:color="000000"/>
            </w:tcBorders>
          </w:tcPr>
          <w:p>
            <w:pPr/>
          </w:p>
        </w:tc>
      </w:tr>
      <w:tr>
        <w:trPr>
          <w:trHeight w:val="704" w:hRule="exact"/>
        </w:trPr>
        <w:tc>
          <w:tcPr>
            <w:tcW w:w="865" w:type="dxa"/>
            <w:vMerge/>
            <w:tcBorders>
              <w:left w:val="single" w:sz="4" w:space="0" w:color="000000"/>
              <w:right w:val="single" w:sz="4" w:space="0" w:color="000000"/>
            </w:tcBorders>
            <w:shd w:val="clear" w:color="auto" w:fill="D2D2D2"/>
          </w:tcPr>
          <w:p>
            <w:pPr/>
          </w:p>
        </w:tc>
        <w:tc>
          <w:tcPr>
            <w:tcW w:w="633" w:type="dxa"/>
            <w:vMerge/>
            <w:tcBorders>
              <w:left w:val="single" w:sz="10" w:space="0" w:color="D2D2D2"/>
              <w:right w:val="single" w:sz="9" w:space="0" w:color="D2D2D2"/>
            </w:tcBorders>
          </w:tcPr>
          <w:p>
            <w:pPr/>
          </w:p>
        </w:tc>
        <w:tc>
          <w:tcPr>
            <w:tcW w:w="1070" w:type="dxa"/>
            <w:vMerge/>
            <w:tcBorders>
              <w:left w:val="single" w:sz="4" w:space="0" w:color="000000"/>
              <w:right w:val="single" w:sz="4" w:space="0" w:color="000000"/>
            </w:tcBorders>
            <w:shd w:val="clear" w:color="auto" w:fill="D2D2D2"/>
          </w:tcPr>
          <w:p>
            <w:pPr/>
          </w:p>
        </w:tc>
        <w:tc>
          <w:tcPr>
            <w:tcW w:w="1102" w:type="dxa"/>
            <w:vMerge/>
            <w:tcBorders>
              <w:left w:val="single" w:sz="9" w:space="0" w:color="D2D2D2"/>
              <w:right w:val="single" w:sz="10" w:space="0" w:color="D2D2D2"/>
            </w:tcBorders>
          </w:tcPr>
          <w:p>
            <w:pPr/>
          </w:p>
        </w:tc>
        <w:tc>
          <w:tcPr>
            <w:tcW w:w="243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3" w:right="15"/>
              <w:jc w:val="left"/>
              <w:rPr>
                <w:rFonts w:ascii="宋体" w:hAnsi="宋体" w:cs="宋体" w:eastAsia="宋体" w:hint="default"/>
                <w:sz w:val="18"/>
                <w:szCs w:val="18"/>
              </w:rPr>
            </w:pPr>
            <w:r>
              <w:rPr>
                <w:rFonts w:ascii="宋体" w:hAnsi="宋体" w:cs="宋体" w:eastAsia="宋体" w:hint="default"/>
                <w:sz w:val="18"/>
                <w:szCs w:val="18"/>
              </w:rPr>
              <w:t>报告期末表决权恢复的优先股 </w:t>
            </w:r>
            <w:r>
              <w:rPr>
                <w:rFonts w:ascii="宋体" w:hAnsi="宋体" w:cs="宋体" w:eastAsia="宋体" w:hint="default"/>
                <w:spacing w:val="-8"/>
                <w:sz w:val="18"/>
                <w:szCs w:val="18"/>
              </w:rPr>
              <w:t>股东总数（如有）（参见注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10" w:type="dxa"/>
            <w:vMerge/>
            <w:tcBorders>
              <w:left w:val="single" w:sz="9" w:space="0" w:color="D2D2D2"/>
              <w:right w:val="single" w:sz="9" w:space="0" w:color="D2D2D2"/>
            </w:tcBorders>
          </w:tcPr>
          <w:p>
            <w:pPr/>
          </w:p>
        </w:tc>
        <w:tc>
          <w:tcPr>
            <w:tcW w:w="1363" w:type="dxa"/>
            <w:vMerge/>
            <w:tcBorders>
              <w:left w:val="single" w:sz="4" w:space="0" w:color="000000"/>
              <w:right w:val="single" w:sz="4" w:space="0" w:color="000000"/>
            </w:tcBorders>
            <w:shd w:val="clear" w:color="auto" w:fill="D2D2D2"/>
          </w:tcPr>
          <w:p>
            <w:pPr/>
          </w:p>
        </w:tc>
        <w:tc>
          <w:tcPr>
            <w:tcW w:w="472" w:type="dxa"/>
            <w:vMerge/>
            <w:tcBorders>
              <w:left w:val="single" w:sz="13" w:space="0" w:color="D2D2D2"/>
              <w:right w:val="nil" w:sz="6" w:space="0" w:color="auto"/>
            </w:tcBorders>
          </w:tcPr>
          <w:p>
            <w:pPr/>
          </w:p>
        </w:tc>
        <w:tc>
          <w:tcPr>
            <w:tcW w:w="517"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865" w:type="dxa"/>
            <w:vMerge/>
            <w:tcBorders>
              <w:left w:val="single" w:sz="4" w:space="0" w:color="000000"/>
              <w:bottom w:val="nil" w:sz="6" w:space="0" w:color="auto"/>
              <w:right w:val="single" w:sz="4" w:space="0" w:color="000000"/>
            </w:tcBorders>
            <w:shd w:val="clear" w:color="auto" w:fill="D2D2D2"/>
          </w:tcPr>
          <w:p>
            <w:pPr/>
          </w:p>
        </w:tc>
        <w:tc>
          <w:tcPr>
            <w:tcW w:w="633" w:type="dxa"/>
            <w:vMerge/>
            <w:tcBorders>
              <w:left w:val="single" w:sz="10" w:space="0" w:color="D2D2D2"/>
              <w:right w:val="single" w:sz="9" w:space="0" w:color="D2D2D2"/>
            </w:tcBorders>
          </w:tcPr>
          <w:p>
            <w:pPr/>
          </w:p>
        </w:tc>
        <w:tc>
          <w:tcPr>
            <w:tcW w:w="1070" w:type="dxa"/>
            <w:vMerge/>
            <w:tcBorders>
              <w:left w:val="single" w:sz="4" w:space="0" w:color="000000"/>
              <w:right w:val="single" w:sz="4" w:space="0" w:color="000000"/>
            </w:tcBorders>
            <w:shd w:val="clear" w:color="auto" w:fill="D2D2D2"/>
          </w:tcPr>
          <w:p>
            <w:pPr/>
          </w:p>
        </w:tc>
        <w:tc>
          <w:tcPr>
            <w:tcW w:w="1102" w:type="dxa"/>
            <w:vMerge/>
            <w:tcBorders>
              <w:left w:val="single" w:sz="9" w:space="0" w:color="D2D2D2"/>
              <w:right w:val="single" w:sz="10" w:space="0" w:color="D2D2D2"/>
            </w:tcBorders>
          </w:tcPr>
          <w:p>
            <w:pPr/>
          </w:p>
        </w:tc>
        <w:tc>
          <w:tcPr>
            <w:tcW w:w="2436" w:type="dxa"/>
            <w:gridSpan w:val="2"/>
            <w:vMerge w:val="restart"/>
            <w:tcBorders>
              <w:top w:val="nil" w:sz="6" w:space="0" w:color="auto"/>
              <w:left w:val="single" w:sz="4" w:space="0" w:color="000000"/>
              <w:right w:val="single" w:sz="4" w:space="0" w:color="000000"/>
            </w:tcBorders>
            <w:shd w:val="clear" w:color="auto" w:fill="D2D2D2"/>
          </w:tcPr>
          <w:p>
            <w:pPr/>
          </w:p>
        </w:tc>
        <w:tc>
          <w:tcPr>
            <w:tcW w:w="1210" w:type="dxa"/>
            <w:vMerge/>
            <w:tcBorders>
              <w:left w:val="single" w:sz="9" w:space="0" w:color="D2D2D2"/>
              <w:right w:val="single" w:sz="9" w:space="0" w:color="D2D2D2"/>
            </w:tcBorders>
          </w:tcPr>
          <w:p>
            <w:pPr/>
          </w:p>
        </w:tc>
        <w:tc>
          <w:tcPr>
            <w:tcW w:w="1363" w:type="dxa"/>
            <w:vMerge/>
            <w:tcBorders>
              <w:left w:val="single" w:sz="4" w:space="0" w:color="000000"/>
              <w:right w:val="single" w:sz="4" w:space="0" w:color="000000"/>
            </w:tcBorders>
            <w:shd w:val="clear" w:color="auto" w:fill="D2D2D2"/>
          </w:tcPr>
          <w:p>
            <w:pPr/>
          </w:p>
        </w:tc>
        <w:tc>
          <w:tcPr>
            <w:tcW w:w="472" w:type="dxa"/>
            <w:vMerge/>
            <w:tcBorders>
              <w:left w:val="single" w:sz="13" w:space="0" w:color="D2D2D2"/>
              <w:right w:val="nil" w:sz="6" w:space="0" w:color="auto"/>
            </w:tcBorders>
          </w:tcPr>
          <w:p>
            <w:pPr/>
          </w:p>
        </w:tc>
        <w:tc>
          <w:tcPr>
            <w:tcW w:w="51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865" w:type="dxa"/>
            <w:vMerge w:val="restart"/>
            <w:tcBorders>
              <w:top w:val="nil" w:sz="6" w:space="0" w:color="auto"/>
              <w:left w:val="single" w:sz="4" w:space="0" w:color="000000"/>
              <w:right w:val="single" w:sz="4" w:space="0" w:color="000000"/>
            </w:tcBorders>
            <w:shd w:val="clear" w:color="auto" w:fill="D2D2D2"/>
          </w:tcPr>
          <w:p>
            <w:pPr/>
          </w:p>
        </w:tc>
        <w:tc>
          <w:tcPr>
            <w:tcW w:w="633" w:type="dxa"/>
            <w:vMerge/>
            <w:tcBorders>
              <w:left w:val="single" w:sz="10" w:space="0" w:color="D2D2D2"/>
              <w:right w:val="single" w:sz="9" w:space="0" w:color="D2D2D2"/>
            </w:tcBorders>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1102" w:type="dxa"/>
            <w:vMerge/>
            <w:tcBorders>
              <w:left w:val="single" w:sz="9" w:space="0" w:color="D2D2D2"/>
              <w:right w:val="single" w:sz="10" w:space="0" w:color="D2D2D2"/>
            </w:tcBorders>
          </w:tcPr>
          <w:p>
            <w:pPr/>
          </w:p>
        </w:tc>
        <w:tc>
          <w:tcPr>
            <w:tcW w:w="2436" w:type="dxa"/>
            <w:gridSpan w:val="2"/>
            <w:vMerge/>
            <w:tcBorders>
              <w:left w:val="single" w:sz="4" w:space="0" w:color="000000"/>
              <w:right w:val="single" w:sz="4" w:space="0" w:color="000000"/>
            </w:tcBorders>
            <w:shd w:val="clear" w:color="auto" w:fill="D2D2D2"/>
          </w:tcPr>
          <w:p>
            <w:pPr/>
          </w:p>
        </w:tc>
        <w:tc>
          <w:tcPr>
            <w:tcW w:w="1210" w:type="dxa"/>
            <w:vMerge/>
            <w:tcBorders>
              <w:left w:val="single" w:sz="9" w:space="0" w:color="D2D2D2"/>
              <w:right w:val="single" w:sz="9" w:space="0" w:color="D2D2D2"/>
            </w:tcBorders>
          </w:tcPr>
          <w:p>
            <w:pPr/>
          </w:p>
        </w:tc>
        <w:tc>
          <w:tcPr>
            <w:tcW w:w="1363" w:type="dxa"/>
            <w:vMerge/>
            <w:tcBorders>
              <w:left w:val="single" w:sz="4" w:space="0" w:color="000000"/>
              <w:right w:val="single" w:sz="4" w:space="0" w:color="000000"/>
            </w:tcBorders>
            <w:shd w:val="clear" w:color="auto" w:fill="D2D2D2"/>
          </w:tcPr>
          <w:p>
            <w:pPr/>
          </w:p>
        </w:tc>
        <w:tc>
          <w:tcPr>
            <w:tcW w:w="472" w:type="dxa"/>
            <w:vMerge/>
            <w:tcBorders>
              <w:left w:val="single" w:sz="13" w:space="0" w:color="D2D2D2"/>
              <w:right w:val="nil" w:sz="6" w:space="0" w:color="auto"/>
            </w:tcBorders>
          </w:tcPr>
          <w:p>
            <w:pPr/>
          </w:p>
        </w:tc>
        <w:tc>
          <w:tcPr>
            <w:tcW w:w="517" w:type="dxa"/>
            <w:tcBorders>
              <w:top w:val="nil" w:sz="6" w:space="0" w:color="auto"/>
              <w:left w:val="nil" w:sz="6" w:space="0" w:color="auto"/>
              <w:bottom w:val="nil" w:sz="6" w:space="0" w:color="auto"/>
              <w:right w:val="single" w:sz="4" w:space="0" w:color="000000"/>
            </w:tcBorders>
          </w:tcPr>
          <w:p>
            <w:pPr/>
          </w:p>
        </w:tc>
      </w:tr>
      <w:tr>
        <w:trPr>
          <w:trHeight w:val="166" w:hRule="exact"/>
        </w:trPr>
        <w:tc>
          <w:tcPr>
            <w:tcW w:w="865" w:type="dxa"/>
            <w:vMerge/>
            <w:tcBorders>
              <w:left w:val="single" w:sz="4" w:space="0" w:color="000000"/>
              <w:bottom w:val="single" w:sz="4" w:space="0" w:color="000000"/>
              <w:right w:val="single" w:sz="4" w:space="0" w:color="000000"/>
            </w:tcBorders>
            <w:shd w:val="clear" w:color="auto" w:fill="D2D2D2"/>
          </w:tcPr>
          <w:p>
            <w:pPr/>
          </w:p>
        </w:tc>
        <w:tc>
          <w:tcPr>
            <w:tcW w:w="633" w:type="dxa"/>
            <w:vMerge/>
            <w:tcBorders>
              <w:left w:val="single" w:sz="10" w:space="0" w:color="D2D2D2"/>
              <w:bottom w:val="single" w:sz="4" w:space="0" w:color="000000"/>
              <w:right w:val="single" w:sz="9" w:space="0" w:color="D2D2D2"/>
            </w:tcBorders>
          </w:tcPr>
          <w:p>
            <w:pPr/>
          </w:p>
        </w:tc>
        <w:tc>
          <w:tcPr>
            <w:tcW w:w="107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02" w:type="dxa"/>
            <w:vMerge/>
            <w:tcBorders>
              <w:left w:val="single" w:sz="9" w:space="0" w:color="D2D2D2"/>
              <w:bottom w:val="single" w:sz="4" w:space="0" w:color="000000"/>
              <w:right w:val="single" w:sz="10" w:space="0" w:color="D2D2D2"/>
            </w:tcBorders>
          </w:tcPr>
          <w:p>
            <w:pPr/>
          </w:p>
        </w:tc>
        <w:tc>
          <w:tcPr>
            <w:tcW w:w="2436" w:type="dxa"/>
            <w:gridSpan w:val="2"/>
            <w:vMerge/>
            <w:tcBorders>
              <w:left w:val="single" w:sz="4" w:space="0" w:color="000000"/>
              <w:bottom w:val="single" w:sz="4" w:space="0" w:color="000000"/>
              <w:right w:val="single" w:sz="4" w:space="0" w:color="000000"/>
            </w:tcBorders>
            <w:shd w:val="clear" w:color="auto" w:fill="D2D2D2"/>
          </w:tcPr>
          <w:p>
            <w:pPr/>
          </w:p>
        </w:tc>
        <w:tc>
          <w:tcPr>
            <w:tcW w:w="1210" w:type="dxa"/>
            <w:vMerge/>
            <w:tcBorders>
              <w:left w:val="single" w:sz="9" w:space="0" w:color="D2D2D2"/>
              <w:bottom w:val="single" w:sz="4" w:space="0" w:color="000000"/>
              <w:right w:val="single" w:sz="9" w:space="0" w:color="D2D2D2"/>
            </w:tcBorders>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472" w:type="dxa"/>
            <w:vMerge/>
            <w:tcBorders>
              <w:left w:val="single" w:sz="13" w:space="0" w:color="D2D2D2"/>
              <w:bottom w:val="single" w:sz="4" w:space="0" w:color="000000"/>
              <w:right w:val="nil" w:sz="6" w:space="0" w:color="auto"/>
            </w:tcBorders>
          </w:tcPr>
          <w:p>
            <w:pPr/>
          </w:p>
        </w:tc>
        <w:tc>
          <w:tcPr>
            <w:tcW w:w="517" w:type="dxa"/>
            <w:tcBorders>
              <w:top w:val="nil" w:sz="6" w:space="0" w:color="auto"/>
              <w:left w:val="nil" w:sz="6" w:space="0" w:color="auto"/>
              <w:bottom w:val="single" w:sz="4" w:space="0" w:color="000000"/>
              <w:right w:val="single" w:sz="4" w:space="0" w:color="000000"/>
            </w:tcBorders>
          </w:tcPr>
          <w:p>
            <w:pPr/>
          </w:p>
        </w:tc>
      </w:tr>
      <w:tr>
        <w:trPr>
          <w:trHeight w:val="407" w:hRule="exact"/>
        </w:trPr>
        <w:tc>
          <w:tcPr>
            <w:tcW w:w="9667"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11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382"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1" w:right="0"/>
              <w:jc w:val="left"/>
              <w:rPr>
                <w:rFonts w:ascii="宋体" w:hAnsi="宋体" w:cs="宋体" w:eastAsia="宋体" w:hint="default"/>
                <w:sz w:val="18"/>
                <w:szCs w:val="18"/>
              </w:rPr>
            </w:pPr>
            <w:r>
              <w:rPr>
                <w:rFonts w:ascii="宋体" w:hAnsi="宋体" w:cs="宋体" w:eastAsia="宋体" w:hint="default"/>
                <w:sz w:val="18"/>
                <w:szCs w:val="18"/>
              </w:rPr>
              <w:t>股东性</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7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8" w:right="0"/>
              <w:jc w:val="left"/>
              <w:rPr>
                <w:rFonts w:ascii="宋体" w:hAnsi="宋体" w:cs="宋体" w:eastAsia="宋体" w:hint="default"/>
                <w:sz w:val="18"/>
                <w:szCs w:val="18"/>
              </w:rPr>
            </w:pPr>
            <w:r>
              <w:rPr>
                <w:rFonts w:ascii="宋体" w:hAnsi="宋体" w:cs="宋体" w:eastAsia="宋体" w:hint="default"/>
                <w:sz w:val="18"/>
                <w:szCs w:val="18"/>
              </w:rPr>
              <w:t>报告期末持</w:t>
            </w:r>
          </w:p>
        </w:tc>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1" w:right="0"/>
              <w:jc w:val="left"/>
              <w:rPr>
                <w:rFonts w:ascii="宋体" w:hAnsi="宋体" w:cs="宋体" w:eastAsia="宋体" w:hint="default"/>
                <w:sz w:val="18"/>
                <w:szCs w:val="18"/>
              </w:rPr>
            </w:pPr>
            <w:r>
              <w:rPr>
                <w:rFonts w:ascii="宋体" w:hAnsi="宋体" w:cs="宋体" w:eastAsia="宋体" w:hint="default"/>
                <w:sz w:val="18"/>
                <w:szCs w:val="18"/>
              </w:rPr>
              <w:t>报告期内增减</w:t>
            </w:r>
          </w:p>
        </w:tc>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86" w:right="0"/>
              <w:jc w:val="left"/>
              <w:rPr>
                <w:rFonts w:ascii="宋体" w:hAnsi="宋体" w:cs="宋体" w:eastAsia="宋体" w:hint="default"/>
                <w:sz w:val="18"/>
                <w:szCs w:val="18"/>
              </w:rPr>
            </w:pPr>
            <w:r>
              <w:rPr>
                <w:rFonts w:ascii="宋体" w:hAnsi="宋体" w:cs="宋体" w:eastAsia="宋体" w:hint="default"/>
                <w:sz w:val="18"/>
                <w:szCs w:val="18"/>
              </w:rPr>
              <w:t>持有有限售条</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6" w:right="0"/>
              <w:jc w:val="left"/>
              <w:rPr>
                <w:rFonts w:ascii="宋体" w:hAnsi="宋体" w:cs="宋体" w:eastAsia="宋体" w:hint="default"/>
                <w:sz w:val="18"/>
                <w:szCs w:val="18"/>
              </w:rPr>
            </w:pPr>
            <w:r>
              <w:rPr>
                <w:rFonts w:ascii="宋体" w:hAnsi="宋体" w:cs="宋体" w:eastAsia="宋体" w:hint="default"/>
                <w:sz w:val="18"/>
                <w:szCs w:val="18"/>
              </w:rPr>
              <w:t>持有无限售条</w:t>
            </w:r>
          </w:p>
        </w:tc>
        <w:tc>
          <w:tcPr>
            <w:tcW w:w="23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53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72"/>
        <w:gridCol w:w="620"/>
        <w:gridCol w:w="1082"/>
        <w:gridCol w:w="1096"/>
        <w:gridCol w:w="1173"/>
        <w:gridCol w:w="1264"/>
        <w:gridCol w:w="1204"/>
        <w:gridCol w:w="1316"/>
        <w:gridCol w:w="1040"/>
      </w:tblGrid>
      <w:tr>
        <w:trPr>
          <w:trHeight w:val="402"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15"/>
              <w:jc w:val="right"/>
              <w:rPr>
                <w:rFonts w:ascii="宋体" w:hAnsi="宋体" w:cs="宋体" w:eastAsia="宋体" w:hint="default"/>
                <w:sz w:val="18"/>
                <w:szCs w:val="18"/>
              </w:rPr>
            </w:pPr>
            <w:r>
              <w:rPr>
                <w:rFonts w:ascii="宋体" w:hAnsi="宋体" w:cs="宋体" w:eastAsia="宋体" w:hint="default"/>
                <w:sz w:val="18"/>
                <w:szCs w:val="18"/>
              </w:rPr>
              <w:t>质</w:t>
            </w:r>
          </w:p>
        </w:tc>
        <w:tc>
          <w:tcPr>
            <w:tcW w:w="10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72" w:right="0"/>
              <w:jc w:val="left"/>
              <w:rPr>
                <w:rFonts w:ascii="宋体" w:hAnsi="宋体" w:cs="宋体" w:eastAsia="宋体" w:hint="default"/>
                <w:sz w:val="18"/>
                <w:szCs w:val="18"/>
              </w:rPr>
            </w:pPr>
            <w:r>
              <w:rPr>
                <w:rFonts w:ascii="宋体" w:hAnsi="宋体" w:cs="宋体" w:eastAsia="宋体" w:hint="default"/>
                <w:sz w:val="18"/>
                <w:szCs w:val="18"/>
              </w:rPr>
              <w:t>股数量</w:t>
            </w:r>
          </w:p>
        </w:tc>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2" w:right="0"/>
              <w:jc w:val="left"/>
              <w:rPr>
                <w:rFonts w:ascii="宋体" w:hAnsi="宋体" w:cs="宋体" w:eastAsia="宋体" w:hint="default"/>
                <w:sz w:val="18"/>
                <w:szCs w:val="18"/>
              </w:rPr>
            </w:pPr>
            <w:r>
              <w:rPr>
                <w:rFonts w:ascii="宋体" w:hAnsi="宋体" w:cs="宋体" w:eastAsia="宋体" w:hint="default"/>
                <w:sz w:val="18"/>
                <w:szCs w:val="18"/>
              </w:rPr>
              <w:t>变动情况</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6" w:right="0"/>
              <w:jc w:val="left"/>
              <w:rPr>
                <w:rFonts w:ascii="宋体" w:hAnsi="宋体" w:cs="宋体" w:eastAsia="宋体" w:hint="default"/>
                <w:sz w:val="18"/>
                <w:szCs w:val="18"/>
              </w:rPr>
            </w:pPr>
            <w:r>
              <w:rPr>
                <w:rFonts w:ascii="宋体" w:hAnsi="宋体" w:cs="宋体" w:eastAsia="宋体" w:hint="default"/>
                <w:sz w:val="18"/>
                <w:szCs w:val="18"/>
              </w:rPr>
              <w:t>件的股份数量</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57"/>
              <w:jc w:val="right"/>
              <w:rPr>
                <w:rFonts w:ascii="宋体" w:hAnsi="宋体" w:cs="宋体" w:eastAsia="宋体" w:hint="default"/>
                <w:sz w:val="18"/>
                <w:szCs w:val="18"/>
              </w:rPr>
            </w:pPr>
            <w:r>
              <w:rPr>
                <w:rFonts w:ascii="宋体" w:hAnsi="宋体" w:cs="宋体" w:eastAsia="宋体" w:hint="default"/>
                <w:sz w:val="18"/>
                <w:szCs w:val="18"/>
              </w:rPr>
              <w:t>件的股份数量</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338"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拉萨市达 实投资发 展有限公 司</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7"/>
              <w:jc w:val="both"/>
              <w:rPr>
                <w:rFonts w:ascii="宋体" w:hAnsi="宋体" w:cs="宋体" w:eastAsia="宋体" w:hint="default"/>
                <w:sz w:val="18"/>
                <w:szCs w:val="18"/>
              </w:rPr>
            </w:pPr>
            <w:r>
              <w:rPr>
                <w:rFonts w:ascii="宋体" w:hAnsi="宋体" w:cs="宋体" w:eastAsia="宋体" w:hint="default"/>
                <w:sz w:val="18"/>
                <w:szCs w:val="18"/>
              </w:rPr>
              <w:t>境内非 国有法 人</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18.81%</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361,749,581</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-38,471,950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361,749,581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200,222,231</w:t>
            </w:r>
          </w:p>
        </w:tc>
      </w:tr>
      <w:tr>
        <w:trPr>
          <w:trHeight w:val="714"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境内自 然人</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9.08%</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174,737,031</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131,052,773</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43,684,258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122,027,031</w:t>
            </w:r>
          </w:p>
        </w:tc>
      </w:tr>
      <w:tr>
        <w:trPr>
          <w:trHeight w:val="714"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贾虹</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境内自 然人</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7.25%</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139,366,700</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-38,833,300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133,650,000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5,716,700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72,942,700</w:t>
            </w:r>
          </w:p>
        </w:tc>
      </w:tr>
      <w:tr>
        <w:trPr>
          <w:trHeight w:val="714"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房志刚</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境内自 然人</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5.08%</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97,667,640</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97,667,640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陆启惠</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境内自 然人</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1.78%</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34,307,500</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33,028,750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33,647,500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22,800,000</w:t>
            </w:r>
          </w:p>
        </w:tc>
      </w:tr>
      <w:tr>
        <w:trPr>
          <w:trHeight w:val="714"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林步东</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境内自 然人</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19,219,550</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19,219,550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19,219,550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北京天融 博汇资本 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天融 资本优选 成长基金</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其他</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0.78%</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15,024,220</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15,024,220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15,024,220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创金合信 基金－招 商银行</w:t>
            </w:r>
            <w:r>
              <w:rPr>
                <w:rFonts w:ascii="Times New Roman" w:hAnsi="Times New Roman" w:cs="Times New Roman" w:eastAsia="Times New Roman" w:hint="default"/>
                <w:sz w:val="18"/>
                <w:szCs w:val="18"/>
              </w:rPr>
              <w:t>-</w:t>
            </w:r>
            <w:r>
              <w:rPr>
                <w:rFonts w:ascii="宋体" w:hAnsi="宋体" w:cs="宋体" w:eastAsia="宋体" w:hint="default"/>
                <w:sz w:val="18"/>
                <w:szCs w:val="18"/>
              </w:rPr>
              <w:t>达 实智能</w:t>
            </w:r>
            <w:r>
              <w:rPr>
                <w:rFonts w:ascii="Times New Roman" w:hAnsi="Times New Roman" w:cs="Times New Roman" w:eastAsia="Times New Roman" w:hint="default"/>
                <w:sz w:val="18"/>
                <w:szCs w:val="18"/>
              </w:rPr>
              <w:t>-</w:t>
            </w:r>
            <w:r>
              <w:rPr>
                <w:rFonts w:ascii="宋体" w:hAnsi="宋体" w:cs="宋体" w:eastAsia="宋体" w:hint="default"/>
                <w:sz w:val="18"/>
                <w:szCs w:val="18"/>
              </w:rPr>
              <w:t>员 工持股计 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号特 定多客户 资产管理 计划</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其他</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0.73%</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14,000,000</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-563,638</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中国民生 信托有限 公司－中 国民生信 托</w:t>
            </w:r>
            <w:r>
              <w:rPr>
                <w:rFonts w:ascii="Times New Roman" w:hAnsi="Times New Roman" w:cs="Times New Roman" w:eastAsia="Times New Roman" w:hint="default"/>
                <w:sz w:val="18"/>
                <w:szCs w:val="18"/>
              </w:rPr>
              <w:t>-</w:t>
            </w:r>
            <w:r>
              <w:rPr>
                <w:rFonts w:ascii="宋体" w:hAnsi="宋体" w:cs="宋体" w:eastAsia="宋体" w:hint="default"/>
                <w:sz w:val="18"/>
                <w:szCs w:val="18"/>
              </w:rPr>
              <w:t>至信 </w:t>
            </w:r>
            <w:r>
              <w:rPr>
                <w:rFonts w:ascii="Times New Roman" w:hAnsi="Times New Roman" w:cs="Times New Roman" w:eastAsia="Times New Roman" w:hint="default"/>
                <w:sz w:val="18"/>
                <w:szCs w:val="18"/>
              </w:rPr>
              <w:t>239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 合资金信 托计划</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27"/>
              <w:jc w:val="right"/>
              <w:rPr>
                <w:rFonts w:ascii="宋体" w:hAnsi="宋体" w:cs="宋体" w:eastAsia="宋体" w:hint="default"/>
                <w:sz w:val="18"/>
                <w:szCs w:val="18"/>
              </w:rPr>
            </w:pPr>
            <w:r>
              <w:rPr>
                <w:rFonts w:ascii="宋体" w:hAnsi="宋体" w:cs="宋体" w:eastAsia="宋体" w:hint="default"/>
                <w:sz w:val="18"/>
                <w:szCs w:val="18"/>
              </w:rPr>
              <w:t>其他</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0.66%</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12,750,000</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12,750,000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12,750,000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境内自 然人</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0.59%</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11,359,378</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-1,100,000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9,344,532</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2,014,846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7,500,018</w:t>
            </w:r>
          </w:p>
        </w:tc>
      </w:tr>
      <w:tr>
        <w:trPr>
          <w:trHeight w:val="362" w:hRule="exact"/>
        </w:trPr>
        <w:tc>
          <w:tcPr>
            <w:tcW w:w="14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w:t>
            </w:r>
          </w:p>
        </w:tc>
        <w:tc>
          <w:tcPr>
            <w:tcW w:w="817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拉萨市达实投资发展有限公司为控股股东；刘磅先生为公司实际控制人、董事长、总经理；贾虹女士为</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2"/>
        <w:gridCol w:w="1631"/>
        <w:gridCol w:w="3585"/>
        <w:gridCol w:w="1950"/>
        <w:gridCol w:w="1009"/>
      </w:tblGrid>
      <w:tr>
        <w:trPr>
          <w:trHeight w:val="670" w:hRule="exact"/>
        </w:trPr>
        <w:tc>
          <w:tcPr>
            <w:tcW w:w="149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319" w:lineRule="auto" w:before="10"/>
              <w:ind w:left="22" w:right="197"/>
              <w:jc w:val="left"/>
              <w:rPr>
                <w:rFonts w:ascii="宋体" w:hAnsi="宋体" w:cs="宋体" w:eastAsia="宋体" w:hint="default"/>
                <w:sz w:val="18"/>
                <w:szCs w:val="18"/>
              </w:rPr>
            </w:pPr>
            <w:r>
              <w:rPr>
                <w:rFonts w:ascii="宋体" w:hAnsi="宋体" w:cs="宋体" w:eastAsia="宋体" w:hint="default"/>
                <w:sz w:val="18"/>
                <w:szCs w:val="18"/>
              </w:rPr>
              <w:t>系或一致行动的 说明</w:t>
            </w:r>
          </w:p>
        </w:tc>
        <w:tc>
          <w:tcPr>
            <w:tcW w:w="8175" w:type="dxa"/>
            <w:gridSpan w:val="4"/>
            <w:vMerge w:val="restart"/>
            <w:tcBorders>
              <w:top w:val="single" w:sz="4" w:space="0" w:color="000000"/>
              <w:left w:val="single" w:sz="9" w:space="0" w:color="D2D2D2"/>
              <w:right w:val="single" w:sz="4" w:space="0" w:color="000000"/>
            </w:tcBorders>
          </w:tcPr>
          <w:p>
            <w:pPr>
              <w:pStyle w:val="TableParagraph"/>
              <w:spacing w:line="312" w:lineRule="auto" w:before="10"/>
              <w:ind w:left="17" w:right="20"/>
              <w:jc w:val="both"/>
              <w:rPr>
                <w:rFonts w:ascii="宋体" w:hAnsi="宋体" w:cs="宋体" w:eastAsia="宋体" w:hint="default"/>
                <w:sz w:val="18"/>
                <w:szCs w:val="18"/>
              </w:rPr>
            </w:pPr>
            <w:r>
              <w:rPr>
                <w:rFonts w:ascii="宋体" w:hAnsi="宋体" w:cs="宋体" w:eastAsia="宋体" w:hint="default"/>
                <w:spacing w:val="-3"/>
                <w:sz w:val="18"/>
                <w:szCs w:val="18"/>
              </w:rPr>
              <w:t>公司子公司达实联欣总经理，曾任公司董事，已于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日离任；房志刚先生为公司全资子公司 久信医疗创始人，现任久信医疗总经理；程朋胜先生为公司副总经理、公司董事；创金合信基金－招商 银行－达实智能－员工持股计划１号特定多客户资产管理计划为公司第一期员工持股计划购买账户。除 上述情形外，公司未知其他股东是否存在关联关系，也未知是否属于一致行动人。</w:t>
            </w:r>
          </w:p>
        </w:tc>
      </w:tr>
      <w:tr>
        <w:trPr>
          <w:trHeight w:val="629" w:hRule="exact"/>
        </w:trPr>
        <w:tc>
          <w:tcPr>
            <w:tcW w:w="149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75" w:type="dxa"/>
            <w:gridSpan w:val="4"/>
            <w:vMerge/>
            <w:tcBorders>
              <w:left w:val="single" w:sz="9" w:space="0" w:color="D2D2D2"/>
              <w:bottom w:val="single" w:sz="4" w:space="0" w:color="000000"/>
              <w:right w:val="single" w:sz="4" w:space="0" w:color="000000"/>
            </w:tcBorders>
          </w:tcPr>
          <w:p>
            <w:pPr/>
          </w:p>
        </w:tc>
      </w:tr>
      <w:tr>
        <w:trPr>
          <w:trHeight w:val="402" w:hRule="exact"/>
        </w:trPr>
        <w:tc>
          <w:tcPr>
            <w:tcW w:w="966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312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29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312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5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96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3123" w:type="dxa"/>
            <w:gridSpan w:val="2"/>
            <w:vMerge/>
            <w:tcBorders>
              <w:left w:val="single" w:sz="4" w:space="0" w:color="000000"/>
              <w:bottom w:val="nil" w:sz="6" w:space="0" w:color="auto"/>
              <w:right w:val="single" w:sz="4" w:space="0" w:color="000000"/>
            </w:tcBorders>
            <w:shd w:val="clear" w:color="auto" w:fill="D2D2D2"/>
          </w:tcPr>
          <w:p>
            <w:pPr/>
          </w:p>
        </w:tc>
        <w:tc>
          <w:tcPr>
            <w:tcW w:w="3585" w:type="dxa"/>
            <w:vMerge/>
            <w:tcBorders>
              <w:left w:val="single" w:sz="4" w:space="0" w:color="000000"/>
              <w:bottom w:val="nil" w:sz="6" w:space="0" w:color="auto"/>
              <w:right w:val="single" w:sz="4" w:space="0" w:color="000000"/>
            </w:tcBorders>
            <w:shd w:val="clear" w:color="auto" w:fill="D2D2D2"/>
          </w:tcPr>
          <w:p>
            <w:pPr/>
          </w:p>
        </w:tc>
        <w:tc>
          <w:tcPr>
            <w:tcW w:w="19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1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12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0" w:type="dxa"/>
            <w:vMerge/>
            <w:tcBorders>
              <w:left w:val="single" w:sz="4" w:space="0" w:color="000000"/>
              <w:bottom w:val="single" w:sz="4" w:space="0" w:color="000000"/>
              <w:right w:val="single" w:sz="4" w:space="0" w:color="000000"/>
            </w:tcBorders>
            <w:shd w:val="clear" w:color="auto" w:fill="D2D2D2"/>
          </w:tcPr>
          <w:p>
            <w:pPr/>
          </w:p>
        </w:tc>
        <w:tc>
          <w:tcPr>
            <w:tcW w:w="100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1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拉萨市达实投资发展有限公司</w:t>
            </w:r>
          </w:p>
        </w:tc>
        <w:tc>
          <w:tcPr>
            <w:tcW w:w="3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361,749,581</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361,749,581</w:t>
            </w:r>
          </w:p>
        </w:tc>
      </w:tr>
      <w:tr>
        <w:trPr>
          <w:trHeight w:val="402" w:hRule="exact"/>
        </w:trPr>
        <w:tc>
          <w:tcPr>
            <w:tcW w:w="31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3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43,684,258</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43,684,258</w:t>
            </w:r>
          </w:p>
        </w:tc>
      </w:tr>
      <w:tr>
        <w:trPr>
          <w:trHeight w:val="402" w:hRule="exact"/>
        </w:trPr>
        <w:tc>
          <w:tcPr>
            <w:tcW w:w="31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陆启惠</w:t>
            </w:r>
          </w:p>
        </w:tc>
        <w:tc>
          <w:tcPr>
            <w:tcW w:w="3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33,647,500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33,647,500</w:t>
            </w:r>
          </w:p>
        </w:tc>
      </w:tr>
      <w:tr>
        <w:trPr>
          <w:trHeight w:val="402" w:hRule="exact"/>
        </w:trPr>
        <w:tc>
          <w:tcPr>
            <w:tcW w:w="31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林步东</w:t>
            </w:r>
          </w:p>
        </w:tc>
        <w:tc>
          <w:tcPr>
            <w:tcW w:w="3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19,219,550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19,219,550</w:t>
            </w:r>
          </w:p>
        </w:tc>
      </w:tr>
      <w:tr>
        <w:trPr>
          <w:trHeight w:val="714" w:hRule="exact"/>
        </w:trPr>
        <w:tc>
          <w:tcPr>
            <w:tcW w:w="312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北京天融博汇资本管理有限公司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天融 资本优选成长基金</w:t>
            </w:r>
          </w:p>
        </w:tc>
        <w:tc>
          <w:tcPr>
            <w:tcW w:w="3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15,024,220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15,024,220</w:t>
            </w:r>
          </w:p>
        </w:tc>
      </w:tr>
      <w:tr>
        <w:trPr>
          <w:trHeight w:val="1026" w:hRule="exact"/>
        </w:trPr>
        <w:tc>
          <w:tcPr>
            <w:tcW w:w="312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9"/>
              <w:jc w:val="both"/>
              <w:rPr>
                <w:rFonts w:ascii="宋体" w:hAnsi="宋体" w:cs="宋体" w:eastAsia="宋体" w:hint="default"/>
                <w:sz w:val="18"/>
                <w:szCs w:val="18"/>
              </w:rPr>
            </w:pPr>
            <w:r>
              <w:rPr>
                <w:rFonts w:ascii="宋体" w:hAnsi="宋体" w:cs="宋体" w:eastAsia="宋体" w:hint="default"/>
                <w:sz w:val="18"/>
                <w:szCs w:val="18"/>
              </w:rPr>
              <w:t>创金合信基金－招商银行</w:t>
            </w:r>
            <w:r>
              <w:rPr>
                <w:rFonts w:ascii="Times New Roman" w:hAnsi="Times New Roman" w:cs="Times New Roman" w:eastAsia="Times New Roman" w:hint="default"/>
                <w:sz w:val="18"/>
                <w:szCs w:val="18"/>
              </w:rPr>
              <w:t>-</w:t>
            </w:r>
            <w:r>
              <w:rPr>
                <w:rFonts w:ascii="宋体" w:hAnsi="宋体" w:cs="宋体" w:eastAsia="宋体" w:hint="default"/>
                <w:sz w:val="18"/>
                <w:szCs w:val="18"/>
              </w:rPr>
              <w:t>达实智能</w:t>
            </w:r>
            <w:r>
              <w:rPr>
                <w:rFonts w:ascii="Times New Roman" w:hAnsi="Times New Roman" w:cs="Times New Roman" w:eastAsia="Times New Roman" w:hint="default"/>
                <w:sz w:val="18"/>
                <w:szCs w:val="18"/>
              </w:rPr>
              <w:t>-</w:t>
            </w:r>
            <w:r>
              <w:rPr>
                <w:rFonts w:ascii="宋体" w:hAnsi="宋体" w:cs="宋体" w:eastAsia="宋体" w:hint="default"/>
                <w:sz w:val="18"/>
                <w:szCs w:val="18"/>
              </w:rPr>
              <w:t>员 工持股计划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号特定多客户资产管理计 划</w:t>
            </w:r>
          </w:p>
        </w:tc>
        <w:tc>
          <w:tcPr>
            <w:tcW w:w="3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14,000,000</w:t>
            </w:r>
          </w:p>
        </w:tc>
      </w:tr>
      <w:tr>
        <w:trPr>
          <w:trHeight w:val="714" w:hRule="exact"/>
        </w:trPr>
        <w:tc>
          <w:tcPr>
            <w:tcW w:w="31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中国民生信托有限公司－中国民生信托</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至信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3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12,750,000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12,750,000</w:t>
            </w:r>
          </w:p>
        </w:tc>
      </w:tr>
      <w:tr>
        <w:trPr>
          <w:trHeight w:val="402" w:hRule="exact"/>
        </w:trPr>
        <w:tc>
          <w:tcPr>
            <w:tcW w:w="31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王丹宇</w:t>
            </w:r>
          </w:p>
        </w:tc>
        <w:tc>
          <w:tcPr>
            <w:tcW w:w="3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10,678,000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10,678,000</w:t>
            </w:r>
          </w:p>
        </w:tc>
      </w:tr>
      <w:tr>
        <w:trPr>
          <w:trHeight w:val="714" w:hRule="exact"/>
        </w:trPr>
        <w:tc>
          <w:tcPr>
            <w:tcW w:w="312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云南国际信托有限公司－云瑞鼎盛证券 投资集合资金信托计划</w:t>
            </w:r>
          </w:p>
        </w:tc>
        <w:tc>
          <w:tcPr>
            <w:tcW w:w="3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10,665,357</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10,665,357</w:t>
            </w:r>
          </w:p>
        </w:tc>
      </w:tr>
      <w:tr>
        <w:trPr>
          <w:trHeight w:val="402" w:hRule="exact"/>
        </w:trPr>
        <w:tc>
          <w:tcPr>
            <w:tcW w:w="31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陈锦周</w:t>
            </w:r>
          </w:p>
        </w:tc>
        <w:tc>
          <w:tcPr>
            <w:tcW w:w="3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9,689,400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9,689,400</w:t>
            </w:r>
          </w:p>
        </w:tc>
      </w:tr>
      <w:tr>
        <w:trPr>
          <w:trHeight w:val="1338" w:hRule="exact"/>
        </w:trPr>
        <w:tc>
          <w:tcPr>
            <w:tcW w:w="3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w:t>
            </w:r>
            <w:r>
              <w:rPr>
                <w:rFonts w:ascii="宋体" w:hAnsi="宋体" w:cs="宋体" w:eastAsia="宋体" w:hint="default"/>
                <w:spacing w:val="1"/>
                <w:sz w:val="18"/>
                <w:szCs w:val="18"/>
              </w:rPr>
              <w:t>售</w:t>
            </w:r>
            <w:r>
              <w:rPr>
                <w:rFonts w:ascii="宋体" w:hAnsi="宋体" w:cs="宋体" w:eastAsia="宋体" w:hint="default"/>
                <w:sz w:val="18"/>
                <w:szCs w:val="18"/>
              </w:rPr>
              <w:t>流通股股东之间</w:t>
            </w:r>
            <w:r>
              <w:rPr>
                <w:rFonts w:ascii="宋体" w:hAnsi="宋体" w:cs="宋体" w:eastAsia="宋体" w:hint="default"/>
                <w:spacing w:val="-85"/>
                <w:sz w:val="18"/>
                <w:szCs w:val="18"/>
              </w:rPr>
              <w:t>，</w:t>
            </w:r>
            <w:r>
              <w:rPr>
                <w:rFonts w:ascii="宋体" w:hAnsi="宋体" w:cs="宋体" w:eastAsia="宋体" w:hint="default"/>
                <w:sz w:val="18"/>
                <w:szCs w:val="18"/>
              </w:rPr>
              <w:t>以及前</w:t>
            </w:r>
          </w:p>
          <w:p>
            <w:pPr>
              <w:pStyle w:val="TableParagraph"/>
              <w:spacing w:line="302" w:lineRule="auto" w:before="61"/>
              <w:ind w:left="22"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 之间关联关系或一致行动的说明</w:t>
            </w:r>
          </w:p>
        </w:tc>
        <w:tc>
          <w:tcPr>
            <w:tcW w:w="6544"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both"/>
              <w:rPr>
                <w:rFonts w:ascii="宋体" w:hAnsi="宋体" w:cs="宋体" w:eastAsia="宋体" w:hint="default"/>
                <w:sz w:val="18"/>
                <w:szCs w:val="18"/>
              </w:rPr>
            </w:pPr>
            <w:r>
              <w:rPr>
                <w:rFonts w:ascii="宋体" w:hAnsi="宋体" w:cs="宋体" w:eastAsia="宋体" w:hint="default"/>
                <w:sz w:val="18"/>
                <w:szCs w:val="18"/>
              </w:rPr>
              <w:t>拉萨市达实投资发展有限公司为控股股东；刘磅先生为公司实际控制人、董事长、 总经理；创金合信基金－招商银行－达实智能－员工持股计划１号特定多客户资产 管理计划为公司第一期员工持股计划购买账户。除上述情形外，公司未知其他股东 是否存在关联关系，也未知是否属于一致行动人。</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公司控股股东情况" w:id="117"/>
      <w:bookmarkEnd w:id="117"/>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859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控股股东类型：法人</w:t>
      </w:r>
    </w:p>
    <w:p>
      <w:pPr>
        <w:spacing w:line="240" w:lineRule="auto" w:before="2"/>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19"/>
        <w:gridCol w:w="1134"/>
        <w:gridCol w:w="1559"/>
        <w:gridCol w:w="1276"/>
        <w:gridCol w:w="4181"/>
      </w:tblGrid>
      <w:tr>
        <w:trPr>
          <w:trHeight w:val="714"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1" w:right="87"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4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拉萨市达实投资 发展有限公司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27933775-0</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0"/>
              <w:jc w:val="left"/>
              <w:rPr>
                <w:rFonts w:ascii="宋体" w:hAnsi="宋体" w:cs="宋体" w:eastAsia="宋体" w:hint="default"/>
                <w:sz w:val="18"/>
                <w:szCs w:val="18"/>
              </w:rPr>
            </w:pPr>
            <w:r>
              <w:rPr>
                <w:rFonts w:ascii="宋体" w:hAnsi="宋体" w:cs="宋体" w:eastAsia="宋体" w:hint="default"/>
                <w:spacing w:val="-4"/>
                <w:sz w:val="18"/>
                <w:szCs w:val="18"/>
              </w:rPr>
              <w:t>投资兴办实业（具体项目另报）；国内商业、物资供</w:t>
            </w:r>
            <w:r>
              <w:rPr>
                <w:rFonts w:ascii="宋体" w:hAnsi="宋体" w:cs="宋体" w:eastAsia="宋体" w:hint="default"/>
                <w:sz w:val="18"/>
                <w:szCs w:val="18"/>
              </w:rPr>
              <w:t> </w:t>
            </w:r>
            <w:r>
              <w:rPr>
                <w:rFonts w:ascii="宋体" w:hAnsi="宋体" w:cs="宋体" w:eastAsia="宋体" w:hint="default"/>
                <w:spacing w:val="-1"/>
                <w:sz w:val="18"/>
                <w:szCs w:val="18"/>
              </w:rPr>
              <w:t>销业；软件技术开发、经济信息咨询；通讯产品销售</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19"/>
        <w:gridCol w:w="1134"/>
        <w:gridCol w:w="1559"/>
        <w:gridCol w:w="1276"/>
        <w:gridCol w:w="4181"/>
      </w:tblGrid>
      <w:tr>
        <w:trPr>
          <w:trHeight w:val="986"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及研发；自营和代理各类商品及技术的净出口业务</w:t>
            </w:r>
          </w:p>
          <w:p>
            <w:pPr>
              <w:pStyle w:val="TableParagraph"/>
              <w:spacing w:line="319" w:lineRule="auto" w:before="76"/>
              <w:ind w:left="22" w:right="22"/>
              <w:jc w:val="left"/>
              <w:rPr>
                <w:rFonts w:ascii="宋体" w:hAnsi="宋体" w:cs="宋体" w:eastAsia="宋体" w:hint="default"/>
                <w:sz w:val="18"/>
                <w:szCs w:val="18"/>
              </w:rPr>
            </w:pPr>
            <w:r>
              <w:rPr>
                <w:rFonts w:ascii="宋体" w:hAnsi="宋体" w:cs="宋体" w:eastAsia="宋体" w:hint="default"/>
                <w:spacing w:val="-1"/>
                <w:sz w:val="18"/>
                <w:szCs w:val="18"/>
              </w:rPr>
              <w:t>【依法须经批准的项目，经相关部门批准后方可开展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经营活动】</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4"/>
              <w:jc w:val="both"/>
              <w:rPr>
                <w:rFonts w:ascii="宋体" w:hAnsi="宋体" w:cs="宋体" w:eastAsia="宋体" w:hint="default"/>
                <w:sz w:val="18"/>
                <w:szCs w:val="18"/>
              </w:rPr>
            </w:pPr>
            <w:r>
              <w:rPr>
                <w:rFonts w:ascii="宋体" w:hAnsi="宋体" w:cs="宋体" w:eastAsia="宋体" w:hint="default"/>
                <w:sz w:val="18"/>
                <w:szCs w:val="18"/>
              </w:rPr>
              <w:t>控股股东报告期 内控股和参股的 其他境内外上市 公司的股权情况</w:t>
            </w:r>
          </w:p>
        </w:tc>
        <w:tc>
          <w:tcPr>
            <w:tcW w:w="8150"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10" w:right="106"/>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日，拉萨市达实投资发展有限公司持有深圳市天健（集团）股份有限公司（股票 简称：天健集团，股票代码：</w:t>
            </w:r>
            <w:r>
              <w:rPr>
                <w:rFonts w:ascii="Times New Roman" w:hAnsi="Times New Roman" w:cs="Times New Roman" w:eastAsia="Times New Roman" w:hint="default"/>
                <w:sz w:val="18"/>
                <w:szCs w:val="18"/>
              </w:rPr>
              <w:t>000090</w:t>
            </w:r>
            <w:r>
              <w:rPr>
                <w:rFonts w:ascii="宋体" w:hAnsi="宋体" w:cs="宋体" w:eastAsia="宋体" w:hint="default"/>
                <w:sz w:val="18"/>
                <w:szCs w:val="18"/>
              </w:rPr>
              <w:t>）</w:t>
            </w:r>
            <w:r>
              <w:rPr>
                <w:rFonts w:ascii="Times New Roman" w:hAnsi="Times New Roman" w:cs="Times New Roman" w:eastAsia="Times New Roman" w:hint="default"/>
                <w:sz w:val="18"/>
                <w:szCs w:val="18"/>
              </w:rPr>
              <w:t>13,774,105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股股份。</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3、公司实际控制人情况" w:id="118"/>
      <w:bookmarkEnd w:id="118"/>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月创立本公司，一直担任本公司董事长、总经理</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1"/>
        <w:rPr>
          <w:rFonts w:ascii="宋体" w:hAnsi="宋体" w:cs="宋体" w:eastAsia="宋体" w:hint="default"/>
          <w:sz w:val="14"/>
          <w:szCs w:val="14"/>
        </w:rPr>
      </w:pPr>
    </w:p>
    <w:p>
      <w:pPr>
        <w:spacing w:line="4344" w:lineRule="exact"/>
        <w:ind w:left="2080"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3673264" cy="275844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3673264" cy="2758440"/>
                    </a:xfrm>
                    <a:prstGeom prst="rect">
                      <a:avLst/>
                    </a:prstGeom>
                  </pic:spPr>
                </pic:pic>
              </a:graphicData>
            </a:graphic>
          </wp:inline>
        </w:drawing>
      </w:r>
      <w:r>
        <w:rPr>
          <w:rFonts w:ascii="宋体" w:hAnsi="宋体" w:cs="宋体" w:eastAsia="宋体" w:hint="default"/>
          <w:position w:val="-86"/>
          <w:sz w:val="20"/>
          <w:szCs w:val="20"/>
        </w:rPr>
      </w:r>
    </w:p>
    <w:p>
      <w:pPr>
        <w:spacing w:line="240" w:lineRule="auto" w:before="3"/>
        <w:rPr>
          <w:rFonts w:ascii="宋体" w:hAnsi="宋体" w:cs="宋体" w:eastAsia="宋体" w:hint="default"/>
          <w:sz w:val="17"/>
          <w:szCs w:val="1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4、其他持股在10%以上的法人股东" w:id="119"/>
      <w:bookmarkEnd w:id="119"/>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5、控股股东、实际控制人、重组方及其他承诺主体股份限制减持情况" w:id="120"/>
      <w:bookmarkEnd w:id="120"/>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21"/>
      <w:bookmarkEnd w:id="121"/>
      <w:r>
        <w:rPr>
          <w:b w:val="0"/>
          <w:bCs w:val="0"/>
        </w:rPr>
      </w:r>
      <w:bookmarkStart w:name="_bookmark6" w:id="122"/>
      <w:bookmarkEnd w:id="122"/>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23"/>
      <w:bookmarkEnd w:id="123"/>
      <w:r>
        <w:rPr>
          <w:b w:val="0"/>
          <w:bCs w:val="0"/>
        </w:rPr>
      </w:r>
      <w:bookmarkStart w:name="_bookmark7" w:id="124"/>
      <w:bookmarkEnd w:id="124"/>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10"/>
        <w:gridCol w:w="851"/>
        <w:gridCol w:w="568"/>
        <w:gridCol w:w="566"/>
        <w:gridCol w:w="425"/>
        <w:gridCol w:w="851"/>
        <w:gridCol w:w="851"/>
        <w:gridCol w:w="991"/>
        <w:gridCol w:w="992"/>
        <w:gridCol w:w="994"/>
        <w:gridCol w:w="850"/>
        <w:gridCol w:w="1019"/>
      </w:tblGrid>
      <w:tr>
        <w:trPr>
          <w:trHeight w:val="713"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0"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0"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33" w:firstLine="18"/>
              <w:jc w:val="left"/>
              <w:rPr>
                <w:rFonts w:ascii="宋体" w:hAnsi="宋体" w:cs="宋体" w:eastAsia="宋体" w:hint="default"/>
                <w:sz w:val="18"/>
                <w:szCs w:val="18"/>
              </w:rPr>
            </w:pPr>
            <w:r>
              <w:rPr>
                <w:rFonts w:ascii="宋体" w:hAnsi="宋体" w:cs="宋体" w:eastAsia="宋体" w:hint="default"/>
                <w:sz w:val="18"/>
                <w:szCs w:val="18"/>
              </w:rPr>
              <w:t>本期增持股 </w:t>
            </w:r>
            <w:r>
              <w:rPr>
                <w:rFonts w:ascii="宋体" w:hAnsi="宋体" w:cs="宋体" w:eastAsia="宋体" w:hint="default"/>
                <w:spacing w:val="-15"/>
                <w:sz w:val="18"/>
                <w:szCs w:val="18"/>
              </w:rPr>
              <w:t>份数量（股）</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8" w:firstLine="18"/>
              <w:jc w:val="left"/>
              <w:rPr>
                <w:rFonts w:ascii="宋体" w:hAnsi="宋体" w:cs="宋体" w:eastAsia="宋体" w:hint="default"/>
                <w:sz w:val="18"/>
                <w:szCs w:val="18"/>
              </w:rPr>
            </w:pPr>
            <w:r>
              <w:rPr>
                <w:rFonts w:ascii="宋体" w:hAnsi="宋体" w:cs="宋体" w:eastAsia="宋体" w:hint="default"/>
                <w:sz w:val="18"/>
                <w:szCs w:val="18"/>
              </w:rPr>
              <w:t>本期减持股 </w:t>
            </w:r>
            <w:r>
              <w:rPr>
                <w:rFonts w:ascii="宋体" w:hAnsi="宋体" w:cs="宋体" w:eastAsia="宋体" w:hint="default"/>
                <w:spacing w:val="-15"/>
                <w:sz w:val="18"/>
                <w:szCs w:val="18"/>
              </w:rPr>
              <w:t>份数量（股）</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2" w:firstLine="37"/>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4"/>
                <w:sz w:val="18"/>
                <w:szCs w:val="18"/>
              </w:rPr>
              <w:t>变动（股</w:t>
            </w:r>
          </w:p>
        </w:tc>
        <w:tc>
          <w:tcPr>
            <w:tcW w:w="1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（股）</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174,737,031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174,737,031</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12,459,378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11,359,378</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贾虹</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178,200,000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38,833,300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139,366,700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11,335,974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1,712,000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9,623,974</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苏俊锋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苏俊锋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9,678,531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9,678,531</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王礼贵</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李继朝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沈冰</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甘岱松</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黄德强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1,273,800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1,373,800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副总经</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6,777,753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6,777,753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10"/>
        <w:gridCol w:w="851"/>
        <w:gridCol w:w="568"/>
        <w:gridCol w:w="566"/>
        <w:gridCol w:w="425"/>
        <w:gridCol w:w="851"/>
        <w:gridCol w:w="851"/>
        <w:gridCol w:w="991"/>
        <w:gridCol w:w="992"/>
        <w:gridCol w:w="994"/>
        <w:gridCol w:w="850"/>
        <w:gridCol w:w="1019"/>
      </w:tblGrid>
      <w:tr>
        <w:trPr>
          <w:trHeight w:val="674" w:hRule="exact"/>
        </w:trPr>
        <w:tc>
          <w:tcPr>
            <w:tcW w:w="71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6"/>
              <w:jc w:val="left"/>
              <w:rPr>
                <w:rFonts w:ascii="宋体" w:hAnsi="宋体" w:cs="宋体" w:eastAsia="宋体" w:hint="default"/>
                <w:sz w:val="18"/>
                <w:szCs w:val="18"/>
              </w:rPr>
            </w:pPr>
            <w:r>
              <w:rPr>
                <w:rFonts w:ascii="宋体" w:hAnsi="宋体" w:cs="宋体" w:eastAsia="宋体" w:hint="default"/>
                <w:sz w:val="18"/>
                <w:szCs w:val="18"/>
              </w:rPr>
              <w:t>理、董事 会秘书</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黄天朗</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6,809,127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1,264,827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5,544,300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沈宏明</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401,271,894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42,910,127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358,463,967</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822"/>
        <w:gridCol w:w="3756"/>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李继朝</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李继朝</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沈宏明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甘岱松</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任职情况" w:id="127"/>
      <w:bookmarkEnd w:id="127"/>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1"/>
        <w:rPr>
          <w:rFonts w:ascii="宋体" w:hAnsi="宋体" w:cs="宋体" w:eastAsia="宋体" w:hint="default"/>
          <w:sz w:val="14"/>
          <w:szCs w:val="14"/>
        </w:rPr>
      </w:pPr>
    </w:p>
    <w:p>
      <w:pPr>
        <w:spacing w:line="597" w:lineRule="auto" w:before="0"/>
        <w:ind w:left="513" w:right="7603" w:firstLine="0"/>
        <w:jc w:val="left"/>
        <w:rPr>
          <w:rFonts w:ascii="宋体" w:hAnsi="宋体" w:cs="宋体" w:eastAsia="宋体" w:hint="default"/>
          <w:sz w:val="18"/>
          <w:szCs w:val="18"/>
        </w:rPr>
      </w:pPr>
      <w:r>
        <w:rPr>
          <w:rFonts w:ascii="宋体" w:hAnsi="宋体" w:cs="宋体" w:eastAsia="宋体" w:hint="default"/>
          <w:sz w:val="18"/>
          <w:szCs w:val="18"/>
        </w:rPr>
        <w:t>（一）董事最近</w:t>
      </w:r>
      <w:r>
        <w:rPr>
          <w:rFonts w:ascii="宋体" w:hAnsi="宋体" w:cs="宋体" w:eastAsia="宋体" w:hint="default"/>
          <w:sz w:val="18"/>
          <w:szCs w:val="18"/>
        </w:rPr>
        <w:t>5</w:t>
      </w:r>
      <w:r>
        <w:rPr>
          <w:rFonts w:ascii="宋体" w:hAnsi="宋体" w:cs="宋体" w:eastAsia="宋体" w:hint="default"/>
          <w:sz w:val="18"/>
          <w:szCs w:val="18"/>
        </w:rPr>
        <w:t>年的主要工作经历 </w:t>
      </w:r>
      <w:r>
        <w:rPr>
          <w:rFonts w:ascii="宋体" w:hAnsi="宋体" w:cs="宋体" w:eastAsia="宋体" w:hint="default"/>
          <w:sz w:val="18"/>
          <w:szCs w:val="18"/>
        </w:rPr>
        <w:t>1</w:t>
      </w:r>
      <w:r>
        <w:rPr>
          <w:rFonts w:ascii="宋体" w:hAnsi="宋体" w:cs="宋体" w:eastAsia="宋体" w:hint="default"/>
          <w:sz w:val="18"/>
          <w:szCs w:val="18"/>
        </w:rPr>
        <w:t>、刘磅简历</w:t>
      </w:r>
    </w:p>
    <w:p>
      <w:pPr>
        <w:spacing w:before="84"/>
        <w:ind w:left="513" w:right="0" w:firstLine="0"/>
        <w:jc w:val="left"/>
        <w:rPr>
          <w:rFonts w:ascii="宋体" w:hAnsi="宋体" w:cs="宋体" w:eastAsia="宋体" w:hint="default"/>
          <w:sz w:val="18"/>
          <w:szCs w:val="18"/>
        </w:rPr>
      </w:pPr>
      <w:r>
        <w:rPr>
          <w:rFonts w:ascii="宋体" w:hAnsi="宋体" w:cs="宋体" w:eastAsia="宋体" w:hint="default"/>
          <w:sz w:val="18"/>
          <w:szCs w:val="18"/>
        </w:rPr>
        <w:t>刘磅先生，</w:t>
      </w:r>
      <w:r>
        <w:rPr>
          <w:rFonts w:ascii="宋体" w:hAnsi="宋体" w:cs="宋体" w:eastAsia="宋体" w:hint="default"/>
          <w:sz w:val="18"/>
          <w:szCs w:val="18"/>
        </w:rPr>
        <w:t>1963</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月出生</w:t>
      </w:r>
      <w:r>
        <w:rPr>
          <w:rFonts w:ascii="宋体" w:hAnsi="宋体" w:cs="宋体" w:eastAsia="宋体" w:hint="default"/>
          <w:sz w:val="18"/>
          <w:szCs w:val="18"/>
        </w:rPr>
        <w:t>, </w:t>
      </w:r>
      <w:r>
        <w:rPr>
          <w:rFonts w:ascii="宋体" w:hAnsi="宋体" w:cs="宋体" w:eastAsia="宋体" w:hint="default"/>
          <w:sz w:val="18"/>
          <w:szCs w:val="18"/>
        </w:rPr>
        <w:t>研究生学历、教授级高级工程师，公司主要创始人。</w:t>
      </w:r>
    </w:p>
    <w:p>
      <w:pPr>
        <w:spacing w:line="580" w:lineRule="atLeast" w:before="8"/>
        <w:ind w:left="513" w:right="1123" w:firstLine="0"/>
        <w:jc w:val="left"/>
        <w:rPr>
          <w:rFonts w:ascii="宋体" w:hAnsi="宋体" w:cs="宋体" w:eastAsia="宋体" w:hint="default"/>
          <w:sz w:val="18"/>
          <w:szCs w:val="18"/>
        </w:rPr>
      </w:pPr>
      <w:r>
        <w:rPr>
          <w:rFonts w:ascii="宋体" w:hAnsi="宋体" w:cs="宋体" w:eastAsia="宋体" w:hint="default"/>
          <w:sz w:val="18"/>
          <w:szCs w:val="18"/>
        </w:rPr>
        <w:t>曾任深圳市三、四届人大代表，人大科技组组长，深圳市南山区第一届政协委员。 </w:t>
      </w:r>
      <w:r>
        <w:rPr>
          <w:rFonts w:ascii="宋体" w:hAnsi="宋体" w:cs="宋体" w:eastAsia="宋体" w:hint="default"/>
          <w:sz w:val="18"/>
          <w:szCs w:val="18"/>
        </w:rPr>
        <w:t>1995</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月创立本公司。现任本公司董事长、总经理，深圳达实信息技术有限公司董事长，上海达实自动化技术有限公</w:t>
      </w:r>
    </w:p>
    <w:p>
      <w:pPr>
        <w:spacing w:line="240" w:lineRule="auto" w:before="10"/>
        <w:rPr>
          <w:rFonts w:ascii="宋体" w:hAnsi="宋体" w:cs="宋体" w:eastAsia="宋体" w:hint="default"/>
          <w:sz w:val="17"/>
          <w:szCs w:val="17"/>
        </w:rPr>
      </w:pPr>
    </w:p>
    <w:p>
      <w:pPr>
        <w:spacing w:line="600" w:lineRule="auto" w:before="0"/>
        <w:ind w:left="513" w:right="4993" w:hanging="360"/>
        <w:jc w:val="left"/>
        <w:rPr>
          <w:rFonts w:ascii="宋体" w:hAnsi="宋体" w:cs="宋体" w:eastAsia="宋体" w:hint="default"/>
          <w:sz w:val="18"/>
          <w:szCs w:val="18"/>
        </w:rPr>
      </w:pPr>
      <w:r>
        <w:rPr>
          <w:rFonts w:ascii="宋体" w:hAnsi="宋体" w:cs="宋体" w:eastAsia="宋体" w:hint="default"/>
          <w:sz w:val="18"/>
          <w:szCs w:val="18"/>
        </w:rPr>
        <w:t>司董事长，深圳达实融资租赁有限公司董事长，深圳市第六届人大代表。 </w:t>
      </w:r>
      <w:r>
        <w:rPr>
          <w:rFonts w:ascii="宋体" w:hAnsi="宋体" w:cs="宋体" w:eastAsia="宋体" w:hint="default"/>
          <w:sz w:val="18"/>
          <w:szCs w:val="18"/>
        </w:rPr>
        <w:t>2</w:t>
      </w:r>
      <w:r>
        <w:rPr>
          <w:rFonts w:ascii="宋体" w:hAnsi="宋体" w:cs="宋体" w:eastAsia="宋体" w:hint="default"/>
          <w:sz w:val="18"/>
          <w:szCs w:val="18"/>
        </w:rPr>
        <w:t>、刘昂简历 刘昂先生，</w:t>
      </w:r>
      <w:r>
        <w:rPr>
          <w:rFonts w:ascii="宋体" w:hAnsi="宋体" w:cs="宋体" w:eastAsia="宋体" w:hint="default"/>
          <w:sz w:val="18"/>
          <w:szCs w:val="18"/>
        </w:rPr>
        <w:t>1967</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月出生，英国威尔士大学管理学硕士。</w:t>
      </w:r>
    </w:p>
    <w:p>
      <w:pPr>
        <w:spacing w:line="477" w:lineRule="auto" w:before="82"/>
        <w:ind w:left="153" w:right="1131" w:firstLine="360"/>
        <w:jc w:val="both"/>
        <w:rPr>
          <w:rFonts w:ascii="宋体" w:hAnsi="宋体" w:cs="宋体" w:eastAsia="宋体" w:hint="default"/>
          <w:sz w:val="18"/>
          <w:szCs w:val="18"/>
        </w:rPr>
      </w:pPr>
      <w:r>
        <w:rPr>
          <w:rFonts w:ascii="宋体" w:hAnsi="宋体" w:cs="宋体" w:eastAsia="宋体" w:hint="default"/>
          <w:spacing w:val="-2"/>
          <w:sz w:val="18"/>
          <w:szCs w:val="18"/>
        </w:rPr>
        <w:t>1995</w:t>
      </w:r>
      <w:r>
        <w:rPr>
          <w:rFonts w:ascii="宋体" w:hAnsi="宋体" w:cs="宋体" w:eastAsia="宋体" w:hint="default"/>
          <w:spacing w:val="-2"/>
          <w:sz w:val="18"/>
          <w:szCs w:val="18"/>
        </w:rPr>
        <w:t>年参与组建本公司。现任本公司第六届董事会董事，拉萨市达实投资发展有限公司执行董事、总经理；深圳市诺达</w:t>
      </w:r>
      <w:r>
        <w:rPr>
          <w:rFonts w:ascii="宋体" w:hAnsi="宋体" w:cs="宋体" w:eastAsia="宋体" w:hint="default"/>
          <w:sz w:val="18"/>
          <w:szCs w:val="18"/>
        </w:rPr>
        <w:t> </w:t>
      </w:r>
      <w:r>
        <w:rPr>
          <w:rFonts w:ascii="宋体" w:hAnsi="宋体" w:cs="宋体" w:eastAsia="宋体" w:hint="default"/>
          <w:spacing w:val="-2"/>
          <w:sz w:val="18"/>
          <w:szCs w:val="18"/>
        </w:rPr>
        <w:t>自动化技术有限公司副董事长；合肥达实数字科技有限公司执行董事、总经理；合肥中正物业管理有限公司执行董事、总经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理；安徽达实商贸有限公司监事；界首达实置业有限公司监事；淮北市达实置业有限公司执行董事兼总经理；深圳市英唐智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能控制股份有限公司监事会主席；上海达实自动化工程有限公司监事；深圳市达实数字科技有限公司总经理、执行董事；深</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圳市达实股权投资发展有限公司执行董事兼总经理；深圳市智慧达实供应链有限公司执行董事。</w:t>
      </w:r>
    </w:p>
    <w:p>
      <w:pPr>
        <w:spacing w:after="0" w:line="477"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600" w:lineRule="auto" w:before="0"/>
        <w:ind w:left="513" w:right="4003"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、程朋胜简历 程朋胜先生，</w:t>
      </w:r>
      <w:r>
        <w:rPr>
          <w:rFonts w:ascii="宋体" w:hAnsi="宋体" w:cs="宋体" w:eastAsia="宋体" w:hint="default"/>
          <w:sz w:val="18"/>
          <w:szCs w:val="18"/>
        </w:rPr>
        <w:t>1964</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月出生，工学硕士，高级工程师，本公司主要创始人之一。</w:t>
      </w:r>
    </w:p>
    <w:p>
      <w:pPr>
        <w:spacing w:line="477" w:lineRule="auto" w:before="83"/>
        <w:ind w:left="153" w:right="0" w:firstLine="360"/>
        <w:jc w:val="left"/>
        <w:rPr>
          <w:rFonts w:ascii="宋体" w:hAnsi="宋体" w:cs="宋体" w:eastAsia="宋体" w:hint="default"/>
          <w:sz w:val="18"/>
          <w:szCs w:val="18"/>
        </w:rPr>
      </w:pPr>
      <w:r>
        <w:rPr>
          <w:rFonts w:ascii="宋体" w:hAnsi="宋体" w:cs="宋体" w:eastAsia="宋体" w:hint="default"/>
          <w:spacing w:val="-2"/>
          <w:sz w:val="18"/>
          <w:szCs w:val="18"/>
        </w:rPr>
        <w:t>1995</w:t>
      </w:r>
      <w:r>
        <w:rPr>
          <w:rFonts w:ascii="宋体" w:hAnsi="宋体" w:cs="宋体" w:eastAsia="宋体" w:hint="default"/>
          <w:spacing w:val="-2"/>
          <w:sz w:val="18"/>
          <w:szCs w:val="18"/>
        </w:rPr>
        <w:t>年参与组建本公司。现任本公司第六届董事会董事、副总经理、研发中心主任、国家博士后科研工作站负责人，深</w:t>
      </w:r>
      <w:r>
        <w:rPr>
          <w:rFonts w:ascii="宋体" w:hAnsi="宋体" w:cs="宋体" w:eastAsia="宋体" w:hint="default"/>
          <w:sz w:val="18"/>
          <w:szCs w:val="18"/>
        </w:rPr>
        <w:t> 圳达实信息技术有限公司董事，江苏达实久信医疗科技有限公司董事。</w:t>
      </w:r>
    </w:p>
    <w:p>
      <w:pPr>
        <w:spacing w:line="240" w:lineRule="auto" w:before="4"/>
        <w:rPr>
          <w:rFonts w:ascii="宋体" w:hAnsi="宋体" w:cs="宋体" w:eastAsia="宋体" w:hint="default"/>
          <w:sz w:val="13"/>
          <w:szCs w:val="13"/>
        </w:rPr>
      </w:pPr>
    </w:p>
    <w:p>
      <w:pPr>
        <w:spacing w:line="600" w:lineRule="auto" w:before="0"/>
        <w:ind w:left="513" w:right="2653"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、吕枫简历 吕枫先生，</w:t>
      </w:r>
      <w:r>
        <w:rPr>
          <w:rFonts w:ascii="宋体" w:hAnsi="宋体" w:cs="宋体" w:eastAsia="宋体" w:hint="default"/>
          <w:sz w:val="18"/>
          <w:szCs w:val="18"/>
        </w:rPr>
        <w:t>1968</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月出生，南开大学物理学学士，清华大学工商管理硕士（</w:t>
      </w:r>
      <w:r>
        <w:rPr>
          <w:rFonts w:ascii="宋体" w:hAnsi="宋体" w:cs="宋体" w:eastAsia="宋体" w:hint="default"/>
          <w:sz w:val="18"/>
          <w:szCs w:val="18"/>
        </w:rPr>
        <w:t>MBA</w:t>
      </w:r>
      <w:r>
        <w:rPr>
          <w:rFonts w:ascii="宋体" w:hAnsi="宋体" w:cs="宋体" w:eastAsia="宋体" w:hint="default"/>
          <w:sz w:val="18"/>
          <w:szCs w:val="18"/>
        </w:rPr>
        <w:t>），高级经济师。</w:t>
      </w:r>
    </w:p>
    <w:p>
      <w:pPr>
        <w:spacing w:line="477" w:lineRule="auto" w:before="82"/>
        <w:ind w:left="153" w:right="1033" w:firstLine="360"/>
        <w:jc w:val="left"/>
        <w:rPr>
          <w:rFonts w:ascii="宋体" w:hAnsi="宋体" w:cs="宋体" w:eastAsia="宋体" w:hint="default"/>
          <w:sz w:val="18"/>
          <w:szCs w:val="18"/>
        </w:rPr>
      </w:pPr>
      <w:r>
        <w:rPr>
          <w:rFonts w:ascii="宋体" w:hAnsi="宋体" w:cs="宋体" w:eastAsia="宋体" w:hint="default"/>
          <w:sz w:val="18"/>
          <w:szCs w:val="18"/>
        </w:rPr>
        <w:t>2001</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月进入本公司。现任本公司副总经理、第六届董事会董事，上海达实联欣科技发展有限公司董事长、总经理， </w:t>
      </w:r>
      <w:r>
        <w:rPr>
          <w:rFonts w:ascii="宋体" w:hAnsi="宋体" w:cs="宋体" w:eastAsia="宋体" w:hint="default"/>
          <w:spacing w:val="-2"/>
          <w:sz w:val="18"/>
          <w:szCs w:val="18"/>
        </w:rPr>
        <w:t>江苏达实久信医疗科技有限公司董事，融智节能环保（深圳）有限公司董事长，北京达实德润能源科技有限公司董事，雄安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达实智慧科技有限公司执行董事、总经理。</w:t>
      </w:r>
    </w:p>
    <w:p>
      <w:pPr>
        <w:spacing w:line="240" w:lineRule="auto" w:before="4"/>
        <w:rPr>
          <w:rFonts w:ascii="宋体" w:hAnsi="宋体" w:cs="宋体" w:eastAsia="宋体" w:hint="default"/>
          <w:sz w:val="13"/>
          <w:szCs w:val="13"/>
        </w:rPr>
      </w:pPr>
    </w:p>
    <w:p>
      <w:pPr>
        <w:spacing w:line="600" w:lineRule="auto" w:before="0"/>
        <w:ind w:left="513" w:right="4003"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、苏俊锋简历 苏俊锋先生，</w:t>
      </w:r>
      <w:r>
        <w:rPr>
          <w:rFonts w:ascii="宋体" w:hAnsi="宋体" w:cs="宋体" w:eastAsia="宋体" w:hint="default"/>
          <w:sz w:val="18"/>
          <w:szCs w:val="18"/>
        </w:rPr>
        <w:t>1971</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月出生，华中理工大学工学硕士研究生毕业，高级工程师。</w:t>
      </w:r>
    </w:p>
    <w:p>
      <w:pPr>
        <w:spacing w:line="477" w:lineRule="auto" w:before="82"/>
        <w:ind w:left="153" w:right="0" w:firstLine="360"/>
        <w:jc w:val="left"/>
        <w:rPr>
          <w:rFonts w:ascii="宋体" w:hAnsi="宋体" w:cs="宋体" w:eastAsia="宋体" w:hint="default"/>
          <w:sz w:val="18"/>
          <w:szCs w:val="18"/>
        </w:rPr>
      </w:pPr>
      <w:r>
        <w:rPr>
          <w:rFonts w:ascii="宋体" w:hAnsi="宋体" w:cs="宋体" w:eastAsia="宋体" w:hint="default"/>
          <w:spacing w:val="-2"/>
          <w:sz w:val="18"/>
          <w:szCs w:val="18"/>
        </w:rPr>
        <w:t>担任高速铁路建造技术国家工程实验室常务理事，深圳市城市轨道交通协会副会长及产业设备委员会副主任，深圳市智</w:t>
      </w:r>
      <w:r>
        <w:rPr>
          <w:rFonts w:ascii="宋体" w:hAnsi="宋体" w:cs="宋体" w:eastAsia="宋体" w:hint="default"/>
          <w:sz w:val="18"/>
          <w:szCs w:val="18"/>
        </w:rPr>
        <w:t> 能建筑协会副会长，深圳市广西商会常务副会长等社会职务。</w:t>
      </w:r>
    </w:p>
    <w:p>
      <w:pPr>
        <w:spacing w:line="240" w:lineRule="auto" w:before="5"/>
        <w:rPr>
          <w:rFonts w:ascii="宋体" w:hAnsi="宋体" w:cs="宋体" w:eastAsia="宋体" w:hint="default"/>
          <w:sz w:val="13"/>
          <w:szCs w:val="13"/>
        </w:rPr>
      </w:pPr>
    </w:p>
    <w:p>
      <w:pPr>
        <w:spacing w:line="477" w:lineRule="auto" w:before="0"/>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1996</w:t>
      </w:r>
      <w:r>
        <w:rPr>
          <w:rFonts w:ascii="宋体" w:hAnsi="宋体" w:cs="宋体" w:eastAsia="宋体" w:hint="default"/>
          <w:spacing w:val="-2"/>
          <w:sz w:val="18"/>
          <w:szCs w:val="18"/>
        </w:rPr>
        <w:t>年进入本公司。现任公司副总经理、第六届董事会董事，上海达实联欣科技发展有限公司董事，深圳市云玺互联网</w:t>
      </w:r>
      <w:r>
        <w:rPr>
          <w:rFonts w:ascii="宋体" w:hAnsi="宋体" w:cs="宋体" w:eastAsia="宋体" w:hint="default"/>
          <w:sz w:val="18"/>
          <w:szCs w:val="18"/>
        </w:rPr>
        <w:t> 服务有限公司董事。</w:t>
      </w:r>
    </w:p>
    <w:p>
      <w:pPr>
        <w:spacing w:line="240" w:lineRule="auto" w:before="4"/>
        <w:rPr>
          <w:rFonts w:ascii="宋体" w:hAnsi="宋体" w:cs="宋体" w:eastAsia="宋体" w:hint="default"/>
          <w:sz w:val="13"/>
          <w:szCs w:val="13"/>
        </w:rPr>
      </w:pPr>
    </w:p>
    <w:p>
      <w:pPr>
        <w:spacing w:line="600" w:lineRule="auto" w:before="0"/>
        <w:ind w:left="513" w:right="5803" w:firstLine="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、赵诚简历 赵诚先生，男，</w:t>
      </w:r>
      <w:r>
        <w:rPr>
          <w:rFonts w:ascii="宋体" w:hAnsi="宋体" w:cs="宋体" w:eastAsia="宋体" w:hint="default"/>
          <w:sz w:val="18"/>
          <w:szCs w:val="18"/>
        </w:rPr>
        <w:t>1974</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月出生，经济管理专业本科学历。</w:t>
      </w:r>
    </w:p>
    <w:p>
      <w:pPr>
        <w:spacing w:line="477" w:lineRule="auto" w:before="82"/>
        <w:ind w:left="153" w:right="1123" w:firstLine="360"/>
        <w:jc w:val="left"/>
        <w:rPr>
          <w:rFonts w:ascii="宋体" w:hAnsi="宋体" w:cs="宋体" w:eastAsia="宋体" w:hint="default"/>
          <w:sz w:val="18"/>
          <w:szCs w:val="18"/>
        </w:rPr>
      </w:pPr>
      <w:r>
        <w:rPr>
          <w:rFonts w:ascii="宋体" w:hAnsi="宋体" w:cs="宋体" w:eastAsia="宋体" w:hint="default"/>
          <w:sz w:val="18"/>
          <w:szCs w:val="18"/>
        </w:rPr>
        <w:t>1998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月开始在华夏证券从事投资银行业务，曾任江南证券有限责任公司投资银行部副总经理，中投证券有限公司投 资银行部董事，东方花旗有限责任公司投资银行部执行总经理。</w:t>
      </w:r>
    </w:p>
    <w:p>
      <w:pPr>
        <w:spacing w:line="240" w:lineRule="auto" w:before="4"/>
        <w:rPr>
          <w:rFonts w:ascii="宋体" w:hAnsi="宋体" w:cs="宋体" w:eastAsia="宋体" w:hint="default"/>
          <w:sz w:val="13"/>
          <w:szCs w:val="13"/>
        </w:rPr>
      </w:pPr>
    </w:p>
    <w:p>
      <w:pPr>
        <w:spacing w:line="600" w:lineRule="auto" w:before="0"/>
        <w:ind w:left="513" w:right="5263" w:firstLine="0"/>
        <w:jc w:val="left"/>
        <w:rPr>
          <w:rFonts w:ascii="宋体" w:hAnsi="宋体" w:cs="宋体" w:eastAsia="宋体" w:hint="default"/>
          <w:sz w:val="18"/>
          <w:szCs w:val="18"/>
        </w:rPr>
      </w:pPr>
      <w:r>
        <w:rPr>
          <w:rFonts w:ascii="宋体" w:hAnsi="宋体" w:cs="宋体" w:eastAsia="宋体" w:hint="default"/>
          <w:sz w:val="18"/>
          <w:szCs w:val="18"/>
        </w:rPr>
        <w:t>现任深圳达实智能股份有限公司第六届董事会独立董事。 </w:t>
      </w:r>
      <w:r>
        <w:rPr>
          <w:rFonts w:ascii="宋体" w:hAnsi="宋体" w:cs="宋体" w:eastAsia="宋体" w:hint="default"/>
          <w:sz w:val="18"/>
          <w:szCs w:val="18"/>
        </w:rPr>
        <w:t>7</w:t>
      </w:r>
      <w:r>
        <w:rPr>
          <w:rFonts w:ascii="宋体" w:hAnsi="宋体" w:cs="宋体" w:eastAsia="宋体" w:hint="default"/>
          <w:sz w:val="18"/>
          <w:szCs w:val="18"/>
        </w:rPr>
        <w:t>、王晓东简历 王晓东先生，</w:t>
      </w:r>
      <w:r>
        <w:rPr>
          <w:rFonts w:ascii="宋体" w:hAnsi="宋体" w:cs="宋体" w:eastAsia="宋体" w:hint="default"/>
          <w:sz w:val="18"/>
          <w:szCs w:val="18"/>
        </w:rPr>
        <w:t>1960</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月出生，法学本科学历、数学学士，律师。</w:t>
      </w:r>
    </w:p>
    <w:p>
      <w:pPr>
        <w:spacing w:line="477" w:lineRule="auto" w:before="82"/>
        <w:ind w:left="153" w:right="0" w:firstLine="360"/>
        <w:jc w:val="left"/>
        <w:rPr>
          <w:rFonts w:ascii="宋体" w:hAnsi="宋体" w:cs="宋体" w:eastAsia="宋体" w:hint="default"/>
          <w:sz w:val="18"/>
          <w:szCs w:val="18"/>
        </w:rPr>
      </w:pPr>
      <w:r>
        <w:rPr>
          <w:rFonts w:ascii="宋体" w:hAnsi="宋体" w:cs="宋体" w:eastAsia="宋体" w:hint="default"/>
          <w:spacing w:val="-2"/>
          <w:sz w:val="18"/>
          <w:szCs w:val="18"/>
        </w:rPr>
        <w:t>曾任信达律师事务所律师，广东经天律师事务所合伙人，广东博合律师事务所合伙人，国浩律师事务所合伙人，深圳市</w:t>
      </w:r>
      <w:r>
        <w:rPr>
          <w:rFonts w:ascii="宋体" w:hAnsi="宋体" w:cs="宋体" w:eastAsia="宋体" w:hint="default"/>
          <w:sz w:val="18"/>
          <w:szCs w:val="18"/>
        </w:rPr>
        <w:t> 燃气集团股份有限公司独立董事。</w:t>
      </w:r>
    </w:p>
    <w:p>
      <w:pPr>
        <w:spacing w:line="240" w:lineRule="auto" w:before="4"/>
        <w:rPr>
          <w:rFonts w:ascii="宋体" w:hAnsi="宋体" w:cs="宋体" w:eastAsia="宋体" w:hint="default"/>
          <w:sz w:val="13"/>
          <w:szCs w:val="13"/>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现任深圳达实智能股份有限公司第六届董事会独立董事，深圳南山热电股份有限公司独立董事。</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600" w:lineRule="auto" w:before="0"/>
        <w:ind w:left="513" w:right="3553" w:firstLine="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、王礼贵简历 王礼贵先生，</w:t>
      </w:r>
      <w:r>
        <w:rPr>
          <w:rFonts w:ascii="宋体" w:hAnsi="宋体" w:cs="宋体" w:eastAsia="宋体" w:hint="default"/>
          <w:sz w:val="18"/>
          <w:szCs w:val="18"/>
        </w:rPr>
        <w:t>1961</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月出生，中国注册会计师</w:t>
      </w:r>
      <w:r>
        <w:rPr>
          <w:rFonts w:ascii="宋体" w:hAnsi="宋体" w:cs="宋体" w:eastAsia="宋体" w:hint="default"/>
          <w:sz w:val="18"/>
          <w:szCs w:val="18"/>
        </w:rPr>
        <w:t>(</w:t>
      </w:r>
      <w:r>
        <w:rPr>
          <w:rFonts w:ascii="宋体" w:hAnsi="宋体" w:cs="宋体" w:eastAsia="宋体" w:hint="default"/>
          <w:sz w:val="18"/>
          <w:szCs w:val="18"/>
        </w:rPr>
        <w:t>非执业），高级会计师，硕士研究生。</w:t>
      </w:r>
    </w:p>
    <w:p>
      <w:pPr>
        <w:spacing w:line="477" w:lineRule="auto" w:before="83"/>
        <w:ind w:left="153" w:right="1132" w:firstLine="360"/>
        <w:jc w:val="both"/>
        <w:rPr>
          <w:rFonts w:ascii="宋体" w:hAnsi="宋体" w:cs="宋体" w:eastAsia="宋体" w:hint="default"/>
          <w:sz w:val="18"/>
          <w:szCs w:val="18"/>
        </w:rPr>
      </w:pPr>
      <w:r>
        <w:rPr>
          <w:rFonts w:ascii="宋体" w:hAnsi="宋体" w:cs="宋体" w:eastAsia="宋体" w:hint="default"/>
          <w:spacing w:val="-2"/>
          <w:sz w:val="18"/>
          <w:szCs w:val="18"/>
        </w:rPr>
        <w:t>曾任广东同望科技股份有限公司独立董事，广电运通金融电子股份有限公司独立董事，东莞光润家具股份有限公司独立</w:t>
      </w:r>
      <w:r>
        <w:rPr>
          <w:rFonts w:ascii="宋体" w:hAnsi="宋体" w:cs="宋体" w:eastAsia="宋体" w:hint="default"/>
          <w:sz w:val="18"/>
          <w:szCs w:val="18"/>
        </w:rPr>
        <w:t> 董事。</w:t>
      </w:r>
    </w:p>
    <w:p>
      <w:pPr>
        <w:spacing w:line="240" w:lineRule="auto" w:before="4"/>
        <w:rPr>
          <w:rFonts w:ascii="宋体" w:hAnsi="宋体" w:cs="宋体" w:eastAsia="宋体" w:hint="default"/>
          <w:sz w:val="13"/>
          <w:szCs w:val="13"/>
        </w:rPr>
      </w:pPr>
    </w:p>
    <w:p>
      <w:pPr>
        <w:spacing w:line="477" w:lineRule="auto" w:before="0"/>
        <w:ind w:left="153" w:right="1133" w:firstLine="360"/>
        <w:jc w:val="both"/>
        <w:rPr>
          <w:rFonts w:ascii="宋体" w:hAnsi="宋体" w:cs="宋体" w:eastAsia="宋体" w:hint="default"/>
          <w:sz w:val="18"/>
          <w:szCs w:val="18"/>
        </w:rPr>
      </w:pPr>
      <w:r>
        <w:rPr>
          <w:rFonts w:ascii="宋体" w:hAnsi="宋体" w:cs="宋体" w:eastAsia="宋体" w:hint="default"/>
          <w:spacing w:val="-2"/>
          <w:sz w:val="18"/>
          <w:szCs w:val="18"/>
        </w:rPr>
        <w:t>现任深圳达实智能股份有限公司第六届董事会独立董事，中国普天信息产业股份有限公司国际事业本部（深圳）营运总</w:t>
      </w:r>
      <w:r>
        <w:rPr>
          <w:rFonts w:ascii="宋体" w:hAnsi="宋体" w:cs="宋体" w:eastAsia="宋体" w:hint="default"/>
          <w:sz w:val="18"/>
          <w:szCs w:val="18"/>
        </w:rPr>
        <w:t> </w:t>
      </w:r>
      <w:r>
        <w:rPr>
          <w:rFonts w:ascii="宋体" w:hAnsi="宋体" w:cs="宋体" w:eastAsia="宋体" w:hint="default"/>
          <w:spacing w:val="-2"/>
          <w:sz w:val="18"/>
          <w:szCs w:val="18"/>
        </w:rPr>
        <w:t>监，上海可鲁系统软件有限公司董事，东莞市雄林新材料科技股份有限公司独立董事，深圳市中小微企业投资管理有限公司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董事。</w:t>
      </w:r>
    </w:p>
    <w:p>
      <w:pPr>
        <w:spacing w:line="240" w:lineRule="auto" w:before="4"/>
        <w:rPr>
          <w:rFonts w:ascii="宋体" w:hAnsi="宋体" w:cs="宋体" w:eastAsia="宋体" w:hint="default"/>
          <w:sz w:val="13"/>
          <w:szCs w:val="13"/>
        </w:rPr>
      </w:pPr>
    </w:p>
    <w:p>
      <w:pPr>
        <w:spacing w:line="600" w:lineRule="auto" w:before="0"/>
        <w:ind w:left="513" w:right="7603" w:firstLine="0"/>
        <w:jc w:val="left"/>
        <w:rPr>
          <w:rFonts w:ascii="宋体" w:hAnsi="宋体" w:cs="宋体" w:eastAsia="宋体" w:hint="default"/>
          <w:sz w:val="18"/>
          <w:szCs w:val="18"/>
        </w:rPr>
      </w:pPr>
      <w:r>
        <w:rPr>
          <w:rFonts w:ascii="宋体" w:hAnsi="宋体" w:cs="宋体" w:eastAsia="宋体" w:hint="default"/>
          <w:sz w:val="18"/>
          <w:szCs w:val="18"/>
        </w:rPr>
        <w:t>（二）监事最近</w:t>
      </w:r>
      <w:r>
        <w:rPr>
          <w:rFonts w:ascii="宋体" w:hAnsi="宋体" w:cs="宋体" w:eastAsia="宋体" w:hint="default"/>
          <w:sz w:val="18"/>
          <w:szCs w:val="18"/>
        </w:rPr>
        <w:t>5</w:t>
      </w:r>
      <w:r>
        <w:rPr>
          <w:rFonts w:ascii="宋体" w:hAnsi="宋体" w:cs="宋体" w:eastAsia="宋体" w:hint="default"/>
          <w:sz w:val="18"/>
          <w:szCs w:val="18"/>
        </w:rPr>
        <w:t>年的主要工作经历 </w:t>
      </w:r>
      <w:r>
        <w:rPr>
          <w:rFonts w:ascii="宋体" w:hAnsi="宋体" w:cs="宋体" w:eastAsia="宋体" w:hint="default"/>
          <w:sz w:val="18"/>
          <w:szCs w:val="18"/>
        </w:rPr>
        <w:t>1</w:t>
      </w:r>
      <w:r>
        <w:rPr>
          <w:rFonts w:ascii="宋体" w:hAnsi="宋体" w:cs="宋体" w:eastAsia="宋体" w:hint="default"/>
          <w:sz w:val="18"/>
          <w:szCs w:val="18"/>
        </w:rPr>
        <w:t>、李继朝简历</w:t>
      </w:r>
    </w:p>
    <w:p>
      <w:pPr>
        <w:spacing w:line="600" w:lineRule="auto" w:before="82"/>
        <w:ind w:left="513" w:right="0" w:firstLine="0"/>
        <w:jc w:val="left"/>
        <w:rPr>
          <w:rFonts w:ascii="宋体" w:hAnsi="宋体" w:cs="宋体" w:eastAsia="宋体" w:hint="default"/>
          <w:sz w:val="18"/>
          <w:szCs w:val="18"/>
        </w:rPr>
      </w:pPr>
      <w:r>
        <w:rPr>
          <w:rFonts w:ascii="宋体" w:hAnsi="宋体" w:cs="宋体" w:eastAsia="宋体" w:hint="default"/>
          <w:sz w:val="18"/>
          <w:szCs w:val="18"/>
        </w:rPr>
        <w:t>李继朝先生，男，</w:t>
      </w:r>
      <w:r>
        <w:rPr>
          <w:rFonts w:ascii="宋体" w:hAnsi="宋体" w:cs="宋体" w:eastAsia="宋体" w:hint="default"/>
          <w:sz w:val="18"/>
          <w:szCs w:val="18"/>
        </w:rPr>
        <w:t>1966</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月出生，</w:t>
      </w:r>
      <w:r>
        <w:rPr>
          <w:rFonts w:ascii="宋体" w:hAnsi="宋体" w:cs="宋体" w:eastAsia="宋体" w:hint="default"/>
          <w:sz w:val="18"/>
          <w:szCs w:val="18"/>
        </w:rPr>
        <w:t>1992</w:t>
      </w:r>
      <w:r>
        <w:rPr>
          <w:rFonts w:ascii="宋体" w:hAnsi="宋体" w:cs="宋体" w:eastAsia="宋体" w:hint="default"/>
          <w:sz w:val="18"/>
          <w:szCs w:val="18"/>
        </w:rPr>
        <w:t>年毕业于大连理工大学高分子材料专业，硕士研究生学历。 </w:t>
      </w:r>
      <w:r>
        <w:rPr>
          <w:rFonts w:ascii="宋体" w:hAnsi="宋体" w:cs="宋体" w:eastAsia="宋体" w:hint="default"/>
          <w:sz w:val="18"/>
          <w:szCs w:val="18"/>
        </w:rPr>
        <w:t>1998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月开始在中兴通讯工作十六年，历任薪酬部长、总裁办主任、手机产品总经理。</w:t>
      </w:r>
    </w:p>
    <w:p>
      <w:pPr>
        <w:spacing w:line="477" w:lineRule="auto" w:before="82"/>
        <w:ind w:left="153" w:right="1043" w:firstLine="360"/>
        <w:jc w:val="both"/>
        <w:rPr>
          <w:rFonts w:ascii="宋体" w:hAnsi="宋体" w:cs="宋体" w:eastAsia="宋体" w:hint="default"/>
          <w:sz w:val="18"/>
          <w:szCs w:val="18"/>
        </w:rPr>
      </w:pPr>
      <w:r>
        <w:rPr>
          <w:rFonts w:ascii="宋体" w:hAnsi="宋体" w:cs="宋体" w:eastAsia="宋体" w:hint="default"/>
          <w:spacing w:val="-4"/>
          <w:sz w:val="18"/>
          <w:szCs w:val="18"/>
        </w:rPr>
        <w:t>现任公司第六届监事会监事长、首席战略咨询专家，深圳市高新技术企业金融服务促进会会长，深圳市科协专家委专家，</w:t>
      </w:r>
      <w:r>
        <w:rPr>
          <w:rFonts w:ascii="宋体" w:hAnsi="宋体" w:cs="宋体" w:eastAsia="宋体" w:hint="default"/>
          <w:sz w:val="18"/>
          <w:szCs w:val="18"/>
        </w:rPr>
        <w:t> 深圳市发展改革委员会技术专家。</w:t>
      </w:r>
    </w:p>
    <w:p>
      <w:pPr>
        <w:spacing w:line="240" w:lineRule="auto" w:before="5"/>
        <w:rPr>
          <w:rFonts w:ascii="宋体" w:hAnsi="宋体" w:cs="宋体" w:eastAsia="宋体" w:hint="default"/>
          <w:sz w:val="13"/>
          <w:szCs w:val="13"/>
        </w:rPr>
      </w:pPr>
    </w:p>
    <w:p>
      <w:pPr>
        <w:spacing w:line="600" w:lineRule="auto" w:before="0"/>
        <w:ind w:left="513" w:right="7243"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、沈冰简历 沈冰先生，</w:t>
      </w:r>
      <w:r>
        <w:rPr>
          <w:rFonts w:ascii="宋体" w:hAnsi="宋体" w:cs="宋体" w:eastAsia="宋体" w:hint="default"/>
          <w:sz w:val="18"/>
          <w:szCs w:val="18"/>
        </w:rPr>
        <w:t>1971</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月出生，硕士学历。</w:t>
      </w:r>
    </w:p>
    <w:p>
      <w:pPr>
        <w:spacing w:line="600" w:lineRule="auto" w:before="82"/>
        <w:ind w:left="513" w:right="4093" w:firstLine="0"/>
        <w:jc w:val="left"/>
        <w:rPr>
          <w:rFonts w:ascii="宋体" w:hAnsi="宋体" w:cs="宋体" w:eastAsia="宋体" w:hint="default"/>
          <w:sz w:val="18"/>
          <w:szCs w:val="18"/>
        </w:rPr>
      </w:pPr>
      <w:r>
        <w:rPr>
          <w:rFonts w:ascii="宋体" w:hAnsi="宋体" w:cs="宋体" w:eastAsia="宋体" w:hint="default"/>
          <w:sz w:val="18"/>
          <w:szCs w:val="18"/>
        </w:rPr>
        <w:t>曾任公司市场部经理、战略发展部经理、事业部经理。 现任公司第六届监事会监事，深圳市诺达自动化技术有限公司董事长兼总经理。 </w:t>
      </w:r>
      <w:r>
        <w:rPr>
          <w:rFonts w:ascii="宋体" w:hAnsi="宋体" w:cs="宋体" w:eastAsia="宋体" w:hint="default"/>
          <w:sz w:val="18"/>
          <w:szCs w:val="18"/>
        </w:rPr>
        <w:t>3</w:t>
      </w:r>
      <w:r>
        <w:rPr>
          <w:rFonts w:ascii="宋体" w:hAnsi="宋体" w:cs="宋体" w:eastAsia="宋体" w:hint="default"/>
          <w:sz w:val="18"/>
          <w:szCs w:val="18"/>
        </w:rPr>
        <w:t>、甘岱松简历</w:t>
      </w:r>
    </w:p>
    <w:p>
      <w:pPr>
        <w:spacing w:line="600" w:lineRule="auto" w:before="82"/>
        <w:ind w:left="513" w:right="2653" w:firstLine="0"/>
        <w:jc w:val="left"/>
        <w:rPr>
          <w:rFonts w:ascii="宋体" w:hAnsi="宋体" w:cs="宋体" w:eastAsia="宋体" w:hint="default"/>
          <w:sz w:val="18"/>
          <w:szCs w:val="18"/>
        </w:rPr>
      </w:pPr>
      <w:r>
        <w:rPr>
          <w:rFonts w:ascii="宋体" w:hAnsi="宋体" w:cs="宋体" w:eastAsia="宋体" w:hint="default"/>
          <w:sz w:val="18"/>
          <w:szCs w:val="18"/>
        </w:rPr>
        <w:t>甘岱松先生，</w:t>
      </w:r>
      <w:r>
        <w:rPr>
          <w:rFonts w:ascii="宋体" w:hAnsi="宋体" w:cs="宋体" w:eastAsia="宋体" w:hint="default"/>
          <w:sz w:val="18"/>
          <w:szCs w:val="18"/>
        </w:rPr>
        <w:t>1973</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月出生，本科学历。 曾任深圳市和发实业有限公司副总经理，本公司建筑智能化事业部副总经理、第五届监事会主席。 现任本公司第六届监事会监事，数据中心事业部总经理。</w:t>
      </w:r>
    </w:p>
    <w:p>
      <w:pPr>
        <w:spacing w:line="600" w:lineRule="auto" w:before="82"/>
        <w:ind w:left="514" w:right="4182" w:firstLine="0"/>
        <w:jc w:val="left"/>
        <w:rPr>
          <w:rFonts w:ascii="宋体" w:hAnsi="宋体" w:cs="宋体" w:eastAsia="宋体" w:hint="default"/>
          <w:sz w:val="18"/>
          <w:szCs w:val="18"/>
        </w:rPr>
      </w:pPr>
      <w:r>
        <w:rPr>
          <w:rFonts w:ascii="宋体" w:hAnsi="宋体" w:cs="宋体" w:eastAsia="宋体" w:hint="default"/>
          <w:sz w:val="18"/>
          <w:szCs w:val="18"/>
        </w:rPr>
        <w:t>（三）高级管理人员最近</w:t>
      </w:r>
      <w:r>
        <w:rPr>
          <w:rFonts w:ascii="宋体" w:hAnsi="宋体" w:cs="宋体" w:eastAsia="宋体" w:hint="default"/>
          <w:sz w:val="18"/>
          <w:szCs w:val="18"/>
        </w:rPr>
        <w:t>5</w:t>
      </w:r>
      <w:r>
        <w:rPr>
          <w:rFonts w:ascii="宋体" w:hAnsi="宋体" w:cs="宋体" w:eastAsia="宋体" w:hint="default"/>
          <w:sz w:val="18"/>
          <w:szCs w:val="18"/>
        </w:rPr>
        <w:t>年的主要工作经历 </w:t>
      </w:r>
      <w:r>
        <w:rPr>
          <w:rFonts w:ascii="宋体" w:hAnsi="宋体" w:cs="宋体" w:eastAsia="宋体" w:hint="default"/>
          <w:sz w:val="18"/>
          <w:szCs w:val="18"/>
        </w:rPr>
        <w:t>1</w:t>
      </w:r>
      <w:r>
        <w:rPr>
          <w:rFonts w:ascii="宋体" w:hAnsi="宋体" w:cs="宋体" w:eastAsia="宋体" w:hint="default"/>
          <w:sz w:val="18"/>
          <w:szCs w:val="18"/>
        </w:rPr>
        <w:t>、总经理刘磅先生最近</w:t>
      </w:r>
      <w:r>
        <w:rPr>
          <w:rFonts w:ascii="宋体" w:hAnsi="宋体" w:cs="宋体" w:eastAsia="宋体" w:hint="default"/>
          <w:sz w:val="18"/>
          <w:szCs w:val="18"/>
        </w:rPr>
        <w:t>5</w:t>
      </w:r>
      <w:r>
        <w:rPr>
          <w:rFonts w:ascii="宋体" w:hAnsi="宋体" w:cs="宋体" w:eastAsia="宋体" w:hint="default"/>
          <w:sz w:val="18"/>
          <w:szCs w:val="18"/>
        </w:rPr>
        <w:t>年的主要工作经历参见董事最近</w:t>
      </w:r>
      <w:r>
        <w:rPr>
          <w:rFonts w:ascii="宋体" w:hAnsi="宋体" w:cs="宋体" w:eastAsia="宋体" w:hint="default"/>
          <w:sz w:val="18"/>
          <w:szCs w:val="18"/>
        </w:rPr>
        <w:t>5</w:t>
      </w:r>
      <w:r>
        <w:rPr>
          <w:rFonts w:ascii="宋体" w:hAnsi="宋体" w:cs="宋体" w:eastAsia="宋体" w:hint="default"/>
          <w:sz w:val="18"/>
          <w:szCs w:val="18"/>
        </w:rPr>
        <w:t>年的主要工作经历。</w:t>
      </w:r>
    </w:p>
    <w:p>
      <w:pPr>
        <w:spacing w:before="82"/>
        <w:ind w:left="513"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、副总经理程朋胜先生最近</w:t>
      </w:r>
      <w:r>
        <w:rPr>
          <w:rFonts w:ascii="宋体" w:hAnsi="宋体" w:cs="宋体" w:eastAsia="宋体" w:hint="default"/>
          <w:sz w:val="18"/>
          <w:szCs w:val="18"/>
        </w:rPr>
        <w:t>5</w:t>
      </w:r>
      <w:r>
        <w:rPr>
          <w:rFonts w:ascii="宋体" w:hAnsi="宋体" w:cs="宋体" w:eastAsia="宋体" w:hint="default"/>
          <w:sz w:val="18"/>
          <w:szCs w:val="18"/>
        </w:rPr>
        <w:t>年的主要工作经历参见董事最近</w:t>
      </w:r>
      <w:r>
        <w:rPr>
          <w:rFonts w:ascii="宋体" w:hAnsi="宋体" w:cs="宋体" w:eastAsia="宋体" w:hint="default"/>
          <w:sz w:val="18"/>
          <w:szCs w:val="18"/>
        </w:rPr>
        <w:t>5</w:t>
      </w:r>
      <w:r>
        <w:rPr>
          <w:rFonts w:ascii="宋体" w:hAnsi="宋体" w:cs="宋体" w:eastAsia="宋体" w:hint="default"/>
          <w:sz w:val="18"/>
          <w:szCs w:val="18"/>
        </w:rPr>
        <w:t>年的主要工作经历。</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、苏俊锋先生最近</w:t>
      </w:r>
      <w:r>
        <w:rPr>
          <w:rFonts w:ascii="宋体" w:hAnsi="宋体" w:cs="宋体" w:eastAsia="宋体" w:hint="default"/>
          <w:sz w:val="18"/>
          <w:szCs w:val="18"/>
        </w:rPr>
        <w:t>5</w:t>
      </w:r>
      <w:r>
        <w:rPr>
          <w:rFonts w:ascii="宋体" w:hAnsi="宋体" w:cs="宋体" w:eastAsia="宋体" w:hint="default"/>
          <w:sz w:val="18"/>
          <w:szCs w:val="18"/>
        </w:rPr>
        <w:t>年的主要工作经历参见董事最近</w:t>
      </w:r>
      <w:r>
        <w:rPr>
          <w:rFonts w:ascii="宋体" w:hAnsi="宋体" w:cs="宋体" w:eastAsia="宋体" w:hint="default"/>
          <w:sz w:val="18"/>
          <w:szCs w:val="18"/>
        </w:rPr>
        <w:t>5</w:t>
      </w:r>
      <w:r>
        <w:rPr>
          <w:rFonts w:ascii="宋体" w:hAnsi="宋体" w:cs="宋体" w:eastAsia="宋体" w:hint="default"/>
          <w:sz w:val="18"/>
          <w:szCs w:val="18"/>
        </w:rPr>
        <w:t>年的主要工作经历。</w:t>
      </w:r>
    </w:p>
    <w:p>
      <w:pPr>
        <w:spacing w:line="240" w:lineRule="auto" w:before="12"/>
        <w:rPr>
          <w:rFonts w:ascii="宋体" w:hAnsi="宋体" w:cs="宋体" w:eastAsia="宋体" w:hint="default"/>
          <w:sz w:val="26"/>
          <w:szCs w:val="26"/>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、吕枫先生最近</w:t>
      </w:r>
      <w:r>
        <w:rPr>
          <w:rFonts w:ascii="宋体" w:hAnsi="宋体" w:cs="宋体" w:eastAsia="宋体" w:hint="default"/>
          <w:sz w:val="18"/>
          <w:szCs w:val="18"/>
        </w:rPr>
        <w:t>5</w:t>
      </w:r>
      <w:r>
        <w:rPr>
          <w:rFonts w:ascii="宋体" w:hAnsi="宋体" w:cs="宋体" w:eastAsia="宋体" w:hint="default"/>
          <w:sz w:val="18"/>
          <w:szCs w:val="18"/>
        </w:rPr>
        <w:t>年的主要工作经历参见董事最近</w:t>
      </w:r>
      <w:r>
        <w:rPr>
          <w:rFonts w:ascii="宋体" w:hAnsi="宋体" w:cs="宋体" w:eastAsia="宋体" w:hint="default"/>
          <w:sz w:val="18"/>
          <w:szCs w:val="18"/>
        </w:rPr>
        <w:t>5</w:t>
      </w:r>
      <w:r>
        <w:rPr>
          <w:rFonts w:ascii="宋体" w:hAnsi="宋体" w:cs="宋体" w:eastAsia="宋体" w:hint="default"/>
          <w:sz w:val="18"/>
          <w:szCs w:val="18"/>
        </w:rPr>
        <w:t>年的主要工作经历。</w:t>
      </w:r>
    </w:p>
    <w:p>
      <w:pPr>
        <w:spacing w:line="240" w:lineRule="auto" w:before="13"/>
        <w:rPr>
          <w:rFonts w:ascii="宋体" w:hAnsi="宋体" w:cs="宋体" w:eastAsia="宋体" w:hint="default"/>
          <w:sz w:val="26"/>
          <w:szCs w:val="26"/>
        </w:rPr>
      </w:pPr>
    </w:p>
    <w:p>
      <w:pPr>
        <w:spacing w:line="600" w:lineRule="auto" w:before="0"/>
        <w:ind w:left="513" w:right="5263"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、黄德强简历 黄德强先生，</w:t>
      </w:r>
      <w:r>
        <w:rPr>
          <w:rFonts w:ascii="宋体" w:hAnsi="宋体" w:cs="宋体" w:eastAsia="宋体" w:hint="default"/>
          <w:sz w:val="18"/>
          <w:szCs w:val="18"/>
        </w:rPr>
        <w:t>1981</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月出生，毕业于电子科技大学，本科学历。</w:t>
      </w:r>
    </w:p>
    <w:p>
      <w:pPr>
        <w:spacing w:line="477" w:lineRule="auto" w:before="82"/>
        <w:ind w:left="153" w:right="1123" w:firstLine="36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月进入公司，先后担任公司节能事业部销售经理、销售总监、副总经理、总经理。</w:t>
      </w:r>
      <w:r>
        <w:rPr>
          <w:rFonts w:ascii="宋体" w:hAnsi="宋体" w:cs="宋体" w:eastAsia="宋体" w:hint="default"/>
          <w:sz w:val="18"/>
          <w:szCs w:val="18"/>
        </w:rPr>
        <w:t>2015</w:t>
      </w:r>
      <w:r>
        <w:rPr>
          <w:rFonts w:ascii="宋体" w:hAnsi="宋体" w:cs="宋体" w:eastAsia="宋体" w:hint="default"/>
          <w:sz w:val="18"/>
          <w:szCs w:val="18"/>
        </w:rPr>
        <w:t>年在节能事业部基础上 创立了智慧医院事业部并同时兼任两个事业部总经理。</w:t>
      </w:r>
    </w:p>
    <w:p>
      <w:pPr>
        <w:spacing w:line="240" w:lineRule="auto" w:before="4"/>
        <w:rPr>
          <w:rFonts w:ascii="宋体" w:hAnsi="宋体" w:cs="宋体" w:eastAsia="宋体" w:hint="default"/>
          <w:sz w:val="13"/>
          <w:szCs w:val="13"/>
        </w:rPr>
      </w:pPr>
    </w:p>
    <w:p>
      <w:pPr>
        <w:spacing w:line="477" w:lineRule="auto" w:before="0"/>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现任公司副总经理，分管智慧医院事业部，江苏达实久信医疗科技有限公司董事长，遵义达实绿色智慧发展有限公司执</w:t>
      </w:r>
      <w:r>
        <w:rPr>
          <w:rFonts w:ascii="宋体" w:hAnsi="宋体" w:cs="宋体" w:eastAsia="宋体" w:hint="default"/>
          <w:sz w:val="18"/>
          <w:szCs w:val="18"/>
        </w:rPr>
        <w:t> 行董事，仁怀达实绿色智慧发展有限公司执行董事兼总经理。</w:t>
      </w:r>
    </w:p>
    <w:p>
      <w:pPr>
        <w:spacing w:line="240" w:lineRule="auto" w:before="4"/>
        <w:rPr>
          <w:rFonts w:ascii="宋体" w:hAnsi="宋体" w:cs="宋体" w:eastAsia="宋体" w:hint="default"/>
          <w:sz w:val="13"/>
          <w:szCs w:val="13"/>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、林雨斌简历</w:t>
      </w:r>
    </w:p>
    <w:p>
      <w:pPr>
        <w:spacing w:line="240" w:lineRule="auto" w:before="12"/>
        <w:rPr>
          <w:rFonts w:ascii="宋体" w:hAnsi="宋体" w:cs="宋体" w:eastAsia="宋体" w:hint="default"/>
          <w:sz w:val="26"/>
          <w:szCs w:val="26"/>
        </w:rPr>
      </w:pPr>
    </w:p>
    <w:p>
      <w:pPr>
        <w:spacing w:line="477" w:lineRule="auto" w:before="0"/>
        <w:ind w:left="153" w:right="1123" w:firstLine="360"/>
        <w:jc w:val="left"/>
        <w:rPr>
          <w:rFonts w:ascii="宋体" w:hAnsi="宋体" w:cs="宋体" w:eastAsia="宋体" w:hint="default"/>
          <w:sz w:val="18"/>
          <w:szCs w:val="18"/>
        </w:rPr>
      </w:pPr>
      <w:r>
        <w:rPr>
          <w:rFonts w:ascii="宋体" w:hAnsi="宋体" w:cs="宋体" w:eastAsia="宋体" w:hint="default"/>
          <w:sz w:val="18"/>
          <w:szCs w:val="18"/>
        </w:rPr>
        <w:t>林雨斌先生，</w:t>
      </w:r>
      <w:r>
        <w:rPr>
          <w:rFonts w:ascii="宋体" w:hAnsi="宋体" w:cs="宋体" w:eastAsia="宋体" w:hint="default"/>
          <w:sz w:val="18"/>
          <w:szCs w:val="18"/>
        </w:rPr>
        <w:t>1976</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月出生，本科学历。第八届至第十二届《新财富》金牌董秘，</w:t>
      </w:r>
      <w:r>
        <w:rPr>
          <w:rFonts w:ascii="宋体" w:hAnsi="宋体" w:cs="宋体" w:eastAsia="宋体" w:hint="default"/>
          <w:sz w:val="18"/>
          <w:szCs w:val="18"/>
        </w:rPr>
        <w:t>2017</w:t>
      </w:r>
      <w:r>
        <w:rPr>
          <w:rFonts w:ascii="宋体" w:hAnsi="宋体" w:cs="宋体" w:eastAsia="宋体" w:hint="default"/>
          <w:sz w:val="18"/>
          <w:szCs w:val="18"/>
        </w:rPr>
        <w:t>年入选《新财富》“金牌董秘 名人堂”。</w:t>
      </w:r>
    </w:p>
    <w:p>
      <w:pPr>
        <w:spacing w:line="240" w:lineRule="auto" w:before="4"/>
        <w:rPr>
          <w:rFonts w:ascii="宋体" w:hAnsi="宋体" w:cs="宋体" w:eastAsia="宋体" w:hint="default"/>
          <w:sz w:val="13"/>
          <w:szCs w:val="13"/>
        </w:rPr>
      </w:pPr>
    </w:p>
    <w:p>
      <w:pPr>
        <w:spacing w:line="477" w:lineRule="auto" w:before="0"/>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曾任南天电子信息产业股份有限公司投资发展部经理、证券事务代表，云南医药工业股份有限公司董事会秘书兼总经理</w:t>
      </w:r>
      <w:r>
        <w:rPr>
          <w:rFonts w:ascii="宋体" w:hAnsi="宋体" w:cs="宋体" w:eastAsia="宋体" w:hint="default"/>
          <w:sz w:val="18"/>
          <w:szCs w:val="18"/>
        </w:rPr>
        <w:t> 助理，广州高信创业投资有限公司投资总监等职务。</w:t>
      </w:r>
      <w:r>
        <w:rPr>
          <w:rFonts w:ascii="宋体" w:hAnsi="宋体" w:cs="宋体" w:eastAsia="宋体" w:hint="default"/>
          <w:sz w:val="18"/>
          <w:szCs w:val="18"/>
        </w:rPr>
        <w:t>2009</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月取得深圳证券交易所《董事会秘书资格证书》。</w:t>
      </w:r>
    </w:p>
    <w:p>
      <w:pPr>
        <w:spacing w:line="240" w:lineRule="auto" w:before="5"/>
        <w:rPr>
          <w:rFonts w:ascii="宋体" w:hAnsi="宋体" w:cs="宋体" w:eastAsia="宋体" w:hint="default"/>
          <w:sz w:val="13"/>
          <w:szCs w:val="13"/>
        </w:rPr>
      </w:pPr>
    </w:p>
    <w:p>
      <w:pPr>
        <w:spacing w:line="477" w:lineRule="auto" w:before="0"/>
        <w:ind w:left="153" w:right="1123" w:firstLine="36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月进入本公司。现任本公司副总经理、董事会秘书，深圳市小鹿暖暖科技有限公司董事长，深圳达实融资租赁 有限公司董事，昌都市达实投资咨询有限公司执行董事兼总经理。</w:t>
      </w:r>
    </w:p>
    <w:p>
      <w:pPr>
        <w:spacing w:line="240" w:lineRule="auto" w:before="4"/>
        <w:rPr>
          <w:rFonts w:ascii="宋体" w:hAnsi="宋体" w:cs="宋体" w:eastAsia="宋体" w:hint="default"/>
          <w:sz w:val="13"/>
          <w:szCs w:val="13"/>
        </w:rPr>
      </w:pPr>
    </w:p>
    <w:p>
      <w:pPr>
        <w:spacing w:line="600" w:lineRule="auto" w:before="0"/>
        <w:ind w:left="513" w:right="5173" w:firstLine="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、黄天朗简历 黄天朗先生，</w:t>
      </w:r>
      <w:r>
        <w:rPr>
          <w:rFonts w:ascii="宋体" w:hAnsi="宋体" w:cs="宋体" w:eastAsia="宋体" w:hint="default"/>
          <w:sz w:val="18"/>
          <w:szCs w:val="18"/>
        </w:rPr>
        <w:t>1970</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月出生，本科学历，会计师，注册税务师。</w:t>
      </w:r>
    </w:p>
    <w:p>
      <w:pPr>
        <w:spacing w:line="600" w:lineRule="auto" w:before="82"/>
        <w:ind w:left="513" w:right="3013" w:firstLine="0"/>
        <w:jc w:val="left"/>
        <w:rPr>
          <w:rFonts w:ascii="宋体" w:hAnsi="宋体" w:cs="宋体" w:eastAsia="宋体" w:hint="default"/>
          <w:sz w:val="18"/>
          <w:szCs w:val="18"/>
        </w:rPr>
      </w:pPr>
      <w:r>
        <w:rPr>
          <w:rFonts w:ascii="宋体" w:hAnsi="宋体" w:cs="宋体" w:eastAsia="宋体" w:hint="default"/>
          <w:sz w:val="18"/>
          <w:szCs w:val="18"/>
        </w:rPr>
        <w:t>曾任深圳市汇凯进出口有限公司计划财务部副经理，汇凯（南美）有限公司副总经理。 </w:t>
      </w:r>
      <w:r>
        <w:rPr>
          <w:rFonts w:ascii="宋体" w:hAnsi="宋体" w:cs="宋体" w:eastAsia="宋体" w:hint="default"/>
          <w:sz w:val="18"/>
          <w:szCs w:val="18"/>
        </w:rPr>
        <w:t>1999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月进入本公司财务部，现任本公司财务总监，上海达实联欣科技发展有限公司董事。</w:t>
      </w:r>
    </w:p>
    <w:p>
      <w:pPr>
        <w:spacing w:before="5"/>
        <w:ind w:left="153"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拉萨市达实投资发展有限公司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执行董事、总</w:t>
            </w:r>
            <w:r>
              <w:rPr>
                <w:rFonts w:ascii="宋体" w:hAnsi="宋体" w:cs="宋体" w:eastAsia="宋体" w:hint="default"/>
                <w:sz w:val="18"/>
                <w:szCs w:val="18"/>
              </w:rPr>
              <w:t> 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6"/>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487"/>
        <w:gridCol w:w="1134"/>
        <w:gridCol w:w="1345"/>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7" w:right="36"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上海达实自动化工程有限公司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深圳达实信息技术有限公司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深圳达实融资租赁有限公司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深圳达实信息技术有限公司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江苏达实久信医疗科技有限公司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深圳市智慧达实供应链有限公司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合肥达实数字科技有限公司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深圳市诺达自动化技术有限公司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合肥中正物业管理有限公司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安徽达实商贸有限公司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界首达实置业有限公司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淮北市达实置业有限公司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深圳市英唐智能控制股份有限公司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上海达实自动化工程有限公司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深圳市达实数字科技有限公司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深圳市达实股权投资发展有限公司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深圳南山热电股份有限公司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王礼贵</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上海可鲁系统软件有限公司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王礼贵</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东莞市雄林新材料科技股份有限公司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王礼贵</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深圳市中小微企业投资管理有限公司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苏俊锋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上海达实联欣科技发展有限公司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苏俊锋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深圳市云玺互联网服务有限公司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上海达实联欣科技发展有限公司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北京达实德润能源科技有限公司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融智节能环保（深圳）有限公司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江苏达实久信医疗科技有限公司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487"/>
        <w:gridCol w:w="1134"/>
        <w:gridCol w:w="1345"/>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雄安达实智慧科技有限公司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黄德强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江苏达实久信医疗科技有限公司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黄德强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遵义达实绿色智慧发展有限公司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黄德强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仁怀达实绿色智慧发展有限公司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深圳达实融资租赁有限公司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昌都市达实投资咨询有限公司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深圳市小鹿暖暖科技有限公司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黄天朗</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上海达实联欣科技发展有限公司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深圳市诺达自动化技术有限公司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李继朝</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深圳市亿芯通讯有限公司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李继朝</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深圳国侨岭南基金管理有限公司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李继朝</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深圳市亿芯分子储能技术有限公司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李继朝</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深圳创享科技发展有限公司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line="436" w:lineRule="auto" w:before="0"/>
        <w:ind w:left="513" w:right="0" w:hanging="36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 </w:t>
      </w:r>
      <w:r>
        <w:rPr>
          <w:rFonts w:ascii="宋体" w:hAnsi="宋体" w:cs="宋体" w:eastAsia="宋体" w:hint="default"/>
          <w:spacing w:val="-2"/>
          <w:sz w:val="18"/>
          <w:szCs w:val="18"/>
        </w:rPr>
        <w:t>根据公司《董事、监事及高级管理人员薪酬管理制度》，公司董事、监事的薪酬由董事会薪酬与考核委员会提出，经董</w:t>
      </w:r>
    </w:p>
    <w:p>
      <w:pPr>
        <w:spacing w:line="477" w:lineRule="auto" w:before="85"/>
        <w:ind w:left="153" w:right="1133" w:firstLine="0"/>
        <w:jc w:val="both"/>
        <w:rPr>
          <w:rFonts w:ascii="宋体" w:hAnsi="宋体" w:cs="宋体" w:eastAsia="宋体" w:hint="default"/>
          <w:sz w:val="18"/>
          <w:szCs w:val="18"/>
        </w:rPr>
      </w:pPr>
      <w:r>
        <w:rPr>
          <w:rFonts w:ascii="宋体" w:hAnsi="宋体" w:cs="宋体" w:eastAsia="宋体" w:hint="default"/>
          <w:sz w:val="18"/>
          <w:szCs w:val="18"/>
        </w:rPr>
        <w:t>事会审议通过后，提交股东大会审议批准。公司每年度给予每位独立董事津贴人民币</w:t>
      </w:r>
      <w:r>
        <w:rPr>
          <w:rFonts w:ascii="宋体" w:hAnsi="宋体" w:cs="宋体" w:eastAsia="宋体" w:hint="default"/>
          <w:sz w:val="18"/>
          <w:szCs w:val="18"/>
        </w:rPr>
        <w:t>8</w:t>
      </w:r>
      <w:r>
        <w:rPr>
          <w:rFonts w:ascii="宋体" w:hAnsi="宋体" w:cs="宋体" w:eastAsia="宋体" w:hint="default"/>
          <w:sz w:val="18"/>
          <w:szCs w:val="18"/>
        </w:rPr>
        <w:t>万元（税前）。高级管理人员实行年 </w:t>
      </w:r>
      <w:r>
        <w:rPr>
          <w:rFonts w:ascii="宋体" w:hAnsi="宋体" w:cs="宋体" w:eastAsia="宋体" w:hint="default"/>
          <w:spacing w:val="-2"/>
          <w:sz w:val="18"/>
          <w:szCs w:val="18"/>
        </w:rPr>
        <w:t>薪制，其薪酬由基本工资和绩效奖金两部分构成。基本工资结合行业薪酬水平、岗位职责和履职情况，按月支付。绩效奖金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是以年度目标绩效奖金为基础，与公司年度经营绩效相挂钩，年终根据当年考核结果统算兑付。</w:t>
      </w:r>
    </w:p>
    <w:p>
      <w:pPr>
        <w:spacing w:line="477" w:lineRule="auto" w:before="54"/>
        <w:ind w:left="153" w:right="1130" w:firstLine="360"/>
        <w:jc w:val="both"/>
        <w:rPr>
          <w:rFonts w:ascii="宋体" w:hAnsi="宋体" w:cs="宋体" w:eastAsia="宋体" w:hint="default"/>
          <w:sz w:val="18"/>
          <w:szCs w:val="18"/>
        </w:rPr>
      </w:pPr>
      <w:r>
        <w:rPr>
          <w:rFonts w:ascii="宋体" w:hAnsi="宋体" w:cs="宋体" w:eastAsia="宋体" w:hint="default"/>
          <w:spacing w:val="-2"/>
          <w:sz w:val="18"/>
          <w:szCs w:val="18"/>
        </w:rPr>
        <w:t>2017</w:t>
      </w:r>
      <w:r>
        <w:rPr>
          <w:rFonts w:ascii="宋体" w:hAnsi="宋体" w:cs="宋体" w:eastAsia="宋体" w:hint="default"/>
          <w:spacing w:val="-2"/>
          <w:sz w:val="18"/>
          <w:szCs w:val="18"/>
        </w:rPr>
        <w:t>年度，公司按照《董事、监事及高级管理人员薪酬管理制度》向独立董事发放了津贴。公司非独立董事、监事未以</w:t>
      </w:r>
      <w:r>
        <w:rPr>
          <w:rFonts w:ascii="宋体" w:hAnsi="宋体" w:cs="宋体" w:eastAsia="宋体" w:hint="default"/>
          <w:sz w:val="18"/>
          <w:szCs w:val="18"/>
        </w:rPr>
        <w:t> </w:t>
      </w:r>
      <w:r>
        <w:rPr>
          <w:rFonts w:ascii="宋体" w:hAnsi="宋体" w:cs="宋体" w:eastAsia="宋体" w:hint="default"/>
          <w:spacing w:val="-2"/>
          <w:sz w:val="18"/>
          <w:szCs w:val="18"/>
        </w:rPr>
        <w:t>董事、监事的职务在公司领取薪酬或津贴，按其在公司担任的管理职务领取薪酬。上述发放计划已经公司</w:t>
      </w:r>
      <w:r>
        <w:rPr>
          <w:rFonts w:ascii="宋体" w:hAnsi="宋体" w:cs="宋体" w:eastAsia="宋体" w:hint="default"/>
          <w:spacing w:val="-2"/>
          <w:sz w:val="18"/>
          <w:szCs w:val="18"/>
        </w:rPr>
        <w:t>2016</w:t>
      </w:r>
      <w:r>
        <w:rPr>
          <w:rFonts w:ascii="宋体" w:hAnsi="宋体" w:cs="宋体" w:eastAsia="宋体" w:hint="default"/>
          <w:spacing w:val="-2"/>
          <w:sz w:val="18"/>
          <w:szCs w:val="18"/>
        </w:rPr>
        <w:t>年度股东大会</w:t>
      </w:r>
      <w:r>
        <w:rPr>
          <w:rFonts w:ascii="宋体" w:hAnsi="宋体" w:cs="宋体" w:eastAsia="宋体" w:hint="default"/>
          <w:spacing w:val="-61"/>
          <w:sz w:val="18"/>
          <w:szCs w:val="18"/>
        </w:rPr>
        <w:t> </w:t>
      </w:r>
      <w:r>
        <w:rPr>
          <w:rFonts w:ascii="宋体" w:hAnsi="宋体" w:cs="宋体" w:eastAsia="宋体" w:hint="default"/>
          <w:sz w:val="18"/>
          <w:szCs w:val="18"/>
        </w:rPr>
        <w:t>审议通过。</w:t>
      </w:r>
    </w:p>
    <w:p>
      <w:pPr>
        <w:spacing w:before="17"/>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892"/>
        <w:gridCol w:w="842"/>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7" w:right="0"/>
              <w:jc w:val="left"/>
              <w:rPr>
                <w:rFonts w:ascii="宋体" w:hAnsi="宋体" w:cs="宋体" w:eastAsia="宋体" w:hint="default"/>
                <w:sz w:val="18"/>
                <w:szCs w:val="18"/>
              </w:rPr>
            </w:pPr>
            <w:r>
              <w:rPr>
                <w:rFonts w:ascii="宋体" w:hAnsi="宋体" w:cs="宋体" w:eastAsia="宋体" w:hint="default"/>
                <w:sz w:val="18"/>
                <w:szCs w:val="18"/>
              </w:rPr>
              <w:t>从公司获得的税</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7" w:right="0"/>
              <w:jc w:val="left"/>
              <w:rPr>
                <w:rFonts w:ascii="宋体" w:hAnsi="宋体" w:cs="宋体" w:eastAsia="宋体" w:hint="default"/>
                <w:sz w:val="18"/>
                <w:szCs w:val="18"/>
              </w:rPr>
            </w:pPr>
            <w:r>
              <w:rPr>
                <w:rFonts w:ascii="宋体" w:hAnsi="宋体" w:cs="宋体" w:eastAsia="宋体" w:hint="default"/>
                <w:sz w:val="18"/>
                <w:szCs w:val="18"/>
              </w:rPr>
              <w:t>是否在公司关联</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892"/>
        <w:gridCol w:w="842"/>
        <w:gridCol w:w="1367"/>
        <w:gridCol w:w="1368"/>
        <w:gridCol w:w="1367"/>
        <w:gridCol w:w="1367"/>
      </w:tblGrid>
      <w:tr>
        <w:trPr>
          <w:trHeight w:val="36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8" w:right="0"/>
              <w:jc w:val="left"/>
              <w:rPr>
                <w:rFonts w:ascii="宋体" w:hAnsi="宋体" w:cs="宋体" w:eastAsia="宋体" w:hint="default"/>
                <w:sz w:val="18"/>
                <w:szCs w:val="18"/>
              </w:rPr>
            </w:pPr>
            <w:r>
              <w:rPr>
                <w:rFonts w:ascii="宋体" w:hAnsi="宋体" w:cs="宋体" w:eastAsia="宋体" w:hint="default"/>
                <w:sz w:val="18"/>
                <w:szCs w:val="18"/>
              </w:rPr>
              <w:t>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7" w:right="0"/>
              <w:jc w:val="left"/>
              <w:rPr>
                <w:rFonts w:ascii="宋体" w:hAnsi="宋体" w:cs="宋体" w:eastAsia="宋体" w:hint="default"/>
                <w:sz w:val="18"/>
                <w:szCs w:val="18"/>
              </w:rPr>
            </w:pPr>
            <w:r>
              <w:rPr>
                <w:rFonts w:ascii="宋体" w:hAnsi="宋体" w:cs="宋体" w:eastAsia="宋体" w:hint="default"/>
                <w:sz w:val="18"/>
                <w:szCs w:val="18"/>
              </w:rPr>
              <w:t>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贾虹</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苏俊锋</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王礼贵</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赵诚</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李继朝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沈冰</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甘岱松</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沈宏明</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黄德强</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黄天朗</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713.78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9"/>
      <w:bookmarkEnd w:id="129"/>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员工数量、专业构成及教育程度" w:id="130"/>
      <w:bookmarkEnd w:id="13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945</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1,467</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2,412</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2,412</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998</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79"/>
        <w:gridCol w:w="4790"/>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311</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2,412</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研究生</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2,412</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31"/>
      <w:bookmarkEnd w:id="13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4" w:right="1131" w:firstLine="420"/>
        <w:jc w:val="both"/>
      </w:pPr>
      <w:r>
        <w:rPr>
          <w:spacing w:val="-1"/>
        </w:rPr>
        <w:t>通过对战略目标、任务的管理，公司设计了具有竞争性的员工薪酬体系，建立了良好的内部级别认证</w:t>
      </w:r>
      <w:r>
        <w:rPr/>
        <w:t> 制度及晋升通道，实施了公平公正的绩效考核机制，不断提升员工对于薪酬的满意度。</w:t>
      </w:r>
    </w:p>
    <w:p>
      <w:pPr>
        <w:spacing w:line="240" w:lineRule="auto" w:before="8"/>
        <w:rPr>
          <w:rFonts w:ascii="宋体" w:hAnsi="宋体" w:cs="宋体" w:eastAsia="宋体" w:hint="default"/>
          <w:sz w:val="23"/>
          <w:szCs w:val="23"/>
        </w:rPr>
      </w:pPr>
    </w:p>
    <w:p>
      <w:pPr>
        <w:pStyle w:val="Heading3"/>
        <w:spacing w:line="240" w:lineRule="auto"/>
        <w:ind w:left="153" w:right="0"/>
        <w:jc w:val="left"/>
        <w:rPr>
          <w:b w:val="0"/>
          <w:bCs w:val="0"/>
        </w:rPr>
      </w:pPr>
      <w:bookmarkStart w:name="3、培训计划" w:id="132"/>
      <w:bookmarkEnd w:id="13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4"/>
          <w:szCs w:val="24"/>
        </w:rPr>
      </w:pPr>
    </w:p>
    <w:p>
      <w:pPr>
        <w:pStyle w:val="BodyText"/>
        <w:spacing w:line="268" w:lineRule="auto" w:before="0"/>
        <w:ind w:right="1132" w:firstLine="420"/>
        <w:jc w:val="both"/>
      </w:pPr>
      <w:r>
        <w:rPr>
          <w:spacing w:val="-1"/>
        </w:rPr>
        <w:t>公司自上而下构建了完善的培训体系，培训内容涵盖了新员工培训、专项技术、管理技能、经验交流</w:t>
      </w:r>
      <w:r>
        <w:rPr/>
        <w:t> </w:t>
      </w:r>
      <w:r>
        <w:rPr>
          <w:spacing w:val="-1"/>
        </w:rPr>
        <w:t>等多方面的内容，积极寻求各种有效的培训资源（如高校、政府、社会培训学校及内部优秀师资挖掘与培</w:t>
      </w:r>
      <w:r>
        <w:rPr>
          <w:spacing w:val="-86"/>
        </w:rPr>
        <w:t> </w:t>
      </w:r>
      <w:r>
        <w:rPr>
          <w:spacing w:val="-86"/>
        </w:rPr>
      </w:r>
      <w:r>
        <w:rPr/>
        <w:t>养等），同时组织员工参加各类职业资格考试，提升员工的工作技术水平，将</w:t>
      </w:r>
      <w:r>
        <w:rPr>
          <w:rFonts w:ascii="Times New Roman" w:hAnsi="Times New Roman" w:cs="Times New Roman" w:eastAsia="Times New Roman" w:hint="default"/>
        </w:rPr>
        <w:t>“</w:t>
      </w:r>
      <w:r>
        <w:rPr/>
        <w:t>分享</w:t>
      </w:r>
      <w:r>
        <w:rPr>
          <w:rFonts w:ascii="Times New Roman" w:hAnsi="Times New Roman" w:cs="Times New Roman" w:eastAsia="Times New Roman" w:hint="default"/>
        </w:rPr>
        <w:t>”</w:t>
      </w:r>
      <w:r>
        <w:rPr/>
        <w:t>的理念贯穿于整个培 训体系。</w:t>
      </w:r>
    </w:p>
    <w:p>
      <w:pPr>
        <w:spacing w:line="240" w:lineRule="auto" w:before="12"/>
        <w:rPr>
          <w:rFonts w:ascii="宋体" w:hAnsi="宋体" w:cs="宋体" w:eastAsia="宋体" w:hint="default"/>
          <w:sz w:val="23"/>
          <w:szCs w:val="23"/>
        </w:rPr>
      </w:pPr>
    </w:p>
    <w:p>
      <w:pPr>
        <w:pStyle w:val="Heading3"/>
        <w:spacing w:line="240" w:lineRule="auto"/>
        <w:ind w:left="153" w:right="0"/>
        <w:jc w:val="left"/>
        <w:rPr>
          <w:b w:val="0"/>
          <w:bCs w:val="0"/>
        </w:rPr>
      </w:pPr>
      <w:bookmarkStart w:name="4、劳务外包情况" w:id="133"/>
      <w:bookmarkEnd w:id="13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773" w:right="1751"/>
        <w:jc w:val="center"/>
        <w:rPr>
          <w:b w:val="0"/>
          <w:bCs w:val="0"/>
        </w:rPr>
      </w:pPr>
      <w:bookmarkStart w:name="第九节 公司治理" w:id="134"/>
      <w:bookmarkEnd w:id="134"/>
      <w:r>
        <w:rPr>
          <w:b w:val="0"/>
          <w:bCs w:val="0"/>
        </w:rPr>
      </w:r>
      <w:bookmarkStart w:name="_bookmark8" w:id="135"/>
      <w:bookmarkEnd w:id="135"/>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6"/>
        <w:rPr>
          <w:rFonts w:ascii="宋体" w:hAnsi="宋体" w:cs="宋体" w:eastAsia="宋体" w:hint="default"/>
          <w:b/>
          <w:bCs/>
          <w:sz w:val="32"/>
          <w:szCs w:val="32"/>
        </w:rPr>
      </w:pPr>
    </w:p>
    <w:p>
      <w:pPr>
        <w:spacing w:line="477" w:lineRule="auto" w:before="0"/>
        <w:ind w:left="153" w:right="1133" w:firstLine="357"/>
        <w:jc w:val="both"/>
        <w:rPr>
          <w:rFonts w:ascii="宋体" w:hAnsi="宋体" w:cs="宋体" w:eastAsia="宋体" w:hint="default"/>
          <w:sz w:val="18"/>
          <w:szCs w:val="18"/>
        </w:rPr>
      </w:pPr>
      <w:r>
        <w:rPr>
          <w:rFonts w:ascii="宋体" w:hAnsi="宋体" w:cs="宋体" w:eastAsia="宋体" w:hint="default"/>
          <w:spacing w:val="-2"/>
          <w:sz w:val="18"/>
          <w:szCs w:val="18"/>
        </w:rPr>
        <w:t>报告期内，公司严格按照《公司法》、《证券法》、《深圳证券交易所股票上市规则》、《深圳证券交易所中小企业板</w:t>
      </w:r>
      <w:r>
        <w:rPr>
          <w:rFonts w:ascii="宋体" w:hAnsi="宋体" w:cs="宋体" w:eastAsia="宋体" w:hint="default"/>
          <w:sz w:val="18"/>
          <w:szCs w:val="18"/>
        </w:rPr>
        <w:t> </w:t>
      </w:r>
      <w:r>
        <w:rPr>
          <w:rFonts w:ascii="宋体" w:hAnsi="宋体" w:cs="宋体" w:eastAsia="宋体" w:hint="default"/>
          <w:spacing w:val="-2"/>
          <w:sz w:val="18"/>
          <w:szCs w:val="18"/>
        </w:rPr>
        <w:t>上市公司规范运作指引》和其他相关法律、法规的有关规定，不断完善公司法人治理结构，健全内部控制体系，规范公司运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作，保证公司高效运转。截至报告期末，公司治理的实际状况基本符合中国证监会发布的有关上市公司治理的规范性文件要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求。</w:t>
      </w:r>
    </w:p>
    <w:p>
      <w:pPr>
        <w:spacing w:line="477" w:lineRule="auto" w:before="54"/>
        <w:ind w:left="511"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、股东与股东大会 </w:t>
      </w:r>
      <w:r>
        <w:rPr>
          <w:rFonts w:ascii="宋体" w:hAnsi="宋体" w:cs="宋体" w:eastAsia="宋体" w:hint="default"/>
          <w:spacing w:val="-2"/>
          <w:sz w:val="18"/>
          <w:szCs w:val="18"/>
        </w:rPr>
        <w:t>公司严格按照《公司法》、《上市公司股东大会规则》、《公司章程》、《股东大会议事规则》等法律法则的要求，规</w:t>
      </w:r>
    </w:p>
    <w:p>
      <w:pPr>
        <w:spacing w:line="477" w:lineRule="auto" w:before="54"/>
        <w:ind w:left="154" w:right="1130" w:firstLine="0"/>
        <w:jc w:val="both"/>
        <w:rPr>
          <w:rFonts w:ascii="宋体" w:hAnsi="宋体" w:cs="宋体" w:eastAsia="宋体" w:hint="default"/>
          <w:sz w:val="18"/>
          <w:szCs w:val="18"/>
        </w:rPr>
      </w:pPr>
      <w:r>
        <w:rPr>
          <w:rFonts w:ascii="宋体" w:hAnsi="宋体" w:cs="宋体" w:eastAsia="宋体" w:hint="default"/>
          <w:spacing w:val="-2"/>
          <w:sz w:val="18"/>
          <w:szCs w:val="18"/>
        </w:rPr>
        <w:t>范股东大会的召集、召开、表决程序，并聘请律师进行见证。股东大会会议记录保存完整，提案审议程序符合规定。公司治</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理结构确保所有股东，特别是中小股东享有平等的权利。</w:t>
      </w:r>
    </w:p>
    <w:p>
      <w:pPr>
        <w:spacing w:line="477" w:lineRule="auto" w:before="54"/>
        <w:ind w:left="511"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、控股股东与上市公司 </w:t>
      </w:r>
      <w:r>
        <w:rPr>
          <w:rFonts w:ascii="宋体" w:hAnsi="宋体" w:cs="宋体" w:eastAsia="宋体" w:hint="default"/>
          <w:spacing w:val="-2"/>
          <w:sz w:val="18"/>
          <w:szCs w:val="18"/>
        </w:rPr>
        <w:t>公司严格根据《上市公司治理准则》、《深圳证券交易所股票上市规则》、《公司章程》等制度规范股东行为，控股股</w:t>
      </w:r>
    </w:p>
    <w:p>
      <w:pPr>
        <w:spacing w:line="477" w:lineRule="auto" w:before="54"/>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东通过股东大会行使股东权利，不存在违规占用上市公司资产侵害公司权益的情形，未发生超越股东大会及董事会而直接干</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预公司经营与决策的行为。公司具有独立的业务和经营自主能力，在业务、资产、人员、机构、财务等方面均独立于控股股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东。控股股东亦严格遵守相关承诺。</w:t>
      </w:r>
    </w:p>
    <w:p>
      <w:pPr>
        <w:spacing w:line="477" w:lineRule="auto" w:before="54"/>
        <w:ind w:left="511"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、董事与董事会 </w:t>
      </w:r>
      <w:r>
        <w:rPr>
          <w:rFonts w:ascii="宋体" w:hAnsi="宋体" w:cs="宋体" w:eastAsia="宋体" w:hint="default"/>
          <w:spacing w:val="-2"/>
          <w:sz w:val="18"/>
          <w:szCs w:val="18"/>
        </w:rPr>
        <w:t>公司董事会由</w:t>
      </w:r>
      <w:r>
        <w:rPr>
          <w:rFonts w:ascii="宋体" w:hAnsi="宋体" w:cs="宋体" w:eastAsia="宋体" w:hint="default"/>
          <w:spacing w:val="-2"/>
          <w:sz w:val="18"/>
          <w:szCs w:val="18"/>
        </w:rPr>
        <w:t>9</w:t>
      </w:r>
      <w:r>
        <w:rPr>
          <w:rFonts w:ascii="宋体" w:hAnsi="宋体" w:cs="宋体" w:eastAsia="宋体" w:hint="default"/>
          <w:spacing w:val="-2"/>
          <w:sz w:val="18"/>
          <w:szCs w:val="18"/>
        </w:rPr>
        <w:t>名董事组成，其中独立董事</w:t>
      </w:r>
      <w:r>
        <w:rPr>
          <w:rFonts w:ascii="宋体" w:hAnsi="宋体" w:cs="宋体" w:eastAsia="宋体" w:hint="default"/>
          <w:spacing w:val="-2"/>
          <w:sz w:val="18"/>
          <w:szCs w:val="18"/>
        </w:rPr>
        <w:t>3</w:t>
      </w:r>
      <w:r>
        <w:rPr>
          <w:rFonts w:ascii="宋体" w:hAnsi="宋体" w:cs="宋体" w:eastAsia="宋体" w:hint="default"/>
          <w:spacing w:val="-2"/>
          <w:sz w:val="18"/>
          <w:szCs w:val="18"/>
        </w:rPr>
        <w:t>名，董事会的人数、构成及选聘程序均符合法律、法规和《公司章程》的规</w:t>
      </w:r>
    </w:p>
    <w:p>
      <w:pPr>
        <w:spacing w:line="477" w:lineRule="auto" w:before="54"/>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定。公司全体董事均能够按照相关法律、法规及《公司章程》的规定召开会议，依法履行职责。董事会下设战略发展委员会、</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审计委员会、薪酬与考核委员会、提名委员会等四个专门委员会。股东大会对董事会的授权权限合理合法，独立董事能够不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受影响的独立履行职责。</w:t>
      </w:r>
    </w:p>
    <w:p>
      <w:pPr>
        <w:spacing w:line="477" w:lineRule="auto" w:before="54"/>
        <w:ind w:left="511" w:right="1035"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、监事与监事会 公司监事会由</w:t>
      </w:r>
      <w:r>
        <w:rPr>
          <w:rFonts w:ascii="宋体" w:hAnsi="宋体" w:cs="宋体" w:eastAsia="宋体" w:hint="default"/>
          <w:sz w:val="18"/>
          <w:szCs w:val="18"/>
        </w:rPr>
        <w:t>3</w:t>
      </w:r>
      <w:r>
        <w:rPr>
          <w:rFonts w:ascii="宋体" w:hAnsi="宋体" w:cs="宋体" w:eastAsia="宋体" w:hint="default"/>
          <w:sz w:val="18"/>
          <w:szCs w:val="18"/>
        </w:rPr>
        <w:t>名监事组成，其中职工代表监事</w:t>
      </w:r>
      <w:r>
        <w:rPr>
          <w:rFonts w:ascii="宋体" w:hAnsi="宋体" w:cs="宋体" w:eastAsia="宋体" w:hint="default"/>
          <w:sz w:val="18"/>
          <w:szCs w:val="18"/>
        </w:rPr>
        <w:t>1</w:t>
      </w:r>
      <w:r>
        <w:rPr>
          <w:rFonts w:ascii="宋体" w:hAnsi="宋体" w:cs="宋体" w:eastAsia="宋体" w:hint="default"/>
          <w:sz w:val="18"/>
          <w:szCs w:val="18"/>
        </w:rPr>
        <w:t>名。监事会的人数、构成及选聘程序均符合法律、法规和《公司章程》</w:t>
      </w:r>
    </w:p>
    <w:p>
      <w:pPr>
        <w:spacing w:line="477" w:lineRule="auto" w:before="54"/>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的规定。公司全体监事均能够按照相关法律、法规及《公司章程》的规定召开会议，依法履行职责，出席股东大会、列席现</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场董事会。按规定的程序对公司重大事项、财务状况、董事和高级管理人员履行职责的情况等事项进行了有效的监督，维护</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了公司及股东的合法权益。</w:t>
      </w:r>
    </w:p>
    <w:p>
      <w:pPr>
        <w:spacing w:line="477" w:lineRule="auto" w:before="54"/>
        <w:ind w:left="511" w:right="0"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、关于相关利益者 </w:t>
      </w:r>
      <w:r>
        <w:rPr>
          <w:rFonts w:ascii="宋体" w:hAnsi="宋体" w:cs="宋体" w:eastAsia="宋体" w:hint="default"/>
          <w:spacing w:val="-2"/>
          <w:sz w:val="18"/>
          <w:szCs w:val="18"/>
        </w:rPr>
        <w:t>公司能够充分尊重和维护客户、股东、员工等相关利益者的合法权益，积极与相关利益者合作，加强与各方的沟通和交</w:t>
      </w:r>
    </w:p>
    <w:p>
      <w:pPr>
        <w:spacing w:after="0" w:line="47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477" w:lineRule="auto" w:before="0"/>
        <w:ind w:left="511" w:right="3913" w:hanging="358"/>
        <w:jc w:val="left"/>
        <w:rPr>
          <w:rFonts w:ascii="宋体" w:hAnsi="宋体" w:cs="宋体" w:eastAsia="宋体" w:hint="default"/>
          <w:sz w:val="18"/>
          <w:szCs w:val="18"/>
        </w:rPr>
      </w:pPr>
      <w:r>
        <w:rPr>
          <w:rFonts w:ascii="宋体" w:hAnsi="宋体" w:cs="宋体" w:eastAsia="宋体" w:hint="default"/>
          <w:sz w:val="18"/>
          <w:szCs w:val="18"/>
        </w:rPr>
        <w:t>流，实现股东、员工、社会等各方利益的均衡，以推动公司持续、稳定、健康地发展。 </w:t>
      </w:r>
      <w:r>
        <w:rPr>
          <w:rFonts w:ascii="宋体" w:hAnsi="宋体" w:cs="宋体" w:eastAsia="宋体" w:hint="default"/>
          <w:sz w:val="18"/>
          <w:szCs w:val="18"/>
        </w:rPr>
        <w:t>6</w:t>
      </w:r>
      <w:r>
        <w:rPr>
          <w:rFonts w:ascii="宋体" w:hAnsi="宋体" w:cs="宋体" w:eastAsia="宋体" w:hint="default"/>
          <w:sz w:val="18"/>
          <w:szCs w:val="18"/>
        </w:rPr>
        <w:t>、公司信息披露与透明度情况</w:t>
      </w:r>
    </w:p>
    <w:p>
      <w:pPr>
        <w:spacing w:before="54"/>
        <w:ind w:left="511" w:right="0" w:firstLine="0"/>
        <w:jc w:val="left"/>
        <w:rPr>
          <w:rFonts w:ascii="宋体" w:hAnsi="宋体" w:cs="宋体" w:eastAsia="宋体" w:hint="default"/>
          <w:sz w:val="18"/>
          <w:szCs w:val="18"/>
        </w:rPr>
      </w:pPr>
      <w:r>
        <w:rPr>
          <w:rFonts w:ascii="宋体" w:hAnsi="宋体" w:cs="宋体" w:eastAsia="宋体" w:hint="default"/>
          <w:sz w:val="18"/>
          <w:szCs w:val="18"/>
        </w:rPr>
        <w:t>公司已建立《信息披露管理制度》及《重大信息内部报告制度》，公司重大事件的报告、传递、审核、披露程序均根据</w:t>
      </w:r>
    </w:p>
    <w:p>
      <w:pPr>
        <w:spacing w:line="240" w:lineRule="auto" w:before="10"/>
        <w:rPr>
          <w:rFonts w:ascii="宋体" w:hAnsi="宋体" w:cs="宋体" w:eastAsia="宋体" w:hint="default"/>
          <w:sz w:val="17"/>
          <w:szCs w:val="17"/>
        </w:rPr>
      </w:pPr>
    </w:p>
    <w:p>
      <w:pPr>
        <w:spacing w:line="477"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《公司章程》、各项议事规则及上述制度的相关规定执行。公司所有信息披露均严格的审批程序，在中国证监会指定信息披</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露媒体上真实、准确、完整、及时地披露，确保所有投资者公平获取公司信息。</w:t>
      </w:r>
    </w:p>
    <w:p>
      <w:pPr>
        <w:spacing w:line="477" w:lineRule="auto" w:before="54"/>
        <w:ind w:left="511" w:right="0" w:firstLine="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、公司与投资者 </w:t>
      </w:r>
      <w:r>
        <w:rPr>
          <w:rFonts w:ascii="宋体" w:hAnsi="宋体" w:cs="宋体" w:eastAsia="宋体" w:hint="default"/>
          <w:spacing w:val="-2"/>
          <w:sz w:val="18"/>
          <w:szCs w:val="18"/>
        </w:rPr>
        <w:t>公司指定董事会秘书为投资者关系工作的第一负责人，并将每月的</w:t>
      </w:r>
      <w:r>
        <w:rPr>
          <w:rFonts w:ascii="宋体" w:hAnsi="宋体" w:cs="宋体" w:eastAsia="宋体" w:hint="default"/>
          <w:spacing w:val="-2"/>
          <w:sz w:val="18"/>
          <w:szCs w:val="18"/>
        </w:rPr>
        <w:t>8</w:t>
      </w:r>
      <w:r>
        <w:rPr>
          <w:rFonts w:ascii="宋体" w:hAnsi="宋体" w:cs="宋体" w:eastAsia="宋体" w:hint="default"/>
          <w:spacing w:val="-2"/>
          <w:sz w:val="18"/>
          <w:szCs w:val="18"/>
        </w:rPr>
        <w:t>日作为“投资者接待日”，充分与投资者进行交流。</w:t>
      </w:r>
    </w:p>
    <w:p>
      <w:pPr>
        <w:spacing w:before="54"/>
        <w:ind w:left="154" w:right="0" w:firstLine="0"/>
        <w:jc w:val="left"/>
        <w:rPr>
          <w:rFonts w:ascii="宋体" w:hAnsi="宋体" w:cs="宋体" w:eastAsia="宋体" w:hint="default"/>
          <w:sz w:val="18"/>
          <w:szCs w:val="18"/>
        </w:rPr>
      </w:pPr>
      <w:r>
        <w:rPr>
          <w:rFonts w:ascii="宋体" w:hAnsi="宋体" w:cs="宋体" w:eastAsia="宋体" w:hint="default"/>
          <w:sz w:val="18"/>
          <w:szCs w:val="18"/>
        </w:rPr>
        <w:t>证券部负责投资者关系管理工作的日常事务，通过电话、实地及公司网站等多种渠道保持与投资者的顺利沟通。</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5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32"/>
          <w:szCs w:val="32"/>
        </w:rPr>
      </w:pPr>
    </w:p>
    <w:p>
      <w:pPr>
        <w:spacing w:line="477" w:lineRule="auto" w:before="0"/>
        <w:ind w:left="153" w:right="1036" w:firstLine="357"/>
        <w:jc w:val="left"/>
        <w:rPr>
          <w:rFonts w:ascii="宋体" w:hAnsi="宋体" w:cs="宋体" w:eastAsia="宋体" w:hint="default"/>
          <w:sz w:val="18"/>
          <w:szCs w:val="18"/>
        </w:rPr>
      </w:pPr>
      <w:r>
        <w:rPr>
          <w:rFonts w:ascii="宋体" w:hAnsi="宋体" w:cs="宋体" w:eastAsia="宋体" w:hint="default"/>
          <w:sz w:val="18"/>
          <w:szCs w:val="18"/>
        </w:rPr>
        <w:t>公司严格按照《公司法》、《证券法》等有关法律、法规和《公司章程》的要求规范运作，与控股股东在业务、人员、 资产、机构、财务等方面完全分开，具有独立完整的业务及自主经营能力。</w:t>
      </w:r>
    </w:p>
    <w:p>
      <w:pPr>
        <w:spacing w:line="451" w:lineRule="auto" w:before="54"/>
        <w:ind w:left="154" w:right="1125" w:firstLine="3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、业务方面：公司业务结构完整，自主独立经营，与控股股东之间无同业竞争，控股股东未曾利用控股股东地位干涉 公司决策和生产经营活动；</w:t>
      </w:r>
    </w:p>
    <w:p>
      <w:pPr>
        <w:spacing w:line="451" w:lineRule="auto" w:before="74"/>
        <w:ind w:left="154" w:right="1125" w:firstLine="3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、人员方面：公司在劳动、人事及工资管理等各方面均独立于控股股东。高级管理人员均在公司领取报酬，未在控股 股东或股东关联单位担任除董事以外的任何职务；</w:t>
      </w:r>
    </w:p>
    <w:p>
      <w:pPr>
        <w:spacing w:line="451" w:lineRule="auto" w:before="74"/>
        <w:ind w:left="154" w:right="1125" w:firstLine="3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、资产方面：公司生产经营场所及土地使用权情况、商标注册及使用情况独立，各发起人投入股份公司的资产权属明 确；</w:t>
      </w:r>
    </w:p>
    <w:p>
      <w:pPr>
        <w:spacing w:before="74"/>
        <w:ind w:left="51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、机构方面：公司组织体系健全，董事会、监事会、管理层及部门运作独立，不存在与控股股东之间的从属关系；</w:t>
      </w:r>
    </w:p>
    <w:p>
      <w:pPr>
        <w:spacing w:line="240" w:lineRule="auto" w:before="9"/>
        <w:rPr>
          <w:rFonts w:ascii="宋体" w:hAnsi="宋体" w:cs="宋体" w:eastAsia="宋体" w:hint="default"/>
          <w:sz w:val="16"/>
          <w:szCs w:val="16"/>
        </w:rPr>
      </w:pPr>
    </w:p>
    <w:p>
      <w:pPr>
        <w:spacing w:line="451" w:lineRule="auto" w:before="0"/>
        <w:ind w:left="154" w:right="1125" w:firstLine="357"/>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、财务方面：设有独立的财务部门，并建立了独立的会计核算体系和财务管理制度，独立在银行开户、并依法独立纳 税。</w:t>
      </w:r>
    </w:p>
    <w:p>
      <w:pPr>
        <w:spacing w:line="240" w:lineRule="auto" w:before="0"/>
        <w:rPr>
          <w:rFonts w:ascii="宋体" w:hAnsi="宋体" w:cs="宋体" w:eastAsia="宋体" w:hint="default"/>
          <w:sz w:val="19"/>
          <w:szCs w:val="19"/>
        </w:rPr>
      </w:pPr>
    </w:p>
    <w:p>
      <w:pPr>
        <w:pStyle w:val="Heading2"/>
        <w:spacing w:line="240" w:lineRule="auto"/>
        <w:ind w:left="154" w:right="0"/>
        <w:jc w:val="left"/>
        <w:rPr>
          <w:b w:val="0"/>
          <w:bCs w:val="0"/>
        </w:rPr>
      </w:pPr>
      <w:bookmarkStart w:name="三、同业竞争情况" w:id="138"/>
      <w:bookmarkEnd w:id="138"/>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本报告期股东大会情况" w:id="140"/>
      <w:bookmarkEnd w:id="14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spacing w:before="44"/>
        <w:ind w:left="0" w:right="1141" w:firstLine="0"/>
        <w:jc w:val="right"/>
        <w:rPr>
          <w:rFonts w:ascii="宋体" w:hAnsi="宋体" w:cs="宋体" w:eastAsia="宋体" w:hint="default"/>
          <w:sz w:val="18"/>
          <w:szCs w:val="18"/>
        </w:rPr>
      </w:pPr>
      <w:r>
        <w:rPr/>
        <w:pict>
          <v:shape style="position:absolute;margin-left:56.459999pt;margin-top:-36.568275pt;width:479.1pt;height:268.1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240"/>
                    <w:gridCol w:w="1418"/>
                    <w:gridCol w:w="1559"/>
                    <w:gridCol w:w="1560"/>
                    <w:gridCol w:w="21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 </w:t>
                        </w:r>
                        <w:r>
                          <w:rPr>
                            <w:rFonts w:ascii="宋体" w:hAnsi="宋体" w:cs="宋体" w:eastAsia="宋体" w:hint="default"/>
                            <w:spacing w:val="-10"/>
                            <w:sz w:val="18"/>
                            <w:szCs w:val="18"/>
                          </w:rPr>
                          <w:t>大会决议公告》（公告编号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pacing w:val="-7"/>
                            <w:sz w:val="18"/>
                            <w:szCs w:val="18"/>
                          </w:rPr>
                          <w:t>2017-012</w:t>
                        </w:r>
                        <w:r>
                          <w:rPr>
                            <w:rFonts w:ascii="宋体" w:hAnsi="宋体" w:cs="宋体" w:eastAsia="宋体" w:hint="default"/>
                            <w:spacing w:val="-7"/>
                            <w:sz w:val="18"/>
                            <w:szCs w:val="18"/>
                          </w:rPr>
                          <w:t>），刊登于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2" w:lineRule="auto" w:before="5"/>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pacing w:val="-25"/>
                            <w:sz w:val="18"/>
                            <w:szCs w:val="18"/>
                          </w:rPr>
                          <w:t>日《证券时报》、《中</w:t>
                        </w:r>
                        <w:r>
                          <w:rPr>
                            <w:rFonts w:ascii="宋体" w:hAnsi="宋体" w:cs="宋体" w:eastAsia="宋体" w:hint="default"/>
                            <w:sz w:val="18"/>
                            <w:szCs w:val="18"/>
                          </w:rPr>
                          <w:t> 国证券报》及巨潮资讯网</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30.88%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 </w:t>
                        </w:r>
                        <w:r>
                          <w:rPr>
                            <w:rFonts w:ascii="宋体" w:hAnsi="宋体" w:cs="宋体" w:eastAsia="宋体" w:hint="default"/>
                            <w:spacing w:val="-10"/>
                            <w:sz w:val="18"/>
                            <w:szCs w:val="18"/>
                          </w:rPr>
                          <w:t>公告》（公告编号：</w:t>
                        </w:r>
                      </w:p>
                      <w:p>
                        <w:pPr>
                          <w:pStyle w:val="TableParagraph"/>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2017-030</w:t>
                        </w:r>
                        <w:r>
                          <w:rPr>
                            <w:rFonts w:ascii="宋体" w:hAnsi="宋体" w:cs="宋体" w:eastAsia="宋体" w:hint="default"/>
                            <w:spacing w:val="-90"/>
                            <w:sz w:val="18"/>
                            <w:szCs w:val="18"/>
                          </w:rPr>
                          <w:t>）</w:t>
                        </w:r>
                        <w:r>
                          <w:rPr>
                            <w:rFonts w:ascii="宋体" w:hAnsi="宋体" w:cs="宋体" w:eastAsia="宋体" w:hint="default"/>
                            <w:sz w:val="18"/>
                            <w:szCs w:val="18"/>
                          </w:rPr>
                          <w:t>，刊登于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2" w:lineRule="auto" w:before="63"/>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25"/>
                            <w:sz w:val="18"/>
                            <w:szCs w:val="18"/>
                          </w:rPr>
                          <w:t>日《证券时报》、《中</w:t>
                        </w:r>
                        <w:r>
                          <w:rPr>
                            <w:rFonts w:ascii="宋体" w:hAnsi="宋体" w:cs="宋体" w:eastAsia="宋体" w:hint="default"/>
                            <w:sz w:val="18"/>
                            <w:szCs w:val="18"/>
                          </w:rPr>
                          <w:t> 国证券报》及巨潮资讯网</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 </w:t>
                        </w:r>
                        <w:r>
                          <w:rPr>
                            <w:rFonts w:ascii="宋体" w:hAnsi="宋体" w:cs="宋体" w:eastAsia="宋体" w:hint="default"/>
                            <w:spacing w:val="-10"/>
                            <w:sz w:val="18"/>
                            <w:szCs w:val="18"/>
                          </w:rPr>
                          <w:t>大会决议公告》（公告编号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pacing w:val="-7"/>
                            <w:sz w:val="18"/>
                            <w:szCs w:val="18"/>
                          </w:rPr>
                          <w:t>2017-066</w:t>
                        </w:r>
                        <w:r>
                          <w:rPr>
                            <w:rFonts w:ascii="宋体" w:hAnsi="宋体" w:cs="宋体" w:eastAsia="宋体" w:hint="default"/>
                            <w:spacing w:val="-7"/>
                            <w:sz w:val="18"/>
                            <w:szCs w:val="18"/>
                          </w:rPr>
                          <w:t>），刊登于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2" w:lineRule="auto" w:before="5"/>
                          <w:ind w:left="22" w:right="2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pacing w:val="-33"/>
                            <w:sz w:val="18"/>
                            <w:szCs w:val="18"/>
                          </w:rPr>
                          <w:t>日《证券时报》、《中</w:t>
                        </w:r>
                        <w:r>
                          <w:rPr>
                            <w:rFonts w:ascii="宋体" w:hAnsi="宋体" w:cs="宋体" w:eastAsia="宋体" w:hint="default"/>
                            <w:sz w:val="18"/>
                            <w:szCs w:val="18"/>
                          </w:rPr>
                          <w:t> 国证券报》及巨潮资讯网</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0"/>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3"/>
        <w:spacing w:line="240" w:lineRule="auto" w:before="35"/>
        <w:ind w:right="0"/>
        <w:jc w:val="left"/>
        <w:rPr>
          <w:b w:val="0"/>
          <w:bCs w:val="0"/>
        </w:rPr>
      </w:pPr>
      <w:bookmarkStart w:name="2、表决权恢复的优先股股东请求召开临时股东大会" w:id="141"/>
      <w:bookmarkEnd w:id="14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独立董事出席董事会及股东大会的情况" w:id="143"/>
      <w:bookmarkEnd w:id="14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王礼贵</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赵诚</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独立董事对公司有关事项提出异议的情况" w:id="144"/>
      <w:bookmarkEnd w:id="14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both"/>
        <w:rPr>
          <w:rFonts w:ascii="宋体" w:hAnsi="宋体" w:cs="宋体" w:eastAsia="宋体" w:hint="default"/>
          <w:sz w:val="18"/>
          <w:szCs w:val="18"/>
        </w:rPr>
      </w:pPr>
      <w:r>
        <w:rPr>
          <w:rFonts w:ascii="宋体" w:hAnsi="宋体" w:cs="宋体" w:eastAsia="宋体" w:hint="default"/>
          <w:sz w:val="18"/>
          <w:szCs w:val="18"/>
        </w:rPr>
        <w:t>报告期内独立董事对公司有关事项未提出异议。</w:t>
      </w:r>
    </w:p>
    <w:p>
      <w:pPr>
        <w:spacing w:line="240" w:lineRule="auto" w:before="10"/>
        <w:rPr>
          <w:rFonts w:ascii="宋体" w:hAnsi="宋体" w:cs="宋体" w:eastAsia="宋体" w:hint="default"/>
          <w:sz w:val="26"/>
          <w:szCs w:val="26"/>
        </w:rPr>
      </w:pPr>
    </w:p>
    <w:p>
      <w:pPr>
        <w:pStyle w:val="Heading3"/>
        <w:spacing w:line="240" w:lineRule="auto"/>
        <w:ind w:left="153" w:right="0"/>
        <w:jc w:val="both"/>
        <w:rPr>
          <w:b w:val="0"/>
          <w:bCs w:val="0"/>
        </w:rPr>
      </w:pPr>
      <w:bookmarkStart w:name="3、独立董事履行职责的其他说明" w:id="145"/>
      <w:bookmarkEnd w:id="14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spacing w:line="477" w:lineRule="auto" w:before="117"/>
        <w:ind w:left="153" w:right="1130" w:firstLine="360"/>
        <w:jc w:val="both"/>
        <w:rPr>
          <w:rFonts w:ascii="宋体" w:hAnsi="宋体" w:cs="宋体" w:eastAsia="宋体" w:hint="default"/>
          <w:sz w:val="18"/>
          <w:szCs w:val="18"/>
        </w:rPr>
      </w:pPr>
      <w:r>
        <w:rPr>
          <w:rFonts w:ascii="宋体" w:hAnsi="宋体" w:cs="宋体" w:eastAsia="宋体" w:hint="default"/>
          <w:spacing w:val="-2"/>
          <w:sz w:val="18"/>
          <w:szCs w:val="18"/>
        </w:rPr>
        <w:t>报告期内，公司独立董事按照《公司章程》、《独立董事工作制度》等规定，忠实、勤勉地履行其职责，积极参加董事</w:t>
      </w:r>
      <w:r>
        <w:rPr>
          <w:rFonts w:ascii="宋体" w:hAnsi="宋体" w:cs="宋体" w:eastAsia="宋体" w:hint="default"/>
          <w:sz w:val="18"/>
          <w:szCs w:val="18"/>
        </w:rPr>
        <w:t> </w:t>
      </w:r>
      <w:r>
        <w:rPr>
          <w:rFonts w:ascii="宋体" w:hAnsi="宋体" w:cs="宋体" w:eastAsia="宋体" w:hint="default"/>
          <w:spacing w:val="-2"/>
          <w:sz w:val="18"/>
          <w:szCs w:val="18"/>
        </w:rPr>
        <w:t>会和股东大会会议，关注公司经营管理情况、检查公司财务状况、股权激励计划的实施、募集资金使用管理等重大事项的进</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展情况，认真参与公司决策，并依靠自己的专业知识和能力做出客观、公正、独立的判断，充分发挥了独立董事的作用，维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护了公司、全体股东尤其是中小股东的合法权益。报告期内，独立董事根据相关规定对公司的重大事项发表独立意见，对公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司董事会审议事项及其他事项未提出过异议。</w:t>
      </w:r>
    </w:p>
    <w:p>
      <w:pPr>
        <w:spacing w:line="240" w:lineRule="auto" w:before="7"/>
        <w:rPr>
          <w:rFonts w:ascii="宋体" w:hAnsi="宋体" w:cs="宋体" w:eastAsia="宋体" w:hint="default"/>
          <w:sz w:val="17"/>
          <w:szCs w:val="17"/>
        </w:rPr>
      </w:pPr>
    </w:p>
    <w:p>
      <w:pPr>
        <w:pStyle w:val="Heading2"/>
        <w:spacing w:line="240" w:lineRule="auto"/>
        <w:ind w:right="0"/>
        <w:jc w:val="both"/>
        <w:rPr>
          <w:b w:val="0"/>
          <w:bCs w:val="0"/>
        </w:rPr>
      </w:pPr>
      <w:bookmarkStart w:name="六、董事会下设专门委员会在报告期内履行职责情况" w:id="146"/>
      <w:bookmarkEnd w:id="146"/>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32"/>
          <w:szCs w:val="32"/>
        </w:rPr>
      </w:pPr>
    </w:p>
    <w:p>
      <w:pPr>
        <w:spacing w:line="477" w:lineRule="auto" w:before="0"/>
        <w:ind w:left="153" w:right="1131" w:firstLine="357"/>
        <w:jc w:val="both"/>
        <w:rPr>
          <w:rFonts w:ascii="宋体" w:hAnsi="宋体" w:cs="宋体" w:eastAsia="宋体" w:hint="default"/>
          <w:sz w:val="18"/>
          <w:szCs w:val="18"/>
        </w:rPr>
      </w:pPr>
      <w:r>
        <w:rPr>
          <w:rFonts w:ascii="宋体" w:hAnsi="宋体" w:cs="宋体" w:eastAsia="宋体" w:hint="default"/>
          <w:spacing w:val="-2"/>
          <w:sz w:val="18"/>
          <w:szCs w:val="18"/>
        </w:rPr>
        <w:t>报告期内，公司董事会下设的各专门委员会根据《上市公司治理准则》、《公司章程》和公司董事会各专业委员会工作</w:t>
      </w:r>
      <w:r>
        <w:rPr>
          <w:rFonts w:ascii="宋体" w:hAnsi="宋体" w:cs="宋体" w:eastAsia="宋体" w:hint="default"/>
          <w:sz w:val="18"/>
          <w:szCs w:val="18"/>
        </w:rPr>
        <w:t> 细则，切实履职，规范了公司治理结构，为公司发展献言建策。各专门委员会具体工作如下：</w:t>
      </w:r>
    </w:p>
    <w:p>
      <w:pPr>
        <w:spacing w:line="451" w:lineRule="auto" w:before="54"/>
        <w:ind w:left="511" w:right="11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、审计委员会 </w:t>
      </w:r>
      <w:r>
        <w:rPr>
          <w:rFonts w:ascii="宋体" w:hAnsi="宋体" w:cs="宋体" w:eastAsia="宋体" w:hint="default"/>
          <w:spacing w:val="-2"/>
          <w:sz w:val="18"/>
          <w:szCs w:val="18"/>
        </w:rPr>
        <w:t>报告期内，审计委员会根据《审计委员会工作细则》及其他相关规定，积极开展工作，定期了解公司财务状况和经营情</w:t>
      </w:r>
    </w:p>
    <w:p>
      <w:pPr>
        <w:spacing w:line="463" w:lineRule="auto" w:before="74"/>
        <w:ind w:left="153" w:right="1129" w:firstLine="0"/>
        <w:jc w:val="both"/>
        <w:rPr>
          <w:rFonts w:ascii="宋体" w:hAnsi="宋体" w:cs="宋体" w:eastAsia="宋体" w:hint="default"/>
          <w:sz w:val="18"/>
          <w:szCs w:val="18"/>
        </w:rPr>
      </w:pPr>
      <w:r>
        <w:rPr>
          <w:rFonts w:ascii="宋体" w:hAnsi="宋体" w:cs="宋体" w:eastAsia="宋体" w:hint="default"/>
          <w:spacing w:val="-2"/>
          <w:sz w:val="18"/>
          <w:szCs w:val="18"/>
        </w:rPr>
        <w:t>况，认真审阅公司内部审计部门工作计划及总结，督促和指导公司内审部门对公司经营运行情况进行检查。报告期内共召开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会议</w:t>
      </w:r>
      <w:r>
        <w:rPr>
          <w:rFonts w:ascii="Times New Roman" w:hAnsi="Times New Roman" w:cs="Times New Roman" w:eastAsia="Times New Roman" w:hint="default"/>
          <w:sz w:val="18"/>
          <w:szCs w:val="18"/>
        </w:rPr>
        <w:t>4</w:t>
      </w:r>
      <w:r>
        <w:rPr>
          <w:rFonts w:ascii="宋体" w:hAnsi="宋体" w:cs="宋体" w:eastAsia="宋体" w:hint="default"/>
          <w:sz w:val="18"/>
          <w:szCs w:val="18"/>
        </w:rPr>
        <w:t>次，对募集资金使用情况、计提资产减值准备等事项进行了检查及审计，同时，在</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年度报告编制过程中，认真听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取管理层的经营情况汇报，积极与年审会计师进行沟通，确保审计工作顺利进行，积极发挥审核和监督职能。</w:t>
      </w:r>
    </w:p>
    <w:p>
      <w:pPr>
        <w:spacing w:line="451" w:lineRule="auto" w:before="65"/>
        <w:ind w:left="51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、战略发展委员会 </w:t>
      </w:r>
      <w:r>
        <w:rPr>
          <w:rFonts w:ascii="宋体" w:hAnsi="宋体" w:cs="宋体" w:eastAsia="宋体" w:hint="default"/>
          <w:spacing w:val="-2"/>
          <w:sz w:val="18"/>
          <w:szCs w:val="18"/>
        </w:rPr>
        <w:t>报告期内，战略与投资委员会依据《战略发展委员会工作细则》等相关规定规范运作，结合公司所处行业发展趋势及经</w:t>
      </w:r>
    </w:p>
    <w:p>
      <w:pPr>
        <w:spacing w:line="463" w:lineRule="auto" w:before="74"/>
        <w:ind w:left="154" w:right="1130" w:firstLine="0"/>
        <w:jc w:val="both"/>
        <w:rPr>
          <w:rFonts w:ascii="宋体" w:hAnsi="宋体" w:cs="宋体" w:eastAsia="宋体" w:hint="default"/>
          <w:sz w:val="18"/>
          <w:szCs w:val="18"/>
        </w:rPr>
      </w:pPr>
      <w:r>
        <w:rPr>
          <w:rFonts w:ascii="宋体" w:hAnsi="宋体" w:cs="宋体" w:eastAsia="宋体" w:hint="default"/>
          <w:sz w:val="18"/>
          <w:szCs w:val="18"/>
        </w:rPr>
        <w:t>济环境变化，为公司战略规划发展提出建议。报告期内共召开会议</w:t>
      </w:r>
      <w:r>
        <w:rPr>
          <w:rFonts w:ascii="Times New Roman" w:hAnsi="Times New Roman" w:cs="Times New Roman" w:eastAsia="Times New Roman" w:hint="default"/>
          <w:sz w:val="18"/>
          <w:szCs w:val="18"/>
        </w:rPr>
        <w:t>4</w:t>
      </w:r>
      <w:r>
        <w:rPr>
          <w:rFonts w:ascii="宋体" w:hAnsi="宋体" w:cs="宋体" w:eastAsia="宋体" w:hint="default"/>
          <w:sz w:val="18"/>
          <w:szCs w:val="18"/>
        </w:rPr>
        <w:t>次，对公司对外投资参与设立保险公司、投资设立雄安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全资子公司、投资设立洪泽湖全资子公司、投资设立达实智慧医疗有限公司等事项进行了审议，确保公司发展规划和战略决</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策的科学性。</w:t>
      </w:r>
    </w:p>
    <w:p>
      <w:pPr>
        <w:spacing w:line="451" w:lineRule="auto" w:before="65"/>
        <w:ind w:left="51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、薪酬与考核委员会 </w:t>
      </w:r>
      <w:r>
        <w:rPr>
          <w:rFonts w:ascii="宋体" w:hAnsi="宋体" w:cs="宋体" w:eastAsia="宋体" w:hint="default"/>
          <w:spacing w:val="-2"/>
          <w:sz w:val="18"/>
          <w:szCs w:val="18"/>
        </w:rPr>
        <w:t>报告期内，薪酬与考核委员会依据《董事会薪酬及考核委员会工作细则》的有关规定，积极开展相关工作，报告期内共</w:t>
      </w:r>
    </w:p>
    <w:p>
      <w:pPr>
        <w:spacing w:line="451" w:lineRule="auto" w:before="74"/>
        <w:ind w:left="153" w:right="1131" w:firstLine="0"/>
        <w:jc w:val="both"/>
        <w:rPr>
          <w:rFonts w:ascii="宋体" w:hAnsi="宋体" w:cs="宋体" w:eastAsia="宋体" w:hint="default"/>
          <w:sz w:val="18"/>
          <w:szCs w:val="18"/>
        </w:rPr>
      </w:pPr>
      <w:r>
        <w:rPr>
          <w:rFonts w:ascii="宋体" w:hAnsi="宋体" w:cs="宋体" w:eastAsia="宋体" w:hint="default"/>
          <w:sz w:val="18"/>
          <w:szCs w:val="18"/>
        </w:rPr>
        <w:t>召开会议</w:t>
      </w:r>
      <w:r>
        <w:rPr>
          <w:rFonts w:ascii="Times New Roman" w:hAnsi="Times New Roman" w:cs="Times New Roman" w:eastAsia="Times New Roman" w:hint="default"/>
          <w:sz w:val="18"/>
          <w:szCs w:val="18"/>
        </w:rPr>
        <w:t>1</w:t>
      </w:r>
      <w:r>
        <w:rPr>
          <w:rFonts w:ascii="宋体" w:hAnsi="宋体" w:cs="宋体" w:eastAsia="宋体" w:hint="default"/>
          <w:sz w:val="18"/>
          <w:szCs w:val="18"/>
        </w:rPr>
        <w:t>次，对公司董事及高级管理人员的薪酬、股权激励解锁情况进行审核，对公司完善绩效考核体系和激励约束机制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提出指导意见。</w:t>
      </w:r>
    </w:p>
    <w:p>
      <w:pPr>
        <w:spacing w:after="0" w:line="451"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both"/>
        <w:rPr>
          <w:b w:val="0"/>
          <w:bCs w:val="0"/>
        </w:rPr>
      </w:pPr>
      <w:bookmarkStart w:name="七、监事会工作情况" w:id="147"/>
      <w:bookmarkEnd w:id="147"/>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477" w:lineRule="auto" w:before="117"/>
        <w:ind w:left="154" w:right="1026" w:firstLine="360"/>
        <w:jc w:val="left"/>
        <w:rPr>
          <w:rFonts w:ascii="宋体" w:hAnsi="宋体" w:cs="宋体" w:eastAsia="宋体" w:hint="default"/>
          <w:sz w:val="18"/>
          <w:szCs w:val="18"/>
        </w:rPr>
      </w:pPr>
      <w:r>
        <w:rPr>
          <w:rFonts w:ascii="宋体" w:hAnsi="宋体" w:cs="宋体" w:eastAsia="宋体" w:hint="default"/>
          <w:sz w:val="18"/>
          <w:szCs w:val="18"/>
        </w:rPr>
        <w:t>按照《公司法》、《公司章程》及《监事会议事规则》等有关规定，</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年度，监事会本着恪尽职守、勤勉尽责的工 </w:t>
      </w:r>
      <w:r>
        <w:rPr>
          <w:rFonts w:ascii="宋体" w:hAnsi="宋体" w:cs="宋体" w:eastAsia="宋体" w:hint="default"/>
          <w:spacing w:val="-2"/>
          <w:sz w:val="18"/>
          <w:szCs w:val="18"/>
        </w:rPr>
        <w:t>作态度，认真履行监督职责，依法独立行使职权，对公司股东大会、董事会的召开程序、决策程序，董事会对股东大会决议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的执行情况，公司高级管理人员的执行职务情况及公司管理制度执行情况等进行了监督，督促公司董事会和管理层依法运作，</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科学决策，保障了公司财务规范运行，切实维护公司利益和全体股东权益。现将公司监事会 </w:t>
      </w:r>
      <w:r>
        <w:rPr>
          <w:rFonts w:ascii="宋体" w:hAnsi="宋体" w:cs="宋体" w:eastAsia="宋体" w:hint="default"/>
          <w:sz w:val="18"/>
          <w:szCs w:val="18"/>
        </w:rPr>
        <w:t>2017</w:t>
      </w:r>
      <w:r>
        <w:rPr>
          <w:rFonts w:ascii="宋体" w:hAnsi="宋体" w:cs="宋体" w:eastAsia="宋体" w:hint="default"/>
          <w:spacing w:val="-51"/>
          <w:sz w:val="18"/>
          <w:szCs w:val="18"/>
        </w:rPr>
        <w:t> </w:t>
      </w:r>
      <w:r>
        <w:rPr>
          <w:rFonts w:ascii="宋体" w:hAnsi="宋体" w:cs="宋体" w:eastAsia="宋体" w:hint="default"/>
          <w:sz w:val="18"/>
          <w:szCs w:val="18"/>
        </w:rPr>
        <w:t>年度的工作情况汇报如下：</w:t>
      </w:r>
    </w:p>
    <w:p>
      <w:pPr>
        <w:spacing w:before="94"/>
        <w:ind w:left="514" w:right="0" w:firstLine="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年度监事会日常运作情况</w:t>
      </w:r>
    </w:p>
    <w:p>
      <w:pPr>
        <w:spacing w:line="240" w:lineRule="auto" w:before="12"/>
        <w:rPr>
          <w:rFonts w:ascii="宋体" w:hAnsi="宋体" w:cs="宋体" w:eastAsia="宋体" w:hint="default"/>
          <w:sz w:val="20"/>
          <w:szCs w:val="20"/>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年度，监事会共召开</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次会议，具体召开情况如下：</w:t>
      </w:r>
    </w:p>
    <w:p>
      <w:pPr>
        <w:spacing w:line="240" w:lineRule="auto" w:before="10"/>
        <w:rPr>
          <w:rFonts w:ascii="宋体" w:hAnsi="宋体" w:cs="宋体" w:eastAsia="宋体" w:hint="default"/>
          <w:sz w:val="20"/>
          <w:szCs w:val="20"/>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日，公司召开了第六届监事会第三次会议，审议通过了《关于补选监事的议案》；</w:t>
      </w:r>
    </w:p>
    <w:p>
      <w:pPr>
        <w:spacing w:line="240" w:lineRule="auto" w:before="10"/>
        <w:rPr>
          <w:rFonts w:ascii="宋体" w:hAnsi="宋体" w:cs="宋体" w:eastAsia="宋体" w:hint="default"/>
          <w:sz w:val="20"/>
          <w:szCs w:val="20"/>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3</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14</w:t>
      </w:r>
      <w:r>
        <w:rPr>
          <w:rFonts w:ascii="宋体" w:hAnsi="宋体" w:cs="宋体" w:eastAsia="宋体" w:hint="default"/>
          <w:spacing w:val="-54"/>
          <w:sz w:val="18"/>
          <w:szCs w:val="18"/>
        </w:rPr>
        <w:t> </w:t>
      </w:r>
      <w:r>
        <w:rPr>
          <w:rFonts w:ascii="宋体" w:hAnsi="宋体" w:cs="宋体" w:eastAsia="宋体" w:hint="default"/>
          <w:sz w:val="18"/>
          <w:szCs w:val="18"/>
        </w:rPr>
        <w:t>日，公司召开了第六届监事会第四次会议，审议通过了《关于选举公司第六届监事会主席的议案》；</w:t>
      </w:r>
    </w:p>
    <w:p>
      <w:pPr>
        <w:spacing w:line="240" w:lineRule="auto" w:before="10"/>
        <w:rPr>
          <w:rFonts w:ascii="宋体" w:hAnsi="宋体" w:cs="宋体" w:eastAsia="宋体" w:hint="default"/>
          <w:sz w:val="20"/>
          <w:szCs w:val="20"/>
        </w:rPr>
      </w:pPr>
    </w:p>
    <w:p>
      <w:pPr>
        <w:spacing w:line="477" w:lineRule="auto" w:before="0"/>
        <w:ind w:left="154" w:right="1130" w:firstLine="36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4</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13</w:t>
      </w:r>
      <w:r>
        <w:rPr>
          <w:rFonts w:ascii="宋体" w:hAnsi="宋体" w:cs="宋体" w:eastAsia="宋体" w:hint="default"/>
          <w:spacing w:val="-51"/>
          <w:sz w:val="18"/>
          <w:szCs w:val="18"/>
        </w:rPr>
        <w:t> </w:t>
      </w:r>
      <w:r>
        <w:rPr>
          <w:rFonts w:ascii="宋体" w:hAnsi="宋体" w:cs="宋体" w:eastAsia="宋体" w:hint="default"/>
          <w:sz w:val="18"/>
          <w:szCs w:val="18"/>
        </w:rPr>
        <w:t>日，公司召开了第六届监事会第五次会议，审议通过了《</w:t>
      </w:r>
      <w:r>
        <w:rPr>
          <w:rFonts w:ascii="宋体" w:hAnsi="宋体" w:cs="宋体" w:eastAsia="宋体" w:hint="default"/>
          <w:sz w:val="18"/>
          <w:szCs w:val="18"/>
        </w:rPr>
        <w:t>2016</w:t>
      </w:r>
      <w:r>
        <w:rPr>
          <w:rFonts w:ascii="宋体" w:hAnsi="宋体" w:cs="宋体" w:eastAsia="宋体" w:hint="default"/>
          <w:spacing w:val="-51"/>
          <w:sz w:val="18"/>
          <w:szCs w:val="18"/>
        </w:rPr>
        <w:t> </w:t>
      </w:r>
      <w:r>
        <w:rPr>
          <w:rFonts w:ascii="宋体" w:hAnsi="宋体" w:cs="宋体" w:eastAsia="宋体" w:hint="default"/>
          <w:sz w:val="18"/>
          <w:szCs w:val="18"/>
        </w:rPr>
        <w:t>年度监事会工作报告》、《</w:t>
      </w:r>
      <w:r>
        <w:rPr>
          <w:rFonts w:ascii="宋体" w:hAnsi="宋体" w:cs="宋体" w:eastAsia="宋体" w:hint="default"/>
          <w:sz w:val="18"/>
          <w:szCs w:val="18"/>
        </w:rPr>
        <w:t>2016</w:t>
      </w:r>
      <w:r>
        <w:rPr>
          <w:rFonts w:ascii="宋体" w:hAnsi="宋体" w:cs="宋体" w:eastAsia="宋体" w:hint="default"/>
          <w:spacing w:val="-51"/>
          <w:sz w:val="18"/>
          <w:szCs w:val="18"/>
        </w:rPr>
        <w:t> </w:t>
      </w:r>
      <w:r>
        <w:rPr>
          <w:rFonts w:ascii="宋体" w:hAnsi="宋体" w:cs="宋体" w:eastAsia="宋体" w:hint="default"/>
          <w:sz w:val="18"/>
          <w:szCs w:val="18"/>
        </w:rPr>
        <w:t>年度 财务决算报告》、《</w:t>
      </w:r>
      <w:r>
        <w:rPr>
          <w:rFonts w:ascii="宋体" w:hAnsi="宋体" w:cs="宋体" w:eastAsia="宋体" w:hint="default"/>
          <w:sz w:val="18"/>
          <w:szCs w:val="18"/>
        </w:rPr>
        <w:t>2016</w:t>
      </w:r>
      <w:r>
        <w:rPr>
          <w:rFonts w:ascii="宋体" w:hAnsi="宋体" w:cs="宋体" w:eastAsia="宋体" w:hint="default"/>
          <w:spacing w:val="-59"/>
          <w:sz w:val="18"/>
          <w:szCs w:val="18"/>
        </w:rPr>
        <w:t> </w:t>
      </w:r>
      <w:r>
        <w:rPr>
          <w:rFonts w:ascii="宋体" w:hAnsi="宋体" w:cs="宋体" w:eastAsia="宋体" w:hint="default"/>
          <w:sz w:val="18"/>
          <w:szCs w:val="18"/>
        </w:rPr>
        <w:t>年度报告全文及摘要》、《</w:t>
      </w:r>
      <w:r>
        <w:rPr>
          <w:rFonts w:ascii="宋体" w:hAnsi="宋体" w:cs="宋体" w:eastAsia="宋体" w:hint="default"/>
          <w:sz w:val="18"/>
          <w:szCs w:val="18"/>
        </w:rPr>
        <w:t>2016</w:t>
      </w:r>
      <w:r>
        <w:rPr>
          <w:rFonts w:ascii="宋体" w:hAnsi="宋体" w:cs="宋体" w:eastAsia="宋体" w:hint="default"/>
          <w:spacing w:val="-59"/>
          <w:sz w:val="18"/>
          <w:szCs w:val="18"/>
        </w:rPr>
        <w:t> </w:t>
      </w:r>
      <w:r>
        <w:rPr>
          <w:rFonts w:ascii="宋体" w:hAnsi="宋体" w:cs="宋体" w:eastAsia="宋体" w:hint="default"/>
          <w:sz w:val="18"/>
          <w:szCs w:val="18"/>
        </w:rPr>
        <w:t>年度利润分配预案》、《</w:t>
      </w:r>
      <w:r>
        <w:rPr>
          <w:rFonts w:ascii="宋体" w:hAnsi="宋体" w:cs="宋体" w:eastAsia="宋体" w:hint="default"/>
          <w:sz w:val="18"/>
          <w:szCs w:val="18"/>
        </w:rPr>
        <w:t>2016</w:t>
      </w:r>
      <w:r>
        <w:rPr>
          <w:rFonts w:ascii="宋体" w:hAnsi="宋体" w:cs="宋体" w:eastAsia="宋体" w:hint="default"/>
          <w:spacing w:val="-59"/>
          <w:sz w:val="18"/>
          <w:szCs w:val="18"/>
        </w:rPr>
        <w:t> </w:t>
      </w:r>
      <w:r>
        <w:rPr>
          <w:rFonts w:ascii="宋体" w:hAnsi="宋体" w:cs="宋体" w:eastAsia="宋体" w:hint="default"/>
          <w:sz w:val="18"/>
          <w:szCs w:val="18"/>
        </w:rPr>
        <w:t>年度募集资金存放与使用情况的专 </w:t>
      </w:r>
      <w:r>
        <w:rPr>
          <w:rFonts w:ascii="宋体" w:hAnsi="宋体" w:cs="宋体" w:eastAsia="宋体" w:hint="default"/>
          <w:spacing w:val="-4"/>
          <w:sz w:val="18"/>
          <w:szCs w:val="18"/>
        </w:rPr>
        <w:t>项报告》、《</w:t>
      </w:r>
      <w:r>
        <w:rPr>
          <w:rFonts w:ascii="宋体" w:hAnsi="宋体" w:cs="宋体" w:eastAsia="宋体" w:hint="default"/>
          <w:spacing w:val="-4"/>
          <w:sz w:val="18"/>
          <w:szCs w:val="18"/>
        </w:rPr>
        <w:t>2016 </w:t>
      </w:r>
      <w:r>
        <w:rPr>
          <w:rFonts w:ascii="宋体" w:hAnsi="宋体" w:cs="宋体" w:eastAsia="宋体" w:hint="default"/>
          <w:spacing w:val="-3"/>
          <w:sz w:val="18"/>
          <w:szCs w:val="18"/>
        </w:rPr>
        <w:t>年度内部控制评价报告》、《关于续聘会计师事务所的议案》、《关于计提资产减值准备的议案》、《关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年度监事薪酬的议案》、《关于第二期限制性股票激励计划第二个解锁期条件及预留股份第一个解锁期条件满足的 议案》、《关于回购注销部分限制性股票的议案》；</w:t>
      </w:r>
    </w:p>
    <w:p>
      <w:pPr>
        <w:spacing w:before="94"/>
        <w:ind w:left="514" w:right="0"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日，公司召开了第六届监事会第六次会议，审议通过了《</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年第一季度报告正文及全文》；</w:t>
      </w:r>
    </w:p>
    <w:p>
      <w:pPr>
        <w:spacing w:line="240" w:lineRule="auto" w:before="9"/>
        <w:rPr>
          <w:rFonts w:ascii="宋体" w:hAnsi="宋体" w:cs="宋体" w:eastAsia="宋体" w:hint="default"/>
          <w:sz w:val="20"/>
          <w:szCs w:val="20"/>
        </w:rPr>
      </w:pPr>
    </w:p>
    <w:p>
      <w:pPr>
        <w:spacing w:line="477" w:lineRule="auto" w:before="0"/>
        <w:ind w:left="154" w:right="1217" w:firstLine="36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日，公司召开了第六届监事会第七次会议，审议通过了《</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年半年度报告全文》及摘要、《</w:t>
      </w:r>
      <w:r>
        <w:rPr>
          <w:rFonts w:ascii="宋体" w:hAnsi="宋体" w:cs="宋体" w:eastAsia="宋体" w:hint="default"/>
          <w:sz w:val="18"/>
          <w:szCs w:val="18"/>
        </w:rPr>
        <w:t>2017 </w:t>
      </w:r>
      <w:r>
        <w:rPr>
          <w:rFonts w:ascii="宋体" w:hAnsi="宋体" w:cs="宋体" w:eastAsia="宋体" w:hint="default"/>
          <w:sz w:val="18"/>
          <w:szCs w:val="18"/>
        </w:rPr>
        <w:t>年半年度募集资金存放与使用情况的专项报告》；</w:t>
      </w:r>
    </w:p>
    <w:p>
      <w:pPr>
        <w:spacing w:line="516" w:lineRule="auto" w:before="95"/>
        <w:ind w:left="513" w:right="1039" w:firstLine="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日，公司召开了第六届监事会第八次会议，审议通过了《</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年第三季度报告正文》及全文。 二、监事会对</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年度公司运作事项发表的核查意见 </w:t>
      </w:r>
      <w:r>
        <w:rPr>
          <w:rFonts w:ascii="宋体" w:hAnsi="宋体" w:cs="宋体" w:eastAsia="宋体" w:hint="default"/>
          <w:spacing w:val="-2"/>
          <w:sz w:val="18"/>
          <w:szCs w:val="18"/>
        </w:rPr>
        <w:t>1</w:t>
      </w:r>
      <w:r>
        <w:rPr>
          <w:rFonts w:ascii="宋体" w:hAnsi="宋体" w:cs="宋体" w:eastAsia="宋体" w:hint="default"/>
          <w:spacing w:val="-2"/>
          <w:sz w:val="18"/>
          <w:szCs w:val="18"/>
        </w:rPr>
        <w:t>、公司依法运作情况。监事会依照有关法律、法规的规定，认真履行职责，出席了公司股东大会，列席了部分董事会，</w:t>
      </w:r>
    </w:p>
    <w:p>
      <w:pPr>
        <w:spacing w:line="477" w:lineRule="auto" w:before="25"/>
        <w:ind w:left="153" w:right="1130" w:firstLine="0"/>
        <w:jc w:val="both"/>
        <w:rPr>
          <w:rFonts w:ascii="宋体" w:hAnsi="宋体" w:cs="宋体" w:eastAsia="宋体" w:hint="default"/>
          <w:sz w:val="18"/>
          <w:szCs w:val="18"/>
        </w:rPr>
      </w:pPr>
      <w:r>
        <w:rPr>
          <w:rFonts w:ascii="宋体" w:hAnsi="宋体" w:cs="宋体" w:eastAsia="宋体" w:hint="default"/>
          <w:sz w:val="18"/>
          <w:szCs w:val="18"/>
        </w:rPr>
        <w:t>对会议的召集、召开、决策程序以及</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年度董事会对股东大会决议的执行情况以及公司决策运作情况进行了监督。监事 </w:t>
      </w:r>
      <w:r>
        <w:rPr>
          <w:rFonts w:ascii="宋体" w:hAnsi="宋体" w:cs="宋体" w:eastAsia="宋体" w:hint="default"/>
          <w:spacing w:val="-2"/>
          <w:sz w:val="18"/>
          <w:szCs w:val="18"/>
        </w:rPr>
        <w:t>会认为，公司董事会、股东大会的召开、决策程序合法有效，董事会能够认真执行股东大会的各项决议，公司董事、高级管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理人员在履行公司职务时，均能够勤勉尽职，遵守国家法律法规和公司相关规定，不存在违反法律、法规、公司章程或损害</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公司利益的行为。</w:t>
      </w:r>
    </w:p>
    <w:p>
      <w:pPr>
        <w:spacing w:line="477" w:lineRule="auto" w:before="94"/>
        <w:ind w:left="154" w:right="1123" w:firstLine="360"/>
        <w:jc w:val="left"/>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、公司财务情况。</w:t>
      </w:r>
      <w:r>
        <w:rPr>
          <w:rFonts w:ascii="宋体" w:hAnsi="宋体" w:cs="宋体" w:eastAsia="宋体" w:hint="default"/>
          <w:spacing w:val="-2"/>
          <w:sz w:val="18"/>
          <w:szCs w:val="18"/>
        </w:rPr>
        <w:t>2017</w:t>
      </w:r>
      <w:r>
        <w:rPr>
          <w:rFonts w:ascii="宋体" w:hAnsi="宋体" w:cs="宋体" w:eastAsia="宋体" w:hint="default"/>
          <w:spacing w:val="-24"/>
          <w:sz w:val="18"/>
          <w:szCs w:val="18"/>
        </w:rPr>
        <w:t> </w:t>
      </w:r>
      <w:r>
        <w:rPr>
          <w:rFonts w:ascii="宋体" w:hAnsi="宋体" w:cs="宋体" w:eastAsia="宋体" w:hint="default"/>
          <w:spacing w:val="-1"/>
          <w:sz w:val="18"/>
          <w:szCs w:val="18"/>
        </w:rPr>
        <w:t>年度，监事会通过查阅公司财务报表、财务状况和内控制度等进行了监督检查。监事会认为公</w:t>
      </w:r>
      <w:r>
        <w:rPr>
          <w:rFonts w:ascii="宋体" w:hAnsi="宋体" w:cs="宋体" w:eastAsia="宋体" w:hint="default"/>
          <w:sz w:val="18"/>
          <w:szCs w:val="18"/>
        </w:rPr>
        <w:t> </w:t>
      </w:r>
      <w:r>
        <w:rPr>
          <w:rFonts w:ascii="宋体" w:hAnsi="宋体" w:cs="宋体" w:eastAsia="宋体" w:hint="default"/>
          <w:spacing w:val="-2"/>
          <w:sz w:val="18"/>
          <w:szCs w:val="18"/>
        </w:rPr>
        <w:t>司财务管理和内控制度健全，严格执行了企业会计准则，会计无重大遗漏和虚假记载，中勤万信会计师事务所（特殊普通合</w:t>
      </w:r>
    </w:p>
    <w:p>
      <w:pPr>
        <w:spacing w:after="0" w:line="47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line="516" w:lineRule="auto" w:before="0"/>
        <w:ind w:left="513" w:right="1115" w:hanging="360"/>
        <w:jc w:val="left"/>
        <w:rPr>
          <w:rFonts w:ascii="宋体" w:hAnsi="宋体" w:cs="宋体" w:eastAsia="宋体" w:hint="default"/>
          <w:sz w:val="18"/>
          <w:szCs w:val="18"/>
        </w:rPr>
      </w:pPr>
      <w:r>
        <w:rPr>
          <w:rFonts w:ascii="宋体" w:hAnsi="宋体" w:cs="宋体" w:eastAsia="宋体" w:hint="default"/>
          <w:sz w:val="18"/>
          <w:szCs w:val="18"/>
        </w:rPr>
        <w:t>伙）对公司</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年度财务报告出具了标准无保留意见的审计报告，真实、公正地反映了公司的财务状况和经营成果。 </w:t>
      </w:r>
      <w:r>
        <w:rPr>
          <w:rFonts w:ascii="宋体" w:hAnsi="宋体" w:cs="宋体" w:eastAsia="宋体" w:hint="default"/>
          <w:spacing w:val="-1"/>
          <w:sz w:val="18"/>
          <w:szCs w:val="18"/>
        </w:rPr>
        <w:t>3</w:t>
      </w:r>
      <w:r>
        <w:rPr>
          <w:rFonts w:ascii="宋体" w:hAnsi="宋体" w:cs="宋体" w:eastAsia="宋体" w:hint="default"/>
          <w:spacing w:val="-1"/>
          <w:sz w:val="18"/>
          <w:szCs w:val="18"/>
        </w:rPr>
        <w:t>、公司对外投资情况。</w:t>
      </w:r>
      <w:r>
        <w:rPr>
          <w:rFonts w:ascii="宋体" w:hAnsi="宋体" w:cs="宋体" w:eastAsia="宋体" w:hint="default"/>
          <w:spacing w:val="-1"/>
          <w:sz w:val="18"/>
          <w:szCs w:val="18"/>
        </w:rPr>
        <w:t>2017</w:t>
      </w:r>
      <w:r>
        <w:rPr>
          <w:rFonts w:ascii="宋体" w:hAnsi="宋体" w:cs="宋体" w:eastAsia="宋体" w:hint="default"/>
          <w:spacing w:val="-28"/>
          <w:sz w:val="18"/>
          <w:szCs w:val="18"/>
        </w:rPr>
        <w:t> </w:t>
      </w:r>
      <w:r>
        <w:rPr>
          <w:rFonts w:ascii="宋体" w:hAnsi="宋体" w:cs="宋体" w:eastAsia="宋体" w:hint="default"/>
          <w:spacing w:val="-1"/>
          <w:sz w:val="18"/>
          <w:szCs w:val="18"/>
        </w:rPr>
        <w:t>年度，公司实施了多笔对外投资，包括投资设立泰山保险股份有限公司（筹）、投资设立</w:t>
      </w:r>
    </w:p>
    <w:p>
      <w:pPr>
        <w:spacing w:line="477" w:lineRule="auto" w:before="25"/>
        <w:ind w:left="153" w:right="1131" w:firstLine="0"/>
        <w:jc w:val="both"/>
        <w:rPr>
          <w:rFonts w:ascii="宋体" w:hAnsi="宋体" w:cs="宋体" w:eastAsia="宋体" w:hint="default"/>
          <w:sz w:val="18"/>
          <w:szCs w:val="18"/>
        </w:rPr>
      </w:pPr>
      <w:r>
        <w:rPr>
          <w:rFonts w:ascii="宋体" w:hAnsi="宋体" w:cs="宋体" w:eastAsia="宋体" w:hint="default"/>
          <w:spacing w:val="-2"/>
          <w:sz w:val="18"/>
          <w:szCs w:val="18"/>
        </w:rPr>
        <w:t>雄安全资子公司、投资设立洪泽湖智慧医养公司、投资设立达实智慧医疗有限公司。经核查，上述对外投资均履行了必要的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审批程序，符合公司的发展战略需要</w:t>
      </w:r>
      <w:r>
        <w:rPr>
          <w:rFonts w:ascii="宋体" w:hAnsi="宋体" w:cs="宋体" w:eastAsia="宋体" w:hint="default"/>
          <w:sz w:val="18"/>
          <w:szCs w:val="18"/>
        </w:rPr>
        <w:t>,</w:t>
      </w:r>
      <w:r>
        <w:rPr>
          <w:rFonts w:ascii="宋体" w:hAnsi="宋体" w:cs="宋体" w:eastAsia="宋体" w:hint="default"/>
          <w:sz w:val="18"/>
          <w:szCs w:val="18"/>
        </w:rPr>
        <w:t>交易遵循了公开、公平、公正的原则，交易价格公允，未发现有侵害中小股东利益的 行为和情况，符合中国证监会和深圳证券交易所的有关规定。</w:t>
      </w:r>
    </w:p>
    <w:p>
      <w:pPr>
        <w:spacing w:line="477" w:lineRule="auto" w:before="94"/>
        <w:ind w:left="153" w:right="1131" w:firstLine="360"/>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、公司内控制度情况。公司的内部控制活动涵盖了管理控制、生产过程控制、财务管理控制、人事和信息披露等公司 </w:t>
      </w:r>
      <w:r>
        <w:rPr>
          <w:rFonts w:ascii="宋体" w:hAnsi="宋体" w:cs="宋体" w:eastAsia="宋体" w:hint="default"/>
          <w:spacing w:val="-2"/>
          <w:sz w:val="18"/>
          <w:szCs w:val="18"/>
        </w:rPr>
        <w:t>所有营运环节，公司各职能部门以及相关岗位具有明确的目标、职责、权限，公司的架构设置保证了公司董事会及管理层下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达的指令被有效执行、经营活动健康地运行及控制目标的实现。监事会认为公司内控制度体系的设计与运行符合我国有关法</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规和监管部门的要求，符合公司自身经营特点，在所有重大管理工作方面中制定了健全、合理的内部控制制度，并得到了有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效遵循。</w:t>
      </w:r>
    </w:p>
    <w:p>
      <w:pPr>
        <w:spacing w:line="477" w:lineRule="auto" w:before="92"/>
        <w:ind w:left="154" w:right="1133" w:firstLine="360"/>
        <w:jc w:val="both"/>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、公司建立和实施内幕信息知情人管理制度情况。公司已建立《内幕信息知情人登记制度》，所有重大事项均能按照 </w:t>
      </w:r>
      <w:r>
        <w:rPr>
          <w:rFonts w:ascii="宋体" w:hAnsi="宋体" w:cs="宋体" w:eastAsia="宋体" w:hint="default"/>
          <w:spacing w:val="-2"/>
          <w:sz w:val="18"/>
          <w:szCs w:val="18"/>
        </w:rPr>
        <w:t>制度要求履行登记、备案程序。公司重大资产重组对所有知情人、事项进程均严格进行了登记、确认，并上报至中国证监会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及深圳证券交易所通过了审核。</w:t>
      </w:r>
    </w:p>
    <w:p>
      <w:pPr>
        <w:spacing w:line="240" w:lineRule="auto" w:before="4"/>
        <w:rPr>
          <w:rFonts w:ascii="宋体" w:hAnsi="宋体" w:cs="宋体" w:eastAsia="宋体" w:hint="default"/>
          <w:sz w:val="17"/>
          <w:szCs w:val="17"/>
        </w:rPr>
      </w:pPr>
    </w:p>
    <w:p>
      <w:pPr>
        <w:pStyle w:val="Heading2"/>
        <w:spacing w:line="240" w:lineRule="auto"/>
        <w:ind w:left="154" w:right="0"/>
        <w:jc w:val="both"/>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32"/>
          <w:szCs w:val="32"/>
        </w:rPr>
      </w:pPr>
    </w:p>
    <w:p>
      <w:pPr>
        <w:spacing w:line="477" w:lineRule="auto" w:before="0"/>
        <w:ind w:left="153" w:right="1132" w:firstLine="360"/>
        <w:jc w:val="both"/>
        <w:rPr>
          <w:rFonts w:ascii="宋体" w:hAnsi="宋体" w:cs="宋体" w:eastAsia="宋体" w:hint="default"/>
          <w:sz w:val="18"/>
          <w:szCs w:val="18"/>
        </w:rPr>
      </w:pPr>
      <w:r>
        <w:rPr>
          <w:rFonts w:ascii="宋体" w:hAnsi="宋体" w:cs="宋体" w:eastAsia="宋体" w:hint="default"/>
          <w:spacing w:val="-2"/>
          <w:sz w:val="18"/>
          <w:szCs w:val="18"/>
        </w:rPr>
        <w:t>根据《上市公司治理准则》的要求，公司建立了《董事、监事及高级管理人员薪酬管理制度》及考核激励体系，高级管</w:t>
      </w:r>
      <w:r>
        <w:rPr>
          <w:rFonts w:ascii="宋体" w:hAnsi="宋体" w:cs="宋体" w:eastAsia="宋体" w:hint="default"/>
          <w:sz w:val="18"/>
          <w:szCs w:val="18"/>
        </w:rPr>
        <w:t> </w:t>
      </w:r>
      <w:r>
        <w:rPr>
          <w:rFonts w:ascii="宋体" w:hAnsi="宋体" w:cs="宋体" w:eastAsia="宋体" w:hint="default"/>
          <w:spacing w:val="-2"/>
          <w:sz w:val="18"/>
          <w:szCs w:val="18"/>
        </w:rPr>
        <w:t>理人员全部由董事会聘任，直接对董事会负责，承担董事会下达的经营指标。董事会下设的薪酬与考核委员会负责对高级管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理人员的工作能力、履职情况、责任目标完成情况等进行年终考评，制定薪酬方案并报董事会审批。</w:t>
      </w:r>
    </w:p>
    <w:p>
      <w:pPr>
        <w:spacing w:line="240" w:lineRule="auto" w:before="7"/>
        <w:rPr>
          <w:rFonts w:ascii="宋体" w:hAnsi="宋体" w:cs="宋体" w:eastAsia="宋体" w:hint="default"/>
          <w:sz w:val="17"/>
          <w:szCs w:val="17"/>
        </w:rPr>
      </w:pPr>
    </w:p>
    <w:p>
      <w:pPr>
        <w:pStyle w:val="Heading2"/>
        <w:spacing w:line="240" w:lineRule="auto"/>
        <w:ind w:right="0"/>
        <w:jc w:val="both"/>
        <w:rPr>
          <w:b w:val="0"/>
          <w:bCs w:val="0"/>
        </w:rPr>
      </w:pPr>
      <w:bookmarkStart w:name="九、内部控制评价报告" w:id="149"/>
      <w:bookmarkEnd w:id="149"/>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报告期内发现的内部控制重大缺陷的具体情况" w:id="150"/>
      <w:bookmarkEnd w:id="15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left="153" w:right="0"/>
        <w:jc w:val="both"/>
        <w:rPr>
          <w:b w:val="0"/>
          <w:bCs w:val="0"/>
        </w:rPr>
      </w:pPr>
      <w:bookmarkStart w:name="2、内控自我评价报告" w:id="151"/>
      <w:bookmarkEnd w:id="15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1"/>
        <w:gridCol w:w="6386"/>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年度内部控制评价报告</w:t>
            </w:r>
            <w:r>
              <w:rPr>
                <w:rFonts w:ascii="宋体" w:hAnsi="宋体" w:cs="宋体" w:eastAsia="宋体" w:hint="default"/>
                <w:spacing w:val="-90"/>
                <w:sz w:val="18"/>
                <w:szCs w:val="18"/>
              </w:rPr>
              <w:t>》</w:t>
            </w:r>
            <w:r>
              <w:rPr>
                <w:rFonts w:ascii="宋体" w:hAnsi="宋体" w:cs="宋体" w:eastAsia="宋体" w:hint="default"/>
                <w:sz w:val="18"/>
                <w:szCs w:val="18"/>
              </w:rPr>
              <w:t>，刊登于巨潮资讯网（</w:t>
            </w:r>
            <w:r>
              <w:rPr>
                <w:rFonts w:ascii="Times New Roman" w:hAnsi="Times New Roman" w:cs="Times New Roman" w:eastAsia="Times New Roman" w:hint="default"/>
                <w:w w:val="99"/>
                <w:sz w:val="18"/>
                <w:szCs w:val="18"/>
              </w:rPr>
              <w:t>ww</w:t>
            </w:r>
            <w:r>
              <w:rPr>
                <w:rFonts w:ascii="Times New Roman" w:hAnsi="Times New Roman" w:cs="Times New Roman" w:eastAsia="Times New Roman" w:hint="default"/>
                <w:spacing w:val="-12"/>
                <w:w w:val="99"/>
                <w:sz w:val="18"/>
                <w:szCs w:val="18"/>
              </w:rPr>
              <w:t>w</w:t>
            </w:r>
            <w:r>
              <w:rPr>
                <w:rFonts w:ascii="Times New Roman" w:hAnsi="Times New Roman" w:cs="Times New Roman" w:eastAsia="Times New Roman" w:hint="default"/>
                <w:sz w:val="18"/>
                <w:szCs w:val="18"/>
              </w:rPr>
              <w:t>.cninfo</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com.c</w:t>
            </w:r>
            <w:r>
              <w:rPr>
                <w:rFonts w:ascii="Times New Roman" w:hAnsi="Times New Roman" w:cs="Times New Roman" w:eastAsia="Times New Roman" w:hint="default"/>
                <w:spacing w:val="-2"/>
                <w:sz w:val="18"/>
                <w:szCs w:val="18"/>
              </w:rPr>
              <w:t>n</w:t>
            </w:r>
            <w:r>
              <w:rPr>
                <w:rFonts w:ascii="Times New Roman" w:hAnsi="Times New Roman" w:cs="Times New Roman" w:eastAsia="Times New Roman" w:hint="default"/>
                <w:sz w:val="18"/>
                <w:szCs w:val="18"/>
              </w:rPr>
              <w:t>)</w:t>
            </w: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8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r>
        <w:rPr/>
        <w:pict>
          <v:group style="position:absolute;margin-left:383.980011pt;margin-top:242.839981pt;width:149.8pt;height:31.2pt;mso-position-horizontal-relative:page;mso-position-vertical-relative:page;z-index:-1030288" coordorigin="7680,4857" coordsize="2996,624">
            <v:group style="position:absolute;left:7680;top:4857;width:2996;height:312" coordorigin="7680,4857" coordsize="2996,312">
              <v:shape style="position:absolute;left:7680;top:4857;width:2996;height:312" coordorigin="7680,4857" coordsize="2996,312" path="m7680,5169l10675,5169,10675,4857,7680,4857,7680,5169xe" filled="true" fillcolor="#ffffff" stroked="false">
                <v:path arrowok="t"/>
                <v:fill type="solid"/>
              </v:shape>
            </v:group>
            <v:group style="position:absolute;left:7680;top:5169;width:2996;height:312" coordorigin="7680,5169" coordsize="2996,312">
              <v:shape style="position:absolute;left:7680;top:5169;width:2996;height:312" coordorigin="7680,5169" coordsize="2996,312" path="m7680,5481l10675,5481,10675,5169,7680,5169,7680,5481xe" filled="true" fillcolor="#ffffff" stroked="false">
                <v:path arrowok="t"/>
                <v:fill type="solid"/>
              </v:shape>
            </v:group>
            <w10:wrap type="none"/>
          </v:group>
        </w:pict>
      </w:r>
      <w:r>
        <w:rPr/>
        <w:pict>
          <v:group style="position:absolute;margin-left:383.980011pt;margin-top:450.159973pt;width:149.8pt;height:31.2pt;mso-position-horizontal-relative:page;mso-position-vertical-relative:page;z-index:-1030264" coordorigin="7680,9003" coordsize="2996,624">
            <v:group style="position:absolute;left:7680;top:9003;width:2996;height:312" coordorigin="7680,9003" coordsize="2996,312">
              <v:shape style="position:absolute;left:7680;top:9003;width:2996;height:312" coordorigin="7680,9003" coordsize="2996,312" path="m7680,9315l10675,9315,10675,9003,7680,9003,7680,9315xe" filled="true" fillcolor="#ffffff" stroked="false">
                <v:path arrowok="t"/>
                <v:fill type="solid"/>
              </v:shape>
            </v:group>
            <v:group style="position:absolute;left:7680;top:9315;width:2996;height:312" coordorigin="7680,9315" coordsize="2996,312">
              <v:shape style="position:absolute;left:7680;top:9315;width:2996;height:312" coordorigin="7680,9315" coordsize="2996,312" path="m7680,9627l10675,9627,10675,9315,7680,9315,7680,9627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95"/>
        <w:gridCol w:w="3323"/>
        <w:gridCol w:w="3051"/>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657"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vMerge w:val="restart"/>
            <w:tcBorders>
              <w:top w:val="single" w:sz="4" w:space="0" w:color="000000"/>
              <w:left w:val="single" w:sz="9" w:space="0" w:color="D2D2D2"/>
              <w:right w:val="single" w:sz="9" w:space="0" w:color="FFFFFF"/>
            </w:tcBorders>
          </w:tcPr>
          <w:p>
            <w:pPr>
              <w:pStyle w:val="TableParagraph"/>
              <w:spacing w:line="314" w:lineRule="auto" w:before="51"/>
              <w:ind w:left="16" w:right="15"/>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、财务报告重大缺陷的迹象包括： ①控 制环境无效。②公司董事、监事和高级管 理人员舞弊并给企业造成重大损失和不利 影响。③注册会计师发现当期财务报告存 在重大错报，而内部控制在运行过程中未 能发现该错报。④企业审计委员会和内部 审计机构对内部控制的监督无效。⑤已经 发现并报告给管理层的重大缺陷在合理的 </w:t>
            </w:r>
            <w:r>
              <w:rPr>
                <w:rFonts w:ascii="宋体" w:hAnsi="宋体" w:cs="宋体" w:eastAsia="宋体" w:hint="default"/>
                <w:spacing w:val="-4"/>
                <w:sz w:val="18"/>
                <w:szCs w:val="18"/>
              </w:rPr>
              <w:t>时间后未加以改正。</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、重要缺陷的迹象包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括：</w:t>
            </w:r>
            <w:r>
              <w:rPr>
                <w:rFonts w:ascii="宋体" w:hAnsi="宋体" w:cs="宋体" w:eastAsia="宋体" w:hint="default"/>
                <w:spacing w:val="-64"/>
                <w:sz w:val="18"/>
                <w:szCs w:val="18"/>
              </w:rPr>
              <w:t> </w:t>
            </w:r>
            <w:r>
              <w:rPr>
                <w:rFonts w:ascii="宋体" w:hAnsi="宋体" w:cs="宋体" w:eastAsia="宋体" w:hint="default"/>
                <w:sz w:val="18"/>
                <w:szCs w:val="18"/>
              </w:rPr>
              <w:t>①未依照公认会计准则选择和应用会</w:t>
            </w:r>
            <w:r>
              <w:rPr>
                <w:rFonts w:ascii="宋体" w:hAnsi="宋体" w:cs="宋体" w:eastAsia="宋体" w:hint="default"/>
                <w:sz w:val="18"/>
                <w:szCs w:val="18"/>
              </w:rPr>
              <w:t> </w:t>
            </w:r>
            <w:r>
              <w:rPr>
                <w:rFonts w:ascii="宋体" w:hAnsi="宋体" w:cs="宋体" w:eastAsia="宋体" w:hint="default"/>
                <w:spacing w:val="-4"/>
                <w:sz w:val="18"/>
                <w:szCs w:val="18"/>
              </w:rPr>
              <w:t>计政策。②未建立反舞弊程序和控制措施</w:t>
            </w:r>
          </w:p>
          <w:p>
            <w:pPr>
              <w:pStyle w:val="TableParagraph"/>
              <w:spacing w:line="314" w:lineRule="auto" w:before="20"/>
              <w:ind w:left="16" w:right="15"/>
              <w:jc w:val="both"/>
              <w:rPr>
                <w:rFonts w:ascii="宋体" w:hAnsi="宋体" w:cs="宋体" w:eastAsia="宋体" w:hint="default"/>
                <w:sz w:val="18"/>
                <w:szCs w:val="18"/>
              </w:rPr>
            </w:pPr>
            <w:r>
              <w:rPr>
                <w:rFonts w:ascii="宋体" w:hAnsi="宋体" w:cs="宋体" w:eastAsia="宋体" w:hint="default"/>
                <w:sz w:val="18"/>
                <w:szCs w:val="18"/>
              </w:rPr>
              <w:t>③对于非常规或特殊交易的账务处理没有 建立相应的控制机制或没有实施且没有相 应的补偿性控制；</w:t>
            </w:r>
            <w:r>
              <w:rPr>
                <w:rFonts w:ascii="宋体" w:hAnsi="宋体" w:cs="宋体" w:eastAsia="宋体" w:hint="default"/>
                <w:spacing w:val="-64"/>
                <w:sz w:val="18"/>
                <w:szCs w:val="18"/>
              </w:rPr>
              <w:t> </w:t>
            </w:r>
            <w:r>
              <w:rPr>
                <w:rFonts w:ascii="宋体" w:hAnsi="宋体" w:cs="宋体" w:eastAsia="宋体" w:hint="default"/>
                <w:sz w:val="18"/>
                <w:szCs w:val="18"/>
              </w:rPr>
              <w:t>④对于期末财务报告过</w:t>
            </w:r>
            <w:r>
              <w:rPr>
                <w:rFonts w:ascii="宋体" w:hAnsi="宋体" w:cs="宋体" w:eastAsia="宋体" w:hint="default"/>
                <w:sz w:val="18"/>
                <w:szCs w:val="18"/>
              </w:rPr>
              <w:t> 程的控制存在一项或多项缺陷且不能合理 保证编制的财务报表达到真实、完整的目 标。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、一般缺陷是指未构成重大缺陷、 重要缺陷标准的其他内部控制缺陷。</w:t>
            </w:r>
          </w:p>
        </w:tc>
        <w:tc>
          <w:tcPr>
            <w:tcW w:w="3051"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4" w:lineRule="auto"/>
              <w:ind w:left="16"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、重大缺陷的迹象包括：</w:t>
            </w:r>
            <w:r>
              <w:rPr>
                <w:rFonts w:ascii="宋体" w:hAnsi="宋体" w:cs="宋体" w:eastAsia="宋体" w:hint="default"/>
                <w:spacing w:val="-30"/>
                <w:sz w:val="18"/>
                <w:szCs w:val="18"/>
              </w:rPr>
              <w:t> </w:t>
            </w:r>
            <w:r>
              <w:rPr>
                <w:rFonts w:ascii="宋体" w:hAnsi="宋体" w:cs="宋体" w:eastAsia="宋体" w:hint="default"/>
                <w:sz w:val="18"/>
                <w:szCs w:val="18"/>
              </w:rPr>
              <w:t>①违反国家</w:t>
            </w:r>
            <w:r>
              <w:rPr>
                <w:rFonts w:ascii="宋体" w:hAnsi="宋体" w:cs="宋体" w:eastAsia="宋体" w:hint="default"/>
                <w:sz w:val="18"/>
                <w:szCs w:val="18"/>
              </w:rPr>
              <w:t> </w:t>
            </w:r>
            <w:r>
              <w:rPr>
                <w:rFonts w:ascii="宋体" w:hAnsi="宋体" w:cs="宋体" w:eastAsia="宋体" w:hint="default"/>
                <w:spacing w:val="-4"/>
                <w:sz w:val="18"/>
                <w:szCs w:val="18"/>
              </w:rPr>
              <w:t>法律、法规或规范性文件；②决策程序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不科学导致重大决策失误；③重要业务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制度性缺失或系统性失效；④重大或重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要缺陷不能得到有效整改；⑤安全、环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保事故对公司造成重大负面影响的情 形； ⑥其他对公司产生重大负面影响 </w:t>
            </w:r>
            <w:r>
              <w:rPr>
                <w:rFonts w:ascii="宋体" w:hAnsi="宋体" w:cs="宋体" w:eastAsia="宋体" w:hint="default"/>
                <w:spacing w:val="-3"/>
                <w:sz w:val="18"/>
                <w:szCs w:val="18"/>
              </w:rPr>
              <w:t>的情形。</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、重要缺陷的迹象包括：</w:t>
            </w:r>
            <w:r>
              <w:rPr>
                <w:rFonts w:ascii="宋体" w:hAnsi="宋体" w:cs="宋体" w:eastAsia="宋体" w:hint="default"/>
                <w:spacing w:val="-18"/>
                <w:sz w:val="18"/>
                <w:szCs w:val="18"/>
              </w:rPr>
              <w:t> </w:t>
            </w:r>
            <w:r>
              <w:rPr>
                <w:rFonts w:ascii="宋体" w:hAnsi="宋体" w:cs="宋体" w:eastAsia="宋体" w:hint="default"/>
                <w:sz w:val="18"/>
                <w:szCs w:val="18"/>
              </w:rPr>
              <w:t>①</w:t>
            </w:r>
          </w:p>
          <w:p>
            <w:pPr>
              <w:pStyle w:val="TableParagraph"/>
              <w:spacing w:line="196" w:lineRule="exact" w:before="1"/>
              <w:ind w:left="16" w:right="0"/>
              <w:jc w:val="left"/>
              <w:rPr>
                <w:rFonts w:ascii="宋体" w:hAnsi="宋体" w:cs="宋体" w:eastAsia="宋体" w:hint="default"/>
                <w:sz w:val="18"/>
                <w:szCs w:val="18"/>
              </w:rPr>
            </w:pPr>
            <w:r>
              <w:rPr>
                <w:rFonts w:ascii="宋体" w:hAnsi="宋体" w:cs="宋体" w:eastAsia="宋体" w:hint="default"/>
                <w:sz w:val="18"/>
                <w:szCs w:val="18"/>
              </w:rPr>
              <w:t>重要业务制度或系统存在缺陷； ②内</w:t>
            </w:r>
          </w:p>
          <w:p>
            <w:pPr>
              <w:pStyle w:val="TableParagraph"/>
              <w:spacing w:line="156"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部控制内部监督发现的重要缺陷未及</w:t>
            </w:r>
          </w:p>
          <w:p>
            <w:pPr>
              <w:pStyle w:val="TableParagraph"/>
              <w:spacing w:line="314" w:lineRule="auto" w:before="76"/>
              <w:ind w:left="16" w:right="20"/>
              <w:jc w:val="left"/>
              <w:rPr>
                <w:rFonts w:ascii="宋体" w:hAnsi="宋体" w:cs="宋体" w:eastAsia="宋体" w:hint="default"/>
                <w:sz w:val="18"/>
                <w:szCs w:val="18"/>
              </w:rPr>
            </w:pPr>
            <w:r>
              <w:rPr>
                <w:rFonts w:ascii="宋体" w:hAnsi="宋体" w:cs="宋体" w:eastAsia="宋体" w:hint="default"/>
                <w:sz w:val="18"/>
                <w:szCs w:val="18"/>
              </w:rPr>
              <w:t>时整改； ③其他对公司产生较大负面 </w:t>
            </w:r>
            <w:r>
              <w:rPr>
                <w:rFonts w:ascii="宋体" w:hAnsi="宋体" w:cs="宋体" w:eastAsia="宋体" w:hint="default"/>
                <w:spacing w:val="-9"/>
                <w:sz w:val="18"/>
                <w:szCs w:val="18"/>
              </w:rPr>
              <w:t>影响的情形。</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、一般缺陷迹象包括：①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一般业务制度或系统存在缺陷； ②内 部控制内部监督发现的一般缺陷未及 时整改。</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vMerge/>
            <w:tcBorders>
              <w:left w:val="single" w:sz="9" w:space="0" w:color="D2D2D2"/>
              <w:right w:val="single" w:sz="9" w:space="0" w:color="FFFFFF"/>
            </w:tcBorders>
          </w:tcPr>
          <w:p>
            <w:pPr/>
          </w:p>
        </w:tc>
        <w:tc>
          <w:tcPr>
            <w:tcW w:w="3051" w:type="dxa"/>
            <w:vMerge/>
            <w:tcBorders>
              <w:left w:val="single" w:sz="9" w:space="0" w:color="FFFFFF"/>
              <w:right w:val="single" w:sz="4" w:space="0" w:color="000000"/>
            </w:tcBorders>
          </w:tcPr>
          <w:p>
            <w:pPr/>
          </w:p>
        </w:tc>
      </w:tr>
      <w:tr>
        <w:trPr>
          <w:trHeight w:val="2657"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single" w:sz="4" w:space="0" w:color="000000"/>
            </w:tcBorders>
          </w:tcPr>
          <w:p>
            <w:pPr/>
          </w:p>
        </w:tc>
      </w:tr>
      <w:tr>
        <w:trPr>
          <w:trHeight w:val="1253"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vMerge w:val="restart"/>
            <w:tcBorders>
              <w:top w:val="single" w:sz="4" w:space="0" w:color="000000"/>
              <w:left w:val="single" w:sz="9" w:space="0" w:color="D2D2D2"/>
              <w:right w:val="single" w:sz="9" w:space="0" w:color="FFFFFF"/>
            </w:tcBorders>
          </w:tcPr>
          <w:p>
            <w:pPr>
              <w:pStyle w:val="TableParagraph"/>
              <w:spacing w:line="300" w:lineRule="auto" w:before="51"/>
              <w:ind w:left="16" w:right="13"/>
              <w:jc w:val="left"/>
              <w:rPr>
                <w:rFonts w:ascii="Times New Roman" w:hAnsi="Times New Roman" w:cs="Times New Roman" w:eastAsia="Times New Roman" w:hint="default"/>
                <w:sz w:val="18"/>
                <w:szCs w:val="18"/>
              </w:rPr>
            </w:pPr>
            <w:r>
              <w:rPr>
                <w:rFonts w:ascii="宋体" w:hAnsi="宋体" w:cs="宋体" w:eastAsia="宋体" w:hint="default"/>
                <w:sz w:val="18"/>
                <w:szCs w:val="18"/>
              </w:rPr>
              <w:t>重大缺陷：错报金额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或错 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或错报金额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净利润的</w:t>
            </w:r>
            <w:r>
              <w:rPr>
                <w:rFonts w:ascii="宋体" w:hAnsi="宋体" w:cs="宋体" w:eastAsia="宋体" w:hint="default"/>
                <w:spacing w:val="-50"/>
                <w:sz w:val="18"/>
                <w:szCs w:val="18"/>
              </w:rPr>
              <w:t>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；重要缺陷：资产总额的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错报金额＜资产总额的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或营业收入总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错报金额＜营业收入总额的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300" w:lineRule="auto" w:before="13"/>
              <w:ind w:left="16" w:right="15"/>
              <w:jc w:val="left"/>
              <w:rPr>
                <w:rFonts w:ascii="宋体" w:hAnsi="宋体" w:cs="宋体" w:eastAsia="宋体" w:hint="default"/>
                <w:sz w:val="18"/>
                <w:szCs w:val="18"/>
              </w:rPr>
            </w:pPr>
            <w:r>
              <w:rPr>
                <w:rFonts w:ascii="宋体" w:hAnsi="宋体" w:cs="宋体" w:eastAsia="宋体" w:hint="default"/>
                <w:sz w:val="18"/>
                <w:szCs w:val="18"/>
              </w:rPr>
              <w:t>或净利润的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错报金额＜净利润的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 </w:t>
            </w:r>
            <w:r>
              <w:rPr>
                <w:rFonts w:ascii="宋体" w:hAnsi="宋体" w:cs="宋体" w:eastAsia="宋体" w:hint="default"/>
                <w:spacing w:val="-6"/>
                <w:sz w:val="18"/>
                <w:szCs w:val="18"/>
              </w:rPr>
              <w:t>一般缺陷：错报金额＜资产总额的</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或错</w:t>
            </w:r>
            <w:r>
              <w:rPr>
                <w:rFonts w:ascii="宋体" w:hAnsi="宋体" w:cs="宋体" w:eastAsia="宋体" w:hint="default"/>
                <w:spacing w:val="-86"/>
                <w:sz w:val="18"/>
                <w:szCs w:val="18"/>
              </w:rPr>
              <w:t> </w:t>
            </w:r>
            <w:r>
              <w:rPr>
                <w:rFonts w:ascii="宋体" w:hAnsi="宋体" w:cs="宋体" w:eastAsia="宋体" w:hint="default"/>
                <w:sz w:val="18"/>
                <w:szCs w:val="18"/>
              </w:rPr>
              <w:t>报金额＜营业收入总额的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或错报金额</w:t>
            </w:r>
          </w:p>
          <w:p>
            <w:pPr>
              <w:pStyle w:val="TableParagraph"/>
              <w:spacing w:line="240" w:lineRule="auto" w:before="14"/>
              <w:ind w:left="16" w:right="0"/>
              <w:jc w:val="left"/>
              <w:rPr>
                <w:rFonts w:ascii="宋体" w:hAnsi="宋体" w:cs="宋体" w:eastAsia="宋体" w:hint="default"/>
                <w:sz w:val="18"/>
                <w:szCs w:val="18"/>
              </w:rPr>
            </w:pPr>
            <w:r>
              <w:rPr>
                <w:rFonts w:ascii="宋体" w:hAnsi="宋体" w:cs="宋体" w:eastAsia="宋体" w:hint="default"/>
                <w:sz w:val="18"/>
                <w:szCs w:val="18"/>
              </w:rPr>
              <w:t>＜净利润的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051" w:type="dxa"/>
            <w:vMerge w:val="restart"/>
            <w:tcBorders>
              <w:top w:val="single" w:sz="4" w:space="0" w:color="000000"/>
              <w:left w:val="single" w:sz="9" w:space="0" w:color="FFFFFF"/>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7" w:lineRule="auto"/>
              <w:ind w:left="16" w:right="-42"/>
              <w:jc w:val="left"/>
              <w:rPr>
                <w:rFonts w:ascii="宋体" w:hAnsi="宋体" w:cs="宋体" w:eastAsia="宋体" w:hint="default"/>
                <w:sz w:val="18"/>
                <w:szCs w:val="18"/>
              </w:rPr>
            </w:pPr>
            <w:r>
              <w:rPr>
                <w:rFonts w:ascii="宋体" w:hAnsi="宋体" w:cs="宋体" w:eastAsia="宋体" w:hint="default"/>
                <w:sz w:val="18"/>
                <w:szCs w:val="18"/>
              </w:rPr>
              <w:t>重大缺陷：损失</w:t>
            </w:r>
            <w:r>
              <w:rPr>
                <w:rFonts w:ascii="Times New Roman" w:hAnsi="Times New Roman" w:cs="Times New Roman" w:eastAsia="Times New Roman" w:hint="default"/>
                <w:sz w:val="18"/>
                <w:szCs w:val="18"/>
              </w:rPr>
              <w:t>&gt;1000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万元，对公司造</w:t>
            </w:r>
            <w:r>
              <w:rPr>
                <w:rFonts w:ascii="宋体" w:hAnsi="宋体" w:cs="宋体" w:eastAsia="宋体" w:hint="default"/>
                <w:sz w:val="18"/>
                <w:szCs w:val="18"/>
              </w:rPr>
              <w:t> 成较大负面影响并以公告形式对外披 露； </w:t>
            </w:r>
            <w:r>
              <w:rPr>
                <w:rFonts w:ascii="宋体" w:hAnsi="宋体" w:cs="宋体" w:eastAsia="宋体" w:hint="default"/>
                <w:spacing w:val="-5"/>
                <w:sz w:val="18"/>
                <w:szCs w:val="18"/>
              </w:rPr>
              <w:t>重要缺陷：</w:t>
            </w:r>
            <w:r>
              <w:rPr>
                <w:rFonts w:ascii="Times New Roman" w:hAnsi="Times New Roman" w:cs="Times New Roman" w:eastAsia="Times New Roman" w:hint="default"/>
                <w:spacing w:val="-5"/>
                <w:sz w:val="18"/>
                <w:szCs w:val="18"/>
              </w:rPr>
              <w:t>100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万元＜损失</w:t>
            </w:r>
            <w:r>
              <w:rPr>
                <w:rFonts w:ascii="Times New Roman" w:hAnsi="Times New Roman" w:cs="Times New Roman" w:eastAsia="Times New Roman" w:hint="default"/>
                <w:sz w:val="18"/>
                <w:szCs w:val="18"/>
              </w:rPr>
              <w:t>≤1000 </w:t>
            </w:r>
            <w:r>
              <w:rPr>
                <w:rFonts w:ascii="宋体" w:hAnsi="宋体" w:cs="宋体" w:eastAsia="宋体" w:hint="default"/>
                <w:spacing w:val="-4"/>
                <w:sz w:val="18"/>
                <w:szCs w:val="18"/>
              </w:rPr>
              <w:t>万元，受到省级以上政府部门处罚但未</w:t>
            </w:r>
          </w:p>
          <w:p>
            <w:pPr>
              <w:pStyle w:val="TableParagraph"/>
              <w:spacing w:line="196" w:lineRule="exact" w:before="26"/>
              <w:ind w:left="16" w:right="-42"/>
              <w:jc w:val="left"/>
              <w:rPr>
                <w:rFonts w:ascii="宋体" w:hAnsi="宋体" w:cs="宋体" w:eastAsia="宋体" w:hint="default"/>
                <w:sz w:val="18"/>
                <w:szCs w:val="18"/>
              </w:rPr>
            </w:pPr>
            <w:r>
              <w:rPr>
                <w:rFonts w:ascii="宋体" w:hAnsi="宋体" w:cs="宋体" w:eastAsia="宋体" w:hint="default"/>
                <w:sz w:val="18"/>
                <w:szCs w:val="18"/>
              </w:rPr>
              <w:t>对本公司定期报告披露造成负面影响；</w:t>
            </w:r>
          </w:p>
          <w:p>
            <w:pPr>
              <w:pStyle w:val="TableParagraph"/>
              <w:spacing w:line="156" w:lineRule="exact"/>
              <w:ind w:left="-12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6" w:right="0"/>
              <w:jc w:val="left"/>
              <w:rPr>
                <w:rFonts w:ascii="宋体" w:hAnsi="宋体" w:cs="宋体" w:eastAsia="宋体" w:hint="default"/>
                <w:sz w:val="18"/>
                <w:szCs w:val="18"/>
              </w:rPr>
            </w:pPr>
            <w:r>
              <w:rPr>
                <w:rFonts w:ascii="宋体" w:hAnsi="宋体" w:cs="宋体" w:eastAsia="宋体" w:hint="default"/>
                <w:sz w:val="18"/>
                <w:szCs w:val="18"/>
              </w:rPr>
              <w:t>一般缺陷：损失</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万元，受到省级</w:t>
            </w:r>
          </w:p>
          <w:p>
            <w:pPr>
              <w:pStyle w:val="TableParagraph"/>
              <w:spacing w:line="319" w:lineRule="auto" w:before="63"/>
              <w:ind w:left="16" w:right="21"/>
              <w:jc w:val="left"/>
              <w:rPr>
                <w:rFonts w:ascii="宋体" w:hAnsi="宋体" w:cs="宋体" w:eastAsia="宋体" w:hint="default"/>
                <w:sz w:val="18"/>
                <w:szCs w:val="18"/>
              </w:rPr>
            </w:pPr>
            <w:r>
              <w:rPr>
                <w:rFonts w:ascii="宋体" w:hAnsi="宋体" w:cs="宋体" w:eastAsia="宋体" w:hint="default"/>
                <w:spacing w:val="-4"/>
                <w:sz w:val="18"/>
                <w:szCs w:val="18"/>
              </w:rPr>
              <w:t>（含省级）以下政府部门处罚，但未对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本公司定期报告披露造成负面影响。</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vMerge/>
            <w:tcBorders>
              <w:left w:val="single" w:sz="9" w:space="0" w:color="D2D2D2"/>
              <w:right w:val="single" w:sz="9" w:space="0" w:color="FFFFFF"/>
            </w:tcBorders>
          </w:tcPr>
          <w:p>
            <w:pPr/>
          </w:p>
        </w:tc>
        <w:tc>
          <w:tcPr>
            <w:tcW w:w="3051" w:type="dxa"/>
            <w:vMerge/>
            <w:tcBorders>
              <w:left w:val="single" w:sz="9" w:space="0" w:color="FFFFFF"/>
              <w:right w:val="single" w:sz="4" w:space="0" w:color="000000"/>
            </w:tcBorders>
          </w:tcPr>
          <w:p>
            <w:pPr/>
          </w:p>
        </w:tc>
      </w:tr>
      <w:tr>
        <w:trPr>
          <w:trHeight w:val="1253"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十、内部控制审计报告或鉴证报告" w:id="152"/>
      <w:bookmarkEnd w:id="152"/>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我们认为，贵公司董事会按照财政部颁发的《企业内部控制基本规范》及相关具体规范的控制标准于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在所有重大方面保持了与财务报表相关的有效的内部控制。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年度内部控制鉴证报告</w:t>
            </w:r>
            <w:r>
              <w:rPr>
                <w:rFonts w:ascii="宋体" w:hAnsi="宋体" w:cs="宋体" w:eastAsia="宋体" w:hint="default"/>
                <w:spacing w:val="-90"/>
                <w:sz w:val="18"/>
                <w:szCs w:val="18"/>
              </w:rPr>
              <w:t>》</w:t>
            </w:r>
            <w:r>
              <w:rPr>
                <w:rFonts w:ascii="宋体" w:hAnsi="宋体" w:cs="宋体" w:eastAsia="宋体" w:hint="default"/>
                <w:sz w:val="18"/>
                <w:szCs w:val="18"/>
              </w:rPr>
              <w:t>，刊登于巨潮资讯网（</w:t>
            </w:r>
            <w:r>
              <w:rPr>
                <w:rFonts w:ascii="Times New Roman" w:hAnsi="Times New Roman" w:cs="Times New Roman" w:eastAsia="Times New Roman" w:hint="default"/>
                <w:w w:val="99"/>
                <w:sz w:val="18"/>
                <w:szCs w:val="18"/>
              </w:rPr>
              <w:t>ww</w:t>
            </w:r>
            <w:r>
              <w:rPr>
                <w:rFonts w:ascii="Times New Roman" w:hAnsi="Times New Roman" w:cs="Times New Roman" w:eastAsia="Times New Roman" w:hint="default"/>
                <w:spacing w:val="-12"/>
                <w:w w:val="99"/>
                <w:sz w:val="18"/>
                <w:szCs w:val="18"/>
              </w:rPr>
              <w:t>w</w:t>
            </w:r>
            <w:r>
              <w:rPr>
                <w:rFonts w:ascii="Times New Roman" w:hAnsi="Times New Roman" w:cs="Times New Roman" w:eastAsia="Times New Roman" w:hint="default"/>
                <w:sz w:val="18"/>
                <w:szCs w:val="18"/>
              </w:rPr>
              <w:t>.cninfo</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com.c</w:t>
            </w:r>
            <w:r>
              <w:rPr>
                <w:rFonts w:ascii="Times New Roman" w:hAnsi="Times New Roman" w:cs="Times New Roman" w:eastAsia="Times New Roman" w:hint="default"/>
                <w:spacing w:val="-2"/>
                <w:sz w:val="18"/>
                <w:szCs w:val="18"/>
              </w:rPr>
              <w:t>n</w:t>
            </w:r>
            <w:r>
              <w:rPr>
                <w:rFonts w:ascii="Times New Roman" w:hAnsi="Times New Roman" w:cs="Times New Roman" w:eastAsia="Times New Roman"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38" w:lineRule="auto" w:before="117"/>
        <w:ind w:left="153" w:right="4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53"/>
      <w:bookmarkEnd w:id="153"/>
      <w:r>
        <w:rPr>
          <w:b w:val="0"/>
          <w:bCs w:val="0"/>
        </w:rPr>
      </w:r>
      <w:bookmarkStart w:name="_bookmark9" w:id="154"/>
      <w:bookmarkEnd w:id="154"/>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spacing w:line="357" w:lineRule="auto" w:before="0"/>
        <w:ind w:left="15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第十一节 财务报告" w:id="155"/>
      <w:bookmarkEnd w:id="155"/>
      <w:r>
        <w:rPr>
          <w:b w:val="0"/>
          <w:bCs w:val="0"/>
        </w:rPr>
      </w:r>
      <w:bookmarkStart w:name="_bookmark10" w:id="156"/>
      <w:bookmarkEnd w:id="156"/>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7"/>
      <w:bookmarkEnd w:id="157"/>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勤信审字【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潘忠民、黄建军</w:t>
            </w:r>
          </w:p>
        </w:tc>
      </w:tr>
    </w:tbl>
    <w:p>
      <w:pPr>
        <w:spacing w:before="51"/>
        <w:ind w:left="774" w:right="1750"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6"/>
        <w:rPr>
          <w:rFonts w:ascii="宋体" w:hAnsi="宋体" w:cs="宋体" w:eastAsia="宋体" w:hint="default"/>
          <w:sz w:val="17"/>
          <w:szCs w:val="17"/>
        </w:rPr>
      </w:pPr>
    </w:p>
    <w:p>
      <w:pPr>
        <w:spacing w:before="0"/>
        <w:ind w:left="774" w:right="1750" w:firstLine="0"/>
        <w:jc w:val="center"/>
        <w:rPr>
          <w:rFonts w:ascii="宋体" w:hAnsi="宋体" w:cs="宋体" w:eastAsia="宋体" w:hint="default"/>
          <w:sz w:val="32"/>
          <w:szCs w:val="32"/>
        </w:rPr>
      </w:pPr>
      <w:bookmarkStart w:name="审 计 报 告" w:id="158"/>
      <w:bookmarkEnd w:id="158"/>
      <w:r>
        <w:rPr/>
      </w:r>
      <w:r>
        <w:rPr>
          <w:rFonts w:ascii="宋体" w:hAnsi="宋体" w:cs="宋体" w:eastAsia="宋体" w:hint="default"/>
          <w:b/>
          <w:bCs/>
          <w:sz w:val="32"/>
          <w:szCs w:val="32"/>
        </w:rPr>
        <w:t>审 计 报</w:t>
      </w:r>
      <w:r>
        <w:rPr>
          <w:rFonts w:ascii="宋体" w:hAnsi="宋体" w:cs="宋体" w:eastAsia="宋体" w:hint="default"/>
          <w:b/>
          <w:bCs/>
          <w:spacing w:val="-5"/>
          <w:sz w:val="32"/>
          <w:szCs w:val="32"/>
        </w:rPr>
        <w:t> </w:t>
      </w:r>
      <w:r>
        <w:rPr>
          <w:rFonts w:ascii="宋体" w:hAnsi="宋体" w:cs="宋体" w:eastAsia="宋体" w:hint="default"/>
          <w:b/>
          <w:bCs/>
          <w:sz w:val="32"/>
          <w:szCs w:val="32"/>
        </w:rPr>
        <w:t>告</w:t>
      </w:r>
      <w:r>
        <w:rPr>
          <w:rFonts w:ascii="宋体" w:hAnsi="宋体" w:cs="宋体" w:eastAsia="宋体" w:hint="default"/>
          <w:sz w:val="32"/>
          <w:szCs w:val="32"/>
        </w:rPr>
      </w:r>
    </w:p>
    <w:p>
      <w:pPr>
        <w:spacing w:line="240" w:lineRule="auto" w:before="10"/>
        <w:rPr>
          <w:rFonts w:ascii="宋体" w:hAnsi="宋体" w:cs="宋体" w:eastAsia="宋体" w:hint="default"/>
          <w:b/>
          <w:bCs/>
          <w:sz w:val="14"/>
          <w:szCs w:val="1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勤信审字【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spacing w:line="240" w:lineRule="auto" w:before="6"/>
        <w:rPr>
          <w:rFonts w:ascii="宋体" w:hAnsi="宋体" w:cs="宋体" w:eastAsia="宋体" w:hint="default"/>
          <w:sz w:val="12"/>
          <w:szCs w:val="12"/>
        </w:rPr>
      </w:pPr>
    </w:p>
    <w:p>
      <w:pPr>
        <w:pStyle w:val="Heading3"/>
        <w:spacing w:line="391" w:lineRule="auto" w:before="35"/>
        <w:ind w:left="576" w:right="7274" w:hanging="423"/>
        <w:jc w:val="left"/>
        <w:rPr>
          <w:b w:val="0"/>
          <w:bCs w:val="0"/>
        </w:rPr>
      </w:pPr>
      <w:r>
        <w:rPr/>
        <w:t>深圳达实智能股份有限公司全体股东</w:t>
      </w:r>
      <w:r>
        <w:rPr>
          <w:rFonts w:ascii="宋体" w:hAnsi="宋体" w:cs="宋体" w:eastAsia="宋体" w:hint="default"/>
        </w:rPr>
        <w:t>:</w:t>
      </w:r>
      <w:r>
        <w:rPr>
          <w:rFonts w:ascii="宋体" w:hAnsi="宋体" w:cs="宋体" w:eastAsia="宋体" w:hint="default"/>
          <w:w w:val="99"/>
        </w:rPr>
        <w:t> </w:t>
      </w:r>
      <w:r>
        <w:rPr/>
        <w:t>一、</w:t>
      </w:r>
      <w:r>
        <w:rPr>
          <w:spacing w:val="-2"/>
        </w:rPr>
        <w:t> </w:t>
      </w:r>
      <w:r>
        <w:rPr/>
        <w:t>审计意见</w:t>
      </w:r>
      <w:r>
        <w:rPr>
          <w:b w:val="0"/>
          <w:bCs w:val="0"/>
        </w:rPr>
      </w:r>
    </w:p>
    <w:p>
      <w:pPr>
        <w:pStyle w:val="BodyText"/>
        <w:spacing w:line="240" w:lineRule="auto" w:before="149"/>
        <w:ind w:left="573" w:right="0"/>
        <w:jc w:val="left"/>
        <w:rPr>
          <w:rFonts w:ascii="宋体" w:hAnsi="宋体" w:cs="宋体" w:eastAsia="宋体" w:hint="default"/>
        </w:rPr>
      </w:pPr>
      <w:r>
        <w:rPr>
          <w:spacing w:val="-4"/>
        </w:rPr>
        <w:t>我们审计了深圳达实智能股份有限公司</w:t>
      </w:r>
      <w:r>
        <w:rPr>
          <w:rFonts w:ascii="宋体" w:hAnsi="宋体" w:cs="宋体" w:eastAsia="宋体" w:hint="default"/>
          <w:spacing w:val="-4"/>
        </w:rPr>
        <w:t>(</w:t>
      </w:r>
      <w:r>
        <w:rPr>
          <w:spacing w:val="-4"/>
        </w:rPr>
        <w:t>以下简称“达实智能”</w:t>
      </w:r>
      <w:r>
        <w:rPr>
          <w:rFonts w:ascii="宋体" w:hAnsi="宋体" w:cs="宋体" w:eastAsia="宋体" w:hint="default"/>
          <w:spacing w:val="-4"/>
        </w:rPr>
        <w:t>)</w:t>
      </w:r>
      <w:r>
        <w:rPr>
          <w:spacing w:val="-4"/>
        </w:rPr>
        <w:t>的财务报表，包括 </w:t>
      </w:r>
      <w:r>
        <w:rPr>
          <w:rFonts w:ascii="宋体" w:hAnsi="宋体" w:cs="宋体" w:eastAsia="宋体" w:hint="default"/>
        </w:rPr>
        <w:t>2017 </w:t>
      </w:r>
      <w:r>
        <w:rPr/>
        <w:t>年 </w:t>
      </w:r>
      <w:r>
        <w:rPr>
          <w:rFonts w:ascii="宋体" w:hAnsi="宋体" w:cs="宋体" w:eastAsia="宋体" w:hint="default"/>
        </w:rPr>
        <w:t>12 </w:t>
      </w:r>
      <w:r>
        <w:rPr/>
        <w:t>月</w:t>
      </w:r>
      <w:r>
        <w:rPr>
          <w:spacing w:val="20"/>
        </w:rPr>
        <w:t> </w:t>
      </w:r>
      <w:r>
        <w:rPr>
          <w:rFonts w:ascii="宋体" w:hAnsi="宋体" w:cs="宋体" w:eastAsia="宋体" w:hint="default"/>
        </w:rPr>
        <w:t>31</w:t>
      </w:r>
    </w:p>
    <w:p>
      <w:pPr>
        <w:pStyle w:val="BodyText"/>
        <w:spacing w:line="348" w:lineRule="auto" w:before="126"/>
        <w:ind w:right="1119"/>
        <w:jc w:val="left"/>
      </w:pPr>
      <w:r>
        <w:rPr/>
        <w:t>日的合并及公司资产负债表， </w:t>
      </w:r>
      <w:r>
        <w:rPr>
          <w:rFonts w:ascii="宋体" w:hAnsi="宋体" w:cs="宋体" w:eastAsia="宋体" w:hint="default"/>
        </w:rPr>
        <w:t>2017</w:t>
      </w:r>
      <w:r>
        <w:rPr>
          <w:rFonts w:ascii="宋体" w:hAnsi="宋体" w:cs="宋体" w:eastAsia="宋体" w:hint="default"/>
          <w:spacing w:val="-26"/>
        </w:rPr>
        <w:t> </w:t>
      </w:r>
      <w:r>
        <w:rPr/>
        <w:t>年度的合并及公司利润表、合并及公司现金流量表、合并及公司股东 权益变动表以及财务报表附注。</w:t>
      </w:r>
    </w:p>
    <w:p>
      <w:pPr>
        <w:spacing w:line="240" w:lineRule="auto" w:before="3"/>
        <w:rPr>
          <w:rFonts w:ascii="宋体" w:hAnsi="宋体" w:cs="宋体" w:eastAsia="宋体" w:hint="default"/>
          <w:sz w:val="14"/>
          <w:szCs w:val="14"/>
        </w:rPr>
      </w:pPr>
    </w:p>
    <w:p>
      <w:pPr>
        <w:pStyle w:val="BodyText"/>
        <w:spacing w:line="350" w:lineRule="auto" w:before="0"/>
        <w:ind w:left="154" w:right="1131" w:firstLine="420"/>
        <w:jc w:val="both"/>
      </w:pPr>
      <w:r>
        <w:rPr>
          <w:spacing w:val="-1"/>
        </w:rPr>
        <w:t>我们认为，后附的达实智能财务报表在所有重大方面按照企业会计准则的规定编制，公允反映了达实</w:t>
      </w:r>
      <w:r>
        <w:rPr/>
        <w:t> 智能</w:t>
      </w:r>
      <w:r>
        <w:rPr>
          <w:spacing w:val="-53"/>
        </w:rPr>
        <w:t> </w:t>
      </w:r>
      <w:r>
        <w:rPr>
          <w:rFonts w:ascii="宋体" w:hAnsi="宋体" w:cs="宋体" w:eastAsia="宋体" w:hint="default"/>
        </w:rPr>
        <w:t>2017</w:t>
      </w:r>
      <w:r>
        <w:rPr>
          <w:rFonts w:ascii="宋体" w:hAnsi="宋体" w:cs="宋体" w:eastAsia="宋体" w:hint="default"/>
          <w:spacing w:val="1"/>
        </w:rPr>
        <w:t> </w:t>
      </w:r>
      <w:r>
        <w:rPr/>
        <w:t>年</w:t>
      </w:r>
      <w:r>
        <w:rPr>
          <w:spacing w:val="-1"/>
        </w:rPr>
        <w:t> </w:t>
      </w:r>
      <w:r>
        <w:rPr>
          <w:rFonts w:ascii="宋体" w:hAnsi="宋体" w:cs="宋体" w:eastAsia="宋体" w:hint="default"/>
        </w:rPr>
        <w:t>12 </w:t>
      </w:r>
      <w:r>
        <w:rPr/>
        <w:t>月</w:t>
      </w:r>
      <w:r>
        <w:rPr>
          <w:spacing w:val="-1"/>
        </w:rPr>
        <w:t> </w:t>
      </w:r>
      <w:r>
        <w:rPr>
          <w:rFonts w:ascii="宋体" w:hAnsi="宋体" w:cs="宋体" w:eastAsia="宋体" w:hint="default"/>
        </w:rPr>
        <w:t>31</w:t>
      </w:r>
      <w:r>
        <w:rPr>
          <w:rFonts w:ascii="宋体" w:hAnsi="宋体" w:cs="宋体" w:eastAsia="宋体" w:hint="default"/>
          <w:spacing w:val="-1"/>
        </w:rPr>
        <w:t> </w:t>
      </w:r>
      <w:r>
        <w:rPr/>
        <w:t>日的合并及公司财务状况以及</w:t>
      </w:r>
      <w:r>
        <w:rPr>
          <w:spacing w:val="-52"/>
        </w:rPr>
        <w:t> </w:t>
      </w:r>
      <w:r>
        <w:rPr>
          <w:rFonts w:ascii="宋体" w:hAnsi="宋体" w:cs="宋体" w:eastAsia="宋体" w:hint="default"/>
        </w:rPr>
        <w:t>2017</w:t>
      </w:r>
      <w:r>
        <w:rPr>
          <w:rFonts w:ascii="宋体" w:hAnsi="宋体" w:cs="宋体" w:eastAsia="宋体" w:hint="default"/>
          <w:spacing w:val="-1"/>
        </w:rPr>
        <w:t> </w:t>
      </w:r>
      <w:r>
        <w:rPr/>
        <w:t>年度的合并及公司经营成果和现金流量。</w:t>
      </w:r>
    </w:p>
    <w:p>
      <w:pPr>
        <w:pStyle w:val="Heading3"/>
        <w:spacing w:line="240" w:lineRule="auto" w:before="94"/>
        <w:ind w:left="576" w:right="0"/>
        <w:jc w:val="left"/>
        <w:rPr>
          <w:b w:val="0"/>
          <w:bCs w:val="0"/>
        </w:rPr>
      </w:pPr>
      <w:r>
        <w:rPr/>
        <w:t>二、</w:t>
      </w:r>
      <w:r>
        <w:rPr>
          <w:spacing w:val="-4"/>
        </w:rPr>
        <w:t> </w:t>
      </w:r>
      <w:r>
        <w:rPr/>
        <w:t>形成审计意见的基础</w:t>
      </w:r>
      <w:r>
        <w:rPr>
          <w:b w:val="0"/>
          <w:bCs w:val="0"/>
        </w:rPr>
      </w:r>
    </w:p>
    <w:p>
      <w:pPr>
        <w:spacing w:line="240" w:lineRule="auto" w:before="8"/>
        <w:rPr>
          <w:rFonts w:ascii="宋体" w:hAnsi="宋体" w:cs="宋体" w:eastAsia="宋体" w:hint="default"/>
          <w:b/>
          <w:bCs/>
          <w:sz w:val="21"/>
          <w:szCs w:val="21"/>
        </w:rPr>
      </w:pPr>
    </w:p>
    <w:p>
      <w:pPr>
        <w:pStyle w:val="BodyText"/>
        <w:spacing w:line="350" w:lineRule="auto" w:before="0"/>
        <w:ind w:right="1130" w:firstLine="420"/>
        <w:jc w:val="both"/>
      </w:pPr>
      <w:r>
        <w:rPr>
          <w:spacing w:val="-1"/>
        </w:rPr>
        <w:t>我们按照中国注册会计师审计准则的规定执行了审计工作。审计报告的“注册会计师对财务报表审计</w:t>
      </w:r>
      <w:r>
        <w:rPr/>
        <w:t> </w:t>
      </w:r>
      <w:r>
        <w:rPr>
          <w:spacing w:val="-1"/>
        </w:rPr>
        <w:t>的责任”部分进一步阐述了我们在这些准则下的责任。按照中国注册会计师职业道德守则，我们独立于达</w:t>
      </w:r>
      <w:r>
        <w:rPr>
          <w:spacing w:val="-83"/>
        </w:rPr>
        <w:t> </w:t>
      </w:r>
      <w:r>
        <w:rPr>
          <w:spacing w:val="-83"/>
        </w:rPr>
      </w:r>
      <w:r>
        <w:rPr>
          <w:spacing w:val="-1"/>
        </w:rPr>
        <w:t>实智能，并履行了职业道德方面的其他责任。我们相信，我们获取的审计证据是充分、适当的，为发表审</w:t>
      </w:r>
      <w:r>
        <w:rPr>
          <w:spacing w:val="-83"/>
        </w:rPr>
        <w:t> </w:t>
      </w:r>
      <w:r>
        <w:rPr>
          <w:spacing w:val="-83"/>
        </w:rPr>
      </w:r>
      <w:r>
        <w:rPr/>
        <w:t>计意见提供了基础。</w:t>
      </w:r>
    </w:p>
    <w:p>
      <w:pPr>
        <w:pStyle w:val="Heading3"/>
        <w:spacing w:line="240" w:lineRule="auto" w:before="94"/>
        <w:ind w:left="576" w:right="0"/>
        <w:jc w:val="left"/>
        <w:rPr>
          <w:b w:val="0"/>
          <w:bCs w:val="0"/>
        </w:rPr>
      </w:pPr>
      <w:r>
        <w:rPr/>
        <w:t>三、</w:t>
      </w:r>
      <w:r>
        <w:rPr>
          <w:spacing w:val="-2"/>
        </w:rPr>
        <w:t> </w:t>
      </w:r>
      <w:r>
        <w:rPr/>
        <w:t>关键审计事项</w:t>
      </w:r>
      <w:r>
        <w:rPr>
          <w:b w:val="0"/>
          <w:bCs w:val="0"/>
        </w:rPr>
      </w:r>
    </w:p>
    <w:p>
      <w:pPr>
        <w:spacing w:line="240" w:lineRule="auto" w:before="8"/>
        <w:rPr>
          <w:rFonts w:ascii="宋体" w:hAnsi="宋体" w:cs="宋体" w:eastAsia="宋体" w:hint="default"/>
          <w:b/>
          <w:bCs/>
          <w:sz w:val="21"/>
          <w:szCs w:val="21"/>
        </w:rPr>
      </w:pPr>
    </w:p>
    <w:p>
      <w:pPr>
        <w:pStyle w:val="BodyText"/>
        <w:spacing w:line="350" w:lineRule="auto" w:before="0"/>
        <w:ind w:right="1131" w:firstLine="420"/>
        <w:jc w:val="both"/>
      </w:pPr>
      <w:r>
        <w:rPr>
          <w:spacing w:val="-1"/>
        </w:rPr>
        <w:t>关键审计事项是根据我们的职业判断，认为对本期财务报表审计最为重要的事项。这些事项的应对以</w:t>
      </w:r>
      <w:r>
        <w:rPr/>
        <w:t> </w:t>
      </w:r>
      <w:r>
        <w:rPr>
          <w:spacing w:val="-1"/>
        </w:rPr>
        <w:t>对财务报表整体进行审计并形成审计意见为背景，我们不对这些事项单独发表意见。我们确定下列事项是</w:t>
      </w:r>
      <w:r>
        <w:rPr>
          <w:spacing w:val="-81"/>
        </w:rPr>
        <w:t> </w:t>
      </w:r>
      <w:r>
        <w:rPr>
          <w:spacing w:val="-81"/>
        </w:rPr>
      </w:r>
      <w:r>
        <w:rPr/>
        <w:t>需要在审计报告中沟通的关键审计事项。</w:t>
      </w:r>
    </w:p>
    <w:p>
      <w:pPr>
        <w:pStyle w:val="BodyText"/>
        <w:spacing w:line="374" w:lineRule="auto" w:before="73"/>
        <w:ind w:left="633" w:right="6703"/>
        <w:jc w:val="left"/>
      </w:pPr>
      <w:r>
        <w:rPr/>
        <w:t>（一）完工百分比法确认建造合同收入 </w:t>
      </w:r>
      <w:r>
        <w:rPr>
          <w:rFonts w:ascii="宋体" w:hAnsi="宋体" w:cs="宋体" w:eastAsia="宋体" w:hint="default"/>
        </w:rPr>
        <w:t>1</w:t>
      </w:r>
      <w:r>
        <w:rPr/>
        <w:t>、事项描述</w:t>
      </w:r>
    </w:p>
    <w:p>
      <w:pPr>
        <w:spacing w:after="0" w:line="374"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0"/>
        <w:ind w:left="573" w:right="0"/>
        <w:jc w:val="left"/>
      </w:pPr>
      <w:r>
        <w:rPr>
          <w:rFonts w:ascii="宋体" w:hAnsi="宋体" w:cs="宋体" w:eastAsia="宋体" w:hint="default"/>
        </w:rPr>
        <w:t>2017</w:t>
      </w:r>
      <w:r>
        <w:rPr>
          <w:rFonts w:ascii="宋体" w:hAnsi="宋体" w:cs="宋体" w:eastAsia="宋体" w:hint="default"/>
          <w:spacing w:val="-42"/>
        </w:rPr>
        <w:t> </w:t>
      </w:r>
      <w:r>
        <w:rPr/>
        <w:t>年度达实智能营业收入为</w:t>
      </w:r>
      <w:r>
        <w:rPr>
          <w:spacing w:val="-44"/>
        </w:rPr>
        <w:t> </w:t>
      </w:r>
      <w:r>
        <w:rPr>
          <w:rFonts w:ascii="宋体" w:hAnsi="宋体" w:cs="宋体" w:eastAsia="宋体" w:hint="default"/>
        </w:rPr>
        <w:t>2,572,487,726.02</w:t>
      </w:r>
      <w:r>
        <w:rPr>
          <w:rFonts w:ascii="宋体" w:hAnsi="宋体" w:cs="宋体" w:eastAsia="宋体" w:hint="default"/>
          <w:spacing w:val="-44"/>
        </w:rPr>
        <w:t> </w:t>
      </w:r>
      <w:r>
        <w:rPr/>
        <w:t>元，其中采用完工百分比法确认的建造合同收入为</w:t>
      </w:r>
    </w:p>
    <w:p>
      <w:pPr>
        <w:pStyle w:val="BodyText"/>
        <w:spacing w:line="240" w:lineRule="auto" w:before="124"/>
        <w:ind w:right="0"/>
        <w:jc w:val="left"/>
      </w:pPr>
      <w:r>
        <w:rPr>
          <w:rFonts w:ascii="宋体" w:hAnsi="宋体" w:cs="宋体" w:eastAsia="宋体" w:hint="default"/>
        </w:rPr>
        <w:t>2,178,902,656.88</w:t>
      </w:r>
      <w:r>
        <w:rPr>
          <w:rFonts w:ascii="宋体" w:hAnsi="宋体" w:cs="宋体" w:eastAsia="宋体" w:hint="default"/>
          <w:spacing w:val="-54"/>
        </w:rPr>
        <w:t> </w:t>
      </w:r>
      <w:r>
        <w:rPr/>
        <w:t>元，占营业收入的</w:t>
      </w:r>
      <w:r>
        <w:rPr>
          <w:spacing w:val="-55"/>
        </w:rPr>
        <w:t> </w:t>
      </w:r>
      <w:r>
        <w:rPr>
          <w:rFonts w:ascii="宋体" w:hAnsi="宋体" w:cs="宋体" w:eastAsia="宋体" w:hint="default"/>
        </w:rPr>
        <w:t>84.70%</w:t>
      </w:r>
      <w:r>
        <w:rPr/>
        <w:t>，金额及比例重大。</w:t>
      </w:r>
    </w:p>
    <w:p>
      <w:pPr>
        <w:spacing w:line="240" w:lineRule="auto" w:before="7"/>
        <w:rPr>
          <w:rFonts w:ascii="宋体" w:hAnsi="宋体" w:cs="宋体" w:eastAsia="宋体" w:hint="default"/>
          <w:sz w:val="21"/>
          <w:szCs w:val="21"/>
        </w:rPr>
      </w:pPr>
    </w:p>
    <w:p>
      <w:pPr>
        <w:pStyle w:val="BodyText"/>
        <w:spacing w:line="350" w:lineRule="auto" w:before="0"/>
        <w:ind w:right="1130" w:firstLine="420"/>
        <w:jc w:val="both"/>
      </w:pPr>
      <w:r>
        <w:rPr>
          <w:spacing w:val="-1"/>
        </w:rPr>
        <w:t>达实智能的建造合同业务，依据客户或第三方监理确认的工程完工进度单或关键节点的正式报告（如</w:t>
      </w:r>
      <w:r>
        <w:rPr/>
        <w:t> </w:t>
      </w:r>
      <w:r>
        <w:rPr>
          <w:spacing w:val="-1"/>
        </w:rPr>
        <w:t>工程竣工报告及工程结算报告），确定建造合同业务工作量的完工百分比。完工百分比法涉及管理层的重</w:t>
      </w:r>
      <w:r>
        <w:rPr>
          <w:spacing w:val="-94"/>
        </w:rPr>
        <w:t> </w:t>
      </w:r>
      <w:r>
        <w:rPr>
          <w:spacing w:val="-94"/>
        </w:rPr>
      </w:r>
      <w:r>
        <w:rPr>
          <w:spacing w:val="-1"/>
        </w:rPr>
        <w:t>大判断和估计，包括对完工的进度、合同总成本、尚未完工成本、合同总收入和合同风险的估计，相应收</w:t>
      </w:r>
      <w:r>
        <w:rPr>
          <w:spacing w:val="-83"/>
        </w:rPr>
        <w:t> </w:t>
      </w:r>
      <w:r>
        <w:rPr>
          <w:spacing w:val="-83"/>
        </w:rPr>
      </w:r>
      <w:r>
        <w:rPr>
          <w:spacing w:val="-1"/>
        </w:rPr>
        <w:t>入成本是否完整计入恰当的会计期间可能存在重大错报风险，因此我们将完工百分比法确认的建造合同收</w:t>
      </w:r>
      <w:r>
        <w:rPr>
          <w:spacing w:val="-81"/>
        </w:rPr>
        <w:t> </w:t>
      </w:r>
      <w:r>
        <w:rPr>
          <w:spacing w:val="-81"/>
        </w:rPr>
      </w:r>
      <w:r>
        <w:rPr>
          <w:spacing w:val="-12"/>
        </w:rPr>
        <w:t>入作为关键审计事项。相关信息详见财务报表“附注五、</w:t>
      </w:r>
      <w:r>
        <w:rPr>
          <w:rFonts w:ascii="宋体" w:hAnsi="宋体" w:cs="宋体" w:eastAsia="宋体" w:hint="default"/>
          <w:spacing w:val="-12"/>
        </w:rPr>
        <w:t>40</w:t>
      </w:r>
      <w:r>
        <w:rPr>
          <w:spacing w:val="-12"/>
        </w:rPr>
        <w:t>”、“附注三、</w:t>
      </w:r>
      <w:r>
        <w:rPr>
          <w:rFonts w:ascii="宋体" w:hAnsi="宋体" w:cs="宋体" w:eastAsia="宋体" w:hint="default"/>
          <w:spacing w:val="-12"/>
        </w:rPr>
        <w:t>24</w:t>
      </w:r>
      <w:r>
        <w:rPr>
          <w:spacing w:val="-12"/>
        </w:rPr>
        <w:t>”。</w:t>
      </w:r>
      <w:r>
        <w:rPr/>
      </w:r>
    </w:p>
    <w:p>
      <w:pPr>
        <w:spacing w:line="240" w:lineRule="auto" w:before="1"/>
        <w:rPr>
          <w:rFonts w:ascii="宋体" w:hAnsi="宋体" w:cs="宋体" w:eastAsia="宋体" w:hint="default"/>
          <w:sz w:val="14"/>
          <w:szCs w:val="14"/>
        </w:rPr>
      </w:pPr>
    </w:p>
    <w:p>
      <w:pPr>
        <w:pStyle w:val="BodyText"/>
        <w:spacing w:line="487" w:lineRule="auto" w:before="0"/>
        <w:ind w:left="573" w:right="5923"/>
        <w:jc w:val="left"/>
      </w:pPr>
      <w:r>
        <w:rPr>
          <w:rFonts w:ascii="宋体" w:hAnsi="宋体" w:cs="宋体" w:eastAsia="宋体" w:hint="default"/>
        </w:rPr>
        <w:t>2</w:t>
      </w:r>
      <w:r>
        <w:rPr/>
        <w:t>、审计应对 我们针对商誉的减值执行的主要审计程序包括：</w:t>
      </w:r>
    </w:p>
    <w:p>
      <w:pPr>
        <w:pStyle w:val="BodyText"/>
        <w:spacing w:line="240" w:lineRule="auto" w:before="64"/>
        <w:ind w:left="574" w:right="0"/>
        <w:jc w:val="left"/>
      </w:pPr>
      <w:r>
        <w:rPr/>
        <w:t>（</w:t>
      </w:r>
      <w:r>
        <w:rPr>
          <w:rFonts w:ascii="宋体" w:hAnsi="宋体" w:cs="宋体" w:eastAsia="宋体" w:hint="default"/>
        </w:rPr>
        <w:t>1</w:t>
      </w:r>
      <w:r>
        <w:rPr/>
        <w:t>）评价和测试了达实智能核算建造合同项目收入、项目成本及完工进度计算流程的内部控制；</w:t>
      </w:r>
    </w:p>
    <w:p>
      <w:pPr>
        <w:pStyle w:val="BodyText"/>
        <w:spacing w:line="240" w:lineRule="auto" w:before="165"/>
        <w:ind w:left="574" w:right="0"/>
        <w:jc w:val="left"/>
      </w:pPr>
      <w:r>
        <w:rPr/>
        <w:t>（</w:t>
      </w:r>
      <w:r>
        <w:rPr>
          <w:rFonts w:ascii="宋体" w:hAnsi="宋体" w:cs="宋体" w:eastAsia="宋体" w:hint="default"/>
        </w:rPr>
        <w:t>2</w:t>
      </w:r>
      <w:r>
        <w:rPr/>
        <w:t>）评价了管理层与确定预计合同总成本时所采用的判断和估计；</w:t>
      </w:r>
    </w:p>
    <w:p>
      <w:pPr>
        <w:pStyle w:val="BodyText"/>
        <w:spacing w:line="240" w:lineRule="auto" w:before="164"/>
        <w:ind w:left="574" w:right="0"/>
        <w:jc w:val="left"/>
      </w:pPr>
      <w:r>
        <w:rPr/>
        <w:t>（</w:t>
      </w:r>
      <w:r>
        <w:rPr>
          <w:rFonts w:ascii="宋体" w:hAnsi="宋体" w:cs="宋体" w:eastAsia="宋体" w:hint="default"/>
        </w:rPr>
        <w:t>3</w:t>
      </w:r>
      <w:r>
        <w:rPr/>
        <w:t>）对主要项目的毛利率进行了分析复核程序；</w:t>
      </w:r>
    </w:p>
    <w:p>
      <w:pPr>
        <w:pStyle w:val="BodyText"/>
        <w:spacing w:line="240" w:lineRule="auto" w:before="165"/>
        <w:ind w:left="574" w:right="0"/>
        <w:jc w:val="left"/>
      </w:pPr>
      <w:r>
        <w:rPr/>
        <w:t>（</w:t>
      </w:r>
      <w:r>
        <w:rPr>
          <w:rFonts w:ascii="宋体" w:hAnsi="宋体" w:cs="宋体" w:eastAsia="宋体" w:hint="default"/>
        </w:rPr>
        <w:t>4</w:t>
      </w:r>
      <w:r>
        <w:rPr/>
        <w:t>）抽样检查了相关文件验证已发生的项目成本；</w:t>
      </w:r>
    </w:p>
    <w:p>
      <w:pPr>
        <w:pStyle w:val="BodyText"/>
        <w:spacing w:line="240" w:lineRule="auto" w:before="165"/>
        <w:ind w:left="574" w:right="0"/>
        <w:jc w:val="left"/>
      </w:pPr>
      <w:r>
        <w:rPr/>
        <w:t>（</w:t>
      </w:r>
      <w:r>
        <w:rPr>
          <w:rFonts w:ascii="宋体" w:hAnsi="宋体" w:cs="宋体" w:eastAsia="宋体" w:hint="default"/>
        </w:rPr>
        <w:t>5</w:t>
      </w:r>
      <w:r>
        <w:rPr/>
        <w:t>）获取了重大业务合同，复核合同的关键条款，并与所确认的收入进行交叉核对；</w:t>
      </w:r>
    </w:p>
    <w:p>
      <w:pPr>
        <w:pStyle w:val="BodyText"/>
        <w:spacing w:line="240" w:lineRule="auto" w:before="164"/>
        <w:ind w:left="574" w:right="0"/>
        <w:jc w:val="left"/>
      </w:pPr>
      <w:r>
        <w:rPr/>
        <w:t>（</w:t>
      </w:r>
      <w:r>
        <w:rPr>
          <w:rFonts w:ascii="宋体" w:hAnsi="宋体" w:cs="宋体" w:eastAsia="宋体" w:hint="default"/>
        </w:rPr>
        <w:t>6</w:t>
      </w:r>
      <w:r>
        <w:rPr/>
        <w:t>）抽样检查了业经客户或第三方监理确认的完工进度单；</w:t>
      </w:r>
    </w:p>
    <w:p>
      <w:pPr>
        <w:pStyle w:val="BodyText"/>
        <w:spacing w:line="240" w:lineRule="auto" w:before="166"/>
        <w:ind w:left="574" w:right="0"/>
        <w:jc w:val="left"/>
      </w:pPr>
      <w:r>
        <w:rPr/>
        <w:t>（</w:t>
      </w:r>
      <w:r>
        <w:rPr>
          <w:rFonts w:ascii="宋体" w:hAnsi="宋体" w:cs="宋体" w:eastAsia="宋体" w:hint="default"/>
        </w:rPr>
        <w:t>7</w:t>
      </w:r>
      <w:r>
        <w:rPr/>
        <w:t>）对本期收入重大的工程项目进行现场观察、盘点。</w:t>
      </w:r>
    </w:p>
    <w:p>
      <w:pPr>
        <w:pStyle w:val="BodyText"/>
        <w:spacing w:line="470" w:lineRule="auto" w:before="171"/>
        <w:ind w:left="573" w:right="8803" w:firstLine="60"/>
        <w:jc w:val="left"/>
      </w:pPr>
      <w:r>
        <w:rPr/>
        <w:t>（二）商誉减值 </w:t>
      </w:r>
      <w:r>
        <w:rPr>
          <w:rFonts w:ascii="宋体" w:hAnsi="宋体" w:cs="宋体" w:eastAsia="宋体" w:hint="default"/>
        </w:rPr>
        <w:t>1</w:t>
      </w:r>
      <w:r>
        <w:rPr/>
        <w:t>、事项描述</w:t>
      </w:r>
    </w:p>
    <w:p>
      <w:pPr>
        <w:pStyle w:val="BodyText"/>
        <w:spacing w:line="240" w:lineRule="auto" w:before="80"/>
        <w:ind w:left="573" w:right="0"/>
        <w:jc w:val="left"/>
      </w:pPr>
      <w:r>
        <w:rPr/>
        <w:t>截至</w:t>
      </w:r>
      <w:r>
        <w:rPr>
          <w:spacing w:val="-39"/>
        </w:rPr>
        <w:t> </w:t>
      </w:r>
      <w:r>
        <w:rPr>
          <w:rFonts w:ascii="宋体" w:hAnsi="宋体" w:cs="宋体" w:eastAsia="宋体" w:hint="default"/>
        </w:rPr>
        <w:t>2017</w:t>
      </w:r>
      <w:r>
        <w:rPr>
          <w:rFonts w:ascii="宋体" w:hAnsi="宋体" w:cs="宋体" w:eastAsia="宋体" w:hint="default"/>
          <w:spacing w:val="-40"/>
        </w:rPr>
        <w:t> </w:t>
      </w:r>
      <w:r>
        <w:rPr/>
        <w:t>年</w:t>
      </w:r>
      <w:r>
        <w:rPr>
          <w:spacing w:val="-39"/>
        </w:rPr>
        <w:t> </w:t>
      </w:r>
      <w:r>
        <w:rPr>
          <w:rFonts w:ascii="宋体" w:hAnsi="宋体" w:cs="宋体" w:eastAsia="宋体" w:hint="default"/>
        </w:rPr>
        <w:t>12</w:t>
      </w:r>
      <w:r>
        <w:rPr>
          <w:rFonts w:ascii="宋体" w:hAnsi="宋体" w:cs="宋体" w:eastAsia="宋体" w:hint="default"/>
          <w:spacing w:val="-39"/>
        </w:rPr>
        <w:t> </w:t>
      </w:r>
      <w:r>
        <w:rPr/>
        <w:t>月</w:t>
      </w:r>
      <w:r>
        <w:rPr>
          <w:spacing w:val="-39"/>
        </w:rPr>
        <w:t> </w:t>
      </w:r>
      <w:r>
        <w:rPr>
          <w:rFonts w:ascii="宋体" w:hAnsi="宋体" w:cs="宋体" w:eastAsia="宋体" w:hint="default"/>
        </w:rPr>
        <w:t>31</w:t>
      </w:r>
      <w:r>
        <w:rPr>
          <w:rFonts w:ascii="宋体" w:hAnsi="宋体" w:cs="宋体" w:eastAsia="宋体" w:hint="default"/>
          <w:spacing w:val="-40"/>
        </w:rPr>
        <w:t> </w:t>
      </w:r>
      <w:r>
        <w:rPr/>
        <w:t>日，达实智能合并资产负债表中商誉账面原值扣除累计减值准备后的净值为人</w:t>
      </w:r>
    </w:p>
    <w:p>
      <w:pPr>
        <w:pStyle w:val="BodyText"/>
        <w:spacing w:line="240" w:lineRule="auto" w:before="124"/>
        <w:ind w:right="0"/>
        <w:jc w:val="left"/>
      </w:pPr>
      <w:r>
        <w:rPr/>
        <w:t>民币</w:t>
      </w:r>
      <w:r>
        <w:rPr>
          <w:spacing w:val="-54"/>
        </w:rPr>
        <w:t> </w:t>
      </w:r>
      <w:r>
        <w:rPr>
          <w:rFonts w:ascii="宋体" w:hAnsi="宋体" w:cs="宋体" w:eastAsia="宋体" w:hint="default"/>
        </w:rPr>
        <w:t>757,993,230.40</w:t>
      </w:r>
      <w:r>
        <w:rPr>
          <w:rFonts w:ascii="宋体" w:hAnsi="宋体" w:cs="宋体" w:eastAsia="宋体" w:hint="default"/>
          <w:spacing w:val="-53"/>
        </w:rPr>
        <w:t> </w:t>
      </w:r>
      <w:r>
        <w:rPr/>
        <w:t>元。企业合并形成的商誉，达实智能至少在每年年度终了进行减值测试。</w:t>
      </w:r>
    </w:p>
    <w:p>
      <w:pPr>
        <w:spacing w:line="240" w:lineRule="auto" w:before="6"/>
        <w:rPr>
          <w:rFonts w:ascii="宋体" w:hAnsi="宋体" w:cs="宋体" w:eastAsia="宋体" w:hint="default"/>
          <w:sz w:val="21"/>
          <w:szCs w:val="21"/>
        </w:rPr>
      </w:pPr>
    </w:p>
    <w:p>
      <w:pPr>
        <w:pStyle w:val="BodyText"/>
        <w:spacing w:line="350" w:lineRule="auto" w:before="0"/>
        <w:ind w:left="154" w:right="1130" w:firstLine="420"/>
        <w:jc w:val="both"/>
      </w:pPr>
      <w:r>
        <w:rPr>
          <w:spacing w:val="-1"/>
        </w:rPr>
        <w:t>减值测试要求估计包含商誉的相关资产组的可收回金额，即相关资产组的公允价值减去处置费用后的</w:t>
      </w:r>
      <w:r>
        <w:rPr/>
        <w:t> </w:t>
      </w:r>
      <w:r>
        <w:rPr>
          <w:spacing w:val="-1"/>
        </w:rPr>
        <w:t>净额与相关资产组预计未来现金流量的现值两者之中的较高者。在确定相关资产组预计未来现金流量的现</w:t>
      </w:r>
      <w:r>
        <w:rPr>
          <w:spacing w:val="-81"/>
        </w:rPr>
        <w:t> </w:t>
      </w:r>
      <w:r>
        <w:rPr>
          <w:spacing w:val="-81"/>
        </w:rPr>
      </w:r>
      <w:r>
        <w:rPr>
          <w:spacing w:val="-1"/>
        </w:rPr>
        <w:t>值时，达实智能需要恰当的预测相关资产组未来现金流的长期平均增长率和合理的确定计算相关资产组预</w:t>
      </w:r>
      <w:r>
        <w:rPr>
          <w:spacing w:val="-81"/>
        </w:rPr>
        <w:t> </w:t>
      </w:r>
      <w:r>
        <w:rPr>
          <w:spacing w:val="-81"/>
        </w:rPr>
      </w:r>
      <w:r>
        <w:rPr>
          <w:spacing w:val="-1"/>
        </w:rPr>
        <w:t>计未来现金流量现值所采用的折现率，这涉及管理层运用重大会计估计和判断，同时考虑商誉对于财务报</w:t>
      </w:r>
      <w:r>
        <w:rPr>
          <w:spacing w:val="-81"/>
        </w:rPr>
        <w:t> </w:t>
      </w:r>
      <w:r>
        <w:rPr>
          <w:spacing w:val="-81"/>
        </w:rPr>
      </w:r>
      <w:r>
        <w:rPr>
          <w:spacing w:val="-1"/>
        </w:rPr>
        <w:t>表整体的重要性，因此我们将商誉减值作为关键审计事项。相关信息详见财务报表“附注五、</w:t>
      </w:r>
      <w:r>
        <w:rPr>
          <w:rFonts w:ascii="宋体" w:hAnsi="宋体" w:cs="宋体" w:eastAsia="宋体" w:hint="default"/>
          <w:spacing w:val="-1"/>
        </w:rPr>
        <w:t>18</w:t>
      </w:r>
      <w:r>
        <w:rPr>
          <w:spacing w:val="-1"/>
        </w:rPr>
        <w:t>”及“附</w:t>
      </w:r>
      <w:r>
        <w:rPr>
          <w:spacing w:val="-83"/>
        </w:rPr>
        <w:t> </w:t>
      </w:r>
      <w:r>
        <w:rPr>
          <w:spacing w:val="-83"/>
        </w:rPr>
      </w:r>
      <w:r>
        <w:rPr>
          <w:spacing w:val="-9"/>
        </w:rPr>
        <w:t>注三、</w:t>
      </w:r>
      <w:r>
        <w:rPr>
          <w:rFonts w:ascii="宋体" w:hAnsi="宋体" w:cs="宋体" w:eastAsia="宋体" w:hint="default"/>
          <w:spacing w:val="-9"/>
        </w:rPr>
        <w:t>29</w:t>
      </w:r>
      <w:r>
        <w:rPr>
          <w:spacing w:val="-9"/>
        </w:rPr>
        <w:t>（</w:t>
      </w:r>
      <w:r>
        <w:rPr>
          <w:rFonts w:ascii="宋体" w:hAnsi="宋体" w:cs="宋体" w:eastAsia="宋体" w:hint="default"/>
          <w:spacing w:val="-9"/>
        </w:rPr>
        <w:t>4</w:t>
      </w:r>
      <w:r>
        <w:rPr>
          <w:spacing w:val="-9"/>
        </w:rPr>
        <w:t>）”所示。</w:t>
      </w:r>
    </w:p>
    <w:p>
      <w:pPr>
        <w:spacing w:line="240" w:lineRule="auto" w:before="1"/>
        <w:rPr>
          <w:rFonts w:ascii="宋体" w:hAnsi="宋体" w:cs="宋体" w:eastAsia="宋体" w:hint="default"/>
          <w:sz w:val="14"/>
          <w:szCs w:val="14"/>
        </w:rPr>
      </w:pPr>
    </w:p>
    <w:p>
      <w:pPr>
        <w:pStyle w:val="BodyText"/>
        <w:spacing w:line="240" w:lineRule="auto" w:before="0"/>
        <w:ind w:left="574" w:right="0"/>
        <w:jc w:val="left"/>
      </w:pPr>
      <w:r>
        <w:rPr>
          <w:rFonts w:ascii="宋体" w:hAnsi="宋体" w:cs="宋体" w:eastAsia="宋体" w:hint="default"/>
        </w:rPr>
        <w:t>2</w:t>
      </w:r>
      <w:r>
        <w:rPr/>
        <w:t>、审计应对</w:t>
      </w:r>
    </w:p>
    <w:p>
      <w:pPr>
        <w:spacing w:line="240" w:lineRule="auto" w:before="8"/>
        <w:rPr>
          <w:rFonts w:ascii="宋体" w:hAnsi="宋体" w:cs="宋体" w:eastAsia="宋体" w:hint="default"/>
          <w:sz w:val="21"/>
          <w:szCs w:val="21"/>
        </w:rPr>
      </w:pPr>
    </w:p>
    <w:p>
      <w:pPr>
        <w:pStyle w:val="BodyText"/>
        <w:spacing w:line="240" w:lineRule="auto" w:before="0"/>
        <w:ind w:left="573" w:right="0"/>
        <w:jc w:val="left"/>
      </w:pPr>
      <w:r>
        <w:rPr/>
        <w:t>我们针对商誉的减值执行的主要审计程序包括：</w:t>
      </w:r>
    </w:p>
    <w:p>
      <w:pPr>
        <w:pStyle w:val="BodyText"/>
        <w:spacing w:line="384" w:lineRule="auto" w:before="164"/>
        <w:ind w:left="574" w:right="4873"/>
        <w:jc w:val="left"/>
      </w:pPr>
      <w:r>
        <w:rPr>
          <w:rFonts w:ascii="宋体" w:hAnsi="宋体" w:cs="宋体" w:eastAsia="宋体" w:hint="default"/>
        </w:rPr>
        <w:t>(1)</w:t>
      </w:r>
      <w:r>
        <w:rPr>
          <w:rFonts w:ascii="宋体" w:hAnsi="宋体" w:cs="宋体" w:eastAsia="宋体" w:hint="default"/>
          <w:spacing w:val="-1"/>
        </w:rPr>
        <w:t> </w:t>
      </w:r>
      <w:r>
        <w:rPr/>
        <w:t>了解并测试达实智能与商誉减值相关的关键内部控制； </w:t>
      </w:r>
      <w:r>
        <w:rPr>
          <w:rFonts w:ascii="宋体" w:hAnsi="宋体" w:cs="宋体" w:eastAsia="宋体" w:hint="default"/>
        </w:rPr>
        <w:t>(2)</w:t>
      </w:r>
      <w:r>
        <w:rPr/>
        <w:t>评价独立评估师的胜任能力、专业素质和客观性；</w:t>
      </w:r>
    </w:p>
    <w:p>
      <w:pPr>
        <w:spacing w:after="0" w:line="384"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0"/>
        <w:ind w:left="573" w:right="0"/>
        <w:jc w:val="left"/>
      </w:pPr>
      <w:r>
        <w:rPr>
          <w:rFonts w:ascii="宋体" w:hAnsi="宋体" w:cs="宋体" w:eastAsia="宋体" w:hint="default"/>
        </w:rPr>
        <w:t>(3)</w:t>
      </w:r>
      <w:r>
        <w:rPr>
          <w:rFonts w:ascii="宋体" w:hAnsi="宋体" w:cs="宋体" w:eastAsia="宋体" w:hint="default"/>
          <w:spacing w:val="-1"/>
        </w:rPr>
        <w:t> </w:t>
      </w:r>
      <w:r>
        <w:rPr/>
        <w:t>评估减值测试方法的适当性；</w:t>
      </w:r>
    </w:p>
    <w:p>
      <w:pPr>
        <w:pStyle w:val="BodyText"/>
        <w:spacing w:line="348" w:lineRule="auto" w:before="165"/>
        <w:ind w:right="0" w:firstLine="420"/>
        <w:jc w:val="left"/>
      </w:pPr>
      <w:r>
        <w:rPr>
          <w:rFonts w:ascii="宋体" w:hAnsi="宋体" w:cs="宋体" w:eastAsia="宋体" w:hint="default"/>
        </w:rPr>
        <w:t>(4)</w:t>
      </w:r>
      <w:r>
        <w:rPr>
          <w:rFonts w:ascii="宋体" w:hAnsi="宋体" w:cs="宋体" w:eastAsia="宋体" w:hint="default"/>
          <w:spacing w:val="27"/>
        </w:rPr>
        <w:t> </w:t>
      </w:r>
      <w:r>
        <w:rPr>
          <w:spacing w:val="3"/>
        </w:rPr>
        <w:t>测试管理层减值测试所依据的基础数据，评估管理层减值测试中所采用关键假设及判断的合理</w:t>
      </w:r>
      <w:r>
        <w:rPr/>
        <w:t> 性，以及了解和评价管理层利用其估值专家的工作；</w:t>
      </w:r>
    </w:p>
    <w:p>
      <w:pPr>
        <w:spacing w:line="405" w:lineRule="auto" w:before="71"/>
        <w:ind w:left="576" w:right="6344" w:hanging="3"/>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验证商誉减值测试模型的计算准确性。 </w:t>
      </w:r>
      <w:r>
        <w:rPr>
          <w:rFonts w:ascii="宋体" w:hAnsi="宋体" w:cs="宋体" w:eastAsia="宋体" w:hint="default"/>
          <w:b/>
          <w:bCs/>
          <w:sz w:val="21"/>
          <w:szCs w:val="21"/>
        </w:rPr>
        <w:t>四、</w:t>
      </w:r>
      <w:r>
        <w:rPr>
          <w:rFonts w:ascii="宋体" w:hAnsi="宋体" w:cs="宋体" w:eastAsia="宋体" w:hint="default"/>
          <w:b/>
          <w:bCs/>
          <w:spacing w:val="-2"/>
          <w:sz w:val="21"/>
          <w:szCs w:val="21"/>
        </w:rPr>
        <w:t> </w:t>
      </w:r>
      <w:r>
        <w:rPr>
          <w:rFonts w:ascii="宋体" w:hAnsi="宋体" w:cs="宋体" w:eastAsia="宋体" w:hint="default"/>
          <w:b/>
          <w:bCs/>
          <w:sz w:val="21"/>
          <w:szCs w:val="21"/>
        </w:rPr>
        <w:t>其他信息</w:t>
      </w:r>
      <w:r>
        <w:rPr>
          <w:rFonts w:ascii="宋体" w:hAnsi="宋体" w:cs="宋体" w:eastAsia="宋体" w:hint="default"/>
          <w:sz w:val="21"/>
          <w:szCs w:val="21"/>
        </w:rPr>
      </w:r>
    </w:p>
    <w:p>
      <w:pPr>
        <w:pStyle w:val="BodyText"/>
        <w:spacing w:line="348" w:lineRule="auto" w:before="138"/>
        <w:ind w:right="1115" w:firstLine="420"/>
        <w:jc w:val="left"/>
      </w:pPr>
      <w:r>
        <w:rPr/>
        <w:t>管理层对其他信息负责。其他信息包括达实智能 </w:t>
      </w:r>
      <w:r>
        <w:rPr>
          <w:rFonts w:ascii="宋体" w:hAnsi="宋体" w:cs="宋体" w:eastAsia="宋体" w:hint="default"/>
        </w:rPr>
        <w:t>2017</w:t>
      </w:r>
      <w:r>
        <w:rPr>
          <w:rFonts w:ascii="宋体" w:hAnsi="宋体" w:cs="宋体" w:eastAsia="宋体" w:hint="default"/>
          <w:spacing w:val="-22"/>
        </w:rPr>
        <w:t> </w:t>
      </w:r>
      <w:r>
        <w:rPr/>
        <w:t>年年度报告中涵盖的信息，但不包括财务报表 和我们的审计报告。</w:t>
      </w:r>
    </w:p>
    <w:p>
      <w:pPr>
        <w:spacing w:line="240" w:lineRule="auto" w:before="4"/>
        <w:rPr>
          <w:rFonts w:ascii="宋体" w:hAnsi="宋体" w:cs="宋体" w:eastAsia="宋体" w:hint="default"/>
          <w:sz w:val="14"/>
          <w:szCs w:val="14"/>
        </w:rPr>
      </w:pPr>
    </w:p>
    <w:p>
      <w:pPr>
        <w:pStyle w:val="BodyText"/>
        <w:spacing w:line="240" w:lineRule="auto" w:before="0"/>
        <w:ind w:left="573" w:right="0"/>
        <w:jc w:val="left"/>
      </w:pPr>
      <w:r>
        <w:rPr/>
        <w:t>我们对财务报表发表的审计意见不涵盖其他信息，我们也不对其他信息发表任何形式的鉴证结论。</w:t>
      </w:r>
    </w:p>
    <w:p>
      <w:pPr>
        <w:spacing w:line="240" w:lineRule="auto" w:before="6"/>
        <w:rPr>
          <w:rFonts w:ascii="宋体" w:hAnsi="宋体" w:cs="宋体" w:eastAsia="宋体" w:hint="default"/>
          <w:sz w:val="21"/>
          <w:szCs w:val="21"/>
        </w:rPr>
      </w:pPr>
    </w:p>
    <w:p>
      <w:pPr>
        <w:pStyle w:val="BodyText"/>
        <w:spacing w:line="348" w:lineRule="auto" w:before="0"/>
        <w:ind w:right="0" w:firstLine="420"/>
        <w:jc w:val="left"/>
      </w:pPr>
      <w:r>
        <w:rPr>
          <w:spacing w:val="-1"/>
        </w:rPr>
        <w:t>结合我们对财务报表的审计，我们的责任是阅读其他信息，在此过程中，考虑其他信息是否与财务报</w:t>
      </w:r>
      <w:r>
        <w:rPr/>
        <w:t> 表或我们在审计过程中了解到的情况存在重大不一致或者似乎存在重大错报。</w:t>
      </w:r>
    </w:p>
    <w:p>
      <w:pPr>
        <w:spacing w:line="240" w:lineRule="auto" w:before="4"/>
        <w:rPr>
          <w:rFonts w:ascii="宋体" w:hAnsi="宋体" w:cs="宋体" w:eastAsia="宋体" w:hint="default"/>
          <w:sz w:val="14"/>
          <w:szCs w:val="14"/>
        </w:rPr>
      </w:pPr>
    </w:p>
    <w:p>
      <w:pPr>
        <w:pStyle w:val="BodyText"/>
        <w:spacing w:line="348" w:lineRule="auto" w:before="0"/>
        <w:ind w:right="1093" w:firstLine="420"/>
        <w:jc w:val="left"/>
      </w:pPr>
      <w:r>
        <w:rPr/>
        <w:t>基于我们已经执行的工作，如果我们确定其他信息存在重大错报，我们应当报告该事实。在这方面， 我们无任何事项需要报告。</w:t>
      </w:r>
    </w:p>
    <w:p>
      <w:pPr>
        <w:pStyle w:val="Heading3"/>
        <w:spacing w:line="240" w:lineRule="auto" w:before="96"/>
        <w:ind w:left="576" w:right="0"/>
        <w:jc w:val="left"/>
        <w:rPr>
          <w:b w:val="0"/>
          <w:bCs w:val="0"/>
        </w:rPr>
      </w:pPr>
      <w:r>
        <w:rPr/>
        <w:t>五、</w:t>
      </w:r>
      <w:r>
        <w:rPr>
          <w:spacing w:val="-4"/>
        </w:rPr>
        <w:t> </w:t>
      </w:r>
      <w:r>
        <w:rPr/>
        <w:t>管理层和治理层对财务报表的责任</w:t>
      </w:r>
      <w:r>
        <w:rPr>
          <w:b w:val="0"/>
          <w:bCs w:val="0"/>
        </w:rPr>
      </w:r>
    </w:p>
    <w:p>
      <w:pPr>
        <w:spacing w:line="240" w:lineRule="auto" w:before="8"/>
        <w:rPr>
          <w:rFonts w:ascii="宋体" w:hAnsi="宋体" w:cs="宋体" w:eastAsia="宋体" w:hint="default"/>
          <w:b/>
          <w:bCs/>
          <w:sz w:val="21"/>
          <w:szCs w:val="21"/>
        </w:rPr>
      </w:pPr>
    </w:p>
    <w:p>
      <w:pPr>
        <w:pStyle w:val="BodyText"/>
        <w:spacing w:line="350" w:lineRule="auto" w:before="0"/>
        <w:ind w:right="0" w:firstLine="420"/>
        <w:jc w:val="left"/>
      </w:pPr>
      <w:r>
        <w:rPr>
          <w:spacing w:val="-1"/>
        </w:rPr>
        <w:t>达实智能管理层（以下简称“管理层”）负责按照企业会计准则的规定编制财务报表，使其实现公允</w:t>
      </w:r>
      <w:r>
        <w:rPr/>
        <w:t> 反映，并设计、执行和维护必要的内部控制，以使财务报表不存在由于舞弊或错误导致的重大错报。</w:t>
      </w:r>
    </w:p>
    <w:p>
      <w:pPr>
        <w:spacing w:line="240" w:lineRule="auto" w:before="1"/>
        <w:rPr>
          <w:rFonts w:ascii="宋体" w:hAnsi="宋体" w:cs="宋体" w:eastAsia="宋体" w:hint="default"/>
          <w:sz w:val="14"/>
          <w:szCs w:val="14"/>
        </w:rPr>
      </w:pPr>
    </w:p>
    <w:p>
      <w:pPr>
        <w:pStyle w:val="BodyText"/>
        <w:spacing w:line="348" w:lineRule="auto" w:before="0"/>
        <w:ind w:right="1021" w:firstLine="420"/>
        <w:jc w:val="left"/>
      </w:pPr>
      <w:r>
        <w:rPr>
          <w:spacing w:val="-3"/>
        </w:rPr>
        <w:t>在编制财务报表时，管理层负责评估达实智能的持续经营能力，披露与持续经营相关的事项</w:t>
      </w:r>
      <w:r>
        <w:rPr>
          <w:rFonts w:ascii="宋体" w:hAnsi="宋体" w:cs="宋体" w:eastAsia="宋体" w:hint="default"/>
          <w:spacing w:val="-3"/>
        </w:rPr>
        <w:t>(</w:t>
      </w:r>
      <w:r>
        <w:rPr>
          <w:spacing w:val="-3"/>
        </w:rPr>
        <w:t>如适用</w:t>
      </w:r>
      <w:r>
        <w:rPr>
          <w:rFonts w:ascii="宋体" w:hAnsi="宋体" w:cs="宋体" w:eastAsia="宋体" w:hint="default"/>
          <w:spacing w:val="-3"/>
        </w:rPr>
        <w:t>)</w:t>
      </w:r>
      <w:r>
        <w:rPr>
          <w:spacing w:val="-3"/>
        </w:rPr>
        <w:t>，</w:t>
      </w:r>
      <w:r>
        <w:rPr/>
        <w:t> 并运用持续经营假设，除非管理层计划清算达实智能、终止运营或别无其他现实的选择。</w:t>
      </w:r>
    </w:p>
    <w:p>
      <w:pPr>
        <w:spacing w:line="240" w:lineRule="auto" w:before="4"/>
        <w:rPr>
          <w:rFonts w:ascii="宋体" w:hAnsi="宋体" w:cs="宋体" w:eastAsia="宋体" w:hint="default"/>
          <w:sz w:val="14"/>
          <w:szCs w:val="14"/>
        </w:rPr>
      </w:pPr>
    </w:p>
    <w:p>
      <w:pPr>
        <w:spacing w:line="405" w:lineRule="auto" w:before="0"/>
        <w:ind w:left="576" w:right="3013" w:hanging="3"/>
        <w:jc w:val="left"/>
        <w:rPr>
          <w:rFonts w:ascii="宋体" w:hAnsi="宋体" w:cs="宋体" w:eastAsia="宋体" w:hint="default"/>
          <w:sz w:val="21"/>
          <w:szCs w:val="21"/>
        </w:rPr>
      </w:pPr>
      <w:r>
        <w:rPr>
          <w:rFonts w:ascii="宋体" w:hAnsi="宋体" w:cs="宋体" w:eastAsia="宋体" w:hint="default"/>
          <w:spacing w:val="-4"/>
          <w:sz w:val="21"/>
          <w:szCs w:val="21"/>
        </w:rPr>
        <w:t>达实智能治理层（以下简称“治理层”）负责监督达实智能的财务报告过程。</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b/>
          <w:bCs/>
          <w:sz w:val="21"/>
          <w:szCs w:val="21"/>
        </w:rPr>
        <w:t>六、</w:t>
      </w:r>
      <w:r>
        <w:rPr>
          <w:rFonts w:ascii="宋体" w:hAnsi="宋体" w:cs="宋体" w:eastAsia="宋体" w:hint="default"/>
          <w:b/>
          <w:bCs/>
          <w:spacing w:val="-4"/>
          <w:sz w:val="21"/>
          <w:szCs w:val="21"/>
        </w:rPr>
        <w:t> </w:t>
      </w:r>
      <w:r>
        <w:rPr>
          <w:rFonts w:ascii="宋体" w:hAnsi="宋体" w:cs="宋体" w:eastAsia="宋体" w:hint="default"/>
          <w:b/>
          <w:bCs/>
          <w:sz w:val="21"/>
          <w:szCs w:val="21"/>
        </w:rPr>
        <w:t>注册会计师对财务报表审计的责任</w:t>
      </w:r>
      <w:r>
        <w:rPr>
          <w:rFonts w:ascii="宋体" w:hAnsi="宋体" w:cs="宋体" w:eastAsia="宋体" w:hint="default"/>
          <w:sz w:val="21"/>
          <w:szCs w:val="21"/>
        </w:rPr>
      </w:r>
    </w:p>
    <w:p>
      <w:pPr>
        <w:pStyle w:val="BodyText"/>
        <w:spacing w:line="350" w:lineRule="auto" w:before="138"/>
        <w:ind w:left="154" w:right="1131" w:firstLine="420"/>
        <w:jc w:val="both"/>
      </w:pPr>
      <w:r>
        <w:rPr>
          <w:spacing w:val="-1"/>
        </w:rPr>
        <w:t>我们的目标是对财务报表整体是否不存在由于舞弊或错误导致的重大错报获取合理保证，并出具包含</w:t>
      </w:r>
      <w:r>
        <w:rPr/>
        <w:t> </w:t>
      </w:r>
      <w:r>
        <w:rPr>
          <w:spacing w:val="-1"/>
        </w:rPr>
        <w:t>审计意见的审计报告。合理保证是高水平的保证，但并不能保证按照审计准则执行的审计在某一重大错报</w:t>
      </w:r>
      <w:r>
        <w:rPr>
          <w:spacing w:val="-81"/>
        </w:rPr>
        <w:t> </w:t>
      </w:r>
      <w:r>
        <w:rPr>
          <w:spacing w:val="-81"/>
        </w:rPr>
      </w:r>
      <w:r>
        <w:rPr>
          <w:spacing w:val="-1"/>
        </w:rPr>
        <w:t>存在时总能发现。错报可能由于舞弊或错误所导致，如果合理预期错报单独或汇总起来可能影响财务报表</w:t>
      </w:r>
      <w:r>
        <w:rPr>
          <w:spacing w:val="-81"/>
        </w:rPr>
        <w:t> </w:t>
      </w:r>
      <w:r>
        <w:rPr>
          <w:spacing w:val="-81"/>
        </w:rPr>
      </w:r>
      <w:r>
        <w:rPr/>
        <w:t>使用者依据财务报表作出的经济决策，则通常认为错报是重大的。</w:t>
      </w:r>
    </w:p>
    <w:p>
      <w:pPr>
        <w:spacing w:line="240" w:lineRule="auto" w:before="1"/>
        <w:rPr>
          <w:rFonts w:ascii="宋体" w:hAnsi="宋体" w:cs="宋体" w:eastAsia="宋体" w:hint="default"/>
          <w:sz w:val="14"/>
          <w:szCs w:val="14"/>
        </w:rPr>
      </w:pPr>
    </w:p>
    <w:p>
      <w:pPr>
        <w:pStyle w:val="BodyText"/>
        <w:spacing w:line="350" w:lineRule="auto" w:before="0"/>
        <w:ind w:right="1118" w:firstLine="420"/>
        <w:jc w:val="left"/>
      </w:pPr>
      <w:r>
        <w:rPr>
          <w:spacing w:val="-1"/>
        </w:rPr>
        <w:t>在按照审计准则执行审计的过程中，我们运用了职业判断，并保持了职业怀疑。同时，我们也执行以</w:t>
      </w:r>
      <w:r>
        <w:rPr/>
        <w:t> 下工作：</w:t>
      </w:r>
    </w:p>
    <w:p>
      <w:pPr>
        <w:spacing w:line="240" w:lineRule="auto" w:before="1"/>
        <w:rPr>
          <w:rFonts w:ascii="宋体" w:hAnsi="宋体" w:cs="宋体" w:eastAsia="宋体" w:hint="default"/>
          <w:sz w:val="14"/>
          <w:szCs w:val="14"/>
        </w:rPr>
      </w:pPr>
    </w:p>
    <w:p>
      <w:pPr>
        <w:pStyle w:val="BodyText"/>
        <w:spacing w:line="350" w:lineRule="auto" w:before="0"/>
        <w:ind w:left="154" w:right="1023" w:firstLine="420"/>
        <w:jc w:val="left"/>
      </w:pPr>
      <w:r>
        <w:rPr/>
        <w:t>（一）识别和评估由于舞弊或错误导致的财务报表重大错报风险，设计和实施审计程序以应对这些风 </w:t>
      </w:r>
      <w:r>
        <w:rPr>
          <w:spacing w:val="-3"/>
        </w:rPr>
        <w:t>险，并获取充分、适当的审计证据，作为发表审计意见的基础。由于舞弊可能涉及串通、伪造、故意遗漏、</w:t>
      </w:r>
      <w:r>
        <w:rPr>
          <w:spacing w:val="-94"/>
        </w:rPr>
        <w:t> </w:t>
      </w:r>
      <w:r>
        <w:rPr>
          <w:spacing w:val="-94"/>
        </w:rPr>
      </w:r>
      <w:r>
        <w:rPr/>
        <w:t>虚假陈述或凌驾于内部控制之上，未能发现由于舞弊导致的重大错报的风险高于未能发现由于错误导致的</w:t>
      </w:r>
      <w:r>
        <w:rPr/>
        <w:t> 重大错报的风险。</w:t>
      </w:r>
    </w:p>
    <w:p>
      <w:pPr>
        <w:spacing w:after="0" w:line="35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0"/>
        <w:ind w:left="573" w:right="0"/>
        <w:jc w:val="left"/>
      </w:pPr>
      <w:r>
        <w:rPr/>
        <w:t>（二）了解与审计相关的内部控制，以设计恰当的审计程序。</w:t>
      </w:r>
    </w:p>
    <w:p>
      <w:pPr>
        <w:spacing w:line="240" w:lineRule="auto" w:before="6"/>
        <w:rPr>
          <w:rFonts w:ascii="宋体" w:hAnsi="宋体" w:cs="宋体" w:eastAsia="宋体" w:hint="default"/>
          <w:sz w:val="21"/>
          <w:szCs w:val="21"/>
        </w:rPr>
      </w:pPr>
    </w:p>
    <w:p>
      <w:pPr>
        <w:pStyle w:val="BodyText"/>
        <w:spacing w:line="240" w:lineRule="auto" w:before="0"/>
        <w:ind w:left="573" w:right="0"/>
        <w:jc w:val="left"/>
      </w:pPr>
      <w:r>
        <w:rPr/>
        <w:t>（三）评价管理层选用会计政策的恰当性和作出会计估计及相关披露的合理性。</w:t>
      </w:r>
    </w:p>
    <w:p>
      <w:pPr>
        <w:spacing w:line="240" w:lineRule="auto" w:before="8"/>
        <w:rPr>
          <w:rFonts w:ascii="宋体" w:hAnsi="宋体" w:cs="宋体" w:eastAsia="宋体" w:hint="default"/>
          <w:sz w:val="21"/>
          <w:szCs w:val="21"/>
        </w:rPr>
      </w:pPr>
    </w:p>
    <w:p>
      <w:pPr>
        <w:pStyle w:val="BodyText"/>
        <w:spacing w:line="350" w:lineRule="auto" w:before="0"/>
        <w:ind w:right="1131" w:firstLine="420"/>
        <w:jc w:val="both"/>
      </w:pPr>
      <w:r>
        <w:rPr>
          <w:spacing w:val="-1"/>
        </w:rPr>
        <w:t>（四）对管理层使用持续经营假设的恰当性得出结论。同时，根据获取的审计证据，就可能导致对达</w:t>
      </w:r>
      <w:r>
        <w:rPr/>
        <w:t> </w:t>
      </w:r>
      <w:r>
        <w:rPr>
          <w:spacing w:val="-1"/>
        </w:rPr>
        <w:t>实智能持续经营能力产生重大疑虑的事项或情况是否存在重大不确定性得出结论。如果我们得出结论认为</w:t>
      </w:r>
      <w:r>
        <w:rPr>
          <w:spacing w:val="-81"/>
        </w:rPr>
        <w:t> </w:t>
      </w:r>
      <w:r>
        <w:rPr>
          <w:spacing w:val="-81"/>
        </w:rPr>
      </w:r>
      <w:r>
        <w:rPr>
          <w:spacing w:val="-1"/>
        </w:rPr>
        <w:t>存在重大不确定性，审计准则要求我们在审计报告中提请报表使用者注意财务报表中的相关披露；如果披</w:t>
      </w:r>
      <w:r>
        <w:rPr>
          <w:spacing w:val="-81"/>
        </w:rPr>
        <w:t> </w:t>
      </w:r>
      <w:r>
        <w:rPr>
          <w:spacing w:val="-81"/>
        </w:rPr>
      </w:r>
      <w:r>
        <w:rPr>
          <w:spacing w:val="-1"/>
        </w:rPr>
        <w:t>露不充分，我们应当发表非无保留意见。我们的结论基于截至审计报告日可获得的信息。然而，未来的事</w:t>
      </w:r>
      <w:r>
        <w:rPr>
          <w:spacing w:val="-86"/>
        </w:rPr>
        <w:t> </w:t>
      </w:r>
      <w:r>
        <w:rPr>
          <w:spacing w:val="-86"/>
        </w:rPr>
      </w:r>
      <w:r>
        <w:rPr/>
        <w:t>项或情况可能导致达实智能不能持续经营。</w:t>
      </w:r>
    </w:p>
    <w:p>
      <w:pPr>
        <w:spacing w:line="240" w:lineRule="auto" w:before="1"/>
        <w:rPr>
          <w:rFonts w:ascii="宋体" w:hAnsi="宋体" w:cs="宋体" w:eastAsia="宋体" w:hint="default"/>
          <w:sz w:val="14"/>
          <w:szCs w:val="14"/>
        </w:rPr>
      </w:pPr>
    </w:p>
    <w:p>
      <w:pPr>
        <w:pStyle w:val="BodyText"/>
        <w:spacing w:line="350" w:lineRule="auto" w:before="0"/>
        <w:ind w:right="1142" w:firstLine="420"/>
        <w:jc w:val="both"/>
      </w:pPr>
      <w:r>
        <w:rPr>
          <w:spacing w:val="-1"/>
        </w:rPr>
        <w:t>（五）评价财务报表的总体列报、结构和内容（包括披露），并评价财务报表是否公允反映相关交易</w:t>
      </w:r>
      <w:r>
        <w:rPr/>
        <w:t> 和事项。</w:t>
      </w:r>
    </w:p>
    <w:p>
      <w:pPr>
        <w:spacing w:line="240" w:lineRule="auto" w:before="1"/>
        <w:rPr>
          <w:rFonts w:ascii="宋体" w:hAnsi="宋体" w:cs="宋体" w:eastAsia="宋体" w:hint="default"/>
          <w:sz w:val="14"/>
          <w:szCs w:val="14"/>
        </w:rPr>
      </w:pPr>
    </w:p>
    <w:p>
      <w:pPr>
        <w:pStyle w:val="BodyText"/>
        <w:spacing w:line="348" w:lineRule="auto" w:before="0"/>
        <w:ind w:right="1018" w:firstLine="420"/>
        <w:jc w:val="left"/>
      </w:pPr>
      <w:r>
        <w:rPr>
          <w:spacing w:val="-3"/>
        </w:rPr>
        <w:t>（六）就达实智能中实体或业务活动的财务信息获取充分、适当的审计证据，以对财务报表发表意见。</w:t>
      </w:r>
      <w:r>
        <w:rPr/>
        <w:t> 我们负责指导、监督和执行集团审计。我们对审计意见承担全部责任。</w:t>
      </w:r>
    </w:p>
    <w:p>
      <w:pPr>
        <w:spacing w:line="240" w:lineRule="auto" w:before="4"/>
        <w:rPr>
          <w:rFonts w:ascii="宋体" w:hAnsi="宋体" w:cs="宋体" w:eastAsia="宋体" w:hint="default"/>
          <w:sz w:val="14"/>
          <w:szCs w:val="14"/>
        </w:rPr>
      </w:pPr>
    </w:p>
    <w:p>
      <w:pPr>
        <w:pStyle w:val="BodyText"/>
        <w:spacing w:line="348" w:lineRule="auto" w:before="0"/>
        <w:ind w:right="1131" w:firstLine="420"/>
        <w:jc w:val="both"/>
      </w:pPr>
      <w:r>
        <w:rPr>
          <w:spacing w:val="-1"/>
        </w:rPr>
        <w:t>我们与治理层就计划的审计范围、时间安排和重大审计发现等事项进行沟通，包括沟通我们在审计中</w:t>
      </w:r>
      <w:r>
        <w:rPr/>
        <w:t> 识别出的值得关注的内部控制缺陷。</w:t>
      </w:r>
    </w:p>
    <w:p>
      <w:pPr>
        <w:spacing w:line="240" w:lineRule="auto" w:before="3"/>
        <w:rPr>
          <w:rFonts w:ascii="宋体" w:hAnsi="宋体" w:cs="宋体" w:eastAsia="宋体" w:hint="default"/>
          <w:sz w:val="14"/>
          <w:szCs w:val="14"/>
        </w:rPr>
      </w:pPr>
    </w:p>
    <w:p>
      <w:pPr>
        <w:pStyle w:val="BodyText"/>
        <w:spacing w:line="350" w:lineRule="auto" w:before="0"/>
        <w:ind w:right="1131" w:firstLine="420"/>
        <w:jc w:val="both"/>
      </w:pPr>
      <w:r>
        <w:rPr>
          <w:spacing w:val="-1"/>
        </w:rPr>
        <w:t>我们还就已遵守与独立性相关的职业道德要求向治理层提供声明，并与治理层沟通可能被合理认为影</w:t>
      </w:r>
      <w:r>
        <w:rPr/>
        <w:t> 响我们独立性的所有关系和其他事项，以及相关的防范措施。</w:t>
      </w:r>
    </w:p>
    <w:p>
      <w:pPr>
        <w:spacing w:line="240" w:lineRule="auto" w:before="1"/>
        <w:rPr>
          <w:rFonts w:ascii="宋体" w:hAnsi="宋体" w:cs="宋体" w:eastAsia="宋体" w:hint="default"/>
          <w:sz w:val="14"/>
          <w:szCs w:val="14"/>
        </w:rPr>
      </w:pPr>
    </w:p>
    <w:p>
      <w:pPr>
        <w:pStyle w:val="BodyText"/>
        <w:spacing w:line="350" w:lineRule="auto" w:before="0"/>
        <w:ind w:right="1131" w:firstLine="420"/>
        <w:jc w:val="both"/>
      </w:pPr>
      <w:r>
        <w:rPr>
          <w:spacing w:val="-1"/>
        </w:rPr>
        <w:t>从与治理层沟通过的事项中，我们确定哪些事项对本期财务报表审计最为重要，因而构成关键审计事</w:t>
      </w:r>
      <w:r>
        <w:rPr/>
        <w:t> </w:t>
      </w:r>
      <w:r>
        <w:rPr>
          <w:spacing w:val="-1"/>
        </w:rPr>
        <w:t>项。我们在审计报告中描述这些事项，除非法律法规禁止公开披露这些事项，或在极少数情形下，如果合</w:t>
      </w:r>
      <w:r>
        <w:rPr>
          <w:spacing w:val="-86"/>
        </w:rPr>
        <w:t> </w:t>
      </w:r>
      <w:r>
        <w:rPr>
          <w:spacing w:val="-86"/>
        </w:rPr>
      </w:r>
      <w:r>
        <w:rPr>
          <w:spacing w:val="-1"/>
        </w:rPr>
        <w:t>理预期在审计报告中沟通某事项造成的负面后果超过在公众利益方面产生的益处，我们确定不应在审计报</w:t>
      </w:r>
      <w:r>
        <w:rPr>
          <w:spacing w:val="-81"/>
        </w:rPr>
        <w:t> </w:t>
      </w:r>
      <w:r>
        <w:rPr>
          <w:spacing w:val="-81"/>
        </w:rPr>
      </w:r>
      <w:r>
        <w:rPr/>
        <w:t>告中沟通该事项。</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tabs>
          <w:tab w:pos="4354" w:val="left" w:leader="none"/>
          <w:tab w:pos="6243" w:val="left" w:leader="none"/>
          <w:tab w:pos="7550" w:val="left" w:leader="none"/>
        </w:tabs>
        <w:spacing w:line="240" w:lineRule="auto" w:before="0"/>
        <w:ind w:right="0"/>
        <w:jc w:val="left"/>
        <w:rPr>
          <w:rFonts w:ascii="Times New Roman" w:hAnsi="Times New Roman" w:cs="Times New Roman" w:eastAsia="Times New Roman" w:hint="default"/>
        </w:rPr>
      </w:pPr>
      <w:r>
        <w:rPr>
          <w:spacing w:val="-1"/>
        </w:rPr>
        <w:t>中勤万信会计师事务所</w:t>
      </w:r>
      <w:r>
        <w:rPr>
          <w:rFonts w:ascii="宋体" w:hAnsi="宋体" w:cs="宋体" w:eastAsia="宋体" w:hint="default"/>
          <w:spacing w:val="-1"/>
        </w:rPr>
        <w:t>(</w:t>
      </w:r>
      <w:r>
        <w:rPr>
          <w:spacing w:val="-1"/>
        </w:rPr>
        <w:t>特殊普通合伙</w:t>
      </w:r>
      <w:r>
        <w:rPr>
          <w:rFonts w:ascii="宋体" w:hAnsi="宋体" w:cs="宋体" w:eastAsia="宋体" w:hint="default"/>
          <w:spacing w:val="-1"/>
        </w:rPr>
        <w:t>)</w:t>
        <w:tab/>
      </w:r>
      <w:r>
        <w:rPr>
          <w:spacing w:val="-1"/>
        </w:rPr>
        <w:t>中国注册会计师：</w:t>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rPr>
      </w:r>
    </w:p>
    <w:p>
      <w:pPr>
        <w:pStyle w:val="BodyText"/>
        <w:spacing w:line="240" w:lineRule="auto" w:before="76"/>
        <w:ind w:left="774" w:right="1522"/>
        <w:jc w:val="center"/>
      </w:pPr>
      <w:r>
        <w:rPr/>
        <w:t>（项目合伙人）</w:t>
      </w:r>
    </w:p>
    <w:p>
      <w:pPr>
        <w:spacing w:line="240" w:lineRule="auto" w:before="0"/>
        <w:rPr>
          <w:rFonts w:ascii="宋体" w:hAnsi="宋体" w:cs="宋体" w:eastAsia="宋体" w:hint="default"/>
          <w:sz w:val="20"/>
          <w:szCs w:val="20"/>
        </w:rPr>
      </w:pPr>
    </w:p>
    <w:p>
      <w:pPr>
        <w:pStyle w:val="BodyText"/>
        <w:tabs>
          <w:tab w:pos="4354" w:val="left" w:leader="none"/>
          <w:tab w:pos="6243" w:val="left" w:leader="none"/>
          <w:tab w:pos="7550" w:val="left" w:leader="none"/>
        </w:tabs>
        <w:spacing w:line="240" w:lineRule="auto" w:before="168"/>
        <w:ind w:left="573" w:right="0"/>
        <w:jc w:val="left"/>
        <w:rPr>
          <w:rFonts w:ascii="Times New Roman" w:hAnsi="Times New Roman" w:cs="Times New Roman" w:eastAsia="Times New Roman" w:hint="default"/>
        </w:rPr>
      </w:pPr>
      <w:r>
        <w:rPr/>
        <w:t>二〇一八年三月二十九日</w:t>
        <w:tab/>
        <w:t>中国注册会计师：</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bookmarkStart w:name="二、财务报表" w:id="159"/>
      <w:bookmarkEnd w:id="159"/>
      <w:r>
        <w:rPr>
          <w:b w:val="0"/>
          <w:bCs w:val="0"/>
        </w:rPr>
      </w:r>
      <w:r>
        <w:rPr/>
        <w:t>二、财务报表</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合并资产负债表" w:id="160"/>
      <w:bookmarkEnd w:id="160"/>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编制单位：深圳达实智能股份有限公司</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0"/>
        <w:ind w:left="774" w:right="1751"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710,989,421.21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555,956,768.82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426,173,544.05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174,460,610.50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1,758,638,160.79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1,536,770,120.68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140,594,202.80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95,156,041.66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310,675.17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89,191,358.87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87,116,964.39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286,340,219.90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306,823,429.32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129,023,981.98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246,673,649.20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40,490,615.85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137,304,981.12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3,581,441,505.45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3,140,573,240.86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23,075,000.00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299,562,717.39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352,938,899.99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28,798,842.88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27,848,837.90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66,115,847.38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84,282,177.28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166,620,641.28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167,943,537.46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384,916,055.78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184,110,231.50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110,236,498.32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49,563,337.49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2,356,852.88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6,612,019.69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757,993,230.40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769,183,662.19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9,676,277.43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11,720,212.87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26,461,871.74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23,352,630.20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1,875,813,835.48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1,690,055,546.57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5,457,255,340.93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4,830,628,787.43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368,490,150.22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224,354,946.66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186,838,310.84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128,201,559.84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912,358,772.75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850,767,260.55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106,773,201.15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71,866,803.64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51,582,871.93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43,921,187.09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58,927,644.78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114,858,506.12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739,282.77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2,041,597.49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1,032,156.25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863,440.00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115,118,194.83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134,553,417.98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33,832,239.79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166,705,512.18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94,207,565.63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15,732,592.86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1,929,900,390.94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1,753,866,824.41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233,163,273.86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53,183,042.53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9,351,212.98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25,683,448.11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262,534,486.84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101,056,490.64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2,192,434,877.78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1,854,923,315.05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1,923,597,501.00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1,926,729,576.00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220,908,695.57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216,362,642.02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38,525,177.00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69,951,962.00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75,593,568.46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58,835,879.83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915,758,650.75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678,378,928.30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3,097,333,238.78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2,810,355,064.15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167,487,224.37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165,350,408.23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3,264,820,463.15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2,975,705,472.38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5,457,255,340.93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4,830,628,787.43</w:t>
            </w:r>
          </w:p>
        </w:tc>
      </w:tr>
    </w:tbl>
    <w:p>
      <w:pPr>
        <w:spacing w:line="240" w:lineRule="auto" w:before="3"/>
        <w:rPr>
          <w:rFonts w:ascii="Times New Roman" w:hAnsi="Times New Roman" w:cs="Times New Roman" w:eastAsia="Times New Roman" w:hint="default"/>
          <w:sz w:val="23"/>
          <w:szCs w:val="23"/>
        </w:rPr>
      </w:pPr>
    </w:p>
    <w:p>
      <w:pPr>
        <w:tabs>
          <w:tab w:pos="333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法定代表人：刘磅</w:t>
        <w:tab/>
        <w:t>主管会计工作负责人：黄天朗</w:t>
        <w:tab/>
        <w:t>会计机构负责人：张长伟</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母公司资产负债表" w:id="161"/>
      <w:bookmarkEnd w:id="161"/>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229,269,251.86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306,732,953.42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86,181,475.28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67,798,011.43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1,329,040,528.10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954,327,304.91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21,226,799.81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31,974,826.97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41,917.81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48,709,696.95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51,360,617.66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175,341,272.16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220,792,930.13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3,942,766.88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3,713,713.18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1,893,711,791.04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1,676,742,275.51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23,075,000.00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83,354,608.42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87,297,375.30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1,692,876,677.50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1,631,181,064.24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67,717.88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67,717.88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83,291,209.39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85,187,518.78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8,560,139.11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21,992,601.44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15,530,115.96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8,420,249.97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7,174,187.36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8,045,226.33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17,251,970.54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13,278,498.95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1,931,181,626.16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1,867,970,252.89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3,824,893,417.20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3,544,712,528.40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111,503,211.67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116,613,318.80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627,479,121.32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482,023,584.86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37,846,952.63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21,479,117.08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27,016,793.70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21,328,853.50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32,314,993.12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70,161,411.86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209,266.39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1,032,156.25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863,440.00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87,919,818.32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103,736,481.65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16,332,239.83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15,532,439.64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56,253,158.43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1,147,907,711.66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991,738,647.39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9,351,212.98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25,683,448.11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22,190,000.00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29,371,212.98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47,873,448.11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1,177,278,924.64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1,039,612,095.50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1,923,597,501.00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1,926,729,576.00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222,225,638.42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217,894,760.25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38,525,177.00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69,951,962.00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75,433,200.87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58,675,512.24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464,883,329.27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371,752,546.41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2,647,614,492.56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2,505,100,432.90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3,824,893,417.20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3,544,712,528.40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62"/>
      <w:bookmarkEnd w:id="162"/>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2,572,487,726.02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2,457,015,465.82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2,572,487,726.02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2,457,015,465.82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2,201,570,717.87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2,130,928,241.81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1,735,580,804.22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1,707,827,205.71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20.819977pt;width:157.7pt;height:19.650pt;mso-position-horizontal-relative:page;mso-position-vertical-relative:page;z-index:-1030240" coordorigin="4242,8416" coordsize="3154,393">
            <v:shape style="position:absolute;left:4242;top:8416;width:3154;height:393" coordorigin="4242,8416" coordsize="3154,393" path="m4242,8809l7396,8809,7396,8416,4242,8416,4242,8809xe" filled="true" fillcolor="#ffffff" stroked="false">
              <v:path arrowok="t"/>
              <v:fill type="solid"/>
            </v:shape>
            <w10:wrap type="none"/>
          </v:group>
        </w:pict>
      </w:r>
      <w:r>
        <w:rPr/>
        <w:pict>
          <v:group style="position:absolute;margin-left:212.119995pt;margin-top:557.019958pt;width:157.7pt;height:19.650pt;mso-position-horizontal-relative:page;mso-position-vertical-relative:page;z-index:-1030216" coordorigin="4242,11140" coordsize="3154,393">
            <v:shape style="position:absolute;left:4242;top:11140;width:3154;height:393" coordorigin="4242,11140" coordsize="3154,393" path="m4242,11533l7396,11533,7396,11140,4242,11140,4242,1153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8,829,538.16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13,087,521.76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8" w:right="0"/>
              <w:jc w:val="left"/>
              <w:rPr>
                <w:rFonts w:ascii="Times New Roman" w:hAnsi="Times New Roman" w:cs="Times New Roman" w:eastAsia="Times New Roman" w:hint="default"/>
                <w:sz w:val="18"/>
                <w:szCs w:val="18"/>
              </w:rPr>
            </w:pPr>
            <w:r>
              <w:rPr>
                <w:rFonts w:ascii="Times New Roman"/>
                <w:sz w:val="18"/>
              </w:rPr>
              <w:t>202,093,511.85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171,573,397.61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210,575,428.85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199,249,759.06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4,914,072.04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-966,750.32</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39,577,362.75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40,157,107.99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-332,511.89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-1,554,455.05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-329,995.02</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-1,554,455.05</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-274,190.11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-9,066.86</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8,420,908.93</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378,731,215.08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324,523,702.10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11,720,503.22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25,308,697.08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549,691.33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334,208.89</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389,902,026.97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349,498,190.29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56,623,230.56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53,927,711.98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333,278,796.41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295,570,478.31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333,278,796.41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295,570,478.31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8" w:right="0"/>
              <w:jc w:val="left"/>
              <w:rPr>
                <w:rFonts w:ascii="Times New Roman" w:hAnsi="Times New Roman" w:cs="Times New Roman" w:eastAsia="Times New Roman" w:hint="default"/>
                <w:sz w:val="18"/>
                <w:szCs w:val="18"/>
              </w:rPr>
            </w:pPr>
            <w:r>
              <w:rPr>
                <w:rFonts w:ascii="Times New Roman"/>
                <w:sz w:val="18"/>
              </w:rPr>
              <w:t>311,825,825.86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275,495,429.54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21,452,970.55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20,075,048.77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65"/>
              <w:jc w:val="right"/>
              <w:rPr>
                <w:rFonts w:ascii="宋体" w:hAnsi="宋体" w:cs="宋体" w:eastAsia="宋体" w:hint="default"/>
                <w:sz w:val="18"/>
                <w:szCs w:val="18"/>
              </w:rPr>
            </w:pPr>
            <w:r>
              <w:rPr>
                <w:rFonts w:ascii="宋体" w:hAnsi="宋体" w:cs="宋体" w:eastAsia="宋体" w:hint="default"/>
                <w:sz w:val="18"/>
                <w:szCs w:val="18"/>
              </w:rPr>
              <w:t>归属母公司所有者的其他综合收益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333,278,796.41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295,570,478.31</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5"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311,825,825.86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275,495,429.54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21,452,970.55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20,075,048.77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0.1453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0.1620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0.1429</w:t>
            </w:r>
          </w:p>
        </w:tc>
      </w:tr>
    </w:tbl>
    <w:p>
      <w:pPr>
        <w:tabs>
          <w:tab w:pos="3484" w:val="left" w:leader="none"/>
          <w:tab w:pos="7715" w:val="left" w:leader="none"/>
        </w:tabs>
        <w:spacing w:line="592" w:lineRule="auto" w:before="51"/>
        <w:ind w:left="153" w:right="1229"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法定代表人：刘磅</w:t>
        <w:tab/>
        <w:t>主管会计工作负责人：黄天朗</w:t>
        <w:tab/>
        <w:t>会计机构负责人：张长伟 </w:t>
      </w:r>
      <w:bookmarkStart w:name="4、母公司利润表" w:id="163"/>
      <w:bookmarkEnd w:id="163"/>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1,539,039,797.07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1,464,080,025.64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1,128,987,250.34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1,138,230,914.72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2,626,590.60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4,732,872.40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130,297,869.39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92,387,468.54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68,574,972.67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73,296,201.08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660,806.77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-3,270,790.97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29,309,820.18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22,851,022.81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6,645,004.98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-1,514,397.40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-329,995.02</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-1,554,455.05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-59,413.36</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-20,322.69</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151,190.00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185,319,268.74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134,317,616.97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7,572,536.41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7,100,911.61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69,300.00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192,521,805.15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141,349,228.58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24,944,918.88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19,698,161.98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167,576,886.27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121,651,066.60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167,576,886.27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121,651,066.60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167,576,886.27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121,651,066.60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合并现金流量表" w:id="164"/>
      <w:bookmarkEnd w:id="164"/>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2,362,625,064.46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1,992,632,048.35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8,420,908.93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11,039,076.03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48,930,688.96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45,971,495.58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2,419,976,662.35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2,049,642,619.96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1,658,431,115.66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1,509,084,305.54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285,584,411.00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252,171,963.65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118,797,113.69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105,426,592.62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147,036,676.46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197,777,467.80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2,209,849,316.81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2,064,460,329.61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210,127,345.54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-14,817,709.65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504,216,783.33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289,325,046.97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36,732.87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3,864,409.74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40,795,425.48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320,054,925.38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668,912,500.00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824,309,891.58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1,002,897,382.19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203,500,099.31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102,728,235.73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561,671,066.37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650,756,499.90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215,625,809.92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788,483,018.87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980,796,975.60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1,541,967,754.50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-156,487,084.02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-539,070,372.31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17,086,640.00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723,499,940.48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361,104,169.17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5,028,059.53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162,891,583.00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728,528,000.01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541,082,392.17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532,435,216.67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328,767,324.74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84,346,538.26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39,737,709.99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48,959.35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10,197,583.08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65,845,492.90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626,979,338.01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434,350,527.63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101,548,662.00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106,731,864.54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-283,503.29</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78,954.26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154,905,420.23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-447,077,263.16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507,650,217.06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954,727,480.22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662,555,637.29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507,650,217.06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65"/>
      <w:bookmarkEnd w:id="165"/>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1,266,873,589.30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1,228,205,825.99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151,190.00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152,105.19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25,338,038.33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18,482,778.82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1,292,362,817.63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1,246,840,710.00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983,234,744.14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1,112,545,025.34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139,871,843.57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113,711,649.16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37,466,008.10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28,239,419.99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50,902,476.95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86,138,680.25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1,211,475,072.76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1,340,634,774.74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80,887,744.87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-93,794,064.74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4,600,000.00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31,208,909.74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130,415,118.53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391,068,972.95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150,316,468.53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422,278,482.69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26,399,407.65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15,235,484.37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468,790,000.00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432,933,018.87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202,179,407.65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916,958,503.24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-51,862,939.12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-494,680,020.55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8,086,640.00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199,933,050.51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208,019,690.51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175,532,434.94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11,997,162.76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66,067,032.04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36,229,616.95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7,700,873.58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7,179,984.00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249,300,340.56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55,406,763.71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-99,300,340.56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152,612,926.80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-276,946.68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78,936.64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-70,552,481.49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-435,782,221.85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284,864,621.53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720,646,843.38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214,312,140.04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284,864,621.53</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7、合并所有者权益变动表" w:id="166"/>
      <w:bookmarkEnd w:id="166"/>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690"/>
        <w:gridCol w:w="425"/>
        <w:gridCol w:w="510"/>
        <w:gridCol w:w="530"/>
        <w:gridCol w:w="665"/>
        <w:gridCol w:w="665"/>
        <w:gridCol w:w="665"/>
        <w:gridCol w:w="665"/>
        <w:gridCol w:w="664"/>
        <w:gridCol w:w="598"/>
        <w:gridCol w:w="709"/>
        <w:gridCol w:w="689"/>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78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89" w:type="dxa"/>
            <w:vMerge w:val="restart"/>
            <w:tcBorders>
              <w:top w:val="single" w:sz="4" w:space="0" w:color="000000"/>
              <w:left w:val="single" w:sz="4" w:space="0" w:color="000000"/>
              <w:right w:val="single" w:sz="4" w:space="0" w:color="000000"/>
            </w:tcBorders>
          </w:tcPr>
          <w:p>
            <w:pPr>
              <w:pStyle w:val="TableParagraph"/>
              <w:spacing w:line="319" w:lineRule="auto" w:before="51"/>
              <w:ind w:left="159" w:right="157"/>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val="restart"/>
            <w:tcBorders>
              <w:top w:val="single" w:sz="4" w:space="0" w:color="000000"/>
              <w:left w:val="single" w:sz="4" w:space="0" w:color="000000"/>
              <w:right w:val="single" w:sz="4" w:space="0" w:color="000000"/>
            </w:tcBorders>
          </w:tcPr>
          <w:p>
            <w:pPr>
              <w:pStyle w:val="TableParagraph"/>
              <w:spacing w:line="319" w:lineRule="auto" w:before="51"/>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16"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90" w:type="dxa"/>
            <w:vMerge w:val="restart"/>
            <w:tcBorders>
              <w:top w:val="single" w:sz="4" w:space="0" w:color="000000"/>
              <w:left w:val="single" w:sz="9" w:space="0" w:color="D2D2D2"/>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65" w:type="dxa"/>
            <w:gridSpan w:val="3"/>
            <w:vMerge w:val="restart"/>
            <w:tcBorders>
              <w:top w:val="single" w:sz="4" w:space="0" w:color="000000"/>
              <w:left w:val="single" w:sz="4" w:space="0" w:color="000000"/>
              <w:right w:val="single" w:sz="4" w:space="0" w:color="000000"/>
            </w:tcBorders>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tcPr>
          <w:p>
            <w:pPr>
              <w:pStyle w:val="TableParagraph"/>
              <w:spacing w:line="319" w:lineRule="auto" w:before="51"/>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tcPr>
          <w:p>
            <w:pPr>
              <w:pStyle w:val="TableParagraph"/>
              <w:spacing w:line="319" w:lineRule="auto" w:before="51"/>
              <w:ind w:left="146" w:right="14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tcPr>
          <w:p>
            <w:pPr>
              <w:pStyle w:val="TableParagraph"/>
              <w:spacing w:line="319" w:lineRule="auto" w:before="51"/>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tcPr>
          <w:p>
            <w:pPr>
              <w:pStyle w:val="TableParagraph"/>
              <w:spacing w:line="319" w:lineRule="auto" w:before="51"/>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tcPr>
          <w:p>
            <w:pPr>
              <w:pStyle w:val="TableParagraph"/>
              <w:spacing w:line="319" w:lineRule="auto" w:before="51"/>
              <w:ind w:left="146" w:right="14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98" w:type="dxa"/>
            <w:vMerge w:val="restart"/>
            <w:tcBorders>
              <w:top w:val="single" w:sz="4" w:space="0" w:color="000000"/>
              <w:left w:val="single" w:sz="4" w:space="0" w:color="000000"/>
              <w:right w:val="single" w:sz="4" w:space="0" w:color="000000"/>
            </w:tcBorders>
          </w:tcPr>
          <w:p>
            <w:pPr>
              <w:pStyle w:val="TableParagraph"/>
              <w:spacing w:line="319" w:lineRule="auto" w:before="51"/>
              <w:ind w:left="114" w:right="11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709" w:type="dxa"/>
            <w:vMerge w:val="restart"/>
            <w:tcBorders>
              <w:top w:val="single" w:sz="4" w:space="0" w:color="000000"/>
              <w:left w:val="single" w:sz="4" w:space="0" w:color="000000"/>
              <w:right w:val="single" w:sz="4" w:space="0" w:color="000000"/>
            </w:tcBorders>
          </w:tcPr>
          <w:p>
            <w:pPr>
              <w:pStyle w:val="TableParagraph"/>
              <w:spacing w:line="319" w:lineRule="auto" w:before="51"/>
              <w:ind w:left="169" w:right="168"/>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89"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28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0" w:type="dxa"/>
            <w:vMerge/>
            <w:tcBorders>
              <w:left w:val="single" w:sz="9" w:space="0" w:color="D2D2D2"/>
              <w:right w:val="single" w:sz="4" w:space="0" w:color="000000"/>
            </w:tcBorders>
          </w:tcPr>
          <w:p>
            <w:pPr/>
          </w:p>
        </w:tc>
        <w:tc>
          <w:tcPr>
            <w:tcW w:w="1465" w:type="dxa"/>
            <w:gridSpan w:val="3"/>
            <w:vMerge/>
            <w:tcBorders>
              <w:left w:val="single" w:sz="4" w:space="0" w:color="000000"/>
              <w:bottom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59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06"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90" w:type="dxa"/>
            <w:vMerge/>
            <w:tcBorders>
              <w:left w:val="single" w:sz="9" w:space="0" w:color="D2D2D2"/>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Style w:val="TableParagraph"/>
              <w:spacing w:line="319" w:lineRule="auto" w:before="51"/>
              <w:ind w:left="116" w:right="116"/>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10" w:type="dxa"/>
            <w:vMerge w:val="restart"/>
            <w:tcBorders>
              <w:top w:val="single" w:sz="4" w:space="0" w:color="000000"/>
              <w:left w:val="single" w:sz="4" w:space="0" w:color="000000"/>
              <w:right w:val="single" w:sz="4" w:space="0" w:color="000000"/>
            </w:tcBorders>
          </w:tcPr>
          <w:p>
            <w:pPr>
              <w:pStyle w:val="TableParagraph"/>
              <w:spacing w:line="319" w:lineRule="auto" w:before="51"/>
              <w:ind w:left="159" w:right="158"/>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vMerge w:val="restart"/>
            <w:tcBorders>
              <w:top w:val="single" w:sz="4" w:space="0" w:color="000000"/>
              <w:left w:val="single" w:sz="4" w:space="0" w:color="000000"/>
              <w:right w:val="single" w:sz="4" w:space="0" w:color="000000"/>
            </w:tcBorders>
          </w:tcPr>
          <w:p>
            <w:pPr>
              <w:pStyle w:val="TableParagraph"/>
              <w:spacing w:line="319" w:lineRule="auto" w:before="51"/>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59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921"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0" w:type="dxa"/>
            <w:vMerge/>
            <w:tcBorders>
              <w:left w:val="single" w:sz="9" w:space="0" w:color="D2D2D2"/>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1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598"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left"/>
              <w:rPr>
                <w:rFonts w:ascii="Times New Roman" w:hAnsi="Times New Roman" w:cs="Times New Roman" w:eastAsia="Times New Roman" w:hint="default"/>
                <w:sz w:val="18"/>
                <w:szCs w:val="18"/>
              </w:rPr>
            </w:pPr>
            <w:r>
              <w:rPr>
                <w:rFonts w:ascii="Times New Roman"/>
                <w:sz w:val="18"/>
              </w:rPr>
              <w:t>1,926,</w:t>
            </w:r>
          </w:p>
          <w:p>
            <w:pPr>
              <w:pStyle w:val="TableParagraph"/>
              <w:spacing w:line="240" w:lineRule="auto" w:before="105"/>
              <w:ind w:left="171" w:right="0"/>
              <w:jc w:val="left"/>
              <w:rPr>
                <w:rFonts w:ascii="Times New Roman" w:hAnsi="Times New Roman" w:cs="Times New Roman" w:eastAsia="Times New Roman" w:hint="default"/>
                <w:sz w:val="18"/>
                <w:szCs w:val="18"/>
              </w:rPr>
            </w:pPr>
            <w:r>
              <w:rPr>
                <w:rFonts w:ascii="Times New Roman"/>
                <w:sz w:val="18"/>
              </w:rPr>
              <w:t>729,5</w:t>
            </w:r>
          </w:p>
          <w:p>
            <w:pPr>
              <w:pStyle w:val="TableParagraph"/>
              <w:spacing w:line="240" w:lineRule="auto" w:before="106"/>
              <w:ind w:left="395" w:right="0"/>
              <w:jc w:val="left"/>
              <w:rPr>
                <w:rFonts w:ascii="Times New Roman" w:hAnsi="Times New Roman" w:cs="Times New Roman" w:eastAsia="Times New Roman" w:hint="default"/>
                <w:sz w:val="18"/>
                <w:szCs w:val="18"/>
              </w:rPr>
            </w:pPr>
            <w:r>
              <w:rPr>
                <w:rFonts w:ascii="Times New Roman"/>
                <w:sz w:val="18"/>
              </w:rPr>
              <w:t>76</w:t>
            </w:r>
          </w:p>
        </w:tc>
        <w:tc>
          <w:tcPr>
            <w:tcW w:w="42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216,3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62,64</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2.02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69,95</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1,962</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58,83</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5,879</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.83</w:t>
            </w:r>
          </w:p>
        </w:tc>
        <w:tc>
          <w:tcPr>
            <w:tcW w:w="59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 w:right="0"/>
              <w:jc w:val="left"/>
              <w:rPr>
                <w:rFonts w:ascii="Times New Roman" w:hAnsi="Times New Roman" w:cs="Times New Roman" w:eastAsia="Times New Roman" w:hint="default"/>
                <w:sz w:val="18"/>
                <w:szCs w:val="18"/>
              </w:rPr>
            </w:pPr>
            <w:r>
              <w:rPr>
                <w:rFonts w:ascii="Times New Roman"/>
                <w:sz w:val="18"/>
              </w:rPr>
              <w:t>678,3</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78,92</w:t>
            </w:r>
          </w:p>
          <w:p>
            <w:pPr>
              <w:pStyle w:val="TableParagraph"/>
              <w:spacing w:line="240" w:lineRule="auto" w:before="106"/>
              <w:ind w:left="281" w:right="0"/>
              <w:jc w:val="left"/>
              <w:rPr>
                <w:rFonts w:ascii="Times New Roman" w:hAnsi="Times New Roman" w:cs="Times New Roman" w:eastAsia="Times New Roman" w:hint="default"/>
                <w:sz w:val="18"/>
                <w:szCs w:val="18"/>
              </w:rPr>
            </w:pPr>
            <w:r>
              <w:rPr>
                <w:rFonts w:ascii="Times New Roman"/>
                <w:sz w:val="18"/>
              </w:rPr>
              <w:t>8.30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165,3</w:t>
            </w:r>
          </w:p>
          <w:p>
            <w:pPr>
              <w:pStyle w:val="TableParagraph"/>
              <w:spacing w:line="240" w:lineRule="auto" w:before="105"/>
              <w:ind w:left="171" w:right="0"/>
              <w:jc w:val="left"/>
              <w:rPr>
                <w:rFonts w:ascii="Times New Roman" w:hAnsi="Times New Roman" w:cs="Times New Roman" w:eastAsia="Times New Roman" w:hint="default"/>
                <w:sz w:val="18"/>
                <w:szCs w:val="18"/>
              </w:rPr>
            </w:pPr>
            <w:r>
              <w:rPr>
                <w:rFonts w:ascii="Times New Roman"/>
                <w:sz w:val="18"/>
              </w:rPr>
              <w:t>50,40</w:t>
            </w:r>
          </w:p>
          <w:p>
            <w:pPr>
              <w:pStyle w:val="TableParagraph"/>
              <w:spacing w:line="240" w:lineRule="auto" w:before="106"/>
              <w:ind w:left="261" w:right="0"/>
              <w:jc w:val="left"/>
              <w:rPr>
                <w:rFonts w:ascii="Times New Roman" w:hAnsi="Times New Roman" w:cs="Times New Roman" w:eastAsia="Times New Roman" w:hint="default"/>
                <w:sz w:val="18"/>
                <w:szCs w:val="18"/>
              </w:rPr>
            </w:pPr>
            <w:r>
              <w:rPr>
                <w:rFonts w:ascii="Times New Roman"/>
                <w:sz w:val="18"/>
              </w:rPr>
              <w:t>8.23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2,975</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,705,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472.3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加：会计政策变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更</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43"/>
              <w:jc w:val="left"/>
              <w:rPr>
                <w:rFonts w:ascii="宋体" w:hAnsi="宋体" w:cs="宋体" w:eastAsia="宋体" w:hint="default"/>
                <w:sz w:val="18"/>
                <w:szCs w:val="18"/>
              </w:rPr>
            </w:pPr>
            <w:r>
              <w:rPr>
                <w:rFonts w:ascii="宋体" w:hAnsi="宋体" w:cs="宋体" w:eastAsia="宋体" w:hint="default"/>
                <w:sz w:val="18"/>
                <w:szCs w:val="18"/>
              </w:rPr>
              <w:t>同一控制下企 业合并</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left"/>
              <w:rPr>
                <w:rFonts w:ascii="Times New Roman" w:hAnsi="Times New Roman" w:cs="Times New Roman" w:eastAsia="Times New Roman" w:hint="default"/>
                <w:sz w:val="18"/>
                <w:szCs w:val="18"/>
              </w:rPr>
            </w:pPr>
            <w:r>
              <w:rPr>
                <w:rFonts w:ascii="Times New Roman"/>
                <w:sz w:val="18"/>
              </w:rPr>
              <w:t>1,926,</w:t>
            </w:r>
          </w:p>
          <w:p>
            <w:pPr>
              <w:pStyle w:val="TableParagraph"/>
              <w:spacing w:line="240" w:lineRule="auto" w:before="105"/>
              <w:ind w:left="171" w:right="0"/>
              <w:jc w:val="left"/>
              <w:rPr>
                <w:rFonts w:ascii="Times New Roman" w:hAnsi="Times New Roman" w:cs="Times New Roman" w:eastAsia="Times New Roman" w:hint="default"/>
                <w:sz w:val="18"/>
                <w:szCs w:val="18"/>
              </w:rPr>
            </w:pPr>
            <w:r>
              <w:rPr>
                <w:rFonts w:ascii="Times New Roman"/>
                <w:sz w:val="18"/>
              </w:rPr>
              <w:t>729,5</w:t>
            </w:r>
          </w:p>
          <w:p>
            <w:pPr>
              <w:pStyle w:val="TableParagraph"/>
              <w:spacing w:line="240" w:lineRule="auto" w:before="106"/>
              <w:ind w:left="395" w:right="0"/>
              <w:jc w:val="left"/>
              <w:rPr>
                <w:rFonts w:ascii="Times New Roman" w:hAnsi="Times New Roman" w:cs="Times New Roman" w:eastAsia="Times New Roman" w:hint="default"/>
                <w:sz w:val="18"/>
                <w:szCs w:val="18"/>
              </w:rPr>
            </w:pPr>
            <w:r>
              <w:rPr>
                <w:rFonts w:ascii="Times New Roman"/>
                <w:sz w:val="18"/>
              </w:rPr>
              <w:t>76</w:t>
            </w:r>
          </w:p>
        </w:tc>
        <w:tc>
          <w:tcPr>
            <w:tcW w:w="42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216,3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62,64</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2.02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69,95</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1,962</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58,83</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5,879</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.83</w:t>
            </w:r>
          </w:p>
        </w:tc>
        <w:tc>
          <w:tcPr>
            <w:tcW w:w="59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 w:right="0"/>
              <w:jc w:val="left"/>
              <w:rPr>
                <w:rFonts w:ascii="Times New Roman" w:hAnsi="Times New Roman" w:cs="Times New Roman" w:eastAsia="Times New Roman" w:hint="default"/>
                <w:sz w:val="18"/>
                <w:szCs w:val="18"/>
              </w:rPr>
            </w:pPr>
            <w:r>
              <w:rPr>
                <w:rFonts w:ascii="Times New Roman"/>
                <w:sz w:val="18"/>
              </w:rPr>
              <w:t>678,3</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78,92</w:t>
            </w:r>
          </w:p>
          <w:p>
            <w:pPr>
              <w:pStyle w:val="TableParagraph"/>
              <w:spacing w:line="240" w:lineRule="auto" w:before="106"/>
              <w:ind w:left="281" w:right="0"/>
              <w:jc w:val="left"/>
              <w:rPr>
                <w:rFonts w:ascii="Times New Roman" w:hAnsi="Times New Roman" w:cs="Times New Roman" w:eastAsia="Times New Roman" w:hint="default"/>
                <w:sz w:val="18"/>
                <w:szCs w:val="18"/>
              </w:rPr>
            </w:pPr>
            <w:r>
              <w:rPr>
                <w:rFonts w:ascii="Times New Roman"/>
                <w:sz w:val="18"/>
              </w:rPr>
              <w:t>8.30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165,3</w:t>
            </w:r>
          </w:p>
          <w:p>
            <w:pPr>
              <w:pStyle w:val="TableParagraph"/>
              <w:spacing w:line="240" w:lineRule="auto" w:before="105"/>
              <w:ind w:left="171" w:right="0"/>
              <w:jc w:val="left"/>
              <w:rPr>
                <w:rFonts w:ascii="Times New Roman" w:hAnsi="Times New Roman" w:cs="Times New Roman" w:eastAsia="Times New Roman" w:hint="default"/>
                <w:sz w:val="18"/>
                <w:szCs w:val="18"/>
              </w:rPr>
            </w:pPr>
            <w:r>
              <w:rPr>
                <w:rFonts w:ascii="Times New Roman"/>
                <w:sz w:val="18"/>
              </w:rPr>
              <w:t>50,40</w:t>
            </w:r>
          </w:p>
          <w:p>
            <w:pPr>
              <w:pStyle w:val="TableParagraph"/>
              <w:spacing w:line="240" w:lineRule="auto" w:before="106"/>
              <w:ind w:left="261" w:right="0"/>
              <w:jc w:val="left"/>
              <w:rPr>
                <w:rFonts w:ascii="Times New Roman" w:hAnsi="Times New Roman" w:cs="Times New Roman" w:eastAsia="Times New Roman" w:hint="default"/>
                <w:sz w:val="18"/>
                <w:szCs w:val="18"/>
              </w:rPr>
            </w:pPr>
            <w:r>
              <w:rPr>
                <w:rFonts w:ascii="Times New Roman"/>
                <w:sz w:val="18"/>
              </w:rPr>
              <w:t>8.23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2,975</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,705,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472.3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-3,132</w:t>
            </w:r>
          </w:p>
          <w:p>
            <w:pPr>
              <w:pStyle w:val="TableParagraph"/>
              <w:spacing w:line="240" w:lineRule="auto" w:before="106"/>
              <w:ind w:left="158" w:right="0"/>
              <w:jc w:val="center"/>
              <w:rPr>
                <w:rFonts w:ascii="Times New Roman" w:hAnsi="Times New Roman" w:cs="Times New Roman" w:eastAsia="Times New Roman" w:hint="default"/>
                <w:sz w:val="18"/>
                <w:szCs w:val="18"/>
              </w:rPr>
            </w:pPr>
            <w:r>
              <w:rPr>
                <w:rFonts w:ascii="Times New Roman"/>
                <w:sz w:val="18"/>
              </w:rPr>
              <w:t>,075</w:t>
            </w:r>
          </w:p>
        </w:tc>
        <w:tc>
          <w:tcPr>
            <w:tcW w:w="42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4,546</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,053.</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-31,4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26,78</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16,75</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7,688</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.63</w:t>
            </w:r>
          </w:p>
        </w:tc>
        <w:tc>
          <w:tcPr>
            <w:tcW w:w="59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 w:right="0"/>
              <w:jc w:val="left"/>
              <w:rPr>
                <w:rFonts w:ascii="Times New Roman" w:hAnsi="Times New Roman" w:cs="Times New Roman" w:eastAsia="Times New Roman" w:hint="default"/>
                <w:sz w:val="18"/>
                <w:szCs w:val="18"/>
              </w:rPr>
            </w:pPr>
            <w:r>
              <w:rPr>
                <w:rFonts w:ascii="Times New Roman"/>
                <w:sz w:val="18"/>
              </w:rPr>
              <w:t>237,3</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79,72</w:t>
            </w:r>
          </w:p>
          <w:p>
            <w:pPr>
              <w:pStyle w:val="TableParagraph"/>
              <w:spacing w:line="240" w:lineRule="auto" w:before="106"/>
              <w:ind w:left="281" w:right="0"/>
              <w:jc w:val="left"/>
              <w:rPr>
                <w:rFonts w:ascii="Times New Roman" w:hAnsi="Times New Roman" w:cs="Times New Roman" w:eastAsia="Times New Roman" w:hint="default"/>
                <w:sz w:val="18"/>
                <w:szCs w:val="18"/>
              </w:rPr>
            </w:pPr>
            <w:r>
              <w:rPr>
                <w:rFonts w:ascii="Times New Roman"/>
                <w:sz w:val="18"/>
              </w:rPr>
              <w:t>2.45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2,136,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816.1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289,1</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14,99</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0.77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311,82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5,825.</w:t>
            </w:r>
          </w:p>
          <w:p>
            <w:pPr>
              <w:pStyle w:val="TableParagraph"/>
              <w:spacing w:line="240" w:lineRule="auto" w:before="106"/>
              <w:ind w:left="416" w:right="0"/>
              <w:jc w:val="left"/>
              <w:rPr>
                <w:rFonts w:ascii="Times New Roman" w:hAnsi="Times New Roman" w:cs="Times New Roman" w:eastAsia="Times New Roman" w:hint="default"/>
                <w:sz w:val="18"/>
                <w:szCs w:val="18"/>
              </w:rPr>
            </w:pPr>
            <w:r>
              <w:rPr>
                <w:rFonts w:ascii="Times New Roman"/>
                <w:sz w:val="18"/>
              </w:rPr>
              <w:t>86</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21,45</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2,970.</w:t>
            </w:r>
          </w:p>
          <w:p>
            <w:pPr>
              <w:pStyle w:val="TableParagraph"/>
              <w:spacing w:line="240" w:lineRule="auto" w:before="106"/>
              <w:ind w:left="396" w:right="0"/>
              <w:jc w:val="left"/>
              <w:rPr>
                <w:rFonts w:ascii="Times New Roman" w:hAnsi="Times New Roman" w:cs="Times New Roman" w:eastAsia="Times New Roman" w:hint="default"/>
                <w:sz w:val="18"/>
                <w:szCs w:val="18"/>
              </w:rPr>
            </w:pPr>
            <w:r>
              <w:rPr>
                <w:rFonts w:ascii="Times New Roman"/>
                <w:sz w:val="18"/>
              </w:rPr>
              <w:t>55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333,2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78,79</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6.41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-3,132</w:t>
            </w:r>
          </w:p>
          <w:p>
            <w:pPr>
              <w:pStyle w:val="TableParagraph"/>
              <w:spacing w:line="240" w:lineRule="auto" w:before="106"/>
              <w:ind w:left="158" w:right="0"/>
              <w:jc w:val="center"/>
              <w:rPr>
                <w:rFonts w:ascii="Times New Roman" w:hAnsi="Times New Roman" w:cs="Times New Roman" w:eastAsia="Times New Roman" w:hint="default"/>
                <w:sz w:val="18"/>
                <w:szCs w:val="18"/>
              </w:rPr>
            </w:pPr>
            <w:r>
              <w:rPr>
                <w:rFonts w:ascii="Times New Roman"/>
                <w:sz w:val="18"/>
              </w:rPr>
              <w:t>,075</w:t>
            </w:r>
          </w:p>
        </w:tc>
        <w:tc>
          <w:tcPr>
            <w:tcW w:w="42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4,546</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,053.</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-31,4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26,78</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-4,616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,154.4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28,22</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4,609</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.14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-4,621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,781.6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-4,62</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1,781</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.60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-3,132</w:t>
            </w:r>
          </w:p>
          <w:p>
            <w:pPr>
              <w:pStyle w:val="TableParagraph"/>
              <w:spacing w:line="240" w:lineRule="auto" w:before="106"/>
              <w:ind w:left="158" w:right="0"/>
              <w:jc w:val="center"/>
              <w:rPr>
                <w:rFonts w:ascii="Times New Roman" w:hAnsi="Times New Roman" w:cs="Times New Roman" w:eastAsia="Times New Roman" w:hint="default"/>
                <w:sz w:val="18"/>
                <w:szCs w:val="18"/>
              </w:rPr>
            </w:pPr>
            <w:r>
              <w:rPr>
                <w:rFonts w:ascii="Times New Roman"/>
                <w:sz w:val="18"/>
              </w:rPr>
              <w:t>,075</w:t>
            </w:r>
          </w:p>
        </w:tc>
        <w:tc>
          <w:tcPr>
            <w:tcW w:w="42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4,546</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,053.</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-31,4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26,78</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5,627.</w:t>
            </w:r>
          </w:p>
          <w:p>
            <w:pPr>
              <w:pStyle w:val="TableParagraph"/>
              <w:spacing w:line="240" w:lineRule="auto" w:before="106"/>
              <w:ind w:left="396" w:right="0"/>
              <w:jc w:val="left"/>
              <w:rPr>
                <w:rFonts w:ascii="Times New Roman" w:hAnsi="Times New Roman" w:cs="Times New Roman" w:eastAsia="Times New Roman" w:hint="default"/>
                <w:sz w:val="18"/>
                <w:szCs w:val="18"/>
              </w:rPr>
            </w:pPr>
            <w:r>
              <w:rPr>
                <w:rFonts w:ascii="Times New Roman"/>
                <w:sz w:val="18"/>
              </w:rPr>
              <w:t>19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32,84</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6,390</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.74</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690"/>
        <w:gridCol w:w="425"/>
        <w:gridCol w:w="510"/>
        <w:gridCol w:w="530"/>
        <w:gridCol w:w="665"/>
        <w:gridCol w:w="665"/>
        <w:gridCol w:w="665"/>
        <w:gridCol w:w="665"/>
        <w:gridCol w:w="664"/>
        <w:gridCol w:w="598"/>
        <w:gridCol w:w="709"/>
        <w:gridCol w:w="689"/>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16,75</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7,688</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.63</w:t>
            </w:r>
          </w:p>
        </w:tc>
        <w:tc>
          <w:tcPr>
            <w:tcW w:w="59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-74,44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6,103.</w:t>
            </w:r>
          </w:p>
          <w:p>
            <w:pPr>
              <w:pStyle w:val="TableParagraph"/>
              <w:spacing w:line="240" w:lineRule="auto" w:before="106"/>
              <w:ind w:left="416" w:right="0"/>
              <w:jc w:val="left"/>
              <w:rPr>
                <w:rFonts w:ascii="Times New Roman" w:hAnsi="Times New Roman" w:cs="Times New Roman" w:eastAsia="Times New Roman" w:hint="default"/>
                <w:sz w:val="18"/>
                <w:szCs w:val="18"/>
              </w:rPr>
            </w:pPr>
            <w:r>
              <w:rPr>
                <w:rFonts w:ascii="Times New Roman"/>
                <w:sz w:val="18"/>
              </w:rPr>
              <w:t>41</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-14,70</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96" w:right="0"/>
              <w:jc w:val="left"/>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-72,3</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88,41</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4.78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16,75</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7,688</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.63</w:t>
            </w:r>
          </w:p>
        </w:tc>
        <w:tc>
          <w:tcPr>
            <w:tcW w:w="59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-16,75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7,688.</w:t>
            </w:r>
          </w:p>
          <w:p>
            <w:pPr>
              <w:pStyle w:val="TableParagraph"/>
              <w:spacing w:line="240" w:lineRule="auto" w:before="106"/>
              <w:ind w:left="416" w:right="0"/>
              <w:jc w:val="left"/>
              <w:rPr>
                <w:rFonts w:ascii="Times New Roman" w:hAnsi="Times New Roman" w:cs="Times New Roman" w:eastAsia="Times New Roman" w:hint="default"/>
                <w:sz w:val="18"/>
                <w:szCs w:val="18"/>
              </w:rPr>
            </w:pPr>
            <w:r>
              <w:rPr>
                <w:rFonts w:ascii="Times New Roman"/>
                <w:sz w:val="18"/>
              </w:rPr>
              <w:t>63</w:t>
            </w:r>
          </w:p>
        </w:tc>
        <w:tc>
          <w:tcPr>
            <w:tcW w:w="689"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0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．对所有者（或</w:t>
            </w:r>
            <w:r>
              <w:rPr>
                <w:rFonts w:ascii="宋体" w:hAnsi="宋体" w:cs="宋体" w:eastAsia="宋体" w:hint="default"/>
                <w:sz w:val="18"/>
                <w:szCs w:val="18"/>
              </w:rPr>
              <w:t> 股东）的分配</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-57,68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8,414.</w:t>
            </w:r>
          </w:p>
          <w:p>
            <w:pPr>
              <w:pStyle w:val="TableParagraph"/>
              <w:spacing w:line="240" w:lineRule="auto" w:before="106"/>
              <w:ind w:left="416" w:right="0"/>
              <w:jc w:val="left"/>
              <w:rPr>
                <w:rFonts w:ascii="Times New Roman" w:hAnsi="Times New Roman" w:cs="Times New Roman" w:eastAsia="Times New Roman" w:hint="default"/>
                <w:sz w:val="18"/>
                <w:szCs w:val="18"/>
              </w:rPr>
            </w:pPr>
            <w:r>
              <w:rPr>
                <w:rFonts w:ascii="Times New Roman"/>
                <w:sz w:val="18"/>
              </w:rPr>
              <w:t>78</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-14,70</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96" w:right="0"/>
              <w:jc w:val="left"/>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-72,3</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88,41</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4.78</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left"/>
              <w:rPr>
                <w:rFonts w:ascii="Times New Roman" w:hAnsi="Times New Roman" w:cs="Times New Roman" w:eastAsia="Times New Roman" w:hint="default"/>
                <w:sz w:val="18"/>
                <w:szCs w:val="18"/>
              </w:rPr>
            </w:pPr>
            <w:r>
              <w:rPr>
                <w:rFonts w:ascii="Times New Roman"/>
                <w:sz w:val="18"/>
              </w:rPr>
              <w:t>1,923,</w:t>
            </w:r>
          </w:p>
          <w:p>
            <w:pPr>
              <w:pStyle w:val="TableParagraph"/>
              <w:spacing w:line="240" w:lineRule="auto" w:before="105"/>
              <w:ind w:left="171" w:right="0"/>
              <w:jc w:val="left"/>
              <w:rPr>
                <w:rFonts w:ascii="Times New Roman" w:hAnsi="Times New Roman" w:cs="Times New Roman" w:eastAsia="Times New Roman" w:hint="default"/>
                <w:sz w:val="18"/>
                <w:szCs w:val="18"/>
              </w:rPr>
            </w:pPr>
            <w:r>
              <w:rPr>
                <w:rFonts w:ascii="Times New Roman"/>
                <w:sz w:val="18"/>
              </w:rPr>
              <w:t>597,5</w:t>
            </w:r>
          </w:p>
          <w:p>
            <w:pPr>
              <w:pStyle w:val="TableParagraph"/>
              <w:spacing w:line="240" w:lineRule="auto" w:before="106"/>
              <w:ind w:left="395" w:right="0"/>
              <w:jc w:val="left"/>
              <w:rPr>
                <w:rFonts w:ascii="Times New Roman" w:hAnsi="Times New Roman" w:cs="Times New Roman" w:eastAsia="Times New Roman" w:hint="default"/>
                <w:sz w:val="18"/>
                <w:szCs w:val="18"/>
              </w:rPr>
            </w:pPr>
            <w:r>
              <w:rPr>
                <w:rFonts w:ascii="Times New Roman"/>
                <w:sz w:val="18"/>
              </w:rPr>
              <w:t>01</w:t>
            </w:r>
          </w:p>
        </w:tc>
        <w:tc>
          <w:tcPr>
            <w:tcW w:w="42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220,9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08,69</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5.57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38,52</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5,177</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75,59</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3,568</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.46</w:t>
            </w:r>
          </w:p>
        </w:tc>
        <w:tc>
          <w:tcPr>
            <w:tcW w:w="59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 w:right="0"/>
              <w:jc w:val="left"/>
              <w:rPr>
                <w:rFonts w:ascii="Times New Roman" w:hAnsi="Times New Roman" w:cs="Times New Roman" w:eastAsia="Times New Roman" w:hint="default"/>
                <w:sz w:val="18"/>
                <w:szCs w:val="18"/>
              </w:rPr>
            </w:pPr>
            <w:r>
              <w:rPr>
                <w:rFonts w:ascii="Times New Roman"/>
                <w:sz w:val="18"/>
              </w:rPr>
              <w:t>915,7</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58,65</w:t>
            </w:r>
          </w:p>
          <w:p>
            <w:pPr>
              <w:pStyle w:val="TableParagraph"/>
              <w:spacing w:line="240" w:lineRule="auto" w:before="106"/>
              <w:ind w:left="281" w:right="0"/>
              <w:jc w:val="left"/>
              <w:rPr>
                <w:rFonts w:ascii="Times New Roman" w:hAnsi="Times New Roman" w:cs="Times New Roman" w:eastAsia="Times New Roman" w:hint="default"/>
                <w:sz w:val="18"/>
                <w:szCs w:val="18"/>
              </w:rPr>
            </w:pPr>
            <w:r>
              <w:rPr>
                <w:rFonts w:ascii="Times New Roman"/>
                <w:sz w:val="18"/>
              </w:rPr>
              <w:t>0.75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167,4</w:t>
            </w:r>
          </w:p>
          <w:p>
            <w:pPr>
              <w:pStyle w:val="TableParagraph"/>
              <w:spacing w:line="240" w:lineRule="auto" w:before="105"/>
              <w:ind w:left="171" w:right="0"/>
              <w:jc w:val="left"/>
              <w:rPr>
                <w:rFonts w:ascii="Times New Roman" w:hAnsi="Times New Roman" w:cs="Times New Roman" w:eastAsia="Times New Roman" w:hint="default"/>
                <w:sz w:val="18"/>
                <w:szCs w:val="18"/>
              </w:rPr>
            </w:pPr>
            <w:r>
              <w:rPr>
                <w:rFonts w:ascii="Times New Roman"/>
                <w:sz w:val="18"/>
              </w:rPr>
              <w:t>87,22</w:t>
            </w:r>
          </w:p>
          <w:p>
            <w:pPr>
              <w:pStyle w:val="TableParagraph"/>
              <w:spacing w:line="240" w:lineRule="auto" w:before="106"/>
              <w:ind w:left="261" w:right="0"/>
              <w:jc w:val="left"/>
              <w:rPr>
                <w:rFonts w:ascii="Times New Roman" w:hAnsi="Times New Roman" w:cs="Times New Roman" w:eastAsia="Times New Roman" w:hint="default"/>
                <w:sz w:val="18"/>
                <w:szCs w:val="18"/>
              </w:rPr>
            </w:pPr>
            <w:r>
              <w:rPr>
                <w:rFonts w:ascii="Times New Roman"/>
                <w:sz w:val="18"/>
              </w:rPr>
              <w:t>4.37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3,264</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,820,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463.1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830"/>
        <w:gridCol w:w="426"/>
        <w:gridCol w:w="425"/>
        <w:gridCol w:w="473"/>
        <w:gridCol w:w="665"/>
        <w:gridCol w:w="665"/>
        <w:gridCol w:w="665"/>
        <w:gridCol w:w="665"/>
        <w:gridCol w:w="665"/>
        <w:gridCol w:w="665"/>
        <w:gridCol w:w="689"/>
        <w:gridCol w:w="640"/>
        <w:gridCol w:w="647"/>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2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33"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0" w:type="dxa"/>
            <w:vMerge w:val="restart"/>
            <w:tcBorders>
              <w:top w:val="single" w:sz="4" w:space="0" w:color="000000"/>
              <w:left w:val="single" w:sz="4" w:space="0" w:color="000000"/>
              <w:right w:val="single" w:sz="4" w:space="0" w:color="000000"/>
            </w:tcBorders>
            <w:shd w:val="clear" w:color="auto" w:fill="D2D2D2"/>
          </w:tcPr>
          <w:p>
            <w:pPr/>
          </w:p>
        </w:tc>
        <w:tc>
          <w:tcPr>
            <w:tcW w:w="64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0"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33" w:type="dxa"/>
            <w:gridSpan w:val="11"/>
            <w:vMerge/>
            <w:tcBorders>
              <w:left w:val="single" w:sz="4" w:space="0" w:color="000000"/>
              <w:bottom w:val="single" w:sz="4" w:space="0" w:color="000000"/>
              <w:right w:val="single" w:sz="4" w:space="0" w:color="000000"/>
            </w:tcBorders>
            <w:shd w:val="clear" w:color="auto" w:fill="D2D2D2"/>
          </w:tcPr>
          <w:p>
            <w:pPr/>
          </w:p>
        </w:tc>
        <w:tc>
          <w:tcPr>
            <w:tcW w:w="640" w:type="dxa"/>
            <w:vMerge/>
            <w:tcBorders>
              <w:left w:val="single" w:sz="4" w:space="0" w:color="000000"/>
              <w:bottom w:val="nil" w:sz="6" w:space="0" w:color="auto"/>
              <w:right w:val="single" w:sz="4" w:space="0" w:color="000000"/>
            </w:tcBorders>
            <w:shd w:val="clear" w:color="auto" w:fill="D2D2D2"/>
          </w:tcPr>
          <w:p>
            <w:pPr/>
          </w:p>
        </w:tc>
        <w:tc>
          <w:tcPr>
            <w:tcW w:w="64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41"/>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377"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30" w:type="dxa"/>
            <w:vMerge w:val="restart"/>
            <w:tcBorders>
              <w:top w:val="single" w:sz="4" w:space="0" w:color="000000"/>
              <w:left w:val="single" w:sz="9" w:space="0" w:color="D2D2D2"/>
              <w:right w:val="single" w:sz="4" w:space="0" w:color="000000"/>
            </w:tcBorders>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tcPr>
          <w:p>
            <w:pPr>
              <w:pStyle w:val="TableParagraph"/>
              <w:spacing w:line="316" w:lineRule="auto" w:before="52"/>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tcPr>
          <w:p>
            <w:pPr>
              <w:pStyle w:val="TableParagraph"/>
              <w:spacing w:line="316" w:lineRule="auto" w:before="52"/>
              <w:ind w:left="147" w:right="145"/>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tcPr>
          <w:p>
            <w:pPr>
              <w:pStyle w:val="TableParagraph"/>
              <w:spacing w:line="316" w:lineRule="auto" w:before="52"/>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tcPr>
          <w:p>
            <w:pPr>
              <w:pStyle w:val="TableParagraph"/>
              <w:spacing w:line="316" w:lineRule="auto" w:before="52"/>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5" w:type="dxa"/>
            <w:vMerge w:val="restart"/>
            <w:tcBorders>
              <w:top w:val="single" w:sz="4" w:space="0" w:color="000000"/>
              <w:left w:val="single" w:sz="4" w:space="0" w:color="000000"/>
              <w:right w:val="single" w:sz="4" w:space="0" w:color="000000"/>
            </w:tcBorders>
          </w:tcPr>
          <w:p>
            <w:pPr>
              <w:pStyle w:val="TableParagraph"/>
              <w:spacing w:line="316" w:lineRule="auto" w:before="52"/>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tcPr>
          <w:p>
            <w:pPr>
              <w:pStyle w:val="TableParagraph"/>
              <w:spacing w:line="316" w:lineRule="auto" w:before="52"/>
              <w:ind w:left="146"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89" w:type="dxa"/>
            <w:vMerge w:val="restart"/>
            <w:tcBorders>
              <w:top w:val="single" w:sz="4" w:space="0" w:color="000000"/>
              <w:left w:val="single" w:sz="4" w:space="0" w:color="000000"/>
              <w:right w:val="single" w:sz="9" w:space="0" w:color="D2D2D2"/>
            </w:tcBorders>
          </w:tcPr>
          <w:p>
            <w:pPr>
              <w:pStyle w:val="TableParagraph"/>
              <w:spacing w:line="316" w:lineRule="auto" w:before="52"/>
              <w:ind w:left="153" w:right="15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4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7"/>
              <w:ind w:left="38"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47" w:type="dxa"/>
            <w:vMerge/>
            <w:tcBorders>
              <w:left w:val="single" w:sz="4" w:space="0" w:color="000000"/>
              <w:right w:val="single" w:sz="4" w:space="0" w:color="000000"/>
            </w:tcBorders>
            <w:shd w:val="clear" w:color="auto" w:fill="D2D2D2"/>
          </w:tcPr>
          <w:p>
            <w:pPr/>
          </w:p>
        </w:tc>
      </w:tr>
      <w:tr>
        <w:trPr>
          <w:trHeight w:val="332"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830" w:type="dxa"/>
            <w:vMerge/>
            <w:tcBorders>
              <w:left w:val="single" w:sz="9" w:space="0" w:color="D2D2D2"/>
              <w:right w:val="single" w:sz="4" w:space="0" w:color="000000"/>
            </w:tcBorders>
          </w:tcPr>
          <w:p>
            <w:pPr/>
          </w:p>
        </w:tc>
        <w:tc>
          <w:tcPr>
            <w:tcW w:w="426" w:type="dxa"/>
            <w:vMerge w:val="restart"/>
            <w:tcBorders>
              <w:top w:val="single" w:sz="4" w:space="0" w:color="000000"/>
              <w:left w:val="single" w:sz="4" w:space="0" w:color="000000"/>
              <w:right w:val="single" w:sz="4" w:space="0" w:color="000000"/>
            </w:tcBorders>
          </w:tcPr>
          <w:p>
            <w:pPr>
              <w:pStyle w:val="TableParagraph"/>
              <w:spacing w:line="316" w:lineRule="auto" w:before="77"/>
              <w:ind w:left="117" w:right="116"/>
              <w:jc w:val="left"/>
              <w:rPr>
                <w:rFonts w:ascii="宋体" w:hAnsi="宋体" w:cs="宋体" w:eastAsia="宋体" w:hint="default"/>
                <w:sz w:val="18"/>
                <w:szCs w:val="18"/>
              </w:rPr>
            </w:pPr>
            <w:r>
              <w:rPr>
                <w:rFonts w:ascii="宋体" w:hAnsi="宋体" w:cs="宋体" w:eastAsia="宋体" w:hint="default"/>
                <w:sz w:val="18"/>
                <w:szCs w:val="18"/>
              </w:rPr>
              <w:t>优 先</w:t>
            </w:r>
          </w:p>
        </w:tc>
        <w:tc>
          <w:tcPr>
            <w:tcW w:w="425" w:type="dxa"/>
            <w:vMerge w:val="restart"/>
            <w:tcBorders>
              <w:top w:val="single" w:sz="4" w:space="0" w:color="000000"/>
              <w:left w:val="single" w:sz="4" w:space="0" w:color="000000"/>
              <w:right w:val="single" w:sz="4" w:space="0" w:color="000000"/>
            </w:tcBorders>
          </w:tcPr>
          <w:p>
            <w:pPr>
              <w:pStyle w:val="TableParagraph"/>
              <w:spacing w:line="316" w:lineRule="auto" w:before="77"/>
              <w:ind w:left="117" w:right="115"/>
              <w:jc w:val="left"/>
              <w:rPr>
                <w:rFonts w:ascii="宋体" w:hAnsi="宋体" w:cs="宋体" w:eastAsia="宋体" w:hint="default"/>
                <w:sz w:val="18"/>
                <w:szCs w:val="18"/>
              </w:rPr>
            </w:pPr>
            <w:r>
              <w:rPr>
                <w:rFonts w:ascii="宋体" w:hAnsi="宋体" w:cs="宋体" w:eastAsia="宋体" w:hint="default"/>
                <w:sz w:val="18"/>
                <w:szCs w:val="18"/>
              </w:rPr>
              <w:t>永 续</w:t>
            </w:r>
          </w:p>
        </w:tc>
        <w:tc>
          <w:tcPr>
            <w:tcW w:w="473" w:type="dxa"/>
            <w:vMerge w:val="restart"/>
            <w:tcBorders>
              <w:top w:val="single" w:sz="4" w:space="0" w:color="000000"/>
              <w:left w:val="single" w:sz="4" w:space="0" w:color="000000"/>
              <w:right w:val="single" w:sz="4" w:space="0" w:color="000000"/>
            </w:tcBorders>
          </w:tcPr>
          <w:p>
            <w:pPr>
              <w:pStyle w:val="TableParagraph"/>
              <w:spacing w:line="316" w:lineRule="auto" w:before="77"/>
              <w:ind w:left="141" w:right="139"/>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9" w:type="dxa"/>
            <w:vMerge/>
            <w:tcBorders>
              <w:left w:val="single" w:sz="4" w:space="0" w:color="000000"/>
              <w:right w:val="single" w:sz="9" w:space="0" w:color="D2D2D2"/>
            </w:tcBorders>
          </w:tcPr>
          <w:p>
            <w:pPr/>
          </w:p>
        </w:tc>
        <w:tc>
          <w:tcPr>
            <w:tcW w:w="640" w:type="dxa"/>
            <w:vMerge/>
            <w:tcBorders>
              <w:left w:val="single" w:sz="4" w:space="0" w:color="000000"/>
              <w:bottom w:val="nil" w:sz="6" w:space="0" w:color="auto"/>
              <w:right w:val="single" w:sz="4" w:space="0" w:color="000000"/>
            </w:tcBorders>
            <w:shd w:val="clear" w:color="auto" w:fill="D2D2D2"/>
          </w:tcPr>
          <w:p>
            <w:pPr/>
          </w:p>
        </w:tc>
        <w:tc>
          <w:tcPr>
            <w:tcW w:w="647"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830" w:type="dxa"/>
            <w:vMerge/>
            <w:tcBorders>
              <w:left w:val="single" w:sz="9" w:space="0" w:color="D2D2D2"/>
              <w:right w:val="single" w:sz="4" w:space="0" w:color="000000"/>
            </w:tcBorders>
          </w:tcPr>
          <w:p>
            <w:pPr/>
          </w:p>
        </w:tc>
        <w:tc>
          <w:tcPr>
            <w:tcW w:w="42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73"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9" w:type="dxa"/>
            <w:vMerge/>
            <w:tcBorders>
              <w:left w:val="single" w:sz="4" w:space="0" w:color="000000"/>
              <w:right w:val="single" w:sz="9" w:space="0" w:color="D2D2D2"/>
            </w:tcBorders>
          </w:tcPr>
          <w:p>
            <w:pPr/>
          </w:p>
        </w:tc>
        <w:tc>
          <w:tcPr>
            <w:tcW w:w="640" w:type="dxa"/>
            <w:vMerge w:val="restart"/>
            <w:tcBorders>
              <w:top w:val="nil" w:sz="6" w:space="0" w:color="auto"/>
              <w:left w:val="single" w:sz="4" w:space="0" w:color="000000"/>
              <w:right w:val="single" w:sz="4" w:space="0" w:color="000000"/>
            </w:tcBorders>
            <w:shd w:val="clear" w:color="auto" w:fill="D2D2D2"/>
          </w:tcPr>
          <w:p>
            <w:pPr/>
          </w:p>
        </w:tc>
        <w:tc>
          <w:tcPr>
            <w:tcW w:w="647" w:type="dxa"/>
            <w:vMerge/>
            <w:tcBorders>
              <w:left w:val="single" w:sz="4" w:space="0" w:color="000000"/>
              <w:bottom w:val="nil" w:sz="6" w:space="0" w:color="auto"/>
              <w:right w:val="single" w:sz="4" w:space="0" w:color="000000"/>
            </w:tcBorders>
            <w:shd w:val="clear" w:color="auto" w:fill="D2D2D2"/>
          </w:tcPr>
          <w:p>
            <w:pPr/>
          </w:p>
        </w:tc>
      </w:tr>
      <w:tr>
        <w:trPr>
          <w:trHeight w:val="252"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830" w:type="dxa"/>
            <w:vMerge/>
            <w:tcBorders>
              <w:left w:val="single" w:sz="9" w:space="0" w:color="D2D2D2"/>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73"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9" w:space="0" w:color="D2D2D2"/>
            </w:tcBorders>
          </w:tcPr>
          <w:p>
            <w:pPr/>
          </w:p>
        </w:tc>
        <w:tc>
          <w:tcPr>
            <w:tcW w:w="640" w:type="dxa"/>
            <w:vMerge/>
            <w:tcBorders>
              <w:left w:val="single" w:sz="4" w:space="0" w:color="000000"/>
              <w:bottom w:val="single" w:sz="4" w:space="0" w:color="000000"/>
              <w:right w:val="single" w:sz="4" w:space="0" w:color="000000"/>
            </w:tcBorders>
            <w:shd w:val="clear" w:color="auto" w:fill="D2D2D2"/>
          </w:tcPr>
          <w:p>
            <w:pPr/>
          </w:p>
        </w:tc>
        <w:tc>
          <w:tcPr>
            <w:tcW w:w="647"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830"/>
        <w:gridCol w:w="426"/>
        <w:gridCol w:w="425"/>
        <w:gridCol w:w="473"/>
        <w:gridCol w:w="665"/>
        <w:gridCol w:w="665"/>
        <w:gridCol w:w="665"/>
        <w:gridCol w:w="665"/>
        <w:gridCol w:w="665"/>
        <w:gridCol w:w="665"/>
        <w:gridCol w:w="678"/>
        <w:gridCol w:w="652"/>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7" w:right="0"/>
              <w:jc w:val="left"/>
              <w:rPr>
                <w:rFonts w:ascii="宋体" w:hAnsi="宋体" w:cs="宋体" w:eastAsia="宋体" w:hint="default"/>
                <w:sz w:val="18"/>
                <w:szCs w:val="18"/>
              </w:rPr>
            </w:pPr>
            <w:r>
              <w:rPr>
                <w:rFonts w:ascii="宋体" w:hAnsi="宋体" w:cs="宋体" w:eastAsia="宋体" w:hint="default"/>
                <w:sz w:val="18"/>
                <w:szCs w:val="18"/>
              </w:rPr>
              <w:t>债</w:t>
            </w: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642,482</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,792</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1,491</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,909,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229.5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91,40</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46,67</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0,773</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447,1</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38,08</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0.02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136,2</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39,75</w:t>
            </w:r>
          </w:p>
          <w:p>
            <w:pPr>
              <w:pStyle w:val="TableParagraph"/>
              <w:spacing w:line="240" w:lineRule="auto" w:before="106"/>
              <w:ind w:left="224" w:right="0"/>
              <w:jc w:val="left"/>
              <w:rPr>
                <w:rFonts w:ascii="Times New Roman" w:hAnsi="Times New Roman" w:cs="Times New Roman" w:eastAsia="Times New Roman" w:hint="default"/>
                <w:sz w:val="18"/>
                <w:szCs w:val="18"/>
              </w:rPr>
            </w:pPr>
            <w:r>
              <w:rPr>
                <w:rFonts w:ascii="Times New Roman"/>
                <w:sz w:val="18"/>
              </w:rPr>
              <w:t>9.99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2,673</w:t>
            </w:r>
          </w:p>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,032,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634.7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加：会计政策变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更</w:t>
            </w:r>
          </w:p>
        </w:tc>
        <w:tc>
          <w:tcPr>
            <w:tcW w:w="83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3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3"/>
              <w:jc w:val="left"/>
              <w:rPr>
                <w:rFonts w:ascii="宋体" w:hAnsi="宋体" w:cs="宋体" w:eastAsia="宋体" w:hint="default"/>
                <w:sz w:val="18"/>
                <w:szCs w:val="18"/>
              </w:rPr>
            </w:pPr>
            <w:r>
              <w:rPr>
                <w:rFonts w:ascii="宋体" w:hAnsi="宋体" w:cs="宋体" w:eastAsia="宋体" w:hint="default"/>
                <w:sz w:val="18"/>
                <w:szCs w:val="18"/>
              </w:rPr>
              <w:t>同一控制下企 业合并</w:t>
            </w:r>
          </w:p>
        </w:tc>
        <w:tc>
          <w:tcPr>
            <w:tcW w:w="83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3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642,482</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,792</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1,491</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,909,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229.5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91,40</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46,67</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0,773</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447,1</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38,08</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0.02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136,2</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39,75</w:t>
            </w:r>
          </w:p>
          <w:p>
            <w:pPr>
              <w:pStyle w:val="TableParagraph"/>
              <w:spacing w:line="240" w:lineRule="auto" w:before="106"/>
              <w:ind w:left="224" w:right="0"/>
              <w:jc w:val="left"/>
              <w:rPr>
                <w:rFonts w:ascii="Times New Roman" w:hAnsi="Times New Roman" w:cs="Times New Roman" w:eastAsia="Times New Roman" w:hint="default"/>
                <w:sz w:val="18"/>
                <w:szCs w:val="18"/>
              </w:rPr>
            </w:pPr>
            <w:r>
              <w:rPr>
                <w:rFonts w:ascii="Times New Roman"/>
                <w:sz w:val="18"/>
              </w:rPr>
              <w:t>9.99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2,673</w:t>
            </w:r>
          </w:p>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,032,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634.7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1,284,2</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46,784</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-1,27</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5,546</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,587.</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-21,4</w:t>
            </w:r>
          </w:p>
          <w:p>
            <w:pPr>
              <w:pStyle w:val="TableParagraph"/>
              <w:spacing w:line="240" w:lineRule="auto" w:before="104"/>
              <w:ind w:left="147" w:right="0"/>
              <w:jc w:val="left"/>
              <w:rPr>
                <w:rFonts w:ascii="Times New Roman" w:hAnsi="Times New Roman" w:cs="Times New Roman" w:eastAsia="Times New Roman" w:hint="default"/>
                <w:sz w:val="18"/>
                <w:szCs w:val="18"/>
              </w:rPr>
            </w:pPr>
            <w:r>
              <w:rPr>
                <w:rFonts w:ascii="Times New Roman"/>
                <w:sz w:val="18"/>
              </w:rPr>
              <w:t>56,03</w:t>
            </w:r>
          </w:p>
          <w:p>
            <w:pPr>
              <w:pStyle w:val="TableParagraph"/>
              <w:spacing w:line="240" w:lineRule="auto" w:before="106"/>
              <w:ind w:left="237" w:right="0"/>
              <w:jc w:val="left"/>
              <w:rPr>
                <w:rFonts w:ascii="Times New Roman" w:hAnsi="Times New Roman" w:cs="Times New Roman" w:eastAsia="Times New Roman" w:hint="default"/>
                <w:sz w:val="18"/>
                <w:szCs w:val="18"/>
              </w:rPr>
            </w:pPr>
            <w:r>
              <w:rPr>
                <w:rFonts w:ascii="Times New Roman"/>
                <w:sz w:val="18"/>
              </w:rPr>
              <w:t>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12,16</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5,106</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231,2</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40,84</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8.28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29,11</w:t>
            </w:r>
          </w:p>
          <w:p>
            <w:pPr>
              <w:pStyle w:val="TableParagraph"/>
              <w:spacing w:line="240" w:lineRule="auto" w:before="104"/>
              <w:ind w:left="32" w:right="0"/>
              <w:jc w:val="center"/>
              <w:rPr>
                <w:rFonts w:ascii="Times New Roman" w:hAnsi="Times New Roman" w:cs="Times New Roman" w:eastAsia="Times New Roman" w:hint="default"/>
                <w:sz w:val="18"/>
                <w:szCs w:val="18"/>
              </w:rPr>
            </w:pPr>
            <w:r>
              <w:rPr>
                <w:rFonts w:ascii="Times New Roman"/>
                <w:sz w:val="18"/>
              </w:rPr>
              <w:t>0,648</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302,6</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72,83</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7.61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83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275,4</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95,42</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9.54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104"/>
              <w:ind w:left="32" w:right="0"/>
              <w:jc w:val="center"/>
              <w:rPr>
                <w:rFonts w:ascii="Times New Roman" w:hAnsi="Times New Roman" w:cs="Times New Roman" w:eastAsia="Times New Roman" w:hint="default"/>
                <w:sz w:val="18"/>
                <w:szCs w:val="18"/>
              </w:rPr>
            </w:pPr>
            <w:r>
              <w:rPr>
                <w:rFonts w:ascii="Times New Roman"/>
                <w:sz w:val="18"/>
              </w:rPr>
              <w:t>5,048</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.77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295,5</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70,47</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8.31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-552,00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9,252</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,196.</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43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-21,4</w:t>
            </w:r>
          </w:p>
          <w:p>
            <w:pPr>
              <w:pStyle w:val="TableParagraph"/>
              <w:spacing w:line="240" w:lineRule="auto" w:before="104"/>
              <w:ind w:left="147" w:right="0"/>
              <w:jc w:val="left"/>
              <w:rPr>
                <w:rFonts w:ascii="Times New Roman" w:hAnsi="Times New Roman" w:cs="Times New Roman" w:eastAsia="Times New Roman" w:hint="default"/>
                <w:sz w:val="18"/>
                <w:szCs w:val="18"/>
              </w:rPr>
            </w:pPr>
            <w:r>
              <w:rPr>
                <w:rFonts w:ascii="Times New Roman"/>
                <w:sz w:val="18"/>
              </w:rPr>
              <w:t>56,03</w:t>
            </w:r>
          </w:p>
          <w:p>
            <w:pPr>
              <w:pStyle w:val="TableParagraph"/>
              <w:spacing w:line="240" w:lineRule="auto" w:before="106"/>
              <w:ind w:left="237" w:right="0"/>
              <w:jc w:val="left"/>
              <w:rPr>
                <w:rFonts w:ascii="Times New Roman" w:hAnsi="Times New Roman" w:cs="Times New Roman" w:eastAsia="Times New Roman" w:hint="default"/>
                <w:sz w:val="18"/>
                <w:szCs w:val="18"/>
              </w:rPr>
            </w:pPr>
            <w:r>
              <w:rPr>
                <w:rFonts w:ascii="Times New Roman"/>
                <w:sz w:val="18"/>
              </w:rPr>
              <w:t>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9,084</w:t>
            </w:r>
          </w:p>
          <w:p>
            <w:pPr>
              <w:pStyle w:val="TableParagraph"/>
              <w:spacing w:line="240" w:lineRule="auto" w:before="104"/>
              <w:ind w:left="75" w:right="0"/>
              <w:jc w:val="center"/>
              <w:rPr>
                <w:rFonts w:ascii="Times New Roman" w:hAnsi="Times New Roman" w:cs="Times New Roman" w:eastAsia="Times New Roman" w:hint="default"/>
                <w:sz w:val="18"/>
                <w:szCs w:val="18"/>
              </w:rPr>
            </w:pPr>
            <w:r>
              <w:rPr>
                <w:rFonts w:ascii="Times New Roman"/>
                <w:sz w:val="18"/>
              </w:rPr>
              <w:t>,558.</w:t>
            </w:r>
          </w:p>
          <w:p>
            <w:pPr>
              <w:pStyle w:val="TableParagraph"/>
              <w:spacing w:line="240" w:lineRule="auto" w:before="106"/>
              <w:ind w:left="255" w:right="0"/>
              <w:jc w:val="center"/>
              <w:rPr>
                <w:rFonts w:ascii="Times New Roman" w:hAnsi="Times New Roman" w:cs="Times New Roman" w:eastAsia="Times New Roman" w:hint="default"/>
                <w:sz w:val="18"/>
                <w:szCs w:val="18"/>
              </w:rPr>
            </w:pPr>
            <w:r>
              <w:rPr>
                <w:rFonts w:ascii="Times New Roman"/>
                <w:sz w:val="18"/>
              </w:rPr>
              <w:t>82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39,24</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0,793</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.25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746,000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7,340</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,640.</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9,000</w:t>
            </w:r>
          </w:p>
          <w:p>
            <w:pPr>
              <w:pStyle w:val="TableParagraph"/>
              <w:spacing w:line="240" w:lineRule="auto" w:before="104"/>
              <w:ind w:left="75"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255"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17,08</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6,640</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83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-1,298,0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1,911,</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556.4</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-21,4</w:t>
            </w:r>
          </w:p>
          <w:p>
            <w:pPr>
              <w:pStyle w:val="TableParagraph"/>
              <w:spacing w:line="240" w:lineRule="auto" w:before="104"/>
              <w:ind w:left="147" w:right="0"/>
              <w:jc w:val="left"/>
              <w:rPr>
                <w:rFonts w:ascii="Times New Roman" w:hAnsi="Times New Roman" w:cs="Times New Roman" w:eastAsia="Times New Roman" w:hint="default"/>
                <w:sz w:val="18"/>
                <w:szCs w:val="18"/>
              </w:rPr>
            </w:pPr>
            <w:r>
              <w:rPr>
                <w:rFonts w:ascii="Times New Roman"/>
                <w:sz w:val="18"/>
              </w:rPr>
              <w:t>56,03</w:t>
            </w:r>
          </w:p>
          <w:p>
            <w:pPr>
              <w:pStyle w:val="TableParagraph"/>
              <w:spacing w:line="240" w:lineRule="auto" w:before="106"/>
              <w:ind w:left="237" w:right="0"/>
              <w:jc w:val="left"/>
              <w:rPr>
                <w:rFonts w:ascii="Times New Roman" w:hAnsi="Times New Roman" w:cs="Times New Roman" w:eastAsia="Times New Roman" w:hint="default"/>
                <w:sz w:val="18"/>
                <w:szCs w:val="18"/>
              </w:rPr>
            </w:pPr>
            <w:r>
              <w:rPr>
                <w:rFonts w:ascii="Times New Roman"/>
                <w:sz w:val="18"/>
              </w:rPr>
              <w:t>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84,55</w:t>
            </w:r>
          </w:p>
          <w:p>
            <w:pPr>
              <w:pStyle w:val="TableParagraph"/>
              <w:spacing w:line="240" w:lineRule="auto" w:before="105"/>
              <w:ind w:left="224" w:right="0"/>
              <w:jc w:val="left"/>
              <w:rPr>
                <w:rFonts w:ascii="Times New Roman" w:hAnsi="Times New Roman" w:cs="Times New Roman" w:eastAsia="Times New Roman" w:hint="default"/>
                <w:sz w:val="18"/>
                <w:szCs w:val="18"/>
              </w:rPr>
            </w:pPr>
            <w:r>
              <w:rPr>
                <w:rFonts w:ascii="Times New Roman"/>
                <w:sz w:val="18"/>
              </w:rPr>
              <w:t>8.82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22,15</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4,153</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3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83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12,16</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5,106</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-44,2</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54,58</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1.26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4" w:right="0"/>
              <w:jc w:val="left"/>
              <w:rPr>
                <w:rFonts w:ascii="Times New Roman" w:hAnsi="Times New Roman" w:cs="Times New Roman" w:eastAsia="Times New Roman" w:hint="default"/>
                <w:sz w:val="18"/>
                <w:szCs w:val="18"/>
              </w:rPr>
            </w:pPr>
            <w:r>
              <w:rPr>
                <w:rFonts w:ascii="Times New Roman"/>
                <w:sz w:val="18"/>
              </w:rPr>
              <w:t>-48,9</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59.35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-32,1</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38,43</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3.95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83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12,16</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5,106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-12,1</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65,10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830"/>
        <w:gridCol w:w="426"/>
        <w:gridCol w:w="425"/>
        <w:gridCol w:w="473"/>
        <w:gridCol w:w="665"/>
        <w:gridCol w:w="665"/>
        <w:gridCol w:w="665"/>
        <w:gridCol w:w="665"/>
        <w:gridCol w:w="665"/>
        <w:gridCol w:w="665"/>
        <w:gridCol w:w="678"/>
        <w:gridCol w:w="652"/>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6" w:right="0"/>
              <w:jc w:val="left"/>
              <w:rPr>
                <w:rFonts w:ascii="Times New Roman" w:hAnsi="Times New Roman" w:cs="Times New Roman" w:eastAsia="Times New Roman" w:hint="default"/>
                <w:sz w:val="18"/>
                <w:szCs w:val="18"/>
              </w:rPr>
            </w:pPr>
            <w:r>
              <w:rPr>
                <w:rFonts w:ascii="Times New Roman"/>
                <w:sz w:val="18"/>
              </w:rPr>
              <w:t>.66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0" w:right="0"/>
              <w:jc w:val="left"/>
              <w:rPr>
                <w:rFonts w:ascii="Times New Roman" w:hAnsi="Times New Roman" w:cs="Times New Roman" w:eastAsia="Times New Roman" w:hint="default"/>
                <w:sz w:val="18"/>
                <w:szCs w:val="18"/>
              </w:rPr>
            </w:pPr>
            <w:r>
              <w:rPr>
                <w:rFonts w:ascii="Times New Roman"/>
                <w:sz w:val="18"/>
              </w:rPr>
              <w:t>6.66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83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83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-32,0</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89,47</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4.60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4" w:right="0"/>
              <w:jc w:val="left"/>
              <w:rPr>
                <w:rFonts w:ascii="Times New Roman" w:hAnsi="Times New Roman" w:cs="Times New Roman" w:eastAsia="Times New Roman" w:hint="default"/>
                <w:sz w:val="18"/>
                <w:szCs w:val="18"/>
              </w:rPr>
            </w:pPr>
            <w:r>
              <w:rPr>
                <w:rFonts w:ascii="Times New Roman"/>
                <w:sz w:val="18"/>
              </w:rPr>
              <w:t>-48,9</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59.35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-32,1</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38,43</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3.95</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3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1,284,7</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98,784</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-1,28</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4,798</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,784.</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1,284,7</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98,784</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-1,28</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4,798</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,784.</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83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83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3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83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3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3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3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1,926,7</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29,576</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216,3</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62,64</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2.02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69,95</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1,962</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58,83</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5,879</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678,3</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78,92</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8.30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165,3</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50,40</w:t>
            </w:r>
          </w:p>
          <w:p>
            <w:pPr>
              <w:pStyle w:val="TableParagraph"/>
              <w:spacing w:line="240" w:lineRule="auto" w:before="106"/>
              <w:ind w:left="224" w:right="0"/>
              <w:jc w:val="left"/>
              <w:rPr>
                <w:rFonts w:ascii="Times New Roman" w:hAnsi="Times New Roman" w:cs="Times New Roman" w:eastAsia="Times New Roman" w:hint="default"/>
                <w:sz w:val="18"/>
                <w:szCs w:val="18"/>
              </w:rPr>
            </w:pPr>
            <w:r>
              <w:rPr>
                <w:rFonts w:ascii="Times New Roman"/>
                <w:sz w:val="18"/>
              </w:rPr>
              <w:t>8.23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2,975</w:t>
            </w:r>
          </w:p>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,705,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472.3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8、母公司所有者权益变动表" w:id="167"/>
      <w:bookmarkEnd w:id="167"/>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0"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1,926,72</w:t>
            </w:r>
          </w:p>
          <w:p>
            <w:pPr>
              <w:pStyle w:val="TableParagraph"/>
              <w:spacing w:line="240" w:lineRule="auto" w:before="105"/>
              <w:ind w:left="20" w:right="0"/>
              <w:jc w:val="left"/>
              <w:rPr>
                <w:rFonts w:ascii="Times New Roman" w:hAnsi="Times New Roman" w:cs="Times New Roman" w:eastAsia="Times New Roman" w:hint="default"/>
                <w:sz w:val="18"/>
                <w:szCs w:val="18"/>
              </w:rPr>
            </w:pPr>
            <w:r>
              <w:rPr>
                <w:rFonts w:ascii="Times New Roman"/>
                <w:sz w:val="18"/>
              </w:rPr>
              <w:t>9,576.00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217,894,7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60.25</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68"/>
              <w:ind w:left="45" w:right="0"/>
              <w:jc w:val="left"/>
              <w:rPr>
                <w:rFonts w:ascii="Times New Roman" w:hAnsi="Times New Roman" w:cs="Times New Roman" w:eastAsia="Times New Roman" w:hint="default"/>
                <w:sz w:val="18"/>
                <w:szCs w:val="18"/>
              </w:rPr>
            </w:pPr>
            <w:r>
              <w:rPr>
                <w:rFonts w:ascii="Times New Roman"/>
                <w:sz w:val="18"/>
              </w:rPr>
              <w:t>69,951,96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58,675,51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2.24</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371,752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,546.41</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2,505,100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,432.90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加：会计政策变更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1,926,72</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9,576.00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217,894,7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60.25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69,951,96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58,675,51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2.24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371,752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,546.41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2,505,100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,432.90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-3,132,0</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75.00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4,330,878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-31,426,7</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85.00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16,757,68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8.63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93,130,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782.86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142,514,0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59.66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167,576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,886.27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167,576,8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86.27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-3,132,0</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75.00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4,330,878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-31,426,7</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85.00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32,625,58</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8.17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-3,132,0</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75.00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4,330,878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-31,426,7</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85.00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32,625,58</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8.17</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16,757,68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8.63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-74,446,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103.41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-57,688,4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14.78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16,757,68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8.63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-16,757,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688.63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-57,688,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414.78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-57,688,4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14.78</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1,923,59</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7,501.00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222,225,6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38.42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38,525,17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75,433,20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0.87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464,883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,329.27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2,647,614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,492.56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642,482,</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792.00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1,493,560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,461.92</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70"/>
              <w:ind w:left="45" w:right="0"/>
              <w:jc w:val="left"/>
              <w:rPr>
                <w:rFonts w:ascii="Times New Roman" w:hAnsi="Times New Roman" w:cs="Times New Roman" w:eastAsia="Times New Roman" w:hint="default"/>
                <w:sz w:val="18"/>
                <w:szCs w:val="18"/>
              </w:rPr>
            </w:pPr>
            <w:r>
              <w:rPr>
                <w:rFonts w:ascii="Times New Roman"/>
                <w:sz w:val="18"/>
              </w:rPr>
              <w:t>91,408,00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46,510,40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5.58</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294,356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,061.07</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sz w:val="18"/>
              </w:rPr>
              <w:t>2,385,501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,720.57</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7"/>
                <w:sz w:val="18"/>
                <w:szCs w:val="18"/>
              </w:rPr>
              <w:t>加：会计政策变更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642,482,</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792.00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1,493,560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,461.92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91,408,00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46,510,40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5.58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294,356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,061.07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2,385,501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,720.57</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1,284,24</w:t>
            </w:r>
          </w:p>
          <w:p>
            <w:pPr>
              <w:pStyle w:val="TableParagraph"/>
              <w:spacing w:line="240" w:lineRule="auto" w:before="105"/>
              <w:ind w:left="32" w:right="0"/>
              <w:jc w:val="left"/>
              <w:rPr>
                <w:rFonts w:ascii="Times New Roman" w:hAnsi="Times New Roman" w:cs="Times New Roman" w:eastAsia="Times New Roman" w:hint="default"/>
                <w:sz w:val="18"/>
                <w:szCs w:val="18"/>
              </w:rPr>
            </w:pPr>
            <w:r>
              <w:rPr>
                <w:rFonts w:ascii="Times New Roman"/>
                <w:sz w:val="18"/>
              </w:rPr>
              <w:t>6,784.00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-1,275,66</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5,701.67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-21,456,0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38.00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12,165,10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6.66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77,396,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485.34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119,598,7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12.33</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121,651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,066.60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121,651,0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66.60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108" w:right="0"/>
              <w:jc w:val="left"/>
              <w:rPr>
                <w:rFonts w:ascii="Times New Roman" w:hAnsi="Times New Roman" w:cs="Times New Roman" w:eastAsia="Times New Roman" w:hint="default"/>
                <w:sz w:val="18"/>
                <w:szCs w:val="18"/>
              </w:rPr>
            </w:pPr>
            <w:r>
              <w:rPr>
                <w:rFonts w:ascii="Times New Roman"/>
                <w:sz w:val="18"/>
              </w:rPr>
              <w:t>-552,00</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9,133,082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left"/>
              <w:rPr>
                <w:rFonts w:ascii="Times New Roman" w:hAnsi="Times New Roman" w:cs="Times New Roman" w:eastAsia="Times New Roman" w:hint="default"/>
                <w:sz w:val="18"/>
                <w:szCs w:val="18"/>
              </w:rPr>
            </w:pPr>
            <w:r>
              <w:rPr>
                <w:rFonts w:ascii="Times New Roman"/>
                <w:sz w:val="18"/>
              </w:rPr>
              <w:t>-21,456,0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38.00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30,037,12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0.33</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7,340,640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8,086,640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-1,298,0</w:t>
            </w:r>
          </w:p>
          <w:p>
            <w:pPr>
              <w:pStyle w:val="TableParagraph"/>
              <w:spacing w:line="240" w:lineRule="auto" w:before="105"/>
              <w:ind w:left="23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1,792,442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-21,456,0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38.00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21,950,48</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0.33</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12,165,10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6.66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-44,254,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581.26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-32,089,4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74.60</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12,165,10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6.66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-12,165,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106.66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-32,089,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474.60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-32,089,4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74.60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1,284,79</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8,784.00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-1,284,79</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8,784.00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1,284,79</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8,784.00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-1,284,79</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8,784.00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1,926,72</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9,576.00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217,894,7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60.25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69,951,96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58,675,51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2.24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371,752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,546.41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2,505,100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,432.90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公司基本情况" w:id="168"/>
      <w:bookmarkEnd w:id="168"/>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7" w:right="0"/>
        <w:jc w:val="left"/>
      </w:pPr>
      <w:r>
        <w:rPr>
          <w:rFonts w:ascii="宋体" w:hAnsi="宋体" w:cs="宋体" w:eastAsia="宋体" w:hint="default"/>
        </w:rPr>
        <w:t>1</w:t>
      </w:r>
      <w:r>
        <w:rPr/>
        <w:t>、企业注册地和总部地址 </w:t>
      </w:r>
      <w:r>
        <w:rPr>
          <w:spacing w:val="-1"/>
        </w:rPr>
        <w:t>深圳达实智能股份有限公司（以下简称“公司”、“本公司”或“达实智能”），持深圳市市场监督</w:t>
      </w:r>
    </w:p>
    <w:p>
      <w:pPr>
        <w:pStyle w:val="BodyText"/>
        <w:spacing w:line="273" w:lineRule="auto"/>
        <w:ind w:left="577" w:right="3613" w:hanging="424"/>
        <w:jc w:val="left"/>
      </w:pPr>
      <w:r>
        <w:rPr/>
        <w:t>管理局核发的统一社会信用代码为</w:t>
      </w:r>
      <w:r>
        <w:rPr>
          <w:rFonts w:ascii="宋体" w:hAnsi="宋体" w:cs="宋体" w:eastAsia="宋体" w:hint="default"/>
        </w:rPr>
        <w:t>914403006188861815</w:t>
      </w:r>
      <w:r>
        <w:rPr/>
        <w:t>的企业法人营业执照。 公司注册地址：深圳市南山区高新技术工业村</w:t>
      </w:r>
      <w:r>
        <w:rPr>
          <w:rFonts w:ascii="宋体" w:hAnsi="宋体" w:cs="宋体" w:eastAsia="宋体" w:hint="default"/>
        </w:rPr>
        <w:t>W1</w:t>
      </w:r>
      <w:r>
        <w:rPr/>
        <w:t>栋</w:t>
      </w:r>
      <w:r>
        <w:rPr>
          <w:rFonts w:ascii="宋体" w:hAnsi="宋体" w:cs="宋体" w:eastAsia="宋体" w:hint="default"/>
        </w:rPr>
        <w:t>A</w:t>
      </w:r>
      <w:r>
        <w:rPr/>
        <w:t>座五楼 公司总部地址：深圳市南山区高新技术产业园达实智能大厦 法定代表人：刘磅</w:t>
      </w:r>
    </w:p>
    <w:p>
      <w:pPr>
        <w:pStyle w:val="BodyText"/>
        <w:spacing w:line="273" w:lineRule="auto"/>
        <w:ind w:left="577" w:right="7599"/>
        <w:jc w:val="left"/>
      </w:pPr>
      <w:r>
        <w:rPr/>
        <w:t>注册资本：</w:t>
      </w:r>
      <w:r>
        <w:rPr>
          <w:rFonts w:ascii="宋体" w:hAnsi="宋体" w:cs="宋体" w:eastAsia="宋体" w:hint="default"/>
        </w:rPr>
        <w:t>192,359.7501</w:t>
      </w:r>
      <w:r>
        <w:rPr/>
        <w:t>万元 </w:t>
      </w:r>
      <w:r>
        <w:rPr>
          <w:rFonts w:ascii="宋体" w:hAnsi="宋体" w:cs="宋体" w:eastAsia="宋体" w:hint="default"/>
        </w:rPr>
        <w:t>2</w:t>
      </w:r>
      <w:r>
        <w:rPr/>
        <w:t>、企业的业务性质 信息技术服务业。 </w:t>
      </w:r>
      <w:r>
        <w:rPr>
          <w:rFonts w:ascii="宋体" w:hAnsi="宋体" w:cs="宋体" w:eastAsia="宋体" w:hint="default"/>
        </w:rPr>
        <w:t>3</w:t>
      </w:r>
      <w:r>
        <w:rPr/>
        <w:t>、主要经营范围</w:t>
      </w:r>
    </w:p>
    <w:p>
      <w:pPr>
        <w:pStyle w:val="BodyText"/>
        <w:spacing w:line="273" w:lineRule="auto"/>
        <w:ind w:right="1110"/>
        <w:jc w:val="both"/>
      </w:pPr>
      <w:r>
        <w:rPr>
          <w:spacing w:val="-1"/>
        </w:rPr>
        <w:t>互联网、云计算软件与平台服务；物联网系统研发与应用服务；智慧医疗信息系统研发与集成服务；医疗</w:t>
      </w:r>
      <w:r>
        <w:rPr>
          <w:spacing w:val="-86"/>
        </w:rPr>
        <w:t> </w:t>
      </w:r>
      <w:r>
        <w:rPr>
          <w:spacing w:val="-86"/>
        </w:rPr>
      </w:r>
      <w:r>
        <w:rPr>
          <w:spacing w:val="-1"/>
        </w:rPr>
        <w:t>大数据开发与应用服务；医疗专业系统咨询、设计、集成服务；医疗投资管理；智能交通含轨道交通信号</w:t>
      </w:r>
      <w:r>
        <w:rPr>
          <w:spacing w:val="-83"/>
        </w:rPr>
        <w:t> </w:t>
      </w:r>
      <w:r>
        <w:rPr>
          <w:spacing w:val="-83"/>
        </w:rPr>
      </w:r>
      <w:r>
        <w:rPr>
          <w:spacing w:val="-1"/>
        </w:rPr>
        <w:t>监控系统开发、技术咨询设计、销售与集成服务；智能建筑系统开发与集成、技术咨询设计；机电总包服</w:t>
      </w:r>
      <w:r>
        <w:rPr>
          <w:spacing w:val="-83"/>
        </w:rPr>
        <w:t> </w:t>
      </w:r>
      <w:r>
        <w:rPr>
          <w:spacing w:val="-83"/>
        </w:rPr>
      </w:r>
      <w:r>
        <w:rPr>
          <w:spacing w:val="-1"/>
        </w:rPr>
        <w:t>务；智能卡、智能管控、安防监控等终端设备与软件的研发、销售及应用服务；能源监测与节能服务；合</w:t>
      </w:r>
      <w:r>
        <w:rPr>
          <w:spacing w:val="-83"/>
        </w:rPr>
        <w:t> </w:t>
      </w:r>
      <w:r>
        <w:rPr>
          <w:spacing w:val="-83"/>
        </w:rPr>
      </w:r>
      <w:r>
        <w:rPr/>
        <w:t>同能源管理服务；新能源技术开发和咨询设计服务；电力销售业务；电力网络增量配电网投资建设服务； </w:t>
      </w:r>
      <w:r>
        <w:rPr>
          <w:spacing w:val="-1"/>
        </w:rPr>
        <w:t>相关领域境内及境外工程设计、安装及技术咨询。（法律、行政法规、国务院决定禁止的项目除外，限制</w:t>
      </w:r>
      <w:r>
        <w:rPr>
          <w:spacing w:val="-83"/>
        </w:rPr>
        <w:t> </w:t>
      </w:r>
      <w:r>
        <w:rPr>
          <w:spacing w:val="-83"/>
        </w:rPr>
      </w:r>
      <w:r>
        <w:rPr/>
        <w:t>的项目须取得许可后方可经营</w:t>
      </w:r>
      <w:r>
        <w:rPr>
          <w:rFonts w:ascii="宋体" w:hAnsi="宋体" w:cs="宋体" w:eastAsia="宋体" w:hint="default"/>
        </w:rPr>
        <w:t>)</w:t>
      </w:r>
      <w:r>
        <w:rPr/>
        <w:t>。许可经营项目：互联网医疗服务（须凭相关审批文件方可经营）。</w:t>
      </w:r>
    </w:p>
    <w:p>
      <w:pPr>
        <w:pStyle w:val="BodyText"/>
        <w:spacing w:line="273" w:lineRule="auto"/>
        <w:ind w:left="577" w:right="1129"/>
        <w:jc w:val="left"/>
      </w:pPr>
      <w:r>
        <w:rPr>
          <w:rFonts w:ascii="宋体" w:hAnsi="宋体" w:cs="宋体" w:eastAsia="宋体" w:hint="default"/>
        </w:rPr>
        <w:t>4</w:t>
      </w:r>
      <w:r>
        <w:rPr/>
        <w:t>、财务报告的批准报出日 本财务报告于</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29</w:t>
      </w:r>
      <w:r>
        <w:rPr/>
        <w:t>日经公司第六届董事会第十四次会议批准报出。 </w:t>
      </w:r>
      <w:r>
        <w:rPr>
          <w:spacing w:val="-1"/>
        </w:rPr>
        <w:t>截至报告期末，纳入合并财务报表范围的子（孙）公司共计</w:t>
      </w:r>
      <w:r>
        <w:rPr>
          <w:rFonts w:ascii="宋体" w:hAnsi="宋体" w:cs="宋体" w:eastAsia="宋体" w:hint="default"/>
          <w:spacing w:val="-1"/>
        </w:rPr>
        <w:t>20</w:t>
      </w:r>
      <w:r>
        <w:rPr>
          <w:spacing w:val="-1"/>
        </w:rPr>
        <w:t>家，详见本附注八、合并范围的变更及</w:t>
      </w:r>
    </w:p>
    <w:p>
      <w:pPr>
        <w:pStyle w:val="BodyText"/>
        <w:spacing w:line="240" w:lineRule="auto"/>
        <w:ind w:right="0"/>
        <w:jc w:val="left"/>
      </w:pPr>
      <w:r>
        <w:rPr/>
        <w:t>本附注九、在其他主体中的权益。</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四、财务报表的编制基础" w:id="169"/>
      <w:bookmarkEnd w:id="169"/>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编制基础" w:id="170"/>
      <w:bookmarkEnd w:id="170"/>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133" w:firstLine="423"/>
        <w:jc w:val="both"/>
      </w:pPr>
      <w:r>
        <w:rPr>
          <w:spacing w:val="-1"/>
        </w:rPr>
        <w:t>本公司财务报表以持续经营假设为基础，根据实际发生的交易和事项，按照财政部发布的《企业会计</w:t>
      </w:r>
      <w:r>
        <w:rPr/>
        <w:t> 准则——基本准则》（财政部令第</w:t>
      </w:r>
      <w:r>
        <w:rPr>
          <w:rFonts w:ascii="宋体" w:hAnsi="宋体" w:cs="宋体" w:eastAsia="宋体" w:hint="default"/>
        </w:rPr>
        <w:t>33</w:t>
      </w:r>
      <w:r>
        <w:rPr/>
        <w:t>号发布、财政部令第</w:t>
      </w:r>
      <w:r>
        <w:rPr>
          <w:rFonts w:ascii="宋体" w:hAnsi="宋体" w:cs="宋体" w:eastAsia="宋体" w:hint="default"/>
        </w:rPr>
        <w:t>76</w:t>
      </w:r>
      <w:r>
        <w:rPr/>
        <w:t>号修订）、于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日及其后颁布和修</w:t>
      </w:r>
      <w:r>
        <w:rPr>
          <w:spacing w:val="-34"/>
        </w:rPr>
        <w:t> </w:t>
      </w:r>
      <w:r>
        <w:rPr>
          <w:spacing w:val="-34"/>
        </w:rPr>
      </w:r>
      <w:r>
        <w:rPr>
          <w:spacing w:val="-1"/>
        </w:rPr>
        <w:t>订的</w:t>
      </w:r>
      <w:r>
        <w:rPr>
          <w:rFonts w:ascii="宋体" w:hAnsi="宋体" w:cs="宋体" w:eastAsia="宋体" w:hint="default"/>
          <w:spacing w:val="-1"/>
        </w:rPr>
        <w:t>42</w:t>
      </w:r>
      <w:r>
        <w:rPr>
          <w:spacing w:val="-1"/>
        </w:rPr>
        <w:t>项具体会计准则、企业会计准则应用指南、企业会计准则解释及其他相关规定（以下合称“企业会</w:t>
      </w:r>
      <w:r>
        <w:rPr>
          <w:spacing w:val="-85"/>
        </w:rPr>
        <w:t> </w:t>
      </w:r>
      <w:r>
        <w:rPr>
          <w:spacing w:val="-85"/>
        </w:rPr>
      </w:r>
      <w:r>
        <w:rPr>
          <w:spacing w:val="-1"/>
        </w:rPr>
        <w:t>计准则”），以及中国证券监督管理委员会《公开发行证券的公司信息披露编报规则第</w:t>
      </w:r>
      <w:r>
        <w:rPr>
          <w:rFonts w:ascii="宋体" w:hAnsi="宋体" w:cs="宋体" w:eastAsia="宋体" w:hint="default"/>
          <w:spacing w:val="-1"/>
        </w:rPr>
        <w:t>15</w:t>
      </w:r>
      <w:r>
        <w:rPr>
          <w:spacing w:val="-1"/>
        </w:rPr>
        <w:t>号——财务报告</w:t>
      </w:r>
      <w:r>
        <w:rPr>
          <w:spacing w:val="-85"/>
        </w:rPr>
        <w:t> </w:t>
      </w:r>
      <w:r>
        <w:rPr>
          <w:spacing w:val="-85"/>
        </w:rPr>
      </w:r>
      <w:r>
        <w:rPr/>
        <w:t>的一般规定》（</w:t>
      </w:r>
      <w:r>
        <w:rPr>
          <w:rFonts w:ascii="宋体" w:hAnsi="宋体" w:cs="宋体" w:eastAsia="宋体" w:hint="default"/>
        </w:rPr>
        <w:t>2014</w:t>
      </w:r>
      <w:r>
        <w:rPr/>
        <w:t>年修订）的披露规定编制。</w:t>
      </w:r>
    </w:p>
    <w:p>
      <w:pPr>
        <w:spacing w:line="240" w:lineRule="auto" w:before="8"/>
        <w:rPr>
          <w:rFonts w:ascii="宋体" w:hAnsi="宋体" w:cs="宋体" w:eastAsia="宋体" w:hint="default"/>
          <w:sz w:val="23"/>
          <w:szCs w:val="23"/>
        </w:rPr>
      </w:pPr>
    </w:p>
    <w:p>
      <w:pPr>
        <w:pStyle w:val="Heading3"/>
        <w:spacing w:line="240" w:lineRule="auto"/>
        <w:ind w:left="153" w:right="0"/>
        <w:jc w:val="left"/>
        <w:rPr>
          <w:b w:val="0"/>
          <w:bCs w:val="0"/>
        </w:rPr>
      </w:pPr>
      <w:bookmarkStart w:name="2、持续经营" w:id="171"/>
      <w:bookmarkEnd w:id="171"/>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本公司自本报告期末起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个月内不存在对本公司持续经营能力产生重大疑虑的事项或情况。</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五、重要会计政策及会计估计" w:id="172"/>
      <w:bookmarkEnd w:id="172"/>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line="360"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357" w:lineRule="auto" w:before="26"/>
        <w:ind w:left="154" w:right="8092"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 无</w:t>
      </w:r>
    </w:p>
    <w:p>
      <w:pPr>
        <w:spacing w:line="612" w:lineRule="exact" w:before="19"/>
        <w:ind w:left="577" w:right="0" w:hanging="424"/>
        <w:jc w:val="left"/>
        <w:rPr>
          <w:rFonts w:ascii="宋体" w:hAnsi="宋体" w:cs="宋体" w:eastAsia="宋体" w:hint="default"/>
          <w:sz w:val="21"/>
          <w:szCs w:val="21"/>
        </w:rPr>
      </w:pPr>
      <w:bookmarkStart w:name="1、遵循企业会计准则的声明" w:id="173"/>
      <w:bookmarkEnd w:id="17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本公司基于上述编制基础编制的财务报表符合企业会计准则的要求，真实、完整地反映了本公司</w:t>
      </w:r>
      <w:r>
        <w:rPr>
          <w:rFonts w:ascii="宋体" w:hAnsi="宋体" w:cs="宋体" w:eastAsia="宋体" w:hint="default"/>
          <w:spacing w:val="-1"/>
          <w:sz w:val="21"/>
          <w:szCs w:val="21"/>
        </w:rPr>
        <w:t>2017</w:t>
      </w:r>
    </w:p>
    <w:p>
      <w:pPr>
        <w:pStyle w:val="BodyText"/>
        <w:spacing w:line="219" w:lineRule="exact" w:before="0"/>
        <w:ind w:right="0"/>
        <w:jc w:val="left"/>
      </w:pPr>
      <w:r>
        <w:rPr/>
        <w:t>年</w:t>
      </w:r>
      <w:r>
        <w:rPr>
          <w:rFonts w:ascii="宋体" w:hAnsi="宋体" w:cs="宋体" w:eastAsia="宋体" w:hint="default"/>
        </w:rPr>
        <w:t>12</w:t>
      </w:r>
      <w:r>
        <w:rPr/>
        <w:t>月</w:t>
      </w:r>
      <w:r>
        <w:rPr>
          <w:rFonts w:ascii="宋体" w:hAnsi="宋体" w:cs="宋体" w:eastAsia="宋体" w:hint="default"/>
        </w:rPr>
        <w:t>31</w:t>
      </w:r>
      <w:r>
        <w:rPr/>
        <w:t>日的财务状况，以及</w:t>
      </w:r>
      <w:r>
        <w:rPr>
          <w:rFonts w:ascii="宋体" w:hAnsi="宋体" w:cs="宋体" w:eastAsia="宋体" w:hint="default"/>
        </w:rPr>
        <w:t>2017</w:t>
      </w:r>
      <w:r>
        <w:rPr/>
        <w:t>年度经营成果和现金流量等有关信息。</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2、会计期间" w:id="174"/>
      <w:bookmarkEnd w:id="174"/>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7" w:right="0"/>
        <w:jc w:val="left"/>
      </w:pPr>
      <w:r>
        <w:rPr/>
        <w:t>本公司会计年度自公历</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营业周期" w:id="175"/>
      <w:bookmarkEnd w:id="175"/>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130" w:firstLine="423"/>
        <w:jc w:val="both"/>
      </w:pPr>
      <w:r>
        <w:rPr>
          <w:spacing w:val="-1"/>
        </w:rPr>
        <w:t>正常营业周期是指本公司从购买用于加工的资产起至收到现金或现金等价物的期间。本公司以</w:t>
      </w:r>
      <w:r>
        <w:rPr>
          <w:rFonts w:ascii="宋体" w:hAnsi="宋体" w:cs="宋体" w:eastAsia="宋体" w:hint="default"/>
          <w:spacing w:val="-1"/>
        </w:rPr>
        <w:t>12</w:t>
      </w:r>
      <w:r>
        <w:rPr>
          <w:spacing w:val="-1"/>
        </w:rPr>
        <w:t>个月</w:t>
      </w:r>
      <w:r>
        <w:rPr/>
        <w:t> 作为一个营业周期，并以其作为资产和负债的流动性划分标准。</w:t>
      </w:r>
    </w:p>
    <w:p>
      <w:pPr>
        <w:spacing w:line="240" w:lineRule="auto" w:before="8"/>
        <w:rPr>
          <w:rFonts w:ascii="宋体" w:hAnsi="宋体" w:cs="宋体" w:eastAsia="宋体" w:hint="default"/>
          <w:sz w:val="23"/>
          <w:szCs w:val="23"/>
        </w:rPr>
      </w:pPr>
    </w:p>
    <w:p>
      <w:pPr>
        <w:pStyle w:val="Heading3"/>
        <w:spacing w:line="240" w:lineRule="auto"/>
        <w:ind w:left="153" w:right="0"/>
        <w:jc w:val="left"/>
        <w:rPr>
          <w:b w:val="0"/>
          <w:bCs w:val="0"/>
        </w:rPr>
      </w:pPr>
      <w:bookmarkStart w:name="4、记账本位币" w:id="176"/>
      <w:bookmarkEnd w:id="176"/>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7" w:right="0"/>
        <w:jc w:val="left"/>
      </w:pPr>
      <w:r>
        <w:rPr/>
        <w:t>本公司以人民币为记账本位币。</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5、同一控制下和非同一控制下企业合并的会计处理方法" w:id="177"/>
      <w:bookmarkEnd w:id="177"/>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left="577" w:right="0"/>
        <w:jc w:val="left"/>
      </w:pPr>
      <w:r>
        <w:rPr/>
        <w:t>（</w:t>
      </w:r>
      <w:r>
        <w:rPr>
          <w:rFonts w:ascii="宋体" w:hAnsi="宋体" w:cs="宋体" w:eastAsia="宋体" w:hint="default"/>
        </w:rPr>
        <w:t>1</w:t>
      </w:r>
      <w:r>
        <w:rPr/>
        <w:t>）同一控制下企业合并的会计处理方法 </w:t>
      </w:r>
      <w:r>
        <w:rPr>
          <w:spacing w:val="-1"/>
        </w:rPr>
        <w:t>参与合并的企业在合并前后均受同一方或相同的多方最终控制，且该控制并非暂时性的，为同一控制</w:t>
      </w:r>
    </w:p>
    <w:p>
      <w:pPr>
        <w:pStyle w:val="BodyText"/>
        <w:spacing w:line="240" w:lineRule="auto"/>
        <w:ind w:right="0"/>
        <w:jc w:val="left"/>
      </w:pPr>
      <w:r>
        <w:rPr/>
        <w:t>下的企业合并。同一控制下的企业合并，在合并日取得对其他参与合并企业控制权的一方为合并方，参与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577" w:right="0" w:hanging="424"/>
        <w:jc w:val="left"/>
      </w:pPr>
      <w:r>
        <w:rPr/>
        <w:t>合并的其他企业为被合并方。合并日，是指合并方实际取得对被合并方控制权的日期。 </w:t>
      </w:r>
      <w:r>
        <w:rPr>
          <w:spacing w:val="3"/>
        </w:rPr>
        <w:t>本公司在一次交易取得或通过多次交易分步实现同一控制下企业合并，企业合并中取得的资产和负</w:t>
      </w:r>
    </w:p>
    <w:p>
      <w:pPr>
        <w:pStyle w:val="BodyText"/>
        <w:spacing w:line="273" w:lineRule="auto"/>
        <w:ind w:right="1131"/>
        <w:jc w:val="both"/>
      </w:pPr>
      <w:r>
        <w:rPr>
          <w:spacing w:val="-1"/>
        </w:rPr>
        <w:t>债，按照合并日被合并方所有者权益在最终控制方合并财务报表的账面价值的份额计量。本公司取得的净</w:t>
      </w:r>
      <w:r>
        <w:rPr>
          <w:spacing w:val="-81"/>
        </w:rPr>
        <w:t> </w:t>
      </w:r>
      <w:r>
        <w:rPr>
          <w:spacing w:val="-81"/>
        </w:rPr>
      </w:r>
      <w:r>
        <w:rPr>
          <w:spacing w:val="-1"/>
        </w:rPr>
        <w:t>资产账面价值与支付的合并对价账面价值（或发行股份面值总额）的差额，调整资本公积；资本公积不足</w:t>
      </w:r>
      <w:r>
        <w:rPr>
          <w:spacing w:val="-86"/>
        </w:rPr>
        <w:t> </w:t>
      </w:r>
      <w:r>
        <w:rPr>
          <w:spacing w:val="-86"/>
        </w:rPr>
      </w:r>
      <w:r>
        <w:rPr/>
        <w:t>冲减的，调整留存收益。</w:t>
      </w:r>
    </w:p>
    <w:p>
      <w:pPr>
        <w:pStyle w:val="BodyText"/>
        <w:spacing w:line="273" w:lineRule="auto"/>
        <w:ind w:left="577" w:right="3819"/>
        <w:jc w:val="left"/>
      </w:pPr>
      <w:r>
        <w:rPr/>
        <w:t>合并方为进行企业合并发生的各项直接费用，于发生时计入当期损益。 合并财务报表的会计处理</w:t>
      </w:r>
    </w:p>
    <w:p>
      <w:pPr>
        <w:pStyle w:val="BodyText"/>
        <w:spacing w:line="273" w:lineRule="auto"/>
        <w:ind w:right="1131" w:firstLine="423"/>
        <w:jc w:val="both"/>
      </w:pPr>
      <w:r>
        <w:rPr>
          <w:spacing w:val="-1"/>
        </w:rPr>
        <w:t>合并方在达到合并之前持有的长期股权投资，在取得日与合并方与被合并方同处于同一方最终控制之</w:t>
      </w:r>
      <w:r>
        <w:rPr/>
        <w:t> </w:t>
      </w:r>
      <w:r>
        <w:rPr>
          <w:spacing w:val="-1"/>
        </w:rPr>
        <w:t>日孰晚日与合并日之间已确认有关损益、其他综合收益和其他所有者权益变动，应分别冲减比较报表期间</w:t>
      </w:r>
      <w:r>
        <w:rPr>
          <w:spacing w:val="-81"/>
        </w:rPr>
        <w:t> </w:t>
      </w:r>
      <w:r>
        <w:rPr>
          <w:spacing w:val="-81"/>
        </w:rPr>
      </w:r>
      <w:r>
        <w:rPr/>
        <w:t>的期初留存收益或当期损益。</w:t>
      </w:r>
    </w:p>
    <w:p>
      <w:pPr>
        <w:pStyle w:val="BodyText"/>
        <w:spacing w:line="273" w:lineRule="auto"/>
        <w:ind w:left="577" w:right="0"/>
        <w:jc w:val="left"/>
      </w:pPr>
      <w:r>
        <w:rPr/>
        <w:t>（</w:t>
      </w:r>
      <w:r>
        <w:rPr>
          <w:rFonts w:ascii="宋体" w:hAnsi="宋体" w:cs="宋体" w:eastAsia="宋体" w:hint="default"/>
        </w:rPr>
        <w:t>2</w:t>
      </w:r>
      <w:r>
        <w:rPr/>
        <w:t>）非同一控制下企业合并的会计处理方法 </w:t>
      </w:r>
      <w:r>
        <w:rPr>
          <w:spacing w:val="-1"/>
        </w:rPr>
        <w:t>参与合并的企业在合并前后不受同一方或相同的多方最终控制的，为非同一控制下的企业合并。非同</w:t>
      </w:r>
    </w:p>
    <w:p>
      <w:pPr>
        <w:pStyle w:val="BodyText"/>
        <w:spacing w:line="273" w:lineRule="auto"/>
        <w:ind w:right="1131"/>
        <w:jc w:val="both"/>
      </w:pPr>
      <w:r>
        <w:rPr>
          <w:spacing w:val="-1"/>
        </w:rPr>
        <w:t>一控制下的企业合并，在购买日取得对其他参与合并企业控制权的一方为购买方，参与合并的其他企业为</w:t>
      </w:r>
      <w:r>
        <w:rPr>
          <w:spacing w:val="-81"/>
        </w:rPr>
        <w:t> </w:t>
      </w:r>
      <w:r>
        <w:rPr>
          <w:spacing w:val="-81"/>
        </w:rPr>
      </w:r>
      <w:r>
        <w:rPr/>
        <w:t>被购买方。购买日，是指为购买方实际取得对被购买方控制权的日期。</w:t>
      </w:r>
    </w:p>
    <w:p>
      <w:pPr>
        <w:pStyle w:val="BodyText"/>
        <w:spacing w:line="273" w:lineRule="auto"/>
        <w:ind w:right="1131" w:firstLine="423"/>
        <w:jc w:val="both"/>
      </w:pPr>
      <w:r>
        <w:rPr>
          <w:spacing w:val="-1"/>
        </w:rPr>
        <w:t>本公司在购买日对合并成本大于合并中取得的被购买方可辨认净资产公允价值份额的差额，确认为商</w:t>
      </w:r>
      <w:r>
        <w:rPr/>
        <w:t> </w:t>
      </w:r>
      <w:r>
        <w:rPr>
          <w:spacing w:val="-1"/>
        </w:rPr>
        <w:t>誉；如果合并成本小于合并中取得的被购买方可辨认净资产公允价值份额，首先对取得的被购买方各项可</w:t>
      </w:r>
      <w:r>
        <w:rPr>
          <w:spacing w:val="-81"/>
        </w:rPr>
        <w:t> </w:t>
      </w:r>
      <w:r>
        <w:rPr>
          <w:spacing w:val="-81"/>
        </w:rPr>
      </w:r>
      <w:r>
        <w:rPr>
          <w:spacing w:val="-1"/>
        </w:rPr>
        <w:t>辨认资产、负债及或有负债的公允价值以及合并成本的计量进行复核，经复核后合并成本仍小于合并中取</w:t>
      </w:r>
      <w:r>
        <w:rPr>
          <w:spacing w:val="-81"/>
        </w:rPr>
        <w:t> </w:t>
      </w:r>
      <w:r>
        <w:rPr>
          <w:spacing w:val="-81"/>
        </w:rPr>
      </w:r>
      <w:r>
        <w:rPr/>
        <w:t>得的被购买方可辨认净资产公允价值份额的，其差额计入当期损益。</w:t>
      </w:r>
    </w:p>
    <w:p>
      <w:pPr>
        <w:pStyle w:val="BodyText"/>
        <w:spacing w:line="273" w:lineRule="auto"/>
        <w:ind w:right="1110" w:firstLine="423"/>
        <w:jc w:val="both"/>
      </w:pPr>
      <w:r>
        <w:rPr>
          <w:spacing w:val="3"/>
        </w:rPr>
        <w:t>购买方取得被购买方的可抵扣暂时性差异，在购买日因不符合递延所得税资产确认条件而未予确认</w:t>
      </w:r>
      <w:r>
        <w:rPr/>
        <w:t> </w:t>
      </w:r>
      <w:r>
        <w:rPr>
          <w:spacing w:val="-1"/>
        </w:rPr>
        <w:t>的，在购买日后</w:t>
      </w:r>
      <w:r>
        <w:rPr>
          <w:rFonts w:ascii="宋体" w:hAnsi="宋体" w:cs="宋体" w:eastAsia="宋体" w:hint="default"/>
          <w:spacing w:val="-1"/>
        </w:rPr>
        <w:t>12</w:t>
      </w:r>
      <w:r>
        <w:rPr>
          <w:spacing w:val="-1"/>
        </w:rPr>
        <w:t>个月内，如取得新的或进一步的信息表明购买日的相关情况已经存在，预期被购买方在</w:t>
      </w:r>
      <w:r>
        <w:rPr>
          <w:spacing w:val="-84"/>
        </w:rPr>
        <w:t> </w:t>
      </w:r>
      <w:r>
        <w:rPr>
          <w:spacing w:val="-84"/>
        </w:rPr>
      </w:r>
      <w:r>
        <w:rPr>
          <w:spacing w:val="-1"/>
        </w:rPr>
        <w:t>购买日可抵扣暂时性差异带来的经济利益能够实现的，则确认相关的递延所得税资产，同时减少商誉，商</w:t>
      </w:r>
      <w:r>
        <w:rPr>
          <w:spacing w:val="-83"/>
        </w:rPr>
        <w:t> </w:t>
      </w:r>
      <w:r>
        <w:rPr>
          <w:spacing w:val="-83"/>
        </w:rPr>
      </w:r>
      <w:r>
        <w:rPr/>
        <w:t>誉不足冲减的，差额部分确认为当期损益；除上述情况以外，确认与企业合并相关的递延所得税资产的， 计入当期损益。</w:t>
      </w:r>
    </w:p>
    <w:p>
      <w:pPr>
        <w:pStyle w:val="BodyText"/>
        <w:spacing w:line="273" w:lineRule="auto"/>
        <w:ind w:right="0" w:firstLine="423"/>
        <w:jc w:val="left"/>
      </w:pPr>
      <w:r>
        <w:rPr/>
        <w:t>通过多次交易分步实现的非同一控制下企业合并，根据《财政部关于印发企业会计准则解释第</w:t>
      </w:r>
      <w:r>
        <w:rPr>
          <w:rFonts w:ascii="宋体" w:hAnsi="宋体" w:cs="宋体" w:eastAsia="宋体" w:hint="default"/>
        </w:rPr>
        <w:t>5</w:t>
      </w:r>
      <w:r>
        <w:rPr/>
        <w:t>号的</w:t>
      </w:r>
      <w:r>
        <w:rPr>
          <w:spacing w:val="1"/>
        </w:rPr>
        <w:t> </w:t>
      </w:r>
      <w:r>
        <w:rPr>
          <w:spacing w:val="-3"/>
        </w:rPr>
        <w:t>通知》（财会〔</w:t>
      </w:r>
      <w:r>
        <w:rPr>
          <w:rFonts w:ascii="宋体" w:hAnsi="宋体" w:cs="宋体" w:eastAsia="宋体" w:hint="default"/>
          <w:spacing w:val="-3"/>
        </w:rPr>
        <w:t>2012</w:t>
      </w:r>
      <w:r>
        <w:rPr>
          <w:spacing w:val="-3"/>
        </w:rPr>
        <w:t>〕</w:t>
      </w:r>
      <w:r>
        <w:rPr>
          <w:rFonts w:ascii="宋体" w:hAnsi="宋体" w:cs="宋体" w:eastAsia="宋体" w:hint="default"/>
          <w:spacing w:val="-3"/>
        </w:rPr>
        <w:t>19</w:t>
      </w:r>
      <w:r>
        <w:rPr>
          <w:spacing w:val="-3"/>
        </w:rPr>
        <w:t>号）和《企业会计准则第</w:t>
      </w:r>
      <w:r>
        <w:rPr>
          <w:rFonts w:ascii="宋体" w:hAnsi="宋体" w:cs="宋体" w:eastAsia="宋体" w:hint="default"/>
          <w:spacing w:val="-3"/>
        </w:rPr>
        <w:t>33</w:t>
      </w:r>
      <w:r>
        <w:rPr>
          <w:spacing w:val="-3"/>
        </w:rPr>
        <w:t>号——合并财务报表》第五十一条关于“一揽子交易”</w:t>
      </w:r>
      <w:r>
        <w:rPr>
          <w:spacing w:val="-84"/>
        </w:rPr>
        <w:t> </w:t>
      </w:r>
      <w:r>
        <w:rPr>
          <w:spacing w:val="-84"/>
        </w:rPr>
      </w:r>
      <w:r>
        <w:rPr/>
        <w:t>的判断标准，判断该多次交易是否属于“一揽子交易”。属于“一揽子交易”的，参考本部分前面各段描</w:t>
      </w:r>
      <w:r>
        <w:rPr/>
        <w:t> 述及《长期股权投资》准则进行会计处理；不属于“一揽子交易”的，区分个别财务报表和合并财务报表 进行相关会计处理：</w:t>
      </w:r>
    </w:p>
    <w:p>
      <w:pPr>
        <w:pStyle w:val="BodyText"/>
        <w:spacing w:line="273" w:lineRule="auto"/>
        <w:ind w:right="1106" w:firstLine="423"/>
        <w:jc w:val="both"/>
      </w:pPr>
      <w:r>
        <w:rPr/>
        <w:t>在个别财务报表中，以购买日之前所持被购买方的股权投资的账面价值与购买日新增投资成本之和， 作为该项投资的初始投资成本；购买日之前持有的被购买方的股权涉及其他综合收益的，在处置该项投资 时将与其相关的其他综合收益采用与被购买方直接处置相关资产或负债相同的基础进行会计处理（即，除 了按照权益法核算的在被购买方重新计量设定受益计划净负债或净资产导致的变动中的相应份额以外，其 余转入当期投资收益）。</w:t>
      </w:r>
    </w:p>
    <w:p>
      <w:pPr>
        <w:pStyle w:val="BodyText"/>
        <w:spacing w:line="273" w:lineRule="auto"/>
        <w:ind w:right="1131" w:firstLine="423"/>
        <w:jc w:val="both"/>
      </w:pPr>
      <w:r>
        <w:rPr>
          <w:spacing w:val="-1"/>
        </w:rPr>
        <w:t>在合并财务报表中，对于购买日之前持有的被购买方的股权，按照该股权在购买日的公允价值进行重</w:t>
      </w:r>
      <w:r>
        <w:rPr/>
        <w:t> </w:t>
      </w:r>
      <w:r>
        <w:rPr>
          <w:spacing w:val="-1"/>
        </w:rPr>
        <w:t>新计量，公允价值与其账面价值的差额计入当期投资收益；购买日之前持有的被购买方的股权涉及其他综</w:t>
      </w:r>
      <w:r>
        <w:rPr>
          <w:spacing w:val="-81"/>
        </w:rPr>
        <w:t> </w:t>
      </w:r>
      <w:r>
        <w:rPr>
          <w:spacing w:val="-81"/>
        </w:rPr>
      </w:r>
      <w:r>
        <w:rPr>
          <w:spacing w:val="-1"/>
        </w:rPr>
        <w:t>合收益的，与其相关的其他综合收益应当采用与被购买方直接处置相关资产或负债相同的基础进行会计处</w:t>
      </w:r>
      <w:r>
        <w:rPr>
          <w:spacing w:val="-81"/>
        </w:rPr>
        <w:t> </w:t>
      </w:r>
      <w:r>
        <w:rPr>
          <w:spacing w:val="-81"/>
        </w:rPr>
      </w:r>
      <w:r>
        <w:rPr>
          <w:spacing w:val="-1"/>
        </w:rPr>
        <w:t>理（即，除了按照权益法核算的在被购买方重新计量设定受益计划净负债或净资产导致的变动中的相应份</w:t>
      </w:r>
      <w:r>
        <w:rPr>
          <w:spacing w:val="-81"/>
        </w:rPr>
        <w:t> </w:t>
      </w:r>
      <w:r>
        <w:rPr>
          <w:spacing w:val="-81"/>
        </w:rPr>
      </w:r>
      <w:r>
        <w:rPr/>
        <w:t>额以外，其余转为购买日所属当期投资收益）。</w:t>
      </w:r>
    </w:p>
    <w:p>
      <w:pPr>
        <w:spacing w:line="240" w:lineRule="auto" w:before="8"/>
        <w:rPr>
          <w:rFonts w:ascii="宋体" w:hAnsi="宋体" w:cs="宋体" w:eastAsia="宋体" w:hint="default"/>
          <w:sz w:val="23"/>
          <w:szCs w:val="23"/>
        </w:rPr>
      </w:pPr>
    </w:p>
    <w:p>
      <w:pPr>
        <w:pStyle w:val="Heading3"/>
        <w:spacing w:line="240" w:lineRule="auto"/>
        <w:ind w:left="153" w:right="0"/>
        <w:jc w:val="both"/>
        <w:rPr>
          <w:b w:val="0"/>
          <w:bCs w:val="0"/>
        </w:rPr>
      </w:pPr>
      <w:bookmarkStart w:name="6、合并财务报表的编制方法" w:id="178"/>
      <w:bookmarkEnd w:id="178"/>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left="577" w:right="0"/>
        <w:jc w:val="left"/>
      </w:pPr>
      <w:r>
        <w:rPr/>
        <w:t>（</w:t>
      </w:r>
      <w:r>
        <w:rPr>
          <w:rFonts w:ascii="宋体" w:hAnsi="宋体" w:cs="宋体" w:eastAsia="宋体" w:hint="default"/>
        </w:rPr>
        <w:t>1</w:t>
      </w:r>
      <w:r>
        <w:rPr/>
        <w:t>）合并财务报表范围的确定原则 </w:t>
      </w:r>
      <w:r>
        <w:rPr>
          <w:spacing w:val="-1"/>
        </w:rPr>
        <w:t>合并财务报表的合并范围以控制为基础予以确定。控制是指本公司拥有对被投资方的权力，通过参与</w:t>
      </w:r>
    </w:p>
    <w:p>
      <w:pPr>
        <w:pStyle w:val="BodyText"/>
        <w:spacing w:line="240" w:lineRule="auto"/>
        <w:ind w:right="0"/>
        <w:jc w:val="both"/>
      </w:pPr>
      <w:r>
        <w:rPr/>
        <w:t>被投资方的相关活动而享有可变回报，并且有能力运用对被投资方的权力影响其回报金额。相关活动是指</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对被投资方的回报产生重大影响的活动。被投资方的相关活动根据具体情况进行判断，通常包括商品或劳</w:t>
      </w:r>
      <w:r>
        <w:rPr>
          <w:spacing w:val="-81"/>
        </w:rPr>
        <w:t> </w:t>
      </w:r>
      <w:r>
        <w:rPr>
          <w:spacing w:val="-81"/>
        </w:rPr>
      </w:r>
      <w:r>
        <w:rPr/>
        <w:t>务的销售和购买、金融资产的管理、资产的购买和处置、研究与开发活动以及融资活动等。</w:t>
      </w:r>
    </w:p>
    <w:p>
      <w:pPr>
        <w:pStyle w:val="BodyText"/>
        <w:spacing w:line="273" w:lineRule="auto"/>
        <w:ind w:right="0" w:firstLine="423"/>
        <w:jc w:val="left"/>
      </w:pPr>
      <w:r>
        <w:rPr>
          <w:spacing w:val="-1"/>
        </w:rPr>
        <w:t>合并范围包括本公司及全部子公司。子公司，是指被本公司控制的企业或主体。一旦相关事实和情况</w:t>
      </w:r>
      <w:r>
        <w:rPr/>
        <w:t> 的变化导致上述控制定义涉及的相关要素发生了变化，本公司将进行重新评估。</w:t>
      </w:r>
    </w:p>
    <w:p>
      <w:pPr>
        <w:pStyle w:val="BodyText"/>
        <w:spacing w:line="273" w:lineRule="auto" w:before="8"/>
        <w:ind w:left="577" w:right="0"/>
        <w:jc w:val="left"/>
      </w:pPr>
      <w:r>
        <w:rPr/>
        <w:t>（</w:t>
      </w:r>
      <w:r>
        <w:rPr>
          <w:rFonts w:ascii="宋体" w:hAnsi="宋体" w:cs="宋体" w:eastAsia="宋体" w:hint="default"/>
        </w:rPr>
        <w:t>2</w:t>
      </w:r>
      <w:r>
        <w:rPr/>
        <w:t>）合并财务报表编制的方法 本公司以自身和子公司的财务报表为基础，根据其他有关资料，编制合并财务报表。 </w:t>
      </w:r>
      <w:r>
        <w:rPr>
          <w:spacing w:val="-1"/>
        </w:rPr>
        <w:t>从取得子公司的净资产和生产经营决策的实际控制权之日起，本公司开始将其纳入合并范围；从丧失</w:t>
      </w:r>
    </w:p>
    <w:p>
      <w:pPr>
        <w:pStyle w:val="BodyText"/>
        <w:spacing w:line="273" w:lineRule="auto"/>
        <w:ind w:right="1131"/>
        <w:jc w:val="both"/>
      </w:pPr>
      <w:r>
        <w:rPr>
          <w:spacing w:val="-1"/>
        </w:rPr>
        <w:t>实际控制权之日起停止纳入合并范围。对于处置的子公司，处置日前的经营成果和现金流量已经适当地包</w:t>
      </w:r>
      <w:r>
        <w:rPr>
          <w:spacing w:val="-81"/>
        </w:rPr>
        <w:t> </w:t>
      </w:r>
      <w:r>
        <w:rPr>
          <w:spacing w:val="-81"/>
        </w:rPr>
      </w:r>
      <w:r>
        <w:rPr>
          <w:spacing w:val="-1"/>
        </w:rPr>
        <w:t>括在合并利润表和合并现金流量表中；当期处置的子公司，不调整合并资产负债表的期初数。非同一控制</w:t>
      </w:r>
      <w:r>
        <w:rPr>
          <w:spacing w:val="-83"/>
        </w:rPr>
        <w:t> </w:t>
      </w:r>
      <w:r>
        <w:rPr>
          <w:spacing w:val="-83"/>
        </w:rPr>
      </w:r>
      <w:r>
        <w:rPr>
          <w:spacing w:val="-1"/>
        </w:rPr>
        <w:t>下企业合并增加的子公司，其购买日后的经营成果及现金流量已经适当地包括在合并利润表和合并现金流</w:t>
      </w:r>
      <w:r>
        <w:rPr>
          <w:spacing w:val="-81"/>
        </w:rPr>
        <w:t> </w:t>
      </w:r>
      <w:r>
        <w:rPr>
          <w:spacing w:val="-81"/>
        </w:rPr>
      </w:r>
      <w:r>
        <w:rPr>
          <w:spacing w:val="-1"/>
        </w:rPr>
        <w:t>量表中，且不调整合并财务报表的期初数和对比数。同一控制下企业合并增加的子公司，其自合并当期期</w:t>
      </w:r>
      <w:r>
        <w:rPr>
          <w:spacing w:val="-83"/>
        </w:rPr>
        <w:t> </w:t>
      </w:r>
      <w:r>
        <w:rPr>
          <w:spacing w:val="-83"/>
        </w:rPr>
      </w:r>
      <w:r>
        <w:rPr>
          <w:spacing w:val="-1"/>
        </w:rPr>
        <w:t>初至合并日的经营成果和现金流量已经适当地包括在合并利润表和合并现金流量表中，并且同时调整合并</w:t>
      </w:r>
      <w:r>
        <w:rPr>
          <w:spacing w:val="-81"/>
        </w:rPr>
        <w:t> </w:t>
      </w:r>
      <w:r>
        <w:rPr>
          <w:spacing w:val="-81"/>
        </w:rPr>
      </w:r>
      <w:r>
        <w:rPr/>
        <w:t>财务报表的对比数。</w:t>
      </w:r>
    </w:p>
    <w:p>
      <w:pPr>
        <w:pStyle w:val="BodyText"/>
        <w:spacing w:line="273" w:lineRule="auto"/>
        <w:ind w:right="1131" w:firstLine="423"/>
        <w:jc w:val="both"/>
      </w:pPr>
      <w:r>
        <w:rPr>
          <w:spacing w:val="-1"/>
        </w:rPr>
        <w:t>在编制合并财务报表时，子公司与本公司采用的会计政策或会计期间不一致的，按照本公司的会计政</w:t>
      </w:r>
      <w:r>
        <w:rPr/>
        <w:t> </w:t>
      </w:r>
      <w:r>
        <w:rPr>
          <w:spacing w:val="-1"/>
        </w:rPr>
        <w:t>策和会计期间对子公司财务报表进行必要的调整。对于非同一控制下企业合并取得的子公司，以购买日可</w:t>
      </w:r>
      <w:r>
        <w:rPr>
          <w:spacing w:val="-81"/>
        </w:rPr>
        <w:t> </w:t>
      </w:r>
      <w:r>
        <w:rPr>
          <w:spacing w:val="-81"/>
        </w:rPr>
      </w:r>
      <w:r>
        <w:rPr/>
        <w:t>辨认净资产公允价值为基础对其财务报表进行调整。</w:t>
      </w:r>
    </w:p>
    <w:p>
      <w:pPr>
        <w:pStyle w:val="BodyText"/>
        <w:spacing w:line="273" w:lineRule="auto"/>
        <w:ind w:left="577" w:right="0"/>
        <w:jc w:val="left"/>
      </w:pPr>
      <w:r>
        <w:rPr/>
        <w:t>公司内所有重大往来余额、交易及未实现利润在合并财务报表编制时予以抵销。 </w:t>
      </w:r>
      <w:r>
        <w:rPr>
          <w:spacing w:val="3"/>
        </w:rPr>
        <w:t>子公司的股东权益及当期净损益中不属于本公司所拥有的部分分别作为少数股东权益及少数股东损</w:t>
      </w:r>
    </w:p>
    <w:p>
      <w:pPr>
        <w:pStyle w:val="BodyText"/>
        <w:spacing w:line="273" w:lineRule="auto"/>
        <w:ind w:right="1131"/>
        <w:jc w:val="both"/>
      </w:pPr>
      <w:r>
        <w:rPr>
          <w:spacing w:val="-1"/>
        </w:rPr>
        <w:t>益在合并财务报表中股东权益及净利润项下单独列示。子公司当期净损益中属于少数股东权益的份额，在</w:t>
      </w:r>
      <w:r>
        <w:rPr>
          <w:spacing w:val="-81"/>
        </w:rPr>
        <w:t> </w:t>
      </w:r>
      <w:r>
        <w:rPr>
          <w:spacing w:val="-81"/>
        </w:rPr>
      </w:r>
      <w:r>
        <w:rPr>
          <w:spacing w:val="-1"/>
        </w:rPr>
        <w:t>合并利润表中净利润项目下以“少数股东损益”项目列示。少数股东分担的子公司的亏损超过了少数股东</w:t>
      </w:r>
      <w:r>
        <w:rPr>
          <w:spacing w:val="-83"/>
        </w:rPr>
        <w:t> </w:t>
      </w:r>
      <w:r>
        <w:rPr>
          <w:spacing w:val="-83"/>
        </w:rPr>
      </w:r>
      <w:r>
        <w:rPr/>
        <w:t>在该子公司期初股东权益中所享有的份额，冲减少数股东权益。</w:t>
      </w:r>
    </w:p>
    <w:p>
      <w:pPr>
        <w:pStyle w:val="BodyText"/>
        <w:spacing w:line="273" w:lineRule="auto"/>
        <w:ind w:right="1024" w:firstLine="423"/>
        <w:jc w:val="left"/>
      </w:pPr>
      <w:r>
        <w:rPr/>
        <w:t>当因处置部分股权投资或其他原因丧失了对原有子公司的控制权时，对于剩余股权，按照其在丧失控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与原有子公司股权投资相关的其他综合收益，在丧失控制权时采用与被购买方直接处置相关资产或负债相 </w:t>
      </w:r>
      <w:r>
        <w:rPr>
          <w:spacing w:val="-3"/>
        </w:rPr>
        <w:t>同的基础进行会计处理（即，除了在该原有子公司重新计量设定受益计划净负债或净资产导致的变动以外，</w:t>
      </w:r>
      <w:r>
        <w:rPr>
          <w:spacing w:val="-92"/>
        </w:rPr>
        <w:t> </w:t>
      </w:r>
      <w:r>
        <w:rPr>
          <w:spacing w:val="-92"/>
        </w:rPr>
      </w:r>
      <w:r>
        <w:rPr/>
        <w:t>其余一并转为当期投资收益）。其后，对该部分剩余股权按照《企业会计准则第</w:t>
      </w:r>
      <w:r>
        <w:rPr>
          <w:rFonts w:ascii="宋体" w:hAnsi="宋体" w:cs="宋体" w:eastAsia="宋体" w:hint="default"/>
        </w:rPr>
        <w:t>2</w:t>
      </w:r>
      <w:r>
        <w:rPr/>
        <w:t>号——长期股权投资》</w:t>
      </w:r>
      <w:r>
        <w:rPr>
          <w:spacing w:val="-27"/>
        </w:rPr>
        <w:t> </w:t>
      </w:r>
      <w:r>
        <w:rPr>
          <w:spacing w:val="-27"/>
        </w:rPr>
      </w:r>
      <w:r>
        <w:rPr/>
        <w:t>或《企业会计准则第</w:t>
      </w:r>
      <w:r>
        <w:rPr>
          <w:rFonts w:ascii="宋体" w:hAnsi="宋体" w:cs="宋体" w:eastAsia="宋体" w:hint="default"/>
        </w:rPr>
        <w:t>22</w:t>
      </w:r>
      <w:r>
        <w:rPr/>
        <w:t>号——金融工具确认和计量》等相关规定进行后续计量。</w:t>
      </w:r>
    </w:p>
    <w:p>
      <w:pPr>
        <w:pStyle w:val="BodyText"/>
        <w:spacing w:line="273" w:lineRule="auto"/>
        <w:ind w:right="1131" w:firstLine="423"/>
        <w:jc w:val="both"/>
      </w:pPr>
      <w:r>
        <w:rPr>
          <w:spacing w:val="-1"/>
        </w:rPr>
        <w:t>本公司通过多次交易分步处置对子公司股权投资直至丧失控制权的，需区分处置对子公司股权投资直</w:t>
      </w:r>
      <w:r>
        <w:rPr/>
        <w:t> </w:t>
      </w:r>
      <w:r>
        <w:rPr>
          <w:spacing w:val="-1"/>
        </w:rPr>
        <w:t>至丧失控制权的各项交易是否属于一揽子交易。处置对子公司股权投资的各项交易的条款、条件以及经济</w:t>
      </w:r>
      <w:r>
        <w:rPr>
          <w:spacing w:val="-81"/>
        </w:rPr>
        <w:t> </w:t>
      </w:r>
      <w:r>
        <w:rPr>
          <w:spacing w:val="-81"/>
        </w:rPr>
      </w:r>
      <w:r>
        <w:rPr/>
        <w:t>影响符合以下一种或多种情况，通常表明应将多次交易事项作为一揽子交易进行会计处理：</w:t>
      </w:r>
    </w:p>
    <w:p>
      <w:pPr>
        <w:pStyle w:val="BodyText"/>
        <w:spacing w:line="240" w:lineRule="auto"/>
        <w:ind w:left="577" w:right="0"/>
        <w:jc w:val="left"/>
      </w:pPr>
      <w:r>
        <w:rPr/>
        <w:t>①这些交易是同时或者在考虑了彼此影响的情况下订立的；</w:t>
      </w:r>
    </w:p>
    <w:p>
      <w:pPr>
        <w:pStyle w:val="BodyText"/>
        <w:spacing w:line="240" w:lineRule="auto" w:before="37"/>
        <w:ind w:left="577" w:right="0"/>
        <w:jc w:val="left"/>
      </w:pPr>
      <w:r>
        <w:rPr/>
        <w:t>②这些交易整体才能达成一项完整的商业结果；</w:t>
      </w:r>
    </w:p>
    <w:p>
      <w:pPr>
        <w:pStyle w:val="BodyText"/>
        <w:spacing w:line="240" w:lineRule="auto" w:before="37"/>
        <w:ind w:left="577" w:right="0"/>
        <w:jc w:val="left"/>
      </w:pPr>
      <w:r>
        <w:rPr/>
        <w:t>③一项交易的发生取决于其他至少一项交易的发生；</w:t>
      </w:r>
    </w:p>
    <w:p>
      <w:pPr>
        <w:pStyle w:val="BodyText"/>
        <w:spacing w:line="273" w:lineRule="auto" w:before="37"/>
        <w:ind w:left="577" w:right="0"/>
        <w:jc w:val="left"/>
      </w:pPr>
      <w:r>
        <w:rPr/>
        <w:t>④一项交易单独看是不经济的，但是和其他交易一并考虑时是经济的。 </w:t>
      </w:r>
      <w:r>
        <w:rPr>
          <w:spacing w:val="-1"/>
        </w:rPr>
        <w:t>不属于一揽子交易的，对其中的每一项交易视情况分别按照“不丧失控制权的情况下部分处置对子公</w:t>
      </w:r>
    </w:p>
    <w:p>
      <w:pPr>
        <w:pStyle w:val="BodyText"/>
        <w:spacing w:line="273" w:lineRule="auto"/>
        <w:ind w:left="154" w:right="1131"/>
        <w:jc w:val="both"/>
      </w:pPr>
      <w:r>
        <w:rPr>
          <w:spacing w:val="-1"/>
        </w:rPr>
        <w:t>司的长期股权投资”适用的原则进行会计处理。处置对子公司股权投资直至丧失控制权的各项交易属于一</w:t>
      </w:r>
      <w:r>
        <w:rPr>
          <w:spacing w:val="-81"/>
        </w:rPr>
        <w:t> </w:t>
      </w:r>
      <w:r>
        <w:rPr>
          <w:spacing w:val="-81"/>
        </w:rPr>
      </w:r>
      <w:r>
        <w:rPr>
          <w:spacing w:val="-1"/>
        </w:rPr>
        <w:t>揽子交易的，将各项交易作为一项处置子公司并丧失控制权的交易进行会计处理；但是，在丧失控制权之</w:t>
      </w:r>
      <w:r>
        <w:rPr>
          <w:spacing w:val="-83"/>
        </w:rPr>
        <w:t> </w:t>
      </w:r>
      <w:r>
        <w:rPr>
          <w:spacing w:val="-83"/>
        </w:rPr>
      </w:r>
      <w:r>
        <w:rPr>
          <w:spacing w:val="-1"/>
        </w:rPr>
        <w:t>前每一次处置价款与处置投资对应的享有该子公司净资产份额的差额，在合并财务报表中确认为其他综合</w:t>
      </w:r>
      <w:r>
        <w:rPr>
          <w:spacing w:val="-81"/>
        </w:rPr>
        <w:t> </w:t>
      </w:r>
      <w:r>
        <w:rPr>
          <w:spacing w:val="-81"/>
        </w:rPr>
      </w:r>
      <w:r>
        <w:rPr/>
        <w:t>收益，在丧失控制权时一并转入丧失控制权当期的损益。</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bookmarkStart w:name="7、合营安排分类及共同经营会计处理方法" w:id="179"/>
      <w:bookmarkEnd w:id="179"/>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7" w:right="0"/>
        <w:jc w:val="left"/>
      </w:pPr>
      <w:r>
        <w:rPr/>
        <w:t>（</w:t>
      </w:r>
      <w:r>
        <w:rPr>
          <w:rFonts w:ascii="宋体" w:hAnsi="宋体" w:cs="宋体" w:eastAsia="宋体" w:hint="default"/>
        </w:rPr>
        <w:t>1</w:t>
      </w:r>
      <w:r>
        <w:rPr/>
        <w:t>）合营安排分类</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015" w:firstLine="423"/>
        <w:jc w:val="left"/>
      </w:pPr>
      <w:r>
        <w:rPr>
          <w:spacing w:val="-3"/>
        </w:rPr>
        <w:t>合营安排是指一项由两个或两个以上的参与方共同控制的安排，分为共同经营和合营企业。共同经营，</w:t>
      </w:r>
      <w:r>
        <w:rPr/>
        <w:t> 是指合营方享有该安排相关资产且承担该安排相关负债的合营安排。合营企业，是指合营方仅对该安排的 净资产享有权利的合营安排。</w:t>
      </w:r>
    </w:p>
    <w:p>
      <w:pPr>
        <w:pStyle w:val="BodyText"/>
        <w:spacing w:line="273" w:lineRule="auto"/>
        <w:ind w:left="577" w:right="3399"/>
        <w:jc w:val="left"/>
      </w:pPr>
      <w:r>
        <w:rPr/>
        <w:t>（</w:t>
      </w:r>
      <w:r>
        <w:rPr>
          <w:rFonts w:ascii="宋体" w:hAnsi="宋体" w:cs="宋体" w:eastAsia="宋体" w:hint="default"/>
        </w:rPr>
        <w:t>2</w:t>
      </w:r>
      <w:r>
        <w:rPr/>
        <w:t>）共同经营会计处理方法 当公司为共同经营的合营方时，确认与共同经营利益份额相关的下列项目：</w:t>
      </w:r>
    </w:p>
    <w:p>
      <w:pPr>
        <w:pStyle w:val="BodyText"/>
        <w:spacing w:line="240" w:lineRule="auto"/>
        <w:ind w:left="577" w:right="0"/>
        <w:jc w:val="left"/>
      </w:pPr>
      <w:r>
        <w:rPr/>
        <w:t>①确认单独所持有的资产，以及按持有份额确认共同持有的资产；</w:t>
      </w:r>
    </w:p>
    <w:p>
      <w:pPr>
        <w:pStyle w:val="BodyText"/>
        <w:spacing w:line="240" w:lineRule="auto" w:before="37"/>
        <w:ind w:left="577" w:right="0"/>
        <w:jc w:val="left"/>
      </w:pPr>
      <w:r>
        <w:rPr/>
        <w:t>②确认单独所承担的负债，以及按持有份额确认共同承担的负债；</w:t>
      </w:r>
    </w:p>
    <w:p>
      <w:pPr>
        <w:pStyle w:val="BodyText"/>
        <w:spacing w:line="240" w:lineRule="auto" w:before="37"/>
        <w:ind w:left="577" w:right="0"/>
        <w:jc w:val="left"/>
      </w:pPr>
      <w:r>
        <w:rPr/>
        <w:t>③确认出售公司享有的共同经营产出份额所产生的收入；</w:t>
      </w:r>
    </w:p>
    <w:p>
      <w:pPr>
        <w:pStyle w:val="BodyText"/>
        <w:spacing w:line="240" w:lineRule="auto" w:before="37"/>
        <w:ind w:left="577" w:right="0"/>
        <w:jc w:val="left"/>
      </w:pPr>
      <w:r>
        <w:rPr/>
        <w:t>④按公司持有份额确认共同经营因出售资产所产生的收入；</w:t>
      </w:r>
    </w:p>
    <w:p>
      <w:pPr>
        <w:pStyle w:val="BodyText"/>
        <w:spacing w:line="240" w:lineRule="auto" w:before="37"/>
        <w:ind w:left="577" w:right="0"/>
        <w:jc w:val="left"/>
      </w:pPr>
      <w:r>
        <w:rPr/>
        <w:t>⑤确认单独所发生的费用，以及按公司持有份额确认共同经营发生的费用；</w:t>
      </w:r>
    </w:p>
    <w:p>
      <w:pPr>
        <w:pStyle w:val="BodyText"/>
        <w:spacing w:line="240" w:lineRule="auto" w:before="37"/>
        <w:ind w:left="577" w:right="0"/>
        <w:jc w:val="left"/>
      </w:pPr>
      <w:r>
        <w:rPr/>
        <w:t>（</w:t>
      </w:r>
      <w:r>
        <w:rPr>
          <w:rFonts w:ascii="宋体" w:hAnsi="宋体" w:cs="宋体" w:eastAsia="宋体" w:hint="default"/>
        </w:rPr>
        <w:t>3</w:t>
      </w:r>
      <w:r>
        <w:rPr/>
        <w:t>）当公司为合营企业的合营方时，将对合营企业的投资确认为长期股权投资。</w:t>
      </w:r>
    </w:p>
    <w:p>
      <w:pPr>
        <w:spacing w:line="590" w:lineRule="atLeast" w:before="39"/>
        <w:ind w:left="577" w:right="0" w:hanging="424"/>
        <w:jc w:val="left"/>
        <w:rPr>
          <w:rFonts w:ascii="宋体" w:hAnsi="宋体" w:cs="宋体" w:eastAsia="宋体" w:hint="default"/>
          <w:sz w:val="21"/>
          <w:szCs w:val="21"/>
        </w:rPr>
      </w:pPr>
      <w:bookmarkStart w:name="8、现金及现金等价物的确定标准" w:id="180"/>
      <w:bookmarkEnd w:id="18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现金流量表的现金指企业库存现金及可以随时用于支付的存款。现金等价物指持有的期限短（一般是</w:t>
      </w:r>
    </w:p>
    <w:p>
      <w:pPr>
        <w:pStyle w:val="BodyText"/>
        <w:spacing w:line="240" w:lineRule="auto" w:before="37"/>
        <w:ind w:right="0"/>
        <w:jc w:val="both"/>
      </w:pPr>
      <w:r>
        <w:rPr/>
        <w:t>指从购买日起三个月内到期）、流动性强、易于转换为已知金额现金、价值变动风险很小的投资。</w:t>
      </w:r>
    </w:p>
    <w:p>
      <w:pPr>
        <w:spacing w:line="240" w:lineRule="auto" w:before="11"/>
        <w:rPr>
          <w:rFonts w:ascii="宋体" w:hAnsi="宋体" w:cs="宋体" w:eastAsia="宋体" w:hint="default"/>
          <w:sz w:val="25"/>
          <w:szCs w:val="25"/>
        </w:rPr>
      </w:pPr>
    </w:p>
    <w:p>
      <w:pPr>
        <w:pStyle w:val="Heading3"/>
        <w:spacing w:line="240" w:lineRule="auto"/>
        <w:ind w:left="153" w:right="0"/>
        <w:jc w:val="both"/>
        <w:rPr>
          <w:b w:val="0"/>
          <w:bCs w:val="0"/>
        </w:rPr>
      </w:pPr>
      <w:bookmarkStart w:name="9、外币业务和外币报表折算" w:id="181"/>
      <w:bookmarkEnd w:id="181"/>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7" w:right="0"/>
        <w:jc w:val="left"/>
      </w:pPr>
      <w:r>
        <w:rPr/>
        <w:t>（</w:t>
      </w:r>
      <w:r>
        <w:rPr>
          <w:rFonts w:ascii="宋体" w:hAnsi="宋体" w:cs="宋体" w:eastAsia="宋体" w:hint="default"/>
        </w:rPr>
        <w:t>1</w:t>
      </w:r>
      <w:r>
        <w:rPr/>
        <w:t>）外币业务折算 外币交易在初始确认时，采用交易发生日的即期汇率</w:t>
      </w:r>
      <w:r>
        <w:rPr>
          <w:rFonts w:ascii="宋体" w:hAnsi="宋体" w:cs="宋体" w:eastAsia="宋体" w:hint="default"/>
        </w:rPr>
        <w:t>/</w:t>
      </w:r>
      <w:r>
        <w:rPr/>
        <w:t>交易发生日即期汇率的近似汇率折算为人民币</w:t>
      </w:r>
    </w:p>
    <w:p>
      <w:pPr>
        <w:pStyle w:val="BodyText"/>
        <w:spacing w:line="273" w:lineRule="auto"/>
        <w:ind w:right="1110"/>
        <w:jc w:val="both"/>
      </w:pPr>
      <w:r>
        <w:rPr/>
        <w:t>金额。资产负债表日，外币货币性项目采用资产负债表日即期汇率折算，因汇率不同而产生的汇兑差额， </w:t>
      </w:r>
      <w:r>
        <w:rPr>
          <w:spacing w:val="-1"/>
        </w:rPr>
        <w:t>除与购建符合资本化条件资产有关的外币专门借款本金及利息的汇兑差额外，计入当期损益；以历史成本</w:t>
      </w:r>
      <w:r>
        <w:rPr>
          <w:spacing w:val="-81"/>
        </w:rPr>
        <w:t> </w:t>
      </w:r>
      <w:r>
        <w:rPr>
          <w:spacing w:val="-81"/>
        </w:rPr>
      </w:r>
      <w:r>
        <w:rPr>
          <w:spacing w:val="-1"/>
        </w:rPr>
        <w:t>计量的外币非货币性项目仍采用交易发生日的即期汇率折算，不改变其人民币金额；以公允价值计量的外</w:t>
      </w:r>
      <w:r>
        <w:rPr>
          <w:spacing w:val="-81"/>
        </w:rPr>
        <w:t> </w:t>
      </w:r>
      <w:r>
        <w:rPr>
          <w:spacing w:val="-81"/>
        </w:rPr>
      </w:r>
      <w:r>
        <w:rPr/>
        <w:t>币非货币性项目，采用公允价值确定日的即期汇率折算，差额计入当期损益或其他综合收益。</w:t>
      </w:r>
    </w:p>
    <w:p>
      <w:pPr>
        <w:pStyle w:val="BodyText"/>
        <w:spacing w:line="273" w:lineRule="auto"/>
        <w:ind w:left="577" w:right="0"/>
        <w:jc w:val="left"/>
      </w:pPr>
      <w:r>
        <w:rPr/>
        <w:t>（</w:t>
      </w:r>
      <w:r>
        <w:rPr>
          <w:rFonts w:ascii="宋体" w:hAnsi="宋体" w:cs="宋体" w:eastAsia="宋体" w:hint="default"/>
        </w:rPr>
        <w:t>2</w:t>
      </w:r>
      <w:r>
        <w:rPr/>
        <w:t>）外币财务报表折算 </w:t>
      </w:r>
      <w:r>
        <w:rPr>
          <w:spacing w:val="-1"/>
        </w:rPr>
        <w:t>资产负债表中的资产和负债项目，采用资产负债表日的即期汇率折算；所有者权益项目除“未分配利</w:t>
      </w:r>
    </w:p>
    <w:p>
      <w:pPr>
        <w:pStyle w:val="BodyText"/>
        <w:spacing w:line="273" w:lineRule="auto"/>
        <w:ind w:left="154" w:right="1133"/>
        <w:jc w:val="both"/>
      </w:pPr>
      <w:r>
        <w:rPr>
          <w:spacing w:val="-1"/>
        </w:rPr>
        <w:t>润”项目外，其他项目采用交易发生日的即期汇率折算；利润表中的收入和费用项目，采用交易发生日的</w:t>
      </w:r>
      <w:r>
        <w:rPr>
          <w:spacing w:val="-86"/>
        </w:rPr>
        <w:t> </w:t>
      </w:r>
      <w:r>
        <w:rPr>
          <w:spacing w:val="-86"/>
        </w:rPr>
      </w:r>
      <w:r>
        <w:rPr/>
        <w:t>即期汇率</w:t>
      </w:r>
      <w:r>
        <w:rPr>
          <w:rFonts w:ascii="宋体" w:hAnsi="宋体" w:cs="宋体" w:eastAsia="宋体" w:hint="default"/>
        </w:rPr>
        <w:t>/</w:t>
      </w:r>
      <w:r>
        <w:rPr/>
        <w:t>交易发生日即期汇率的近似汇率折算。按照上述折算产生的外币财务报表折算差额，在资产负</w:t>
      </w:r>
      <w:r>
        <w:rPr>
          <w:spacing w:val="-33"/>
        </w:rPr>
        <w:t> </w:t>
      </w:r>
      <w:r>
        <w:rPr>
          <w:spacing w:val="-33"/>
        </w:rPr>
      </w:r>
      <w:r>
        <w:rPr/>
        <w:t>债表中所有者权益项目下其他综合收益中列示。</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bookmarkStart w:name="10、金融工具" w:id="182"/>
      <w:bookmarkEnd w:id="182"/>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4" w:right="1131" w:firstLine="423"/>
        <w:jc w:val="both"/>
      </w:pPr>
      <w:r>
        <w:rPr>
          <w:spacing w:val="-1"/>
        </w:rPr>
        <w:t>在本公司成为金融工具合同的一方时确认一项金融资产或金融负债。金融资产和金融负债在初始确认</w:t>
      </w:r>
      <w:r>
        <w:rPr/>
        <w:t> </w:t>
      </w:r>
      <w:r>
        <w:rPr>
          <w:spacing w:val="-1"/>
        </w:rPr>
        <w:t>时以公允价值计量。对于以公允价值计量且其变动计入当期损益的金融资产和金融负债，相关的交易费用</w:t>
      </w:r>
      <w:r>
        <w:rPr>
          <w:spacing w:val="-81"/>
        </w:rPr>
        <w:t> </w:t>
      </w:r>
      <w:r>
        <w:rPr>
          <w:spacing w:val="-81"/>
        </w:rPr>
      </w:r>
      <w:r>
        <w:rPr/>
        <w:t>直接计入损益，对于其他类别的金融资产和金融负债，相关交易费用计入初始确认金额。</w:t>
      </w:r>
    </w:p>
    <w:p>
      <w:pPr>
        <w:pStyle w:val="BodyText"/>
        <w:spacing w:line="273" w:lineRule="auto"/>
        <w:ind w:left="577" w:right="0"/>
        <w:jc w:val="left"/>
      </w:pPr>
      <w:r>
        <w:rPr/>
        <w:t>（</w:t>
      </w:r>
      <w:r>
        <w:rPr>
          <w:rFonts w:ascii="宋体" w:hAnsi="宋体" w:cs="宋体" w:eastAsia="宋体" w:hint="default"/>
        </w:rPr>
        <w:t>1</w:t>
      </w:r>
      <w:r>
        <w:rPr/>
        <w:t>）金融资产和金融负债的公允价值确定方法 </w:t>
      </w:r>
      <w:r>
        <w:rPr>
          <w:spacing w:val="-1"/>
        </w:rPr>
        <w:t>公允价值，是指市场参与者在计量日发生的有序交易中，出售一项资产所能收到或者转移一项负债所</w:t>
      </w:r>
    </w:p>
    <w:p>
      <w:pPr>
        <w:pStyle w:val="BodyText"/>
        <w:spacing w:line="273" w:lineRule="auto"/>
        <w:ind w:right="1131"/>
        <w:jc w:val="both"/>
      </w:pPr>
      <w:r>
        <w:rPr>
          <w:spacing w:val="-1"/>
        </w:rPr>
        <w:t>需支付的价格。金融工具存在活跃市场的，本公司采用活跃市场中的报价确定其公允价值。活跃市场中的</w:t>
      </w:r>
      <w:r>
        <w:rPr>
          <w:spacing w:val="-83"/>
        </w:rPr>
        <w:t> </w:t>
      </w:r>
      <w:r>
        <w:rPr>
          <w:spacing w:val="-83"/>
        </w:rPr>
      </w:r>
      <w:r>
        <w:rPr>
          <w:spacing w:val="-1"/>
        </w:rPr>
        <w:t>报价是指易于定期从交易所、经纪商、行业协会、定价服务机构等获得的价格，且代表了在公平交易中实</w:t>
      </w:r>
      <w:r>
        <w:rPr>
          <w:spacing w:val="-86"/>
        </w:rPr>
        <w:t> </w:t>
      </w:r>
      <w:r>
        <w:rPr>
          <w:spacing w:val="-86"/>
        </w:rPr>
      </w:r>
      <w:r>
        <w:rPr>
          <w:spacing w:val="-1"/>
        </w:rPr>
        <w:t>际发生的市场交易的价格。金融工具不存在活跃市场的，本公司采用估值技术确定其公允价值。估值技术</w:t>
      </w:r>
      <w:r>
        <w:rPr>
          <w:spacing w:val="-83"/>
        </w:rPr>
        <w:t> </w:t>
      </w:r>
      <w:r>
        <w:rPr>
          <w:spacing w:val="-83"/>
        </w:rPr>
      </w:r>
      <w:r>
        <w:rPr>
          <w:spacing w:val="-1"/>
        </w:rPr>
        <w:t>包括参考熟悉情况并自愿交易的各方最近进行的市场交易中使用的价格、参照实质上相同的其他金融工具</w:t>
      </w:r>
    </w:p>
    <w:p>
      <w:pPr>
        <w:pStyle w:val="BodyText"/>
        <w:spacing w:line="240" w:lineRule="auto"/>
        <w:ind w:left="577" w:right="0"/>
        <w:jc w:val="left"/>
      </w:pPr>
      <w:r>
        <w:rPr/>
        <w:t>当前的公允价值、现金流量折现法和期权定价模型等。</w:t>
      </w:r>
    </w:p>
    <w:p>
      <w:pPr>
        <w:pStyle w:val="BodyText"/>
        <w:spacing w:line="273" w:lineRule="auto" w:before="37"/>
        <w:ind w:left="577" w:right="0"/>
        <w:jc w:val="left"/>
      </w:pPr>
      <w:r>
        <w:rPr/>
        <w:t>（</w:t>
      </w:r>
      <w:r>
        <w:rPr>
          <w:rFonts w:ascii="宋体" w:hAnsi="宋体" w:cs="宋体" w:eastAsia="宋体" w:hint="default"/>
        </w:rPr>
        <w:t>2</w:t>
      </w:r>
      <w:r>
        <w:rPr/>
        <w:t>）金融资产的分类、确认和计量 </w:t>
      </w:r>
      <w:r>
        <w:rPr>
          <w:spacing w:val="-1"/>
        </w:rPr>
        <w:t>以常规方式买卖金融资产，按交易日进行会计确认和终止确认。金融资产在初始确认时划分为以公允</w:t>
      </w:r>
    </w:p>
    <w:p>
      <w:pPr>
        <w:spacing w:after="0" w:line="273" w:lineRule="auto"/>
        <w:jc w:val="left"/>
        <w:sectPr>
          <w:footerReference w:type="default" r:id="rId13"/>
          <w:pgSz w:w="11910" w:h="16840"/>
          <w:pgMar w:footer="979" w:header="747" w:top="1060" w:bottom="1160" w:left="980" w:right="0"/>
          <w:pgNumType w:start="96"/>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价值计量且其变动计入当期损益的金融资产、持有至到期投资、贷款和应收款项以及可供出售金融资产。</w:t>
      </w:r>
    </w:p>
    <w:p>
      <w:pPr>
        <w:pStyle w:val="BodyText"/>
        <w:spacing w:line="273" w:lineRule="auto" w:before="37"/>
        <w:ind w:left="577" w:right="0"/>
        <w:jc w:val="left"/>
      </w:pPr>
      <w:r>
        <w:rPr/>
        <w:t>①以公允价值计量且其变动计入当期损益的金融资产 包括交易性金融资产和指定为以公允价值计量且其变动计入当期损益的金融资产。 交易性金融资产是指满足下列条件之一的金融资产：</w:t>
      </w:r>
      <w:r>
        <w:rPr>
          <w:rFonts w:ascii="宋体" w:hAnsi="宋体" w:cs="宋体" w:eastAsia="宋体" w:hint="default"/>
        </w:rPr>
        <w:t>1</w:t>
      </w:r>
      <w:r>
        <w:rPr/>
        <w:t>）取得该金融资产的目的，主要是为了近期内</w:t>
      </w:r>
    </w:p>
    <w:p>
      <w:pPr>
        <w:pStyle w:val="BodyText"/>
        <w:spacing w:line="273" w:lineRule="auto" w:before="8"/>
        <w:ind w:right="1132"/>
        <w:jc w:val="both"/>
      </w:pPr>
      <w:r>
        <w:rPr/>
        <w:t>出售；</w:t>
      </w:r>
      <w:r>
        <w:rPr>
          <w:rFonts w:ascii="宋体" w:hAnsi="宋体" w:cs="宋体" w:eastAsia="宋体" w:hint="default"/>
        </w:rPr>
        <w:t>2</w:t>
      </w:r>
      <w:r>
        <w:rPr/>
        <w:t>）属于进行集中管理的可辨认金融工具组合的一部分，且有客观证据表明本公司近期采用短期获</w:t>
      </w:r>
      <w:r>
        <w:rPr>
          <w:spacing w:val="-35"/>
        </w:rPr>
        <w:t> </w:t>
      </w:r>
      <w:r>
        <w:rPr>
          <w:spacing w:val="-35"/>
        </w:rPr>
      </w:r>
      <w:r>
        <w:rPr/>
        <w:t>利方式对该组合进行管理；</w:t>
      </w:r>
      <w:r>
        <w:rPr>
          <w:rFonts w:ascii="宋体" w:hAnsi="宋体" w:cs="宋体" w:eastAsia="宋体" w:hint="default"/>
        </w:rPr>
        <w:t>3</w:t>
      </w:r>
      <w:r>
        <w:rPr/>
        <w:t>）属于衍生工具，但是，被指定且为有效套期工具的衍生工具、属于财务担</w:t>
      </w:r>
      <w:r>
        <w:rPr>
          <w:spacing w:val="-28"/>
        </w:rPr>
        <w:t> </w:t>
      </w:r>
      <w:r>
        <w:rPr>
          <w:spacing w:val="-28"/>
        </w:rPr>
      </w:r>
      <w:r>
        <w:rPr>
          <w:spacing w:val="-1"/>
        </w:rPr>
        <w:t>保合同的衍生工具、与在活跃市场中没有报价且其公允价值不能可靠计量的权益工具投资挂钩并须通过交</w:t>
      </w:r>
      <w:r>
        <w:rPr>
          <w:spacing w:val="-81"/>
        </w:rPr>
        <w:t> </w:t>
      </w:r>
      <w:r>
        <w:rPr>
          <w:spacing w:val="-81"/>
        </w:rPr>
      </w:r>
      <w:r>
        <w:rPr/>
        <w:t>付该权益工具结算的衍生工具除外。</w:t>
      </w:r>
    </w:p>
    <w:p>
      <w:pPr>
        <w:pStyle w:val="BodyText"/>
        <w:spacing w:line="273" w:lineRule="auto"/>
        <w:ind w:right="1127" w:firstLine="423"/>
        <w:jc w:val="both"/>
      </w:pPr>
      <w:r>
        <w:rPr>
          <w:spacing w:val="-1"/>
        </w:rPr>
        <w:t>符合下述条件之一的金融资产，在初始确认时可指定为以公允价值计量且其变动计入当期损益的金融</w:t>
      </w:r>
      <w:r>
        <w:rPr/>
        <w:t> 资产：</w:t>
      </w:r>
      <w:r>
        <w:rPr>
          <w:rFonts w:ascii="宋体" w:hAnsi="宋体" w:cs="宋体" w:eastAsia="宋体" w:hint="default"/>
        </w:rPr>
        <w:t>1</w:t>
      </w:r>
      <w:r>
        <w:rPr/>
        <w:t>）该指定可以消除或明显减少由于该金融资产的计量基础不同所导致的相关利得或损失在确认或</w:t>
      </w:r>
      <w:r>
        <w:rPr>
          <w:spacing w:val="-35"/>
        </w:rPr>
        <w:t> </w:t>
      </w:r>
      <w:r>
        <w:rPr>
          <w:spacing w:val="-35"/>
        </w:rPr>
      </w:r>
      <w:r>
        <w:rPr/>
        <w:t>计量方面不一致的情况；</w:t>
      </w:r>
      <w:r>
        <w:rPr>
          <w:rFonts w:ascii="宋体" w:hAnsi="宋体" w:cs="宋体" w:eastAsia="宋体" w:hint="default"/>
        </w:rPr>
        <w:t>2</w:t>
      </w:r>
      <w:r>
        <w:rPr/>
        <w:t>）本公司风险管理或投资策略的正式书面文件已载明，对该金融资产所在的金</w:t>
      </w:r>
      <w:r>
        <w:rPr>
          <w:spacing w:val="-32"/>
        </w:rPr>
        <w:t> </w:t>
      </w:r>
      <w:r>
        <w:rPr>
          <w:spacing w:val="-32"/>
        </w:rPr>
      </w:r>
      <w:r>
        <w:rPr/>
        <w:t>融资产组合或金融资产和金融负债组合以公允价值为基础进行管理、评价并向关键管理人员报告。</w:t>
      </w:r>
      <w:r>
        <w:rPr>
          <w:spacing w:val="74"/>
        </w:rPr>
        <w:t> </w:t>
      </w:r>
      <w:r>
        <w:rPr/>
        <w:t>以公</w:t>
      </w:r>
      <w:r>
        <w:rPr>
          <w:spacing w:val="-98"/>
        </w:rPr>
        <w:t> </w:t>
      </w:r>
      <w:r>
        <w:rPr>
          <w:spacing w:val="-98"/>
        </w:rPr>
      </w:r>
      <w:r>
        <w:rPr>
          <w:spacing w:val="-1"/>
        </w:rPr>
        <w:t>允价值计量且其变动计入当期损益的金融资产采用公允价值进行后续计量，公允价值变动形成的利得或损</w:t>
      </w:r>
      <w:r>
        <w:rPr>
          <w:spacing w:val="-81"/>
        </w:rPr>
        <w:t> </w:t>
      </w:r>
      <w:r>
        <w:rPr>
          <w:spacing w:val="-81"/>
        </w:rPr>
      </w:r>
      <w:r>
        <w:rPr/>
        <w:t>失以及与该等金融资产相关的股利和利息收入计入当期损益。</w:t>
      </w:r>
    </w:p>
    <w:p>
      <w:pPr>
        <w:pStyle w:val="BodyText"/>
        <w:spacing w:line="273" w:lineRule="auto"/>
        <w:ind w:left="577" w:right="1014"/>
        <w:jc w:val="left"/>
      </w:pPr>
      <w:r>
        <w:rPr/>
        <w:t>②持有至到期投资 </w:t>
      </w:r>
      <w:r>
        <w:rPr>
          <w:spacing w:val="-3"/>
        </w:rPr>
        <w:t>是指到期日固定、回收金额固定或可确定，且本公司有明确意图和能力持有至到期的非衍生金融资产。</w:t>
      </w:r>
    </w:p>
    <w:p>
      <w:pPr>
        <w:pStyle w:val="BodyText"/>
        <w:spacing w:line="273" w:lineRule="auto"/>
        <w:ind w:right="1131"/>
        <w:jc w:val="both"/>
      </w:pPr>
      <w:r>
        <w:rPr>
          <w:spacing w:val="-1"/>
        </w:rPr>
        <w:t>持有至到期投资采用实际利率法，按摊余成本进行后续计量，在终止确认、发生减值或摊销时产生的利得</w:t>
      </w:r>
      <w:r>
        <w:rPr>
          <w:spacing w:val="-83"/>
        </w:rPr>
        <w:t> </w:t>
      </w:r>
      <w:r>
        <w:rPr>
          <w:spacing w:val="-83"/>
        </w:rPr>
      </w:r>
      <w:r>
        <w:rPr/>
        <w:t>或损失，计入当期损益。</w:t>
      </w:r>
    </w:p>
    <w:p>
      <w:pPr>
        <w:pStyle w:val="BodyText"/>
        <w:spacing w:line="273" w:lineRule="auto"/>
        <w:ind w:right="1131" w:firstLine="423"/>
        <w:jc w:val="both"/>
      </w:pPr>
      <w:r>
        <w:rPr>
          <w:spacing w:val="-1"/>
        </w:rPr>
        <w:t>实际利率法是指按照金融资产或金融负债（含一组金融资产或金融负债）的实际利率计算其摊余成本</w:t>
      </w:r>
      <w:r>
        <w:rPr/>
        <w:t> </w:t>
      </w:r>
      <w:r>
        <w:rPr>
          <w:spacing w:val="-1"/>
        </w:rPr>
        <w:t>及各期利息收入或支出的方法。实际利率是指将金融资产或金融负债在预期存续期间或适用的更短期间内</w:t>
      </w:r>
      <w:r>
        <w:rPr>
          <w:spacing w:val="-81"/>
        </w:rPr>
        <w:t> </w:t>
      </w:r>
      <w:r>
        <w:rPr>
          <w:spacing w:val="-81"/>
        </w:rPr>
      </w:r>
      <w:r>
        <w:rPr>
          <w:spacing w:val="-1"/>
        </w:rPr>
        <w:t>的未来现金流量，折现为该金融资产或金融负债当前账面价值所使用的利率。在计算实际利率时，本公司</w:t>
      </w:r>
      <w:r>
        <w:rPr>
          <w:spacing w:val="-83"/>
        </w:rPr>
        <w:t> </w:t>
      </w:r>
      <w:r>
        <w:rPr>
          <w:spacing w:val="-83"/>
        </w:rPr>
      </w:r>
      <w:r>
        <w:rPr>
          <w:spacing w:val="-1"/>
        </w:rPr>
        <w:t>将在考虑金融资产或金融负债所有合同条款的基础上预计未来现金流量（不考虑未来的信用损失），同时</w:t>
      </w:r>
      <w:r>
        <w:rPr>
          <w:spacing w:val="-83"/>
        </w:rPr>
        <w:t> </w:t>
      </w:r>
      <w:r>
        <w:rPr>
          <w:spacing w:val="-83"/>
        </w:rPr>
      </w:r>
      <w:r>
        <w:rPr>
          <w:spacing w:val="-1"/>
        </w:rPr>
        <w:t>还将考虑金融资产或金融负债合同各方之间支付或收取的、属于实际利率组成部分的各项收费、交易费用</w:t>
      </w:r>
      <w:r>
        <w:rPr>
          <w:spacing w:val="-81"/>
        </w:rPr>
        <w:t> </w:t>
      </w:r>
      <w:r>
        <w:rPr>
          <w:spacing w:val="-81"/>
        </w:rPr>
      </w:r>
      <w:r>
        <w:rPr/>
        <w:t>及折价或溢价等。</w:t>
      </w:r>
    </w:p>
    <w:p>
      <w:pPr>
        <w:pStyle w:val="BodyText"/>
        <w:spacing w:line="273" w:lineRule="auto"/>
        <w:ind w:left="577" w:right="0"/>
        <w:jc w:val="left"/>
      </w:pPr>
      <w:r>
        <w:rPr/>
        <w:t>③贷款和应收款项 </w:t>
      </w:r>
      <w:r>
        <w:rPr>
          <w:spacing w:val="-1"/>
        </w:rPr>
        <w:t>是指在活跃市场中没有报价、回收金额固定或可确定的非衍生金融资产。本公司划分为贷款和应收款</w:t>
      </w:r>
    </w:p>
    <w:p>
      <w:pPr>
        <w:pStyle w:val="BodyText"/>
        <w:spacing w:line="273" w:lineRule="auto"/>
        <w:ind w:left="577" w:right="0" w:hanging="424"/>
        <w:jc w:val="left"/>
      </w:pPr>
      <w:r>
        <w:rPr/>
        <w:t>的金融资产包括应收票据、应收账款、应收利息、应收股利及其他应收款等。 </w:t>
      </w:r>
      <w:r>
        <w:rPr>
          <w:spacing w:val="-1"/>
        </w:rPr>
        <w:t>贷款和应收款项采用实际利率法，按摊余成本进行后续计量，在终止确认、发生减值或摊销时产生的</w:t>
      </w:r>
    </w:p>
    <w:p>
      <w:pPr>
        <w:pStyle w:val="BodyText"/>
        <w:spacing w:line="240" w:lineRule="auto"/>
        <w:ind w:right="0"/>
        <w:jc w:val="both"/>
      </w:pPr>
      <w:r>
        <w:rPr/>
        <w:t>利得或损失，计入当期损益。</w:t>
      </w:r>
    </w:p>
    <w:p>
      <w:pPr>
        <w:pStyle w:val="BodyText"/>
        <w:spacing w:line="273" w:lineRule="auto" w:before="37"/>
        <w:ind w:left="577" w:right="0"/>
        <w:jc w:val="left"/>
      </w:pPr>
      <w:r>
        <w:rPr/>
        <w:t>④可供出售金融资产 </w:t>
      </w:r>
      <w:r>
        <w:rPr>
          <w:spacing w:val="-1"/>
        </w:rPr>
        <w:t>包括初始确认时即被指定为可供出售的非衍生金融资产，以及除了以公允价值计量且其变动计入当期</w:t>
      </w:r>
    </w:p>
    <w:p>
      <w:pPr>
        <w:pStyle w:val="BodyText"/>
        <w:spacing w:line="273" w:lineRule="auto"/>
        <w:ind w:left="577" w:right="0" w:hanging="424"/>
        <w:jc w:val="left"/>
      </w:pPr>
      <w:r>
        <w:rPr/>
        <w:t>损益的金融资产、贷款和应收款项、持有至到期投资以外的金融资产。 </w:t>
      </w:r>
      <w:r>
        <w:rPr>
          <w:spacing w:val="-1"/>
        </w:rPr>
        <w:t>可供出售债务工具投资的期末成本按照其摊余成本法确定，即初始确认金额扣除已偿还的本金，加上</w:t>
      </w:r>
    </w:p>
    <w:p>
      <w:pPr>
        <w:pStyle w:val="BodyText"/>
        <w:spacing w:line="273" w:lineRule="auto"/>
        <w:ind w:right="1110"/>
        <w:jc w:val="both"/>
      </w:pPr>
      <w:r>
        <w:rPr>
          <w:spacing w:val="-1"/>
        </w:rPr>
        <w:t>或减去采用实际利率法将该初始确认金额与到期日金额之间的差额进行摊销形成的累计摊销额，并扣除已</w:t>
      </w:r>
      <w:r>
        <w:rPr>
          <w:spacing w:val="-81"/>
        </w:rPr>
        <w:t> </w:t>
      </w:r>
      <w:r>
        <w:rPr>
          <w:spacing w:val="-81"/>
        </w:rPr>
      </w:r>
      <w:r>
        <w:rPr>
          <w:spacing w:val="-1"/>
        </w:rPr>
        <w:t>发生的减值损失后的金额。可供出售权益工具投资的期末成本为其初始取得成本。可供出售金融资产采用</w:t>
      </w:r>
      <w:r>
        <w:rPr>
          <w:spacing w:val="-81"/>
        </w:rPr>
        <w:t> </w:t>
      </w:r>
      <w:r>
        <w:rPr>
          <w:spacing w:val="-81"/>
        </w:rPr>
      </w:r>
      <w:r>
        <w:rPr>
          <w:spacing w:val="-1"/>
        </w:rPr>
        <w:t>公允价值进行后续计量，公允价值变动形成的利得或损失，除减值损失和外币货币性金融资产与摊余成本</w:t>
      </w:r>
      <w:r>
        <w:rPr>
          <w:spacing w:val="-81"/>
        </w:rPr>
        <w:t> </w:t>
      </w:r>
      <w:r>
        <w:rPr>
          <w:spacing w:val="-81"/>
        </w:rPr>
      </w:r>
      <w:r>
        <w:rPr/>
        <w:t>相关的汇兑差额计入当期损益外，确认为其他综合收益，在该金融资产终止确认时转出，计入当期损益。 </w:t>
      </w:r>
      <w:r>
        <w:rPr>
          <w:spacing w:val="-1"/>
        </w:rPr>
        <w:t>但是，在活跃市场中没有报价且其公允价值不能可靠计量的权益工具投资，以及与该权益工具挂钩并须通</w:t>
      </w:r>
      <w:r>
        <w:rPr>
          <w:spacing w:val="-81"/>
        </w:rPr>
        <w:t> </w:t>
      </w:r>
      <w:r>
        <w:rPr>
          <w:spacing w:val="-81"/>
        </w:rPr>
      </w:r>
      <w:r>
        <w:rPr>
          <w:spacing w:val="-1"/>
        </w:rPr>
        <w:t>过交付该权益工具结算的衍生金融资产，按照成本进行后续计量。可供出售金融资产持有期间取得的利息</w:t>
      </w:r>
      <w:r>
        <w:rPr>
          <w:spacing w:val="-81"/>
        </w:rPr>
        <w:t> </w:t>
      </w:r>
      <w:r>
        <w:rPr>
          <w:spacing w:val="-81"/>
        </w:rPr>
      </w:r>
      <w:r>
        <w:rPr/>
        <w:t>及被投资单位宣告发放的现金股利，计入投资收益。</w:t>
      </w:r>
    </w:p>
    <w:p>
      <w:pPr>
        <w:pStyle w:val="BodyText"/>
        <w:spacing w:line="273" w:lineRule="auto" w:before="8"/>
        <w:ind w:left="577" w:right="0"/>
        <w:jc w:val="left"/>
      </w:pPr>
      <w:r>
        <w:rPr/>
        <w:t>（</w:t>
      </w:r>
      <w:r>
        <w:rPr>
          <w:rFonts w:ascii="宋体" w:hAnsi="宋体" w:cs="宋体" w:eastAsia="宋体" w:hint="default"/>
        </w:rPr>
        <w:t>3</w:t>
      </w:r>
      <w:r>
        <w:rPr/>
        <w:t>）金融资产减值 </w:t>
      </w:r>
      <w:r>
        <w:rPr>
          <w:spacing w:val="-1"/>
        </w:rPr>
        <w:t>除了以公允价值计量且其变动计入当期损益的金融资产外，本公司在每个资产负债表日对其他金融资</w:t>
      </w:r>
    </w:p>
    <w:p>
      <w:pPr>
        <w:pStyle w:val="BodyText"/>
        <w:spacing w:line="273" w:lineRule="auto"/>
        <w:ind w:left="577" w:right="0" w:hanging="424"/>
        <w:jc w:val="left"/>
      </w:pPr>
      <w:r>
        <w:rPr/>
        <w:t>产的账面价值进行检查，有客观证据表明金融资产发生减值的，计提减值准备。 </w:t>
      </w:r>
      <w:r>
        <w:rPr>
          <w:spacing w:val="-1"/>
        </w:rPr>
        <w:t>本公司对单项金额重大的金融资产单独进行减值测试；对单项金额不重大的金融资产，单独进行减值</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spacing w:val="3"/>
        </w:rPr>
        <w:t>测试或包括在具有类似信用风险特征的金融资产组合中进行减值测试。单独测试未发生减值的金融资产</w:t>
      </w:r>
    </w:p>
    <w:p>
      <w:pPr>
        <w:pStyle w:val="BodyText"/>
        <w:spacing w:line="273" w:lineRule="auto" w:before="37"/>
        <w:ind w:right="1024"/>
        <w:jc w:val="left"/>
      </w:pPr>
      <w:r>
        <w:rPr/>
        <w:t>（包括单项金额重大和不重大的金融资产），包括在具有类似信用风险特征的金融资产组合中再进行减值 </w:t>
      </w:r>
      <w:r>
        <w:rPr>
          <w:spacing w:val="-3"/>
        </w:rPr>
        <w:t>测试。已单项确认减值损失的金融资产，不包括在具有类似信用风险特征的金融资产组合中进行减值测试。</w:t>
      </w:r>
    </w:p>
    <w:p>
      <w:pPr>
        <w:pStyle w:val="BodyText"/>
        <w:spacing w:line="273" w:lineRule="auto"/>
        <w:ind w:left="577" w:right="0"/>
        <w:jc w:val="left"/>
      </w:pPr>
      <w:r>
        <w:rPr/>
        <w:t>①持有至到期投资、贷款和应收款项减值 </w:t>
      </w:r>
      <w:r>
        <w:rPr>
          <w:spacing w:val="-1"/>
        </w:rPr>
        <w:t>以成本或摊余成本计量的金融资产将其账面价值减记至预计未来现金流量现值，减记金额确认为减值</w:t>
      </w:r>
    </w:p>
    <w:p>
      <w:pPr>
        <w:pStyle w:val="BodyText"/>
        <w:spacing w:line="273" w:lineRule="auto"/>
        <w:ind w:right="1131"/>
        <w:jc w:val="both"/>
      </w:pPr>
      <w:r>
        <w:rPr>
          <w:spacing w:val="-1"/>
        </w:rPr>
        <w:t>损失，计入当期损益。金融资产在确认减值损失后，如有客观证据表明该金融资产价值已恢复，且客观上</w:t>
      </w:r>
      <w:r>
        <w:rPr>
          <w:spacing w:val="-86"/>
        </w:rPr>
        <w:t> </w:t>
      </w:r>
      <w:r>
        <w:rPr>
          <w:spacing w:val="-86"/>
        </w:rPr>
      </w:r>
      <w:r>
        <w:rPr>
          <w:spacing w:val="-1"/>
        </w:rPr>
        <w:t>与确认该损失后发生的事项有关，原确认的减值损失予以转回，金融资产转回减值损失后的账面价值不超</w:t>
      </w:r>
      <w:r>
        <w:rPr>
          <w:spacing w:val="-81"/>
        </w:rPr>
        <w:t> </w:t>
      </w:r>
      <w:r>
        <w:rPr>
          <w:spacing w:val="-81"/>
        </w:rPr>
      </w:r>
      <w:r>
        <w:rPr/>
        <w:t>过假定不计提减值准备情况下该金融资产在转回日的摊余成本。</w:t>
      </w:r>
    </w:p>
    <w:p>
      <w:pPr>
        <w:pStyle w:val="BodyText"/>
        <w:spacing w:line="273" w:lineRule="auto"/>
        <w:ind w:left="577" w:right="0"/>
        <w:jc w:val="left"/>
      </w:pPr>
      <w:r>
        <w:rPr/>
        <w:t>②可供出售金融资产减值 </w:t>
      </w:r>
      <w:r>
        <w:rPr>
          <w:spacing w:val="-1"/>
        </w:rPr>
        <w:t>当综合相关因素判断可供出售权益工具投资公允价值下跌是严重或非暂时性下跌时，表明该可供出售</w:t>
      </w:r>
    </w:p>
    <w:p>
      <w:pPr>
        <w:pStyle w:val="BodyText"/>
        <w:spacing w:line="273" w:lineRule="auto"/>
        <w:ind w:right="1127"/>
        <w:jc w:val="both"/>
      </w:pPr>
      <w:r>
        <w:rPr/>
        <w:t>权益工具投资发生减值。其中“严重下跌”是指公允价值下跌幅度累计超过</w:t>
      </w:r>
      <w:r>
        <w:rPr>
          <w:rFonts w:ascii="宋体" w:hAnsi="宋体" w:cs="宋体" w:eastAsia="宋体" w:hint="default"/>
        </w:rPr>
        <w:t>20%</w:t>
      </w:r>
      <w:r>
        <w:rPr/>
        <w:t>；“非暂时性下跌”是指</w:t>
      </w:r>
      <w:r>
        <w:rPr>
          <w:spacing w:val="-26"/>
        </w:rPr>
        <w:t> </w:t>
      </w:r>
      <w:r>
        <w:rPr>
          <w:spacing w:val="-26"/>
        </w:rPr>
      </w:r>
      <w:r>
        <w:rPr/>
        <w:t>公允价值连续下跌时间超过</w:t>
      </w:r>
      <w:r>
        <w:rPr>
          <w:rFonts w:ascii="宋体" w:hAnsi="宋体" w:cs="宋体" w:eastAsia="宋体" w:hint="default"/>
        </w:rPr>
        <w:t>12</w:t>
      </w:r>
      <w:r>
        <w:rPr/>
        <w:t>个月。</w:t>
      </w:r>
    </w:p>
    <w:p>
      <w:pPr>
        <w:pStyle w:val="BodyText"/>
        <w:spacing w:line="273" w:lineRule="auto"/>
        <w:ind w:right="1131" w:firstLine="423"/>
        <w:jc w:val="both"/>
      </w:pPr>
      <w:r>
        <w:rPr>
          <w:spacing w:val="-1"/>
        </w:rPr>
        <w:t>可供出售金融资产发生减值时，将原计入其他综合收益的因公允价值下降形成的累计损失予以转出并</w:t>
      </w:r>
      <w:r>
        <w:rPr/>
        <w:t> </w:t>
      </w:r>
      <w:r>
        <w:rPr>
          <w:spacing w:val="-1"/>
        </w:rPr>
        <w:t>计入当期损益，该转出的累计损失为该资产初始取得成本扣除已收回本金和已摊销金额、当前公允价值和</w:t>
      </w:r>
      <w:r>
        <w:rPr>
          <w:spacing w:val="-81"/>
        </w:rPr>
        <w:t> </w:t>
      </w:r>
      <w:r>
        <w:rPr>
          <w:spacing w:val="-81"/>
        </w:rPr>
      </w:r>
      <w:r>
        <w:rPr/>
        <w:t>原已计入损益的减值损失后的余额。</w:t>
      </w:r>
    </w:p>
    <w:p>
      <w:pPr>
        <w:pStyle w:val="BodyText"/>
        <w:spacing w:line="273" w:lineRule="auto"/>
        <w:ind w:right="1130" w:firstLine="423"/>
        <w:jc w:val="both"/>
      </w:pPr>
      <w:r>
        <w:rPr>
          <w:spacing w:val="-1"/>
        </w:rPr>
        <w:t>在确认减值损失后，期后如有客观证据表明该金融资产价值已恢复，且客观上与确认该损失后发生的</w:t>
      </w:r>
      <w:r>
        <w:rPr/>
        <w:t> </w:t>
      </w:r>
      <w:r>
        <w:rPr>
          <w:spacing w:val="-1"/>
        </w:rPr>
        <w:t>事项有关，原确认的减值损失予以转回，可供出售权益工具投资的减值损失转回确认为其他综合收益，可</w:t>
      </w:r>
      <w:r>
        <w:rPr>
          <w:spacing w:val="-82"/>
        </w:rPr>
        <w:t> </w:t>
      </w:r>
      <w:r>
        <w:rPr>
          <w:spacing w:val="-82"/>
        </w:rPr>
      </w:r>
      <w:r>
        <w:rPr/>
        <w:t>供出售债务工具的减值损失转回计入当期损益。</w:t>
      </w:r>
    </w:p>
    <w:p>
      <w:pPr>
        <w:pStyle w:val="BodyText"/>
        <w:spacing w:line="273" w:lineRule="auto"/>
        <w:ind w:right="1133" w:firstLine="423"/>
        <w:jc w:val="both"/>
      </w:pPr>
      <w:r>
        <w:rPr>
          <w:spacing w:val="-1"/>
        </w:rPr>
        <w:t>在活跃市场中没有报价且其公允价值不能可靠计量的权益工具投资，或与该权益工具挂钩并须通过交</w:t>
      </w:r>
      <w:r>
        <w:rPr/>
        <w:t> 付该权益工具结算的衍生金融资产的减值损失，不予转回。</w:t>
      </w:r>
    </w:p>
    <w:p>
      <w:pPr>
        <w:pStyle w:val="BodyText"/>
        <w:spacing w:line="273" w:lineRule="auto"/>
        <w:ind w:left="683" w:right="0" w:hanging="106"/>
        <w:jc w:val="left"/>
      </w:pPr>
      <w:r>
        <w:rPr/>
        <w:t>（</w:t>
      </w:r>
      <w:r>
        <w:rPr>
          <w:rFonts w:ascii="宋体" w:hAnsi="宋体" w:cs="宋体" w:eastAsia="宋体" w:hint="default"/>
        </w:rPr>
        <w:t>4</w:t>
      </w:r>
      <w:r>
        <w:rPr/>
        <w:t>）金融资产转移的确认依据和计量方法 </w:t>
      </w:r>
      <w:r>
        <w:rPr>
          <w:spacing w:val="-6"/>
        </w:rPr>
        <w:t>满足下列条件之一的金融资产，予以终止确认：（</w:t>
      </w:r>
      <w:r>
        <w:rPr>
          <w:rFonts w:ascii="宋体" w:hAnsi="宋体" w:cs="宋体" w:eastAsia="宋体" w:hint="default"/>
          <w:spacing w:val="-6"/>
        </w:rPr>
        <w:t>1</w:t>
      </w:r>
      <w:r>
        <w:rPr>
          <w:spacing w:val="-6"/>
        </w:rPr>
        <w:t>）收取该金融资产现金流量的合同权利终止；（</w:t>
      </w:r>
      <w:r>
        <w:rPr>
          <w:rFonts w:ascii="宋体" w:hAnsi="宋体" w:cs="宋体" w:eastAsia="宋体" w:hint="default"/>
          <w:spacing w:val="-6"/>
        </w:rPr>
        <w:t>2</w:t>
      </w:r>
      <w:r>
        <w:rPr>
          <w:spacing w:val="-6"/>
        </w:rPr>
        <w:t>）</w:t>
      </w:r>
    </w:p>
    <w:p>
      <w:pPr>
        <w:pStyle w:val="BodyText"/>
        <w:spacing w:line="273" w:lineRule="auto" w:before="8"/>
        <w:ind w:right="1129"/>
        <w:jc w:val="both"/>
      </w:pPr>
      <w:r>
        <w:rPr/>
        <w:t>该金融资产已转移，且将金融资产所有权上几乎所有的风险和报酬转移给转入方；（</w:t>
      </w:r>
      <w:r>
        <w:rPr>
          <w:rFonts w:ascii="宋体" w:hAnsi="宋体" w:cs="宋体" w:eastAsia="宋体" w:hint="default"/>
        </w:rPr>
        <w:t>3</w:t>
      </w:r>
      <w:r>
        <w:rPr/>
        <w:t>）该金融资产已转</w:t>
      </w:r>
      <w:r>
        <w:rPr>
          <w:spacing w:val="-24"/>
        </w:rPr>
        <w:t> </w:t>
      </w:r>
      <w:r>
        <w:rPr>
          <w:spacing w:val="-24"/>
        </w:rPr>
      </w:r>
      <w:r>
        <w:rPr>
          <w:spacing w:val="-1"/>
        </w:rPr>
        <w:t>移，虽然企业既没有转移也没有保留金融资产所有权上几乎所有的风险和报酬，但是放弃了对该金融资产</w:t>
      </w:r>
      <w:r>
        <w:rPr>
          <w:spacing w:val="-80"/>
        </w:rPr>
        <w:t> </w:t>
      </w:r>
      <w:r>
        <w:rPr>
          <w:spacing w:val="-80"/>
        </w:rPr>
      </w:r>
      <w:r>
        <w:rPr/>
        <w:t>控制。</w:t>
      </w:r>
    </w:p>
    <w:p>
      <w:pPr>
        <w:pStyle w:val="BodyText"/>
        <w:spacing w:line="273" w:lineRule="auto"/>
        <w:ind w:right="1131" w:firstLine="423"/>
        <w:jc w:val="both"/>
      </w:pPr>
      <w:r>
        <w:rPr>
          <w:spacing w:val="-1"/>
        </w:rPr>
        <w:t>若企业既没有转移也没有保留金融资产所有权上几乎所有的风险和报酬，且未放弃对该金融资产的控</w:t>
      </w:r>
      <w:r>
        <w:rPr/>
        <w:t> </w:t>
      </w:r>
      <w:r>
        <w:rPr>
          <w:spacing w:val="-1"/>
        </w:rPr>
        <w:t>制的，则按照继续涉入所转移金融资产的程度确认有关金融资产，并相应确认有关负债。继续涉入所转移</w:t>
      </w:r>
      <w:r>
        <w:rPr>
          <w:spacing w:val="-83"/>
        </w:rPr>
        <w:t> </w:t>
      </w:r>
      <w:r>
        <w:rPr>
          <w:spacing w:val="-83"/>
        </w:rPr>
      </w:r>
      <w:r>
        <w:rPr/>
        <w:t>金融资产的程度，是指该金融资产价值变动使企业面临的风险水平。</w:t>
      </w:r>
    </w:p>
    <w:p>
      <w:pPr>
        <w:pStyle w:val="BodyText"/>
        <w:spacing w:line="273" w:lineRule="auto"/>
        <w:ind w:right="1133" w:firstLine="423"/>
        <w:jc w:val="both"/>
      </w:pPr>
      <w:r>
        <w:rPr>
          <w:spacing w:val="-1"/>
        </w:rPr>
        <w:t>金融资产整体转移满足终止确认条件的，将所转移金融资产的账面价值及因转移而收到的对价与原计</w:t>
      </w:r>
      <w:r>
        <w:rPr/>
        <w:t> 入其他综合收益的公允价值变动累计额之和的差额计入当期损益。</w:t>
      </w:r>
    </w:p>
    <w:p>
      <w:pPr>
        <w:pStyle w:val="BodyText"/>
        <w:spacing w:line="273" w:lineRule="auto"/>
        <w:ind w:right="1132" w:firstLine="423"/>
        <w:jc w:val="both"/>
      </w:pPr>
      <w:r>
        <w:rPr>
          <w:spacing w:val="-1"/>
        </w:rPr>
        <w:t>金融资产部分转移满足终止确认条件的，将所转移金融资产的账面价值在终止确认及未终止确认部分</w:t>
      </w:r>
      <w:r>
        <w:rPr/>
        <w:t> </w:t>
      </w:r>
      <w:r>
        <w:rPr>
          <w:spacing w:val="-1"/>
        </w:rPr>
        <w:t>之间按其相对的公允价值进行分摊，并将因转移而收到的对价与应分摊至终止确认部分的原计入其他综合</w:t>
      </w:r>
      <w:r>
        <w:rPr>
          <w:spacing w:val="-81"/>
        </w:rPr>
        <w:t> </w:t>
      </w:r>
      <w:r>
        <w:rPr>
          <w:spacing w:val="-81"/>
        </w:rPr>
      </w:r>
      <w:r>
        <w:rPr/>
        <w:t>收益的公允价值变动累计额之和与分摊的前述账面金额之差额计入当期损益。</w:t>
      </w:r>
    </w:p>
    <w:p>
      <w:pPr>
        <w:pStyle w:val="BodyText"/>
        <w:spacing w:line="273" w:lineRule="auto"/>
        <w:ind w:right="1024" w:firstLine="529"/>
        <w:jc w:val="left"/>
      </w:pPr>
      <w:r>
        <w:rPr/>
        <w:t>本公司对采用附追索权方式出售的金融资产，或将持有的金融资产背书转让，需确定该金融资产所 有权上几乎所有的风险和报酬是否已经转移。已将该金融资产所有权上几乎所有的风险和报酬转移给转入 </w:t>
      </w:r>
      <w:r>
        <w:rPr>
          <w:spacing w:val="-3"/>
        </w:rPr>
        <w:t>方的，终止确认该金融资产；保留了金融资产所有权上几乎所有的风险和报酬的，不终止确认该金融资产；</w:t>
      </w:r>
      <w:r>
        <w:rPr>
          <w:spacing w:val="-90"/>
        </w:rPr>
        <w:t> </w:t>
      </w:r>
      <w:r>
        <w:rPr>
          <w:spacing w:val="-90"/>
        </w:rPr>
      </w:r>
      <w:r>
        <w:rPr/>
        <w:t>既没有转移也没有保留金融资产所有权上几乎所有的风险和报酬的，则继续判断企业是否对该资产保留了</w:t>
      </w:r>
      <w:r>
        <w:rPr/>
        <w:t> 控制，并根据前面各段所述的原则进行会计处理。</w:t>
      </w:r>
    </w:p>
    <w:p>
      <w:pPr>
        <w:pStyle w:val="BodyText"/>
        <w:spacing w:line="273" w:lineRule="auto"/>
        <w:ind w:left="577" w:right="0"/>
        <w:jc w:val="left"/>
      </w:pPr>
      <w:r>
        <w:rPr/>
        <w:t>（</w:t>
      </w:r>
      <w:r>
        <w:rPr>
          <w:rFonts w:ascii="宋体" w:hAnsi="宋体" w:cs="宋体" w:eastAsia="宋体" w:hint="default"/>
        </w:rPr>
        <w:t>5</w:t>
      </w:r>
      <w:r>
        <w:rPr/>
        <w:t>）金融负债的分类和计量 </w:t>
      </w:r>
      <w:r>
        <w:rPr>
          <w:spacing w:val="-1"/>
        </w:rPr>
        <w:t>金融负债在初始确认时划分为以公允价值计量且其变动计入当期损益的金融负债和其他金融负债。初</w:t>
      </w:r>
    </w:p>
    <w:p>
      <w:pPr>
        <w:pStyle w:val="BodyText"/>
        <w:spacing w:line="273" w:lineRule="auto" w:before="8"/>
        <w:ind w:right="1131"/>
        <w:jc w:val="both"/>
      </w:pPr>
      <w:r>
        <w:rPr>
          <w:spacing w:val="-1"/>
        </w:rPr>
        <w:t>始确认金融负债，以公允价值计量。对于以公允价值计量且其变动计入当期损益的金融负债，相关的交易</w:t>
      </w:r>
      <w:r>
        <w:rPr>
          <w:spacing w:val="-83"/>
        </w:rPr>
        <w:t> </w:t>
      </w:r>
      <w:r>
        <w:rPr>
          <w:spacing w:val="-83"/>
        </w:rPr>
      </w:r>
      <w:r>
        <w:rPr/>
        <w:t>费用直接计入当期损益，对于其他金融负债，相关交易费用计入初始确认金额。</w:t>
      </w:r>
    </w:p>
    <w:p>
      <w:pPr>
        <w:pStyle w:val="BodyText"/>
        <w:spacing w:line="273" w:lineRule="auto"/>
        <w:ind w:left="577" w:right="0"/>
        <w:jc w:val="left"/>
      </w:pPr>
      <w:r>
        <w:rPr/>
        <w:t>①以公允价值计量且其变动计入当期损益的金融负债 </w:t>
      </w:r>
      <w:r>
        <w:rPr>
          <w:spacing w:val="3"/>
        </w:rPr>
        <w:t>分类为交易性金融负债和在初始确认时指定为以公允价值计量且其变动计入当期损益的金融负债的</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3"/>
        </w:rPr>
        <w:t>条件与分类为交易性金融资产和在初始确认时指定为以公允价值计量且其变动计入当期损益的金融资产</w:t>
      </w:r>
      <w:r>
        <w:rPr>
          <w:spacing w:val="-78"/>
        </w:rPr>
        <w:t> </w:t>
      </w:r>
      <w:r>
        <w:rPr>
          <w:spacing w:val="-78"/>
        </w:rPr>
      </w:r>
      <w:r>
        <w:rPr>
          <w:spacing w:val="-1"/>
        </w:rPr>
        <w:t>的条件一致。以公允价值计量且其变动计入当期损益的金融负债采用公允价值进行后续计量，公允价值的</w:t>
      </w:r>
      <w:r>
        <w:rPr>
          <w:spacing w:val="-81"/>
        </w:rPr>
        <w:t> </w:t>
      </w:r>
      <w:r>
        <w:rPr>
          <w:spacing w:val="-81"/>
        </w:rPr>
      </w:r>
      <w:r>
        <w:rPr/>
        <w:t>变动形成的利得或损失以及与该等金融负债相关的股利和利息支出计入当期损益。</w:t>
      </w:r>
    </w:p>
    <w:p>
      <w:pPr>
        <w:pStyle w:val="BodyText"/>
        <w:spacing w:line="273" w:lineRule="auto"/>
        <w:ind w:left="577" w:right="0"/>
        <w:jc w:val="left"/>
      </w:pPr>
      <w:r>
        <w:rPr/>
        <w:t>②其他金融负债 </w:t>
      </w:r>
      <w:r>
        <w:rPr>
          <w:spacing w:val="-1"/>
        </w:rPr>
        <w:t>与在活跃市场中没有报价、公允价值不能可靠计量的权益工具挂钩并须通过交付该权益工具结算的衍</w:t>
      </w:r>
    </w:p>
    <w:p>
      <w:pPr>
        <w:pStyle w:val="BodyText"/>
        <w:spacing w:line="273" w:lineRule="auto"/>
        <w:ind w:right="0"/>
        <w:jc w:val="left"/>
      </w:pPr>
      <w:r>
        <w:rPr>
          <w:spacing w:val="-1"/>
        </w:rPr>
        <w:t>生金融负债，按照成本进行后续计量。其他金融负债采用实际利率法，按摊余成本进行后续计量，终止确</w:t>
      </w:r>
      <w:r>
        <w:rPr>
          <w:spacing w:val="-86"/>
        </w:rPr>
        <w:t> </w:t>
      </w:r>
      <w:r>
        <w:rPr>
          <w:spacing w:val="-86"/>
        </w:rPr>
      </w:r>
      <w:r>
        <w:rPr/>
        <w:t>认或摊销产生的利得或损失计入当期损益。</w:t>
      </w:r>
    </w:p>
    <w:p>
      <w:pPr>
        <w:pStyle w:val="BodyText"/>
        <w:spacing w:line="273" w:lineRule="auto"/>
        <w:ind w:left="577" w:right="1014"/>
        <w:jc w:val="left"/>
      </w:pPr>
      <w:r>
        <w:rPr/>
        <w:t>（</w:t>
      </w:r>
      <w:r>
        <w:rPr>
          <w:rFonts w:ascii="宋体" w:hAnsi="宋体" w:cs="宋体" w:eastAsia="宋体" w:hint="default"/>
        </w:rPr>
        <w:t>6</w:t>
      </w:r>
      <w:r>
        <w:rPr/>
        <w:t>）金融负债的终止确认 </w:t>
      </w:r>
      <w:r>
        <w:rPr>
          <w:spacing w:val="-3"/>
        </w:rPr>
        <w:t>金融负债的现时义务全部或部分已经解除的，才能终止确认该金融负债或其一部分。本公司（债务人）</w:t>
      </w:r>
    </w:p>
    <w:p>
      <w:pPr>
        <w:pStyle w:val="BodyText"/>
        <w:spacing w:line="273" w:lineRule="auto"/>
        <w:ind w:right="0"/>
        <w:jc w:val="left"/>
      </w:pPr>
      <w:r>
        <w:rPr>
          <w:spacing w:val="-1"/>
        </w:rPr>
        <w:t>与债权人之间签订协议，以承担新金融负债方式替换现存金融负债，且新金融负债与现存金融负债的合同</w:t>
      </w:r>
      <w:r>
        <w:rPr>
          <w:spacing w:val="-81"/>
        </w:rPr>
        <w:t> </w:t>
      </w:r>
      <w:r>
        <w:rPr>
          <w:spacing w:val="-81"/>
        </w:rPr>
      </w:r>
      <w:r>
        <w:rPr/>
        <w:t>条款实质上不同的，终止确认现存金融负债，并同时确认新金融负债。</w:t>
      </w:r>
    </w:p>
    <w:p>
      <w:pPr>
        <w:pStyle w:val="BodyText"/>
        <w:spacing w:line="273" w:lineRule="auto"/>
        <w:ind w:right="0" w:firstLine="423"/>
        <w:jc w:val="left"/>
      </w:pPr>
      <w:r>
        <w:rPr>
          <w:spacing w:val="-1"/>
        </w:rPr>
        <w:t>金融负债全部或部分终止确认的，将终止确认部分的账面价值与支付的对价（包括转出的非现金资产</w:t>
      </w:r>
      <w:r>
        <w:rPr/>
        <w:t> 或承担的新金融负债）之间的差额，计入当期损益。</w:t>
      </w:r>
    </w:p>
    <w:p>
      <w:pPr>
        <w:pStyle w:val="BodyText"/>
        <w:spacing w:line="273" w:lineRule="auto"/>
        <w:ind w:left="577" w:right="0"/>
        <w:jc w:val="left"/>
      </w:pPr>
      <w:r>
        <w:rPr/>
        <w:t>（</w:t>
      </w:r>
      <w:r>
        <w:rPr>
          <w:rFonts w:ascii="宋体" w:hAnsi="宋体" w:cs="宋体" w:eastAsia="宋体" w:hint="default"/>
        </w:rPr>
        <w:t>7</w:t>
      </w:r>
      <w:r>
        <w:rPr/>
        <w:t>）金融资产和金融负债的抵销 </w:t>
      </w:r>
      <w:r>
        <w:rPr>
          <w:spacing w:val="-1"/>
        </w:rPr>
        <w:t>当本公司具有抵销已确认金融资产和金融负债的法定权利，且目前可执行该种法定权利，同时本公司</w:t>
      </w:r>
    </w:p>
    <w:p>
      <w:pPr>
        <w:pStyle w:val="BodyText"/>
        <w:spacing w:line="273" w:lineRule="auto"/>
        <w:ind w:right="0"/>
        <w:jc w:val="left"/>
      </w:pPr>
      <w:r>
        <w:rPr>
          <w:spacing w:val="-1"/>
        </w:rPr>
        <w:t>计划以净额结算或同时变现该金融资产和清偿该金融负债时，金融资产和金融负债以相互抵销后的金额在</w:t>
      </w:r>
      <w:r>
        <w:rPr>
          <w:spacing w:val="-81"/>
        </w:rPr>
        <w:t> </w:t>
      </w:r>
      <w:r>
        <w:rPr>
          <w:spacing w:val="-81"/>
        </w:rPr>
      </w:r>
      <w:r>
        <w:rPr/>
        <w:t>资产负债表内列示。除此以外，金融资产和金融负债在资产负债表内分别列示，不予相互抵销。</w:t>
      </w:r>
    </w:p>
    <w:p>
      <w:pPr>
        <w:pStyle w:val="BodyText"/>
        <w:spacing w:line="273" w:lineRule="auto"/>
        <w:ind w:left="577" w:right="0"/>
        <w:jc w:val="left"/>
      </w:pPr>
      <w:r>
        <w:rPr/>
        <w:t>（</w:t>
      </w:r>
      <w:r>
        <w:rPr>
          <w:rFonts w:ascii="宋体" w:hAnsi="宋体" w:cs="宋体" w:eastAsia="宋体" w:hint="default"/>
        </w:rPr>
        <w:t>8</w:t>
      </w:r>
      <w:r>
        <w:rPr/>
        <w:t>）权益工具 </w:t>
      </w:r>
      <w:r>
        <w:rPr>
          <w:spacing w:val="-1"/>
        </w:rPr>
        <w:t>权益工具是指能证明拥有本公司在扣除所有负债后的资产中的剩余权益的合同。企业合并中合并方发</w:t>
      </w:r>
    </w:p>
    <w:p>
      <w:pPr>
        <w:pStyle w:val="BodyText"/>
        <w:spacing w:line="273" w:lineRule="auto"/>
        <w:ind w:right="1024"/>
        <w:jc w:val="left"/>
      </w:pPr>
      <w:r>
        <w:rPr/>
        <w:t>行权益工具发生的交易费用抵减权益工具的溢价收入，不足抵减的，冲减留存收益。其余权益工具，在发 </w:t>
      </w:r>
      <w:r>
        <w:rPr>
          <w:spacing w:val="-3"/>
        </w:rPr>
        <w:t>行时收到的对价扣除交易费用后增加股东权益。本公司对权益工具持有方的各种分配（不包括股票股利），</w:t>
      </w:r>
      <w:r>
        <w:rPr>
          <w:spacing w:val="-90"/>
        </w:rPr>
        <w:t> </w:t>
      </w:r>
      <w:r>
        <w:rPr>
          <w:spacing w:val="-90"/>
        </w:rPr>
      </w:r>
      <w:r>
        <w:rPr/>
        <w:t>减少股东权益。本公司不确认权益工具的公允价值变动额。</w:t>
      </w:r>
    </w:p>
    <w:p>
      <w:pPr>
        <w:spacing w:line="240" w:lineRule="auto" w:before="8"/>
        <w:rPr>
          <w:rFonts w:ascii="宋体" w:hAnsi="宋体" w:cs="宋体" w:eastAsia="宋体" w:hint="default"/>
          <w:sz w:val="23"/>
          <w:szCs w:val="23"/>
        </w:rPr>
      </w:pPr>
    </w:p>
    <w:p>
      <w:pPr>
        <w:pStyle w:val="Heading3"/>
        <w:spacing w:line="240" w:lineRule="auto"/>
        <w:ind w:left="153" w:right="0"/>
        <w:jc w:val="left"/>
        <w:rPr>
          <w:b w:val="0"/>
          <w:bCs w:val="0"/>
        </w:rPr>
      </w:pPr>
      <w:bookmarkStart w:name="11、应收款项" w:id="183"/>
      <w:bookmarkEnd w:id="183"/>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84"/>
      <w:bookmarkEnd w:id="184"/>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单项金额重大的应收账款标准为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万元。单项金额重大的</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其他应收款标准为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单独进行减值测试，如有客观证据表明其发生了减值的，根 据其未来现金流量现值低于其账面价值的差额，确认减值损 失，计提坏账准备。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85"/>
      <w:bookmarkEnd w:id="185"/>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单项金额不重大但单独计提坏账准备的应收款项" w:id="186"/>
      <w:bookmarkEnd w:id="186"/>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有客观原因表明未来现金流量现值有可能低于其账面价值。</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值的差额，确认减值损失，计提坏账准备。</w:t>
            </w:r>
          </w:p>
        </w:tc>
      </w:tr>
    </w:tbl>
    <w:p>
      <w:pPr>
        <w:spacing w:line="240" w:lineRule="auto" w:before="2"/>
        <w:rPr>
          <w:rFonts w:ascii="宋体" w:hAnsi="宋体" w:cs="宋体" w:eastAsia="宋体" w:hint="default"/>
          <w:b/>
          <w:bCs/>
          <w:sz w:val="19"/>
          <w:szCs w:val="19"/>
        </w:rPr>
      </w:pPr>
    </w:p>
    <w:p>
      <w:pPr>
        <w:pStyle w:val="Heading3"/>
        <w:spacing w:line="259" w:lineRule="auto" w:before="35"/>
        <w:ind w:right="0"/>
        <w:jc w:val="left"/>
        <w:rPr>
          <w:b w:val="0"/>
          <w:bCs w:val="0"/>
        </w:rPr>
      </w:pPr>
      <w:bookmarkStart w:name="（4）对应收票据、预付款项、应收利息、长期应收款等其他应收款项，存在减值迹象的，" w:id="187"/>
      <w:bookmarkEnd w:id="187"/>
      <w:r>
        <w:rPr>
          <w:b w:val="0"/>
          <w:bCs w:val="0"/>
        </w:rPr>
      </w:r>
      <w:r>
        <w:rPr/>
        <w:t>（</w:t>
      </w:r>
      <w:r>
        <w:rPr>
          <w:rFonts w:ascii="Times New Roman" w:hAnsi="Times New Roman" w:cs="Times New Roman" w:eastAsia="Times New Roman" w:hint="default"/>
        </w:rPr>
        <w:t>4</w:t>
      </w:r>
      <w:r>
        <w:rPr/>
        <w:t>）对应收票据、预付款项、应收利息、长期应收款等其他应收款项，存在减值迹象的，根据其未来现</w:t>
      </w:r>
      <w:r>
        <w:rPr>
          <w:spacing w:val="-74"/>
        </w:rPr>
        <w:t> </w:t>
      </w:r>
      <w:r>
        <w:rPr>
          <w:spacing w:val="-74"/>
        </w:rPr>
      </w:r>
      <w:r>
        <w:rPr/>
        <w:t>金流量现值低于其账面价值的差额计提坏账准备。</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5）应收融资租赁款" w:id="188"/>
      <w:bookmarkEnd w:id="188"/>
      <w:r>
        <w:rPr>
          <w:b w:val="0"/>
          <w:bCs w:val="0"/>
        </w:rPr>
      </w:r>
      <w:r>
        <w:rPr/>
        <w:t>（</w:t>
      </w:r>
      <w:r>
        <w:rPr>
          <w:rFonts w:ascii="Times New Roman" w:hAnsi="Times New Roman" w:cs="Times New Roman" w:eastAsia="Times New Roman" w:hint="default"/>
        </w:rPr>
        <w:t>5</w:t>
      </w:r>
      <w:r>
        <w:rPr/>
        <w:t>）应收融资租赁款</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本公司按照到期而未收到租金的计提坏帐准备，计提标准：</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9"/>
        <w:gridCol w:w="630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6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63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3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3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63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12、存货" w:id="189"/>
      <w:bookmarkEnd w:id="189"/>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73" w:lineRule="auto" w:before="2"/>
        <w:ind w:left="577" w:right="1014"/>
        <w:jc w:val="left"/>
      </w:pPr>
      <w:r>
        <w:rPr>
          <w:rFonts w:ascii="宋体" w:hAnsi="宋体" w:cs="宋体" w:eastAsia="宋体" w:hint="default"/>
        </w:rPr>
        <w:t>1</w:t>
      </w:r>
      <w:r>
        <w:rPr/>
        <w:t>、存货的分类 </w:t>
      </w:r>
      <w:r>
        <w:rPr>
          <w:spacing w:val="-3"/>
        </w:rPr>
        <w:t>存货分为原材料、生产成本、工程施工、库存商品、发出商品、低值易耗品、委托加工材料等七大类。</w:t>
      </w:r>
    </w:p>
    <w:p>
      <w:pPr>
        <w:pStyle w:val="BodyText"/>
        <w:spacing w:line="273" w:lineRule="auto"/>
        <w:ind w:right="1118"/>
        <w:jc w:val="left"/>
      </w:pPr>
      <w:r>
        <w:rPr>
          <w:spacing w:val="-1"/>
        </w:rPr>
        <w:t>其中生产成本用于核算公司产品生产加工等业务的在产品，工程施工用于归集建造工程施工项目的成本费</w:t>
      </w:r>
      <w:r>
        <w:rPr>
          <w:spacing w:val="-81"/>
        </w:rPr>
        <w:t> </w:t>
      </w:r>
      <w:r>
        <w:rPr>
          <w:spacing w:val="-81"/>
        </w:rPr>
      </w:r>
      <w:r>
        <w:rPr/>
        <w:t>用支出。</w:t>
      </w:r>
    </w:p>
    <w:p>
      <w:pPr>
        <w:pStyle w:val="BodyText"/>
        <w:spacing w:line="273" w:lineRule="auto"/>
        <w:ind w:left="577" w:right="3609"/>
        <w:jc w:val="left"/>
      </w:pPr>
      <w:r>
        <w:rPr>
          <w:rFonts w:ascii="宋体" w:hAnsi="宋体" w:cs="宋体" w:eastAsia="宋体" w:hint="default"/>
        </w:rPr>
        <w:t>2</w:t>
      </w:r>
      <w:r>
        <w:rPr/>
        <w:t>、发出存货的计价方法 各类存货的购入与入库按实际成本计价，发出采用移动加权平均法计价。</w:t>
      </w:r>
    </w:p>
    <w:p>
      <w:pPr>
        <w:pStyle w:val="BodyText"/>
        <w:spacing w:line="240" w:lineRule="auto"/>
        <w:ind w:left="577" w:right="0"/>
        <w:jc w:val="left"/>
      </w:pPr>
      <w:r>
        <w:rPr>
          <w:spacing w:val="-3"/>
        </w:rPr>
        <w:t>工程施工成本的具体核算方法为：按照单个项目为核算对象，分别核算工程施工成本；项目未完工前，</w:t>
      </w:r>
    </w:p>
    <w:p>
      <w:pPr>
        <w:spacing w:after="0" w:line="240" w:lineRule="auto"/>
        <w:jc w:val="left"/>
        <w:sectPr>
          <w:footerReference w:type="default" r:id="rId14"/>
          <w:pgSz w:w="11910" w:h="16840"/>
          <w:pgMar w:footer="979" w:header="747"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024"/>
        <w:jc w:val="left"/>
      </w:pPr>
      <w:r>
        <w:rPr/>
        <w:t>按单个项目归集所发生的实际成本。期末按完工百分比法确认合同收入，按配比原则结转营业成本。项目 </w:t>
      </w:r>
      <w:r>
        <w:rPr>
          <w:spacing w:val="-3"/>
        </w:rPr>
        <w:t>完工时，按照累计实际发生的合同成本扣除以前会计期间累计已确认成本后的金额，确认为当期合同成本，</w:t>
      </w:r>
      <w:r>
        <w:rPr>
          <w:spacing w:val="-92"/>
        </w:rPr>
        <w:t> </w:t>
      </w:r>
      <w:r>
        <w:rPr>
          <w:spacing w:val="-92"/>
        </w:rPr>
      </w:r>
      <w:r>
        <w:rPr/>
        <w:t>并结转工程施工成本。</w:t>
      </w:r>
    </w:p>
    <w:p>
      <w:pPr>
        <w:pStyle w:val="BodyText"/>
        <w:spacing w:line="273" w:lineRule="auto"/>
        <w:ind w:right="1131" w:firstLine="423"/>
        <w:jc w:val="both"/>
      </w:pPr>
      <w:r>
        <w:rPr>
          <w:spacing w:val="3"/>
        </w:rPr>
        <w:t>本公司累计已发生的工程施工成本和累计已确认的工程施工毛利之和大于累计已办理结算的合同价</w:t>
      </w:r>
      <w:r>
        <w:rPr/>
        <w:t> </w:t>
      </w:r>
      <w:r>
        <w:rPr>
          <w:spacing w:val="-1"/>
        </w:rPr>
        <w:t>款的差额为已完工未结算款，在存货中列示；累计已发生的施工成本和累计已确认的毛利之和小于累计已</w:t>
      </w:r>
      <w:r>
        <w:rPr>
          <w:spacing w:val="-81"/>
        </w:rPr>
        <w:t> </w:t>
      </w:r>
      <w:r>
        <w:rPr>
          <w:spacing w:val="-81"/>
        </w:rPr>
      </w:r>
      <w:r>
        <w:rPr/>
        <w:t>办理结算的合同价款的差额为已结算未完工款，在预收款项中反映。</w:t>
      </w:r>
    </w:p>
    <w:p>
      <w:pPr>
        <w:pStyle w:val="BodyText"/>
        <w:spacing w:line="273" w:lineRule="auto"/>
        <w:ind w:left="577" w:right="0"/>
        <w:jc w:val="left"/>
      </w:pPr>
      <w:r>
        <w:rPr>
          <w:rFonts w:ascii="宋体" w:hAnsi="宋体" w:cs="宋体" w:eastAsia="宋体" w:hint="default"/>
        </w:rPr>
        <w:t>3</w:t>
      </w:r>
      <w:r>
        <w:rPr/>
        <w:t>、存货可变现净值的确定依据及存货跌价准备的计提方法 </w:t>
      </w:r>
      <w:r>
        <w:rPr>
          <w:spacing w:val="-1"/>
        </w:rPr>
        <w:t>存货可变现净值系根据本公司在正常经营过程中，以估计售价减去至完工时估计将要发生的成本及销</w:t>
      </w:r>
    </w:p>
    <w:p>
      <w:pPr>
        <w:pStyle w:val="BodyText"/>
        <w:spacing w:line="273" w:lineRule="auto"/>
        <w:ind w:left="577" w:right="0" w:hanging="424"/>
        <w:jc w:val="left"/>
      </w:pPr>
      <w:r>
        <w:rPr/>
        <w:t>售所必须的估计费用后的价值。 </w:t>
      </w:r>
      <w:r>
        <w:rPr>
          <w:spacing w:val="-1"/>
        </w:rPr>
        <w:t>存货跌价准备的计提方法：本公司于每年中期期末及年度终了在对存货进行全面盘点的基础上，对遭</w:t>
      </w:r>
    </w:p>
    <w:p>
      <w:pPr>
        <w:pStyle w:val="BodyText"/>
        <w:spacing w:line="273" w:lineRule="auto"/>
        <w:ind w:right="1024"/>
        <w:jc w:val="left"/>
      </w:pPr>
      <w:r>
        <w:rPr/>
        <w:t>受损失，全部或部分陈旧过时或销售价格低于成本的存货，根据存货成本与可变现净值孰低计量，按单个 存货项目对同类存货项目的可变现净值低于存货成本的差额计提存货跌价准备，并计入当期损益。对于工 </w:t>
      </w:r>
      <w:r>
        <w:rPr>
          <w:spacing w:val="-3"/>
        </w:rPr>
        <w:t>程施工成本，对预计工程总成本超过预计总收入的工程项目，按照预计工程总成本超过预计总收入的部分，</w:t>
      </w:r>
      <w:r>
        <w:rPr>
          <w:spacing w:val="-92"/>
        </w:rPr>
        <w:t> </w:t>
      </w:r>
      <w:r>
        <w:rPr>
          <w:spacing w:val="-92"/>
        </w:rPr>
      </w:r>
      <w:r>
        <w:rPr/>
        <w:t>计提存货跌价准备。确定可变现净值时，除考虑持有目的和资产负债表日该存货的价格与成本波动外，还</w:t>
      </w:r>
      <w:r>
        <w:rPr/>
        <w:t> 需要考虑未来事项的影响。</w:t>
      </w:r>
    </w:p>
    <w:p>
      <w:pPr>
        <w:pStyle w:val="BodyText"/>
        <w:spacing w:line="273" w:lineRule="auto"/>
        <w:ind w:left="577" w:right="7074"/>
        <w:jc w:val="left"/>
      </w:pPr>
      <w:r>
        <w:rPr>
          <w:rFonts w:ascii="宋体" w:hAnsi="宋体" w:cs="宋体" w:eastAsia="宋体" w:hint="default"/>
        </w:rPr>
        <w:t>4</w:t>
      </w:r>
      <w:r>
        <w:rPr/>
        <w:t>、存货的盘存制度 存货的盘存制度采用永续盘存制。 </w:t>
      </w:r>
      <w:r>
        <w:rPr>
          <w:rFonts w:ascii="宋体" w:hAnsi="宋体" w:cs="宋体" w:eastAsia="宋体" w:hint="default"/>
        </w:rPr>
        <w:t>5</w:t>
      </w:r>
      <w:r>
        <w:rPr/>
        <w:t>、低值易耗品和包装物的摊销方法</w:t>
      </w:r>
    </w:p>
    <w:p>
      <w:pPr>
        <w:pStyle w:val="BodyText"/>
        <w:spacing w:line="273" w:lineRule="auto"/>
        <w:ind w:left="577" w:right="4659"/>
        <w:jc w:val="left"/>
      </w:pPr>
      <w:r>
        <w:rPr/>
        <w:t>低值易耗品：低值易耗品于其领用时采用一次性摊销法摊销。 包装物：包装物于其领用时采用一次性摊销法摊销。</w:t>
      </w:r>
    </w:p>
    <w:p>
      <w:pPr>
        <w:pStyle w:val="BodyText"/>
        <w:spacing w:line="590" w:lineRule="atLeast" w:before="9"/>
        <w:ind w:left="577" w:right="0" w:hanging="424"/>
        <w:jc w:val="left"/>
      </w:pPr>
      <w:bookmarkStart w:name="13、持有待售资产" w:id="190"/>
      <w:bookmarkEnd w:id="190"/>
      <w:r>
        <w:rPr/>
      </w:r>
      <w:r>
        <w:rPr>
          <w:rFonts w:ascii="Times New Roman" w:hAnsi="Times New Roman" w:cs="Times New Roman" w:eastAsia="Times New Roman" w:hint="default"/>
          <w:b/>
          <w:bCs/>
        </w:rPr>
        <w:t>13</w:t>
      </w:r>
      <w:r>
        <w:rPr>
          <w:rFonts w:ascii="宋体" w:hAnsi="宋体" w:cs="宋体" w:eastAsia="宋体" w:hint="default"/>
          <w:b/>
          <w:bCs/>
        </w:rPr>
        <w:t>、持有待售资产</w:t>
      </w:r>
      <w:r>
        <w:rPr>
          <w:rFonts w:ascii="宋体" w:hAnsi="宋体" w:cs="宋体" w:eastAsia="宋体" w:hint="default"/>
          <w:b/>
          <w:bCs/>
          <w:w w:val="99"/>
        </w:rPr>
        <w:t> </w:t>
      </w:r>
      <w:r>
        <w:rPr>
          <w:spacing w:val="-1"/>
        </w:rPr>
        <w:t>本公司若主要通过出售（包括具有商业实质的非货币性资产交换，下同）而非持续使用一项非流动资</w:t>
      </w:r>
    </w:p>
    <w:p>
      <w:pPr>
        <w:pStyle w:val="BodyText"/>
        <w:spacing w:line="268" w:lineRule="auto" w:before="37"/>
        <w:ind w:right="1131"/>
        <w:jc w:val="both"/>
      </w:pPr>
      <w:r>
        <w:rPr>
          <w:spacing w:val="-1"/>
        </w:rPr>
        <w:t>产或处置组收回其账面价值的，则将其划分为持有待售类别。具体标准为同时满足以下条件：某项非流动</w:t>
      </w:r>
      <w:r>
        <w:rPr>
          <w:spacing w:val="-83"/>
        </w:rPr>
        <w:t> </w:t>
      </w:r>
      <w:r>
        <w:rPr>
          <w:spacing w:val="-83"/>
        </w:rPr>
      </w:r>
      <w:r>
        <w:rPr>
          <w:spacing w:val="-1"/>
        </w:rPr>
        <w:t>资产或处置组根据类似交易中出售此类资产或处置组的惯例，在当前状况下即可立即出售；本公司已经就</w:t>
      </w:r>
      <w:r>
        <w:rPr>
          <w:spacing w:val="-81"/>
        </w:rPr>
        <w:t> </w:t>
      </w:r>
      <w:r>
        <w:rPr>
          <w:spacing w:val="-81"/>
        </w:rPr>
      </w:r>
      <w:r>
        <w:rPr>
          <w:spacing w:val="-1"/>
        </w:rPr>
        <w:t>出售计划作出决议且获得确定的购买承诺；预计出售将在一年内完成。其中，处置组是指在一项交易中作</w:t>
      </w:r>
      <w:r>
        <w:rPr>
          <w:spacing w:val="-83"/>
        </w:rPr>
        <w:t> </w:t>
      </w:r>
      <w:r>
        <w:rPr>
          <w:spacing w:val="-83"/>
        </w:rPr>
      </w:r>
      <w:r>
        <w:rPr>
          <w:spacing w:val="-1"/>
        </w:rPr>
        <w:t>为整体通过出售或其他方式一并处置的一组资产，以及在该交易中转让的与这些资产直接相关的负债。处</w:t>
      </w:r>
      <w:r>
        <w:rPr>
          <w:spacing w:val="-81"/>
        </w:rPr>
        <w:t> </w:t>
      </w:r>
      <w:r>
        <w:rPr>
          <w:spacing w:val="-81"/>
        </w:rPr>
      </w:r>
      <w:r>
        <w:rPr/>
        <w:t>置组所属的资产组或资产组组合按照《企业会计准则第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spacing w:val="-3"/>
        </w:rPr>
        <w:t>号</w:t>
      </w:r>
      <w:r>
        <w:rPr>
          <w:rFonts w:ascii="Times New Roman" w:hAnsi="Times New Roman" w:cs="Times New Roman" w:eastAsia="Times New Roman" w:hint="default"/>
          <w:spacing w:val="-3"/>
        </w:rPr>
        <w:t>——</w:t>
      </w:r>
      <w:r>
        <w:rPr>
          <w:spacing w:val="-3"/>
        </w:rPr>
        <w:t>资产减值》分摊了企业合并中取得的商誉</w:t>
      </w:r>
      <w:r>
        <w:rPr/>
        <w:t> 的，该处置组应当包含分摊至处置组的商誉。</w:t>
      </w:r>
    </w:p>
    <w:p>
      <w:pPr>
        <w:pStyle w:val="BodyText"/>
        <w:spacing w:line="268" w:lineRule="auto" w:before="12"/>
        <w:ind w:right="0" w:firstLine="423"/>
        <w:jc w:val="left"/>
      </w:pPr>
      <w:r>
        <w:rPr/>
        <w:t>本公司初始计量或在资产负债表日重新计量划分为持有待售的非流动资产和处置组时，其账面价值高 于公允价值减去出售费用后的净额的，将账面价值减记至公允价值减去出售费用后的净额，减记的金额确 认为资产减值损失，计入当期损益，同时计提持有待售资产减值准备。对于处置组，所确认的资产减值损 失先抵减处置组中商誉的账面价值，再按比例抵减该处置组内适用《企业会计准则第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 </w:t>
      </w:r>
      <w:r>
        <w:rPr>
          <w:spacing w:val="-3"/>
        </w:rPr>
        <w:t>非流动资产、处置组和终止经营》（以下简称</w:t>
      </w:r>
      <w:r>
        <w:rPr>
          <w:rFonts w:ascii="Times New Roman" w:hAnsi="Times New Roman" w:cs="Times New Roman" w:eastAsia="Times New Roman" w:hint="default"/>
          <w:spacing w:val="-3"/>
        </w:rPr>
        <w:t>“</w:t>
      </w:r>
      <w:r>
        <w:rPr>
          <w:spacing w:val="-3"/>
        </w:rPr>
        <w:t>持有待售准则</w:t>
      </w:r>
      <w:r>
        <w:rPr>
          <w:rFonts w:ascii="Times New Roman" w:hAnsi="Times New Roman" w:cs="Times New Roman" w:eastAsia="Times New Roman" w:hint="default"/>
          <w:spacing w:val="-3"/>
        </w:rPr>
        <w:t>”</w:t>
      </w:r>
      <w:r>
        <w:rPr>
          <w:spacing w:val="-3"/>
        </w:rPr>
        <w:t>）的计量规定的各项非流动资产的账面价值。</w:t>
      </w:r>
      <w:r>
        <w:rPr>
          <w:spacing w:val="-67"/>
        </w:rPr>
        <w:t> </w:t>
      </w:r>
      <w:r>
        <w:rPr>
          <w:spacing w:val="-67"/>
        </w:rPr>
      </w:r>
      <w:r>
        <w:rPr/>
        <w:t>后续资产负债表日持有待售的处置组公允价值减去出售费用后的净额增加的，以前减记的金额应当予以恢</w:t>
      </w:r>
      <w:r>
        <w:rPr/>
        <w:t> </w:t>
      </w:r>
      <w:r>
        <w:rPr>
          <w:spacing w:val="3"/>
        </w:rPr>
        <w:t>复，并在划分为持有待售类别后适用持有待售准则计量规定的非流动资产确认的资产减值损失金额内转</w:t>
      </w:r>
      <w:r>
        <w:rPr>
          <w:spacing w:val="-82"/>
        </w:rPr>
        <w:t> </w:t>
      </w:r>
      <w:r>
        <w:rPr>
          <w:spacing w:val="-82"/>
        </w:rPr>
      </w:r>
      <w:r>
        <w:rPr/>
        <w:t>回，转回金额计入当期损益，并根据处置组中除商誉外适用持有待售准则计量规定的各项非流动资产账面</w:t>
      </w:r>
      <w:r>
        <w:rPr/>
        <w:t> 价值所占比重按比例增加其账面价值；已抵减的商誉账面价值，以及适用持有待售准则计量规定的非流动 资产在划分为持有待售类别前确认的资产减值损失不得转回。</w:t>
      </w:r>
    </w:p>
    <w:p>
      <w:pPr>
        <w:pStyle w:val="BodyText"/>
        <w:spacing w:line="273" w:lineRule="auto" w:before="12"/>
        <w:ind w:right="0" w:firstLine="423"/>
        <w:jc w:val="left"/>
      </w:pPr>
      <w:r>
        <w:rPr>
          <w:spacing w:val="-1"/>
        </w:rPr>
        <w:t>持有待售的非流动资产或处置组中的非流动资产不计提折旧或摊销，持有待售的处置组中负债的利息</w:t>
      </w:r>
      <w:r>
        <w:rPr/>
        <w:t> 和其他费用继续予以确认。 </w:t>
      </w:r>
      <w:r>
        <w:rPr>
          <w:spacing w:val="-1"/>
        </w:rPr>
        <w:t>非流动资产或处置组不再满足持有待售类别的划分条件时，本公司不再将其继续划分为持有待售类别或将</w:t>
      </w:r>
      <w:r>
        <w:rPr>
          <w:spacing w:val="-81"/>
        </w:rPr>
        <w:t> </w:t>
      </w:r>
      <w:r>
        <w:rPr>
          <w:spacing w:val="-81"/>
        </w:rPr>
      </w:r>
      <w:r>
        <w:rPr/>
        <w:t>非流动资产从持有待售的处置组中移除，并按照以下两者孰低计量：（</w:t>
      </w:r>
      <w:r>
        <w:rPr>
          <w:rFonts w:ascii="Times New Roman" w:hAnsi="Times New Roman" w:cs="Times New Roman" w:eastAsia="Times New Roman" w:hint="default"/>
        </w:rPr>
        <w:t>1</w:t>
      </w:r>
      <w:r>
        <w:rPr/>
        <w:t>）划分为持有待售类别前的账面</w:t>
      </w:r>
    </w:p>
    <w:p>
      <w:pPr>
        <w:spacing w:after="0" w:line="273" w:lineRule="auto"/>
        <w:jc w:val="left"/>
        <w:sectPr>
          <w:footerReference w:type="default" r:id="rId15"/>
          <w:pgSz w:w="11910" w:h="16840"/>
          <w:pgMar w:footer="979" w:header="747" w:top="1060" w:bottom="1160" w:left="980" w:right="0"/>
          <w:pgNumType w:start="101"/>
        </w:sectPr>
      </w:pPr>
    </w:p>
    <w:p>
      <w:pPr>
        <w:spacing w:line="240" w:lineRule="auto" w:before="9"/>
        <w:rPr>
          <w:rFonts w:ascii="宋体" w:hAnsi="宋体" w:cs="宋体" w:eastAsia="宋体" w:hint="default"/>
          <w:sz w:val="24"/>
          <w:szCs w:val="24"/>
        </w:rPr>
      </w:pPr>
    </w:p>
    <w:p>
      <w:pPr>
        <w:pStyle w:val="BodyText"/>
        <w:spacing w:line="256" w:lineRule="auto" w:before="35"/>
        <w:ind w:right="0"/>
        <w:jc w:val="left"/>
      </w:pPr>
      <w:r>
        <w:rPr/>
        <w:t>价值，按照假定不划分为持有待售类别情况下本应确认的折旧、摊销或减值等进行调整后的金额；（</w:t>
      </w:r>
      <w:r>
        <w:rPr>
          <w:rFonts w:ascii="Times New Roman" w:hAnsi="Times New Roman" w:cs="Times New Roman" w:eastAsia="Times New Roman" w:hint="default"/>
        </w:rPr>
        <w:t>2</w:t>
      </w:r>
      <w:r>
        <w:rPr/>
        <w:t>）</w:t>
      </w:r>
      <w:r>
        <w:rPr>
          <w:spacing w:val="-24"/>
        </w:rPr>
        <w:t> </w:t>
      </w:r>
      <w:r>
        <w:rPr/>
        <w:t>可收回金额。</w:t>
      </w:r>
    </w:p>
    <w:p>
      <w:pPr>
        <w:pStyle w:val="BodyText"/>
        <w:spacing w:line="590" w:lineRule="atLeast" w:before="24"/>
        <w:ind w:left="577" w:right="0" w:hanging="424"/>
        <w:jc w:val="left"/>
      </w:pPr>
      <w:bookmarkStart w:name="14、长期股权投资" w:id="191"/>
      <w:bookmarkEnd w:id="191"/>
      <w:r>
        <w:rPr/>
      </w:r>
      <w:r>
        <w:rPr>
          <w:rFonts w:ascii="Times New Roman" w:hAnsi="Times New Roman" w:cs="Times New Roman" w:eastAsia="Times New Roman" w:hint="default"/>
          <w:b/>
          <w:bCs/>
        </w:rPr>
        <w:t>14</w:t>
      </w:r>
      <w:r>
        <w:rPr>
          <w:rFonts w:ascii="宋体" w:hAnsi="宋体" w:cs="宋体" w:eastAsia="宋体" w:hint="default"/>
          <w:b/>
          <w:bCs/>
        </w:rPr>
        <w:t>、长期股权投资</w:t>
      </w:r>
      <w:r>
        <w:rPr>
          <w:rFonts w:ascii="宋体" w:hAnsi="宋体" w:cs="宋体" w:eastAsia="宋体" w:hint="default"/>
          <w:b/>
          <w:bCs/>
          <w:w w:val="99"/>
        </w:rPr>
        <w:t> </w:t>
      </w:r>
      <w:r>
        <w:rPr>
          <w:spacing w:val="-1"/>
        </w:rPr>
        <w:t>长期股权投资是指本公司对被投资单位具有控制、重大影响的权益性投资，以及对其合营企业的权益</w:t>
      </w:r>
    </w:p>
    <w:p>
      <w:pPr>
        <w:pStyle w:val="BodyText"/>
        <w:spacing w:line="273" w:lineRule="auto" w:before="37"/>
        <w:ind w:left="154" w:right="0"/>
        <w:jc w:val="left"/>
      </w:pPr>
      <w:r>
        <w:rPr>
          <w:spacing w:val="-1"/>
        </w:rPr>
        <w:t>性投资。本公司对被投资单位不具有控制、共同控制或重大影响的权益性投资，作为可供出售金融资产或</w:t>
      </w:r>
      <w:r>
        <w:rPr>
          <w:spacing w:val="-83"/>
        </w:rPr>
        <w:t> </w:t>
      </w:r>
      <w:r>
        <w:rPr>
          <w:spacing w:val="-83"/>
        </w:rPr>
      </w:r>
      <w:r>
        <w:rPr/>
        <w:t>以公允价值计量且其变动计入当期损益的金融资产核算。</w:t>
      </w:r>
    </w:p>
    <w:p>
      <w:pPr>
        <w:pStyle w:val="BodyText"/>
        <w:spacing w:line="273" w:lineRule="auto"/>
        <w:ind w:right="1131" w:firstLine="423"/>
        <w:jc w:val="both"/>
      </w:pPr>
      <w:r>
        <w:rPr>
          <w:spacing w:val="-1"/>
        </w:rPr>
        <w:t>共同控制，是指本公司按照相关约定对某项安排所共有的控制，并且该安排的相关活动必须经过分享</w:t>
      </w:r>
      <w:r>
        <w:rPr/>
        <w:t> </w:t>
      </w:r>
      <w:r>
        <w:rPr>
          <w:spacing w:val="-1"/>
        </w:rPr>
        <w:t>控制权的参与方一致同意后才能决策。重大影响，是指本公司对被投资单位的财务和经营政策有参与决策</w:t>
      </w:r>
      <w:r>
        <w:rPr>
          <w:spacing w:val="-81"/>
        </w:rPr>
        <w:t> </w:t>
      </w:r>
      <w:r>
        <w:rPr>
          <w:spacing w:val="-81"/>
        </w:rPr>
      </w:r>
      <w:r>
        <w:rPr/>
        <w:t>的权力，但并不能够控制或者与其他方一起共同控制这些政策的制定。</w:t>
      </w:r>
    </w:p>
    <w:p>
      <w:pPr>
        <w:pStyle w:val="BodyText"/>
        <w:spacing w:line="273" w:lineRule="auto"/>
        <w:ind w:left="577" w:right="0"/>
        <w:jc w:val="left"/>
      </w:pPr>
      <w:r>
        <w:rPr>
          <w:rFonts w:ascii="宋体" w:hAnsi="宋体" w:cs="宋体" w:eastAsia="宋体" w:hint="default"/>
        </w:rPr>
        <w:t>1</w:t>
      </w:r>
      <w:r>
        <w:rPr/>
        <w:t>、投资成本的确定 </w:t>
      </w:r>
      <w:r>
        <w:rPr>
          <w:spacing w:val="-1"/>
        </w:rPr>
        <w:t>对于同一控制下的企业合并取得的长期股权投资，在合并日按照被合并方所有者权益在最终控制方合</w:t>
      </w:r>
    </w:p>
    <w:p>
      <w:pPr>
        <w:pStyle w:val="BodyText"/>
        <w:spacing w:line="273" w:lineRule="auto"/>
        <w:ind w:right="1024"/>
        <w:jc w:val="left"/>
      </w:pPr>
      <w:r>
        <w:rPr/>
        <w:t>并财务报表中的账面价值的份额作为长期股权投资的初始投资成本。长期股权投资初始投资成本与支付的 现金、转让的非现金资产以及所承担债务账面价值之间的差额，调整资本公积；资本公积不足冲减的，调 整留存收益。以发行权益性证券作为合并对价的，在合并日按照被合并方股东权益</w:t>
      </w:r>
      <w:r>
        <w:rPr>
          <w:rFonts w:ascii="宋体" w:hAnsi="宋体" w:cs="宋体" w:eastAsia="宋体" w:hint="default"/>
        </w:rPr>
        <w:t>/</w:t>
      </w:r>
      <w:r>
        <w:rPr/>
        <w:t>所有者权益在最终控</w:t>
      </w:r>
      <w:r>
        <w:rPr>
          <w:spacing w:val="-25"/>
        </w:rPr>
        <w:t> </w:t>
      </w:r>
      <w:r>
        <w:rPr>
          <w:spacing w:val="-25"/>
        </w:rPr>
      </w:r>
      <w:r>
        <w:rPr/>
        <w:t>制方合并财务报表中的账面价值的份额作为长期股权投资的初始投资成本，按照发行股份的面值总额作为</w:t>
      </w:r>
      <w:r>
        <w:rPr/>
        <w:t> 股本，长期股权投资初始投资成本与所发行股份面值总额之间的差额，调整资本公积；资本公积不足冲减 </w:t>
      </w:r>
      <w:r>
        <w:rPr>
          <w:spacing w:val="-3"/>
        </w:rPr>
        <w:t>的，调整留存收益（通过多次交易分步取得同一控制下被合并方的股权，最终形成同一控制下企业合并的，</w:t>
      </w:r>
      <w:r>
        <w:rPr>
          <w:spacing w:val="-90"/>
        </w:rPr>
        <w:t> </w:t>
      </w:r>
      <w:r>
        <w:rPr>
          <w:spacing w:val="-90"/>
        </w:rPr>
      </w:r>
      <w:r>
        <w:rPr/>
        <w:t>应分别是否属于“一揽子交易”进行处理：属于“一揽子交易”的，将各项交易作为一项取得控制权的交</w:t>
      </w:r>
      <w:r>
        <w:rPr/>
        <w:t> 易进行会计处理。不属于“一揽子交易”的，在合并日按照应享有被合并方股东权益</w:t>
      </w:r>
      <w:r>
        <w:rPr>
          <w:rFonts w:ascii="宋体" w:hAnsi="宋体" w:cs="宋体" w:eastAsia="宋体" w:hint="default"/>
        </w:rPr>
        <w:t>/</w:t>
      </w:r>
      <w:r>
        <w:rPr/>
        <w:t>所有者权益在最终</w:t>
      </w:r>
      <w:r>
        <w:rPr>
          <w:spacing w:val="-26"/>
        </w:rPr>
        <w:t> </w:t>
      </w:r>
      <w:r>
        <w:rPr>
          <w:spacing w:val="-26"/>
        </w:rPr>
      </w:r>
      <w:r>
        <w:rPr/>
        <w:t>控制方合并财务报表中的账面价值的份额作为长期股权投资的初始投资成本，长期股权投资初始投资成本</w:t>
      </w:r>
      <w:r>
        <w:rPr/>
        <w:t> 与达到合并前的长期股权投资账面价值加上合并日进一步取得股份新支付对价的账面价值之和的差额，调 整资本公积；资本公积不足冲减的，调整留存收益。合并日之前持有的股权投资因采用权益法核算或为可 供出售金融资产而确认的其他综合收益，暂不进行会计处理）。</w:t>
      </w:r>
    </w:p>
    <w:p>
      <w:pPr>
        <w:pStyle w:val="BodyText"/>
        <w:spacing w:line="273" w:lineRule="auto"/>
        <w:ind w:right="1110" w:firstLine="423"/>
        <w:jc w:val="both"/>
      </w:pPr>
      <w:r>
        <w:rPr>
          <w:spacing w:val="-1"/>
        </w:rPr>
        <w:t>对于非同一控制下的企业合并取得的长期股权投资，在购买日按照合并成本作为长期股权投资的初始</w:t>
      </w:r>
      <w:r>
        <w:rPr/>
        <w:t> </w:t>
      </w:r>
      <w:r>
        <w:rPr>
          <w:spacing w:val="-1"/>
        </w:rPr>
        <w:t>投资成本，合并成本包括购买方付出的资产、发生或承担的负债、发行的权益性证券的公允价值之和（通</w:t>
      </w:r>
      <w:r>
        <w:rPr>
          <w:spacing w:val="-86"/>
        </w:rPr>
        <w:t> </w:t>
      </w:r>
      <w:r>
        <w:rPr>
          <w:spacing w:val="-86"/>
        </w:rPr>
      </w:r>
      <w:r>
        <w:rPr>
          <w:spacing w:val="-1"/>
        </w:rPr>
        <w:t>过多次交易分步取得被购买方的股权，最终形成非同一控制下的企业合并的，应分别是否属于“一揽子交</w:t>
      </w:r>
      <w:r>
        <w:rPr>
          <w:spacing w:val="-83"/>
        </w:rPr>
        <w:t> </w:t>
      </w:r>
      <w:r>
        <w:rPr>
          <w:spacing w:val="-83"/>
        </w:rPr>
      </w:r>
      <w:r>
        <w:rPr>
          <w:spacing w:val="-6"/>
        </w:rPr>
        <w:t>易”进行处理：属于“一揽子交易”的，将各项交易作为一项取得控制权的交易进行会计处理。不属于“一</w:t>
      </w:r>
      <w:r>
        <w:rPr>
          <w:spacing w:val="-60"/>
        </w:rPr>
        <w:t> </w:t>
      </w:r>
      <w:r>
        <w:rPr>
          <w:spacing w:val="-60"/>
        </w:rPr>
      </w:r>
      <w:r>
        <w:rPr>
          <w:spacing w:val="-1"/>
        </w:rPr>
        <w:t>揽子交易”的，按照原持有被购买方的股权投资账面价值加上新增投资成本之和，作为改按成本法核算的</w:t>
      </w:r>
      <w:r>
        <w:rPr>
          <w:spacing w:val="-83"/>
        </w:rPr>
        <w:t> </w:t>
      </w:r>
      <w:r>
        <w:rPr>
          <w:spacing w:val="-83"/>
        </w:rPr>
      </w:r>
      <w:r>
        <w:rPr/>
        <w:t>长期股权投资的初始投资成本。原持有的股权采用权益法核算的，相关其他综合收益暂不进行会计处理。 </w:t>
      </w:r>
      <w:r>
        <w:rPr>
          <w:spacing w:val="-1"/>
        </w:rPr>
        <w:t>原持有股权投资为可供出售金融资产的，其公允价值与账面价值之间的差额，以及原计入其他综合收益的</w:t>
      </w:r>
      <w:r>
        <w:rPr>
          <w:spacing w:val="-81"/>
        </w:rPr>
        <w:t> </w:t>
      </w:r>
      <w:r>
        <w:rPr>
          <w:spacing w:val="-81"/>
        </w:rPr>
      </w:r>
      <w:r>
        <w:rPr/>
        <w:t>累计公允价值变动转入当期损益）。</w:t>
      </w:r>
    </w:p>
    <w:p>
      <w:pPr>
        <w:pStyle w:val="BodyText"/>
        <w:spacing w:line="273" w:lineRule="auto"/>
        <w:ind w:right="1133" w:firstLine="423"/>
        <w:jc w:val="both"/>
      </w:pPr>
      <w:r>
        <w:rPr>
          <w:spacing w:val="-1"/>
        </w:rPr>
        <w:t>合并方或购买方为企业合并发生的审计、法律服务、评估咨询等中介费用以及其他相关管理费用，于</w:t>
      </w:r>
      <w:r>
        <w:rPr/>
        <w:t> 发生时计入当期损益。</w:t>
      </w:r>
    </w:p>
    <w:p>
      <w:pPr>
        <w:pStyle w:val="BodyText"/>
        <w:spacing w:line="273" w:lineRule="auto"/>
        <w:ind w:right="1110" w:firstLine="423"/>
        <w:jc w:val="both"/>
      </w:pPr>
      <w:r>
        <w:rPr>
          <w:spacing w:val="-1"/>
        </w:rPr>
        <w:t>除企业合并形成的长期股权投资外的其他股权投资，按成本进行初始计量，该成本视长期股权投资取</w:t>
      </w:r>
      <w:r>
        <w:rPr/>
        <w:t> </w:t>
      </w:r>
      <w:r>
        <w:rPr>
          <w:spacing w:val="-1"/>
        </w:rPr>
        <w:t>得方式的不同，分别按照本公司实际支付的现金购买价款、本公司发行的权益性证券的公允价值、投资合</w:t>
      </w:r>
      <w:r>
        <w:rPr>
          <w:spacing w:val="-83"/>
        </w:rPr>
        <w:t> </w:t>
      </w:r>
      <w:r>
        <w:rPr>
          <w:spacing w:val="-83"/>
        </w:rPr>
      </w:r>
      <w:r>
        <w:rPr>
          <w:spacing w:val="-1"/>
        </w:rPr>
        <w:t>同或协议约定的价值、非货币性资产交换交易中换出资产的公允价值或原账面价值、该项长期股权投资自</w:t>
      </w:r>
      <w:r>
        <w:rPr>
          <w:spacing w:val="-81"/>
        </w:rPr>
        <w:t> </w:t>
      </w:r>
      <w:r>
        <w:rPr>
          <w:spacing w:val="-81"/>
        </w:rPr>
      </w:r>
      <w:r>
        <w:rPr/>
        <w:t>身的公允价值等方式确定。与取得长期股权投资直接相关的费用、税金及其他必要支出也计入投资成本。 </w:t>
      </w:r>
      <w:r>
        <w:rPr>
          <w:spacing w:val="-1"/>
        </w:rPr>
        <w:t>对于因追加投资能够对被投资单位实施重大影响或实施共同控制但不构成控制的，长期股权投资成本为按</w:t>
      </w:r>
      <w:r>
        <w:rPr>
          <w:spacing w:val="-81"/>
        </w:rPr>
        <w:t> </w:t>
      </w:r>
      <w:r>
        <w:rPr>
          <w:spacing w:val="-81"/>
        </w:rPr>
      </w:r>
      <w:r>
        <w:rPr>
          <w:spacing w:val="-1"/>
        </w:rPr>
        <w:t>照《企业会计准则第</w:t>
      </w:r>
      <w:r>
        <w:rPr>
          <w:rFonts w:ascii="宋体" w:hAnsi="宋体" w:cs="宋体" w:eastAsia="宋体" w:hint="default"/>
          <w:spacing w:val="-1"/>
        </w:rPr>
        <w:t>22</w:t>
      </w:r>
      <w:r>
        <w:rPr>
          <w:spacing w:val="-1"/>
        </w:rPr>
        <w:t>号——金融工具确认和计量》确定的原持有股权投资的公允价值加上新增投资成本</w:t>
      </w:r>
      <w:r>
        <w:rPr>
          <w:spacing w:val="-81"/>
        </w:rPr>
        <w:t> </w:t>
      </w:r>
      <w:r>
        <w:rPr>
          <w:spacing w:val="-81"/>
        </w:rPr>
      </w:r>
      <w:r>
        <w:rPr/>
        <w:t>之和。</w:t>
      </w:r>
    </w:p>
    <w:p>
      <w:pPr>
        <w:pStyle w:val="BodyText"/>
        <w:spacing w:line="273" w:lineRule="auto"/>
        <w:ind w:left="577" w:right="1089"/>
        <w:jc w:val="left"/>
      </w:pPr>
      <w:r>
        <w:rPr>
          <w:rFonts w:ascii="宋体" w:hAnsi="宋体" w:cs="宋体" w:eastAsia="宋体" w:hint="default"/>
        </w:rPr>
        <w:t>2</w:t>
      </w:r>
      <w:r>
        <w:rPr/>
        <w:t>、后续计量及损益确认方法 对被投资单位具有共同控制（构成共同经营者除外）或重大影响的长期股权投资，采用权益法核算。</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此外，公司财务报表采用成本法核算能够对被投资单位实施控制的长期股权投资。</w:t>
      </w:r>
    </w:p>
    <w:p>
      <w:pPr>
        <w:pStyle w:val="BodyText"/>
        <w:spacing w:line="273" w:lineRule="auto" w:before="37"/>
        <w:ind w:left="577" w:right="1089"/>
        <w:jc w:val="left"/>
      </w:pPr>
      <w:r>
        <w:rPr/>
        <w:t>（</w:t>
      </w:r>
      <w:r>
        <w:rPr>
          <w:rFonts w:ascii="宋体" w:hAnsi="宋体" w:cs="宋体" w:eastAsia="宋体" w:hint="default"/>
        </w:rPr>
        <w:t>1</w:t>
      </w:r>
      <w:r>
        <w:rPr/>
        <w:t>）成本法核算的长期股权投资 采用成本法核算时，长期股权投资按初始投资成本计价，追加或收回投资调整长期股权投资的成本。</w:t>
      </w:r>
    </w:p>
    <w:p>
      <w:pPr>
        <w:pStyle w:val="BodyText"/>
        <w:spacing w:line="273" w:lineRule="auto"/>
        <w:ind w:right="0"/>
        <w:jc w:val="left"/>
      </w:pPr>
      <w:r>
        <w:rPr>
          <w:spacing w:val="-1"/>
        </w:rPr>
        <w:t>除取得投资时实际支付的价款或者对价中包含的已宣告但尚未发放的现金股利或者利润外，当期投资收益</w:t>
      </w:r>
      <w:r>
        <w:rPr>
          <w:spacing w:val="-81"/>
        </w:rPr>
        <w:t> </w:t>
      </w:r>
      <w:r>
        <w:rPr>
          <w:spacing w:val="-81"/>
        </w:rPr>
      </w:r>
      <w:r>
        <w:rPr/>
        <w:t>按照享有被投资单位宣告发放的现金股利或利润确认。</w:t>
      </w:r>
    </w:p>
    <w:p>
      <w:pPr>
        <w:pStyle w:val="BodyText"/>
        <w:spacing w:line="273" w:lineRule="auto"/>
        <w:ind w:left="577" w:right="0"/>
        <w:jc w:val="left"/>
      </w:pPr>
      <w:r>
        <w:rPr/>
        <w:t>（</w:t>
      </w:r>
      <w:r>
        <w:rPr>
          <w:rFonts w:ascii="宋体" w:hAnsi="宋体" w:cs="宋体" w:eastAsia="宋体" w:hint="default"/>
        </w:rPr>
        <w:t>2</w:t>
      </w:r>
      <w:r>
        <w:rPr/>
        <w:t>）权益法核算的长期股权投资 </w:t>
      </w:r>
      <w:r>
        <w:rPr>
          <w:spacing w:val="-1"/>
        </w:rPr>
        <w:t>采用权益法核算时，长期股权投资的初始投资成本大于投资时应享有被投资单位可辨认净资产公允价</w:t>
      </w:r>
    </w:p>
    <w:p>
      <w:pPr>
        <w:pStyle w:val="BodyText"/>
        <w:spacing w:line="273" w:lineRule="auto"/>
        <w:ind w:right="0"/>
        <w:jc w:val="left"/>
      </w:pPr>
      <w:r>
        <w:rPr>
          <w:spacing w:val="-1"/>
        </w:rPr>
        <w:t>值份额的，不调整长期股权投资的初始投资成本；初始投资成本小于投资时应享有被投资单位可辨认净资</w:t>
      </w:r>
      <w:r>
        <w:rPr>
          <w:spacing w:val="-81"/>
        </w:rPr>
        <w:t> </w:t>
      </w:r>
      <w:r>
        <w:rPr>
          <w:spacing w:val="-81"/>
        </w:rPr>
      </w:r>
      <w:r>
        <w:rPr/>
        <w:t>产公允价值份额的，其差额计入当期损益，同时调整长期股权投资的成本。</w:t>
      </w:r>
    </w:p>
    <w:p>
      <w:pPr>
        <w:pStyle w:val="BodyText"/>
        <w:spacing w:line="273" w:lineRule="auto"/>
        <w:ind w:right="1130" w:firstLine="423"/>
        <w:jc w:val="both"/>
      </w:pPr>
      <w:r>
        <w:rPr>
          <w:spacing w:val="-1"/>
        </w:rPr>
        <w:t>采用权益法核算时，按照应享有或应分担的被投资单位实现的净损益和其他综合收益的份额，分别确</w:t>
      </w:r>
      <w:r>
        <w:rPr/>
        <w:t> </w:t>
      </w:r>
      <w:r>
        <w:rPr>
          <w:spacing w:val="-1"/>
        </w:rPr>
        <w:t>认投资收益和其他综合收益，同时调整长期股权投资的账面价值；按照被投资单位宣告分派的利润或现金</w:t>
      </w:r>
      <w:r>
        <w:rPr>
          <w:spacing w:val="-81"/>
        </w:rPr>
        <w:t> </w:t>
      </w:r>
      <w:r>
        <w:rPr>
          <w:spacing w:val="-81"/>
        </w:rPr>
      </w:r>
      <w:r>
        <w:rPr>
          <w:spacing w:val="-1"/>
        </w:rPr>
        <w:t>股利计算应享有的部分，相应减少长期股权投资的账面价值；对于被投资单位除净损益、其他综合收益和</w:t>
      </w:r>
      <w:r>
        <w:rPr>
          <w:spacing w:val="-83"/>
        </w:rPr>
        <w:t> </w:t>
      </w:r>
      <w:r>
        <w:rPr>
          <w:spacing w:val="-83"/>
        </w:rPr>
      </w:r>
      <w:r>
        <w:rPr>
          <w:spacing w:val="-1"/>
        </w:rPr>
        <w:t>利润分配以外所有者权益的其他变动，调整长期股权投资的账面价值并计入资本公积。在确认应享有被投</w:t>
      </w:r>
      <w:r>
        <w:rPr>
          <w:spacing w:val="-81"/>
        </w:rPr>
        <w:t> </w:t>
      </w:r>
      <w:r>
        <w:rPr>
          <w:spacing w:val="-81"/>
        </w:rPr>
      </w:r>
      <w:r>
        <w:rPr>
          <w:spacing w:val="-1"/>
        </w:rPr>
        <w:t>资单位净损益的份额时，以取得投资时被投资单位各项可辨认资产等的公允价值为基础，对被投资单位的</w:t>
      </w:r>
      <w:r>
        <w:rPr>
          <w:spacing w:val="-81"/>
        </w:rPr>
        <w:t> </w:t>
      </w:r>
      <w:r>
        <w:rPr>
          <w:spacing w:val="-81"/>
        </w:rPr>
      </w:r>
      <w:r>
        <w:rPr>
          <w:spacing w:val="-1"/>
        </w:rPr>
        <w:t>净利润进行调整后确认。被投资单位采用的会计政策及会计期间与本公司不一致的，按照本公司的会计政</w:t>
      </w:r>
      <w:r>
        <w:rPr>
          <w:spacing w:val="-81"/>
        </w:rPr>
        <w:t> </w:t>
      </w:r>
      <w:r>
        <w:rPr>
          <w:spacing w:val="-81"/>
        </w:rPr>
      </w:r>
      <w:r>
        <w:rPr>
          <w:spacing w:val="-1"/>
        </w:rPr>
        <w:t>策及会计期间对被投资单位的财务报表进行调整，并据以确认投资收益和其他综合收益。对于本公司与联</w:t>
      </w:r>
      <w:r>
        <w:rPr>
          <w:spacing w:val="-81"/>
        </w:rPr>
        <w:t> </w:t>
      </w:r>
      <w:r>
        <w:rPr>
          <w:spacing w:val="-81"/>
        </w:rPr>
      </w:r>
      <w:r>
        <w:rPr>
          <w:spacing w:val="-1"/>
        </w:rPr>
        <w:t>营企业及合营企业之间发生的交易，投出或出售的资产不构成业务的，未实现内部交易损益按照享有的比</w:t>
      </w:r>
      <w:r>
        <w:rPr>
          <w:spacing w:val="-80"/>
        </w:rPr>
        <w:t> </w:t>
      </w:r>
      <w:r>
        <w:rPr>
          <w:spacing w:val="-80"/>
        </w:rPr>
      </w:r>
      <w:r>
        <w:rPr>
          <w:spacing w:val="-1"/>
        </w:rPr>
        <w:t>例计算归属于本公司的部分予以抵销，在此基础上确认投资损益。但本公司与被投资单位发生的未实现内</w:t>
      </w:r>
      <w:r>
        <w:rPr>
          <w:spacing w:val="-81"/>
        </w:rPr>
        <w:t> </w:t>
      </w:r>
      <w:r>
        <w:rPr>
          <w:spacing w:val="-81"/>
        </w:rPr>
      </w:r>
      <w:r>
        <w:rPr>
          <w:spacing w:val="-1"/>
        </w:rPr>
        <w:t>部交易损失，属于所转让资产减值损失的，不予以抵销。本公司向合营企业或联营企业投出的资产构成业</w:t>
      </w:r>
      <w:r>
        <w:rPr>
          <w:spacing w:val="-83"/>
        </w:rPr>
        <w:t> </w:t>
      </w:r>
      <w:r>
        <w:rPr>
          <w:spacing w:val="-83"/>
        </w:rPr>
      </w:r>
      <w:r>
        <w:rPr>
          <w:spacing w:val="-1"/>
        </w:rPr>
        <w:t>务的，投资方因此取得长期股权投资但未取得控制权的，以投出业务的公允价值作为新增长期股权投资的</w:t>
      </w:r>
      <w:r>
        <w:rPr>
          <w:spacing w:val="-81"/>
        </w:rPr>
        <w:t> </w:t>
      </w:r>
      <w:r>
        <w:rPr>
          <w:spacing w:val="-81"/>
        </w:rPr>
      </w:r>
      <w:r>
        <w:rPr>
          <w:spacing w:val="-1"/>
        </w:rPr>
        <w:t>初始投资成本，初始投资成本与投出业务的账面价值之差，全额计入当期损益。本公司向合营企业或联营</w:t>
      </w:r>
      <w:r>
        <w:rPr>
          <w:spacing w:val="-83"/>
        </w:rPr>
        <w:t> </w:t>
      </w:r>
      <w:r>
        <w:rPr>
          <w:spacing w:val="-83"/>
        </w:rPr>
      </w:r>
      <w:r>
        <w:rPr>
          <w:spacing w:val="-1"/>
        </w:rPr>
        <w:t>企业出售的资产构成业务的，取得的对价与业务的账面价值之差，全额计入当期损益。本公司自联营企业</w:t>
      </w:r>
      <w:r>
        <w:rPr>
          <w:spacing w:val="-83"/>
        </w:rPr>
        <w:t> </w:t>
      </w:r>
      <w:r>
        <w:rPr>
          <w:spacing w:val="-83"/>
        </w:rPr>
      </w:r>
      <w:r>
        <w:rPr>
          <w:spacing w:val="-1"/>
        </w:rPr>
        <w:t>及合营企业购入的资产构成业务的，按《企业会计准则第</w:t>
      </w:r>
      <w:r>
        <w:rPr>
          <w:rFonts w:ascii="宋体" w:hAnsi="宋体" w:cs="宋体" w:eastAsia="宋体" w:hint="default"/>
          <w:spacing w:val="-1"/>
        </w:rPr>
        <w:t>20</w:t>
      </w:r>
      <w:r>
        <w:rPr>
          <w:spacing w:val="-1"/>
        </w:rPr>
        <w:t>号——企业合并》的规定进行会计处理，全额</w:t>
      </w:r>
      <w:r>
        <w:rPr>
          <w:spacing w:val="-86"/>
        </w:rPr>
        <w:t> </w:t>
      </w:r>
      <w:r>
        <w:rPr>
          <w:spacing w:val="-86"/>
        </w:rPr>
      </w:r>
      <w:r>
        <w:rPr/>
        <w:t>确认与交易相关的利得或损失。</w:t>
      </w:r>
    </w:p>
    <w:p>
      <w:pPr>
        <w:pStyle w:val="BodyText"/>
        <w:spacing w:line="273" w:lineRule="auto"/>
        <w:ind w:right="1131" w:firstLine="423"/>
        <w:jc w:val="both"/>
      </w:pPr>
      <w:r>
        <w:rPr>
          <w:spacing w:val="-1"/>
        </w:rPr>
        <w:t>在确认应分担被投资单位发生的净亏损时，以长期股权投资的账面价值和其他实质上构成对被投资单</w:t>
      </w:r>
      <w:r>
        <w:rPr/>
        <w:t> </w:t>
      </w:r>
      <w:r>
        <w:rPr>
          <w:spacing w:val="-1"/>
        </w:rPr>
        <w:t>位净投资的长期权益减记至零为限。此外，如本公司对被投资单位负有承担额外损失的义务，则按预计承</w:t>
      </w:r>
      <w:r>
        <w:rPr>
          <w:spacing w:val="-83"/>
        </w:rPr>
        <w:t> </w:t>
      </w:r>
      <w:r>
        <w:rPr>
          <w:spacing w:val="-83"/>
        </w:rPr>
      </w:r>
      <w:r>
        <w:rPr>
          <w:spacing w:val="-1"/>
        </w:rPr>
        <w:t>担的义务确认预计负债，计入当期投资损失。被投资单位以后期间实现净利润的，本公司在收益分享额弥</w:t>
      </w:r>
      <w:r>
        <w:rPr>
          <w:spacing w:val="-83"/>
        </w:rPr>
        <w:t> </w:t>
      </w:r>
      <w:r>
        <w:rPr>
          <w:spacing w:val="-83"/>
        </w:rPr>
      </w:r>
      <w:r>
        <w:rPr/>
        <w:t>补未确认的亏损分担额后，恢复确认收益分享额。</w:t>
      </w:r>
    </w:p>
    <w:p>
      <w:pPr>
        <w:pStyle w:val="BodyText"/>
        <w:spacing w:line="273" w:lineRule="auto"/>
        <w:ind w:left="577" w:right="0"/>
        <w:jc w:val="left"/>
      </w:pPr>
      <w:r>
        <w:rPr/>
        <w:t>（</w:t>
      </w:r>
      <w:r>
        <w:rPr>
          <w:rFonts w:ascii="宋体" w:hAnsi="宋体" w:cs="宋体" w:eastAsia="宋体" w:hint="default"/>
        </w:rPr>
        <w:t>3</w:t>
      </w:r>
      <w:r>
        <w:rPr/>
        <w:t>）收购少数股权 </w:t>
      </w:r>
      <w:r>
        <w:rPr>
          <w:spacing w:val="-1"/>
        </w:rPr>
        <w:t>在编制合并财务报表时，因购买少数股权新增的长期股权投资与按照新增持股比例计算应享有子公司</w:t>
      </w:r>
    </w:p>
    <w:p>
      <w:pPr>
        <w:pStyle w:val="BodyText"/>
        <w:spacing w:line="273" w:lineRule="auto"/>
        <w:ind w:right="0"/>
        <w:jc w:val="left"/>
      </w:pPr>
      <w:r>
        <w:rPr>
          <w:spacing w:val="-1"/>
        </w:rPr>
        <w:t>自购买日（或合并日）开始持续计算的净资产份额之间的差额，调整资本公积，资本公积不足冲减的，调</w:t>
      </w:r>
      <w:r>
        <w:rPr>
          <w:spacing w:val="-83"/>
        </w:rPr>
        <w:t> </w:t>
      </w:r>
      <w:r>
        <w:rPr>
          <w:spacing w:val="-83"/>
        </w:rPr>
      </w:r>
      <w:r>
        <w:rPr/>
        <w:t>整留存收益。</w:t>
      </w:r>
    </w:p>
    <w:p>
      <w:pPr>
        <w:pStyle w:val="BodyText"/>
        <w:spacing w:line="273" w:lineRule="auto"/>
        <w:ind w:left="577" w:right="0"/>
        <w:jc w:val="left"/>
      </w:pPr>
      <w:r>
        <w:rPr/>
        <w:t>（</w:t>
      </w:r>
      <w:r>
        <w:rPr>
          <w:rFonts w:ascii="宋体" w:hAnsi="宋体" w:cs="宋体" w:eastAsia="宋体" w:hint="default"/>
        </w:rPr>
        <w:t>4</w:t>
      </w:r>
      <w:r>
        <w:rPr/>
        <w:t>）处置长期股权投资 </w:t>
      </w:r>
      <w:r>
        <w:rPr>
          <w:spacing w:val="-1"/>
        </w:rPr>
        <w:t>在合并财务报表中，母公司在不丧失控制权的情况下部分处置对子公司的长期股权投资，处置价款与</w:t>
      </w:r>
    </w:p>
    <w:p>
      <w:pPr>
        <w:pStyle w:val="BodyText"/>
        <w:spacing w:line="273" w:lineRule="auto"/>
        <w:ind w:right="0"/>
        <w:jc w:val="left"/>
      </w:pPr>
      <w:r>
        <w:rPr>
          <w:spacing w:val="-1"/>
        </w:rPr>
        <w:t>处置长期股权投资相对应享有子公司净资产的差额计入股东权益；母公司部分处置对子公司的长期股权投</w:t>
      </w:r>
      <w:r>
        <w:rPr>
          <w:spacing w:val="-81"/>
        </w:rPr>
        <w:t> </w:t>
      </w:r>
      <w:r>
        <w:rPr>
          <w:spacing w:val="-81"/>
        </w:rPr>
      </w:r>
      <w:r>
        <w:rPr/>
        <w:t>资导致丧失对子公司控制权的，按本附注“合并财务报表的编制方法”中所述的相关会计政策处理。</w:t>
      </w:r>
    </w:p>
    <w:p>
      <w:pPr>
        <w:pStyle w:val="BodyText"/>
        <w:spacing w:line="240" w:lineRule="auto"/>
        <w:ind w:left="577" w:right="0"/>
        <w:jc w:val="left"/>
      </w:pPr>
      <w:r>
        <w:rPr/>
        <w:t>其他情形下的长期股权投资处置，对于处置的股权，其账面价值与实际取得价款的差额，计入当期损</w:t>
      </w:r>
    </w:p>
    <w:p>
      <w:pPr>
        <w:pStyle w:val="BodyText"/>
        <w:spacing w:line="240" w:lineRule="auto" w:before="37"/>
        <w:ind w:right="0"/>
        <w:jc w:val="left"/>
      </w:pPr>
      <w:r>
        <w:rPr/>
        <w:t>益。</w:t>
      </w:r>
    </w:p>
    <w:p>
      <w:pPr>
        <w:pStyle w:val="BodyText"/>
        <w:spacing w:line="240" w:lineRule="auto" w:before="37"/>
        <w:ind w:left="577" w:right="0"/>
        <w:jc w:val="left"/>
      </w:pPr>
      <w:r>
        <w:rPr/>
        <w:t>采用权益法核算的长期股权投资，处置后的剩余股权仍采用权益法核算的，在处置时将原计入股东权</w:t>
      </w:r>
    </w:p>
    <w:p>
      <w:pPr>
        <w:pStyle w:val="BodyText"/>
        <w:spacing w:line="273" w:lineRule="auto" w:before="37"/>
        <w:ind w:left="154" w:right="1131"/>
        <w:jc w:val="both"/>
      </w:pPr>
      <w:r>
        <w:rPr>
          <w:spacing w:val="3"/>
        </w:rPr>
        <w:t>益的其他综合收益部分按相应的比例采用与被投资单位直接处置相关资产或负债相同的基础进行会计处</w:t>
      </w:r>
      <w:r>
        <w:rPr>
          <w:spacing w:val="-82"/>
        </w:rPr>
        <w:t> </w:t>
      </w:r>
      <w:r>
        <w:rPr>
          <w:spacing w:val="-82"/>
        </w:rPr>
      </w:r>
      <w:r>
        <w:rPr>
          <w:spacing w:val="-1"/>
        </w:rPr>
        <w:t>理。因被投资方除净损益、其他综合收益和利润分配以外的其他所有者权益变动而确认的所有者权益，按</w:t>
      </w:r>
      <w:r>
        <w:rPr>
          <w:spacing w:val="-83"/>
        </w:rPr>
        <w:t> </w:t>
      </w:r>
      <w:r>
        <w:rPr>
          <w:spacing w:val="-83"/>
        </w:rPr>
      </w:r>
      <w:r>
        <w:rPr/>
        <w:t>比例结转入当期损益。</w:t>
      </w:r>
    </w:p>
    <w:p>
      <w:pPr>
        <w:pStyle w:val="BodyText"/>
        <w:spacing w:line="273" w:lineRule="auto"/>
        <w:ind w:right="0" w:firstLine="423"/>
        <w:jc w:val="left"/>
      </w:pPr>
      <w:r>
        <w:rPr>
          <w:spacing w:val="-1"/>
        </w:rPr>
        <w:t>采用成本法核算的长期股权投资，处置后剩余股权仍采用成本法核算的，其在取得对被投资单位的控</w:t>
      </w:r>
      <w:r>
        <w:rPr/>
        <w:t> </w:t>
      </w:r>
      <w:r>
        <w:rPr>
          <w:spacing w:val="-1"/>
        </w:rPr>
        <w:t>制之前因采用权益法核算或金融工具确认和计量准则核算而确认的其他综合收益，采用与被投资单位直接</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置相关资产或负债相同的基础进行会计处理，并按比例结转当期损益；因采用权益法核算而确认的被投资</w:t>
      </w:r>
      <w:r>
        <w:rPr>
          <w:spacing w:val="-81"/>
        </w:rPr>
        <w:t> </w:t>
      </w:r>
      <w:r>
        <w:rPr>
          <w:spacing w:val="-81"/>
        </w:rPr>
      </w:r>
      <w:r>
        <w:rPr/>
        <w:t>单位净资产中除净损益、其他综合收益和利润分配以外的其他所有者权益变动按比例结转当期损益。</w:t>
      </w:r>
    </w:p>
    <w:p>
      <w:pPr>
        <w:pStyle w:val="BodyText"/>
        <w:spacing w:line="273" w:lineRule="auto"/>
        <w:ind w:right="1131" w:firstLine="423"/>
        <w:jc w:val="both"/>
      </w:pPr>
      <w:r>
        <w:rPr>
          <w:spacing w:val="-1"/>
        </w:rPr>
        <w:t>本公司因处置部分股权投资丧失了对被投资单位的控制的，在编制个别财务报表时，处置后的剩余股</w:t>
      </w:r>
      <w:r>
        <w:rPr/>
        <w:t> </w:t>
      </w:r>
      <w:r>
        <w:rPr>
          <w:spacing w:val="-1"/>
        </w:rPr>
        <w:t>权能够对被投资单位实施共同控制或施加重大影响的，改按权益法核算，并对该剩余股权视同自取得时即</w:t>
      </w:r>
      <w:r>
        <w:rPr>
          <w:spacing w:val="-81"/>
        </w:rPr>
        <w:t> </w:t>
      </w:r>
      <w:r>
        <w:rPr>
          <w:spacing w:val="-81"/>
        </w:rPr>
      </w:r>
      <w:r>
        <w:rPr>
          <w:spacing w:val="-1"/>
        </w:rPr>
        <w:t>采用权益法核算进行调整；处置后的剩余股权不能对被投资单位实施共同控制或施加重大影响的，改按金</w:t>
      </w:r>
      <w:r>
        <w:rPr>
          <w:spacing w:val="-81"/>
        </w:rPr>
        <w:t> </w:t>
      </w:r>
      <w:r>
        <w:rPr>
          <w:spacing w:val="-81"/>
        </w:rPr>
      </w:r>
      <w:r>
        <w:rPr>
          <w:spacing w:val="-1"/>
        </w:rPr>
        <w:t>融工具确认和计量准则的有关规定进行会计处理，其在丧失控制之日的公允价值与账面价值之间的差额计</w:t>
      </w:r>
      <w:r>
        <w:rPr>
          <w:spacing w:val="-81"/>
        </w:rPr>
        <w:t> </w:t>
      </w:r>
      <w:r>
        <w:rPr>
          <w:spacing w:val="-81"/>
        </w:rPr>
      </w:r>
      <w:r>
        <w:rPr>
          <w:spacing w:val="-1"/>
        </w:rPr>
        <w:t>入当期损益。对于本公司取得对被投资单位的控制之前，因采用权益法核算或金融工具确认和计量准则核</w:t>
      </w:r>
      <w:r>
        <w:rPr>
          <w:spacing w:val="-81"/>
        </w:rPr>
        <w:t> </w:t>
      </w:r>
      <w:r>
        <w:rPr>
          <w:spacing w:val="-81"/>
        </w:rPr>
      </w:r>
      <w:r>
        <w:rPr>
          <w:spacing w:val="-1"/>
        </w:rPr>
        <w:t>算而确认的其他综合收益，在丧失对被投资单位控制时采用与被投资单位直接处置相关资产或负债相同的</w:t>
      </w:r>
      <w:r>
        <w:rPr>
          <w:spacing w:val="-81"/>
        </w:rPr>
        <w:t> </w:t>
      </w:r>
      <w:r>
        <w:rPr>
          <w:spacing w:val="-81"/>
        </w:rPr>
      </w:r>
      <w:r>
        <w:rPr>
          <w:spacing w:val="-1"/>
        </w:rPr>
        <w:t>基础进行会计处理，因采用权益法核算而确认的被投资单位净资产中除净损益、其他综合收益和利润分配</w:t>
      </w:r>
      <w:r>
        <w:rPr>
          <w:spacing w:val="-81"/>
        </w:rPr>
        <w:t> </w:t>
      </w:r>
      <w:r>
        <w:rPr>
          <w:spacing w:val="-81"/>
        </w:rPr>
      </w:r>
      <w:r>
        <w:rPr>
          <w:spacing w:val="-1"/>
        </w:rPr>
        <w:t>以外的其他所有者权益变动在丧失对被投资单位控制时结转入当期损益。其中，处置后的剩余股权采用权</w:t>
      </w:r>
      <w:r>
        <w:rPr>
          <w:spacing w:val="-81"/>
        </w:rPr>
        <w:t> </w:t>
      </w:r>
      <w:r>
        <w:rPr>
          <w:spacing w:val="-81"/>
        </w:rPr>
      </w:r>
      <w:r>
        <w:rPr>
          <w:spacing w:val="-1"/>
        </w:rPr>
        <w:t>益法核算的，其他综合收益和其他所有者权益按比例结转；处置后的剩余股权改按金融工具确认和计量准</w:t>
      </w:r>
      <w:r>
        <w:rPr>
          <w:spacing w:val="-81"/>
        </w:rPr>
        <w:t> </w:t>
      </w:r>
      <w:r>
        <w:rPr>
          <w:spacing w:val="-81"/>
        </w:rPr>
      </w:r>
      <w:r>
        <w:rPr/>
        <w:t>则进行会计处理的，其他综合收益和其他所有者权益全部结转。</w:t>
      </w:r>
    </w:p>
    <w:p>
      <w:pPr>
        <w:pStyle w:val="BodyText"/>
        <w:spacing w:line="273" w:lineRule="auto"/>
        <w:ind w:right="1131" w:firstLine="423"/>
        <w:jc w:val="both"/>
      </w:pPr>
      <w:r>
        <w:rPr>
          <w:spacing w:val="-1"/>
        </w:rPr>
        <w:t>本公司因处置部分股权投资丧失了对被投资单位的共同控制或重大影响的，处置后的剩余股权改按金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外的其他所有者权益变动而确认的所有者权益，在终止采用权益法时全部转入当期投资收益。</w:t>
      </w:r>
    </w:p>
    <w:p>
      <w:pPr>
        <w:pStyle w:val="BodyText"/>
        <w:spacing w:line="273" w:lineRule="auto"/>
        <w:ind w:right="1105" w:firstLine="423"/>
        <w:jc w:val="both"/>
      </w:pPr>
      <w:r>
        <w:rPr/>
        <w:t>本公司通过多次交易分步处置对子公司股权投资直至丧失控制权，如果上述交易属于一揽子交易的， 将各项交易作为一项处置子公司股权投资并丧失控制权的交易进行会计处理，在丧失控制权之前每一次处 置价款与所处置的股权对应的长期股权投资账面价值之间的差额，先确认为其他综合收益，到丧失控制权 时再一并转入丧失控制权的当期损益。</w:t>
      </w:r>
    </w:p>
    <w:p>
      <w:pPr>
        <w:spacing w:line="240" w:lineRule="auto" w:before="8"/>
        <w:rPr>
          <w:rFonts w:ascii="宋体" w:hAnsi="宋体" w:cs="宋体" w:eastAsia="宋体" w:hint="default"/>
          <w:sz w:val="23"/>
          <w:szCs w:val="23"/>
        </w:rPr>
      </w:pPr>
    </w:p>
    <w:p>
      <w:pPr>
        <w:pStyle w:val="Heading3"/>
        <w:spacing w:line="240" w:lineRule="auto"/>
        <w:ind w:left="153" w:right="0"/>
        <w:jc w:val="left"/>
        <w:rPr>
          <w:b w:val="0"/>
          <w:bCs w:val="0"/>
        </w:rPr>
      </w:pPr>
      <w:bookmarkStart w:name="15、投资性房地产" w:id="192"/>
      <w:bookmarkEnd w:id="192"/>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 折旧或摊销方法</w:t>
      </w:r>
    </w:p>
    <w:p>
      <w:pPr>
        <w:pStyle w:val="BodyText"/>
        <w:spacing w:line="238" w:lineRule="exact" w:before="0"/>
        <w:ind w:left="577" w:right="0"/>
        <w:jc w:val="left"/>
      </w:pPr>
      <w:r>
        <w:rPr/>
        <w:t>（</w:t>
      </w:r>
      <w:r>
        <w:rPr>
          <w:rFonts w:ascii="宋体" w:hAnsi="宋体" w:cs="宋体" w:eastAsia="宋体" w:hint="default"/>
        </w:rPr>
        <w:t>1</w:t>
      </w:r>
      <w:r>
        <w:rPr/>
        <w:t>）投资性房地产的计量模式</w:t>
      </w:r>
    </w:p>
    <w:p>
      <w:pPr>
        <w:pStyle w:val="BodyText"/>
        <w:spacing w:line="273" w:lineRule="auto" w:before="37"/>
        <w:ind w:left="577" w:right="1014"/>
        <w:jc w:val="left"/>
      </w:pPr>
      <w:r>
        <w:rPr>
          <w:spacing w:val="-3"/>
        </w:rPr>
        <w:t>本公司投资性房地产包括：出租的土地使用权、出租的建筑物、持有并准备增值后转让的土地使用权。</w:t>
      </w:r>
      <w:r>
        <w:rPr>
          <w:spacing w:val="-102"/>
        </w:rPr>
        <w:t> </w:t>
      </w:r>
      <w:r>
        <w:rPr>
          <w:spacing w:val="-102"/>
        </w:rPr>
      </w:r>
      <w:r>
        <w:rPr/>
        <w:t>本公司采用成本模式对投资性房地产进行计量。</w:t>
      </w:r>
    </w:p>
    <w:p>
      <w:pPr>
        <w:pStyle w:val="BodyText"/>
        <w:spacing w:line="273" w:lineRule="auto"/>
        <w:ind w:left="577" w:right="0"/>
        <w:jc w:val="left"/>
      </w:pPr>
      <w:r>
        <w:rPr/>
        <w:t>（</w:t>
      </w:r>
      <w:r>
        <w:rPr>
          <w:rFonts w:ascii="宋体" w:hAnsi="宋体" w:cs="宋体" w:eastAsia="宋体" w:hint="default"/>
        </w:rPr>
        <w:t>2</w:t>
      </w:r>
      <w:r>
        <w:rPr/>
        <w:t>）采用成本模式的折旧或摊销方法 </w:t>
      </w:r>
      <w:r>
        <w:rPr>
          <w:spacing w:val="-1"/>
        </w:rPr>
        <w:t>本公司投资性房地产中出租的建筑物采用年限平均法计提折旧，其折旧政策与固定资产部分相同。投</w:t>
      </w:r>
    </w:p>
    <w:p>
      <w:pPr>
        <w:pStyle w:val="BodyText"/>
        <w:spacing w:line="273" w:lineRule="auto"/>
        <w:ind w:right="0"/>
        <w:jc w:val="left"/>
      </w:pPr>
      <w:r>
        <w:rPr>
          <w:spacing w:val="-1"/>
        </w:rPr>
        <w:t>资性房地产中出租的土地使用权、持有并准备增值后转让的土地使用权采用直线法摊销，具体核算政策与</w:t>
      </w:r>
      <w:r>
        <w:rPr>
          <w:spacing w:val="-81"/>
        </w:rPr>
        <w:t> </w:t>
      </w:r>
      <w:r>
        <w:rPr>
          <w:spacing w:val="-81"/>
        </w:rPr>
      </w:r>
      <w:r>
        <w:rPr/>
        <w:t>无形资产部分相同。</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16、固定资产" w:id="193"/>
      <w:bookmarkEnd w:id="193"/>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94"/>
      <w:bookmarkEnd w:id="194"/>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4"/>
          <w:szCs w:val="24"/>
        </w:rPr>
      </w:pPr>
    </w:p>
    <w:p>
      <w:pPr>
        <w:pStyle w:val="BodyText"/>
        <w:spacing w:line="266" w:lineRule="auto" w:before="0"/>
        <w:ind w:right="1132"/>
        <w:jc w:val="both"/>
      </w:pPr>
      <w:r>
        <w:rPr>
          <w:spacing w:val="-1"/>
        </w:rPr>
        <w:t>为生产商品、提供劳务、出租或经营管理而持有的、使用寿命超过一个会计年度的有形资产。固定资产同</w:t>
      </w:r>
      <w:r>
        <w:rPr>
          <w:spacing w:val="-86"/>
        </w:rPr>
        <w:t> </w:t>
      </w:r>
      <w:r>
        <w:rPr>
          <w:spacing w:val="-86"/>
        </w:rPr>
      </w:r>
      <w:r>
        <w:rPr>
          <w:spacing w:val="-5"/>
        </w:rPr>
        <w:t>时满足下列条件的，才能予以确认：（</w:t>
      </w:r>
      <w:r>
        <w:rPr>
          <w:rFonts w:ascii="Times New Roman" w:hAnsi="Times New Roman" w:cs="Times New Roman" w:eastAsia="Times New Roman" w:hint="default"/>
          <w:spacing w:val="-5"/>
        </w:rPr>
        <w:t>1</w:t>
      </w:r>
      <w:r>
        <w:rPr>
          <w:spacing w:val="-5"/>
        </w:rPr>
        <w:t>）与该固定资产有关的经济利益很可能流入企业；（</w:t>
      </w:r>
      <w:r>
        <w:rPr>
          <w:rFonts w:ascii="Times New Roman" w:hAnsi="Times New Roman" w:cs="Times New Roman" w:eastAsia="Times New Roman" w:hint="default"/>
          <w:spacing w:val="-5"/>
        </w:rPr>
        <w:t>2</w:t>
      </w:r>
      <w:r>
        <w:rPr>
          <w:spacing w:val="-5"/>
        </w:rPr>
        <w:t>）该固定资产</w:t>
      </w:r>
      <w:r>
        <w:rPr>
          <w:spacing w:val="-101"/>
        </w:rPr>
        <w:t> </w:t>
      </w:r>
      <w:r>
        <w:rPr>
          <w:spacing w:val="-101"/>
        </w:rPr>
      </w:r>
      <w:r>
        <w:rPr/>
        <w:t>的成本能够可靠地计量。</w:t>
      </w:r>
    </w:p>
    <w:p>
      <w:pPr>
        <w:spacing w:after="0" w:line="266"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折旧方法" w:id="195"/>
      <w:bookmarkEnd w:id="195"/>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节能专用设备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主要受益期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融资租入固定资产的认定依据、计价和折旧方法" w:id="196"/>
      <w:bookmarkEnd w:id="196"/>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4" w:right="1131"/>
        <w:jc w:val="both"/>
      </w:pPr>
      <w:r>
        <w:rPr>
          <w:spacing w:val="-1"/>
        </w:rPr>
        <w:t>如果与某项租入固定资产有关的全部风险和报酬实质上已经转移，本公司认定为融资租赁。融资租入固定</w:t>
      </w:r>
      <w:r>
        <w:rPr>
          <w:spacing w:val="-81"/>
        </w:rPr>
        <w:t> </w:t>
      </w:r>
      <w:r>
        <w:rPr>
          <w:spacing w:val="-81"/>
        </w:rPr>
      </w:r>
      <w:r>
        <w:rPr>
          <w:spacing w:val="-1"/>
        </w:rPr>
        <w:t>资产需按租赁开始日租赁资产的公允价值与最低租赁付款额现值两者中的较低者，加上可直接归属于租赁</w:t>
      </w:r>
      <w:r>
        <w:rPr>
          <w:spacing w:val="-81"/>
        </w:rPr>
        <w:t> </w:t>
      </w:r>
      <w:r>
        <w:rPr>
          <w:spacing w:val="-81"/>
        </w:rPr>
      </w:r>
      <w:r>
        <w:rPr>
          <w:spacing w:val="-1"/>
        </w:rPr>
        <w:t>项目的初始直接费用，作为租入资产的入账价值，将最低租赁付款额作为长期应付款的入账价值，其差额</w:t>
      </w:r>
      <w:r>
        <w:rPr>
          <w:spacing w:val="-82"/>
        </w:rPr>
        <w:t> </w:t>
      </w:r>
      <w:r>
        <w:rPr>
          <w:spacing w:val="-82"/>
        </w:rPr>
      </w:r>
      <w:r>
        <w:rPr>
          <w:spacing w:val="-1"/>
        </w:rPr>
        <w:t>作为未确认融资费用。未确认融资费用采用实际利率法在租赁期内分摊。租入固定资产按租赁期和估计净</w:t>
      </w:r>
      <w:r>
        <w:rPr>
          <w:spacing w:val="-81"/>
        </w:rPr>
        <w:t> </w:t>
      </w:r>
      <w:r>
        <w:rPr>
          <w:spacing w:val="-81"/>
        </w:rPr>
      </w:r>
      <w:r>
        <w:rPr/>
        <w:t>残值确定折旧率，计提折旧。</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17、在建工程" w:id="197"/>
      <w:bookmarkEnd w:id="197"/>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68" w:lineRule="auto" w:before="1"/>
        <w:ind w:right="0"/>
        <w:jc w:val="left"/>
      </w:pPr>
      <w:r>
        <w:rPr>
          <w:rFonts w:ascii="Times New Roman" w:hAnsi="Times New Roman" w:cs="Times New Roman" w:eastAsia="Times New Roman" w:hint="default"/>
        </w:rPr>
        <w:t>1</w:t>
      </w:r>
      <w:r>
        <w:rPr/>
        <w:t>、在建工程的核算方法 </w:t>
      </w:r>
      <w:r>
        <w:rPr>
          <w:spacing w:val="-1"/>
        </w:rPr>
        <w:t>在建工程包括施工前期准备、正在施工中的建筑工程、安装工程、技术改造工程和大修理工程等。在建工</w:t>
      </w:r>
      <w:r>
        <w:rPr>
          <w:spacing w:val="-86"/>
        </w:rPr>
        <w:t> </w:t>
      </w:r>
      <w:r>
        <w:rPr>
          <w:spacing w:val="-86"/>
        </w:rPr>
      </w:r>
      <w:r>
        <w:rPr>
          <w:spacing w:val="-1"/>
        </w:rPr>
        <w:t>程按照实际发生的支出分项目核算，并在工程达到预定可使用状态时结转为固定资产。与在建工程有关的</w:t>
      </w:r>
      <w:r>
        <w:rPr>
          <w:spacing w:val="-81"/>
        </w:rPr>
        <w:t> </w:t>
      </w:r>
      <w:r>
        <w:rPr>
          <w:spacing w:val="-81"/>
        </w:rPr>
      </w:r>
      <w:r>
        <w:rPr>
          <w:spacing w:val="-1"/>
        </w:rPr>
        <w:t>借款费用（包括借款利息、溢折价摊销、汇兑损益等），在相关工程达到预定可使用状态前的计入工程成</w:t>
      </w:r>
      <w:r>
        <w:rPr>
          <w:spacing w:val="-82"/>
        </w:rPr>
        <w:t> </w:t>
      </w:r>
      <w:r>
        <w:rPr>
          <w:spacing w:val="-82"/>
        </w:rPr>
      </w:r>
      <w:r>
        <w:rPr/>
        <w:t>本，在相关工程达到预定可使用状态后的计入当期财务费用。</w:t>
      </w:r>
    </w:p>
    <w:p>
      <w:pPr>
        <w:pStyle w:val="BodyText"/>
        <w:spacing w:line="264" w:lineRule="auto" w:before="12"/>
        <w:ind w:right="0"/>
        <w:jc w:val="left"/>
      </w:pPr>
      <w:r>
        <w:rPr>
          <w:rFonts w:ascii="Times New Roman" w:hAnsi="Times New Roman" w:cs="Times New Roman" w:eastAsia="Times New Roman" w:hint="default"/>
        </w:rPr>
        <w:t>2</w:t>
      </w:r>
      <w:r>
        <w:rPr/>
        <w:t>、在建工程减值准备 资产负债表日对在建工程进行全面检查，判断在建工程是否存在可能发生减值的迹象。如果存在：（</w:t>
      </w:r>
      <w:r>
        <w:rPr>
          <w:rFonts w:ascii="Times New Roman" w:hAnsi="Times New Roman" w:cs="Times New Roman" w:eastAsia="Times New Roman" w:hint="default"/>
        </w:rPr>
        <w:t>1</w:t>
      </w:r>
      <w:r>
        <w:rPr/>
        <w:t>） </w:t>
      </w:r>
      <w:r>
        <w:rPr>
          <w:spacing w:val="-1"/>
        </w:rPr>
        <w:t>在建工程长期停建并且预计在未来</w:t>
      </w:r>
      <w:r>
        <w:rPr>
          <w:rFonts w:ascii="Times New Roman" w:hAnsi="Times New Roman" w:cs="Times New Roman" w:eastAsia="Times New Roman" w:hint="default"/>
          <w:spacing w:val="-1"/>
        </w:rPr>
        <w:t>3</w:t>
      </w:r>
      <w:r>
        <w:rPr>
          <w:spacing w:val="-1"/>
        </w:rPr>
        <w:t>年内不会重新开工；</w:t>
      </w:r>
      <w:r>
        <w:rPr>
          <w:rFonts w:ascii="Times New Roman" w:hAnsi="Times New Roman" w:cs="Times New Roman" w:eastAsia="Times New Roman" w:hint="default"/>
          <w:spacing w:val="-1"/>
        </w:rPr>
        <w:t>2</w:t>
      </w:r>
      <w:r>
        <w:rPr>
          <w:spacing w:val="-1"/>
        </w:rPr>
        <w:t>）所建项目在性能上、技术上已经落后并且所带</w:t>
      </w:r>
      <w:r>
        <w:rPr>
          <w:spacing w:val="-83"/>
        </w:rPr>
        <w:t> </w:t>
      </w:r>
      <w:r>
        <w:rPr>
          <w:spacing w:val="-83"/>
        </w:rPr>
      </w:r>
      <w:r>
        <w:rPr>
          <w:spacing w:val="-1"/>
        </w:rPr>
        <w:t>来的经济效益具有很大的不确定性等减值迹象的，则估计其可收回金额。可收回金额的计量结果表明，在</w:t>
      </w:r>
      <w:r>
        <w:rPr>
          <w:spacing w:val="-83"/>
        </w:rPr>
        <w:t> </w:t>
      </w:r>
      <w:r>
        <w:rPr>
          <w:spacing w:val="-83"/>
        </w:rPr>
      </w:r>
      <w:r>
        <w:rPr>
          <w:spacing w:val="-1"/>
        </w:rPr>
        <w:t>建工程的可收回金额低于其账面价值的，将在建工程的账面价值减记至可收回金额，减记的金额确认为资</w:t>
      </w:r>
      <w:r>
        <w:rPr>
          <w:spacing w:val="-81"/>
        </w:rPr>
        <w:t> </w:t>
      </w:r>
      <w:r>
        <w:rPr>
          <w:spacing w:val="-81"/>
        </w:rPr>
      </w:r>
      <w:r>
        <w:rPr>
          <w:spacing w:val="-1"/>
        </w:rPr>
        <w:t>产减值损失，计入当期损益，同时计提相应的在建工程减值准备。在建工程减值损失一经确认，在以后会</w:t>
      </w:r>
      <w:r>
        <w:rPr>
          <w:spacing w:val="-85"/>
        </w:rPr>
        <w:t> </w:t>
      </w:r>
      <w:r>
        <w:rPr>
          <w:spacing w:val="-85"/>
        </w:rPr>
      </w:r>
      <w:r>
        <w:rPr/>
        <w:t>计期间不再转回。</w:t>
      </w:r>
    </w:p>
    <w:p>
      <w:pPr>
        <w:spacing w:line="240" w:lineRule="auto" w:before="3"/>
        <w:rPr>
          <w:rFonts w:ascii="宋体" w:hAnsi="宋体" w:cs="宋体" w:eastAsia="宋体" w:hint="default"/>
          <w:sz w:val="24"/>
          <w:szCs w:val="24"/>
        </w:rPr>
      </w:pPr>
    </w:p>
    <w:p>
      <w:pPr>
        <w:pStyle w:val="Heading3"/>
        <w:spacing w:line="240" w:lineRule="auto"/>
        <w:ind w:left="153" w:right="0"/>
        <w:jc w:val="left"/>
        <w:rPr>
          <w:b w:val="0"/>
          <w:bCs w:val="0"/>
        </w:rPr>
      </w:pPr>
      <w:bookmarkStart w:name="18、借款费用" w:id="198"/>
      <w:bookmarkEnd w:id="198"/>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BodyText"/>
        <w:spacing w:line="264" w:lineRule="auto" w:before="0"/>
        <w:ind w:right="0"/>
        <w:jc w:val="left"/>
      </w:pPr>
      <w:r>
        <w:rPr/>
        <w:t>（</w:t>
      </w:r>
      <w:r>
        <w:rPr>
          <w:rFonts w:ascii="Times New Roman" w:hAnsi="Times New Roman" w:cs="Times New Roman" w:eastAsia="Times New Roman" w:hint="default"/>
        </w:rPr>
        <w:t>1</w:t>
      </w:r>
      <w:r>
        <w:rPr/>
        <w:t>）借款费用资本化的确认原则 </w:t>
      </w:r>
      <w:r>
        <w:rPr>
          <w:spacing w:val="-1"/>
        </w:rPr>
        <w:t>企业发生的借款费用，可直接归属于符合资本化条件的资产的购建或者生产的，予以资本化，计入相关资</w:t>
      </w:r>
      <w:r>
        <w:rPr>
          <w:spacing w:val="-83"/>
        </w:rPr>
        <w:t> </w:t>
      </w:r>
      <w:r>
        <w:rPr>
          <w:spacing w:val="-83"/>
        </w:rPr>
      </w:r>
      <w:r>
        <w:rPr>
          <w:spacing w:val="-1"/>
        </w:rPr>
        <w:t>产成本；其他借款费用，在发生时根据其发生额确认为费用，计入当期损益。借款费用同时满足下列条件</w:t>
      </w:r>
      <w:r>
        <w:rPr>
          <w:spacing w:val="-86"/>
        </w:rPr>
        <w:t> </w:t>
      </w:r>
      <w:r>
        <w:rPr>
          <w:spacing w:val="-86"/>
        </w:rPr>
      </w:r>
      <w:r>
        <w:rPr/>
        <w:t>的，开始资本化：（</w:t>
      </w:r>
      <w:r>
        <w:rPr>
          <w:rFonts w:ascii="Times New Roman" w:hAnsi="Times New Roman" w:cs="Times New Roman" w:eastAsia="Times New Roman" w:hint="default"/>
        </w:rPr>
        <w:t>1</w:t>
      </w:r>
      <w:r>
        <w:rPr/>
        <w:t>）资产支出已经发生，资产支出包括为购建或者生产符合资本化条件的资产而以支 </w:t>
      </w:r>
      <w:r>
        <w:rPr>
          <w:spacing w:val="-1"/>
        </w:rPr>
        <w:t>付现金、转移非现金资产或者承担带息债务形式发生的支出；（</w:t>
      </w:r>
      <w:r>
        <w:rPr>
          <w:rFonts w:ascii="Times New Roman" w:hAnsi="Times New Roman" w:cs="Times New Roman" w:eastAsia="Times New Roman" w:hint="default"/>
          <w:spacing w:val="-1"/>
        </w:rPr>
        <w:t>2</w:t>
      </w:r>
      <w:r>
        <w:rPr>
          <w:spacing w:val="-1"/>
        </w:rPr>
        <w:t>）借款费用已经发生；（</w:t>
      </w:r>
      <w:r>
        <w:rPr>
          <w:rFonts w:ascii="Times New Roman" w:hAnsi="Times New Roman" w:cs="Times New Roman" w:eastAsia="Times New Roman" w:hint="default"/>
          <w:spacing w:val="-1"/>
        </w:rPr>
        <w:t>3</w:t>
      </w:r>
      <w:r>
        <w:rPr>
          <w:spacing w:val="-1"/>
        </w:rPr>
        <w:t>）为使资产达</w:t>
      </w:r>
      <w:r>
        <w:rPr>
          <w:spacing w:val="-84"/>
        </w:rPr>
        <w:t> </w:t>
      </w:r>
      <w:r>
        <w:rPr>
          <w:spacing w:val="-84"/>
        </w:rPr>
      </w:r>
      <w:r>
        <w:rPr/>
        <w:t>到预定可使用或者可销售状态所必要的购建或者生产活动已经开始。</w:t>
      </w:r>
    </w:p>
    <w:p>
      <w:pPr>
        <w:pStyle w:val="BodyText"/>
        <w:spacing w:line="256" w:lineRule="auto" w:before="16"/>
        <w:ind w:left="154" w:right="0"/>
        <w:jc w:val="left"/>
      </w:pPr>
      <w:r>
        <w:rPr/>
        <w:t>（</w:t>
      </w:r>
      <w:r>
        <w:rPr>
          <w:rFonts w:ascii="Times New Roman" w:hAnsi="Times New Roman" w:cs="Times New Roman" w:eastAsia="Times New Roman" w:hint="default"/>
        </w:rPr>
        <w:t>2</w:t>
      </w:r>
      <w:r>
        <w:rPr/>
        <w:t>）借款费用资本化期间 </w:t>
      </w:r>
      <w:r>
        <w:rPr>
          <w:spacing w:val="-1"/>
        </w:rPr>
        <w:t>资本化期间，指从借款费用开始资本化时点到停止资本化时点的期间，借款费用暂停资本化的期间不包括</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10"/>
        <w:jc w:val="both"/>
      </w:pPr>
      <w:r>
        <w:rPr/>
        <w:t>在内。当购建或者生产符合资本化条件的资产达到预定可使用或者可销售状态时，借款费用停止资本化。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当购建或者生产符合资本化条件的资产中部分项目分别完工且可单独使用时，该部分资产借款费用停止资</w:t>
      </w:r>
      <w:r>
        <w:rPr>
          <w:spacing w:val="-81"/>
        </w:rPr>
        <w:t> </w:t>
      </w:r>
      <w:r>
        <w:rPr>
          <w:spacing w:val="-81"/>
        </w:rPr>
      </w:r>
      <w:r>
        <w:rPr>
          <w:spacing w:val="-1"/>
        </w:rPr>
        <w:t>本化。购建或者生产的资产的各部分分别完工，但必须等到整体完工后才可使用或可对外销售的，在该资</w:t>
      </w:r>
      <w:r>
        <w:rPr>
          <w:spacing w:val="-83"/>
        </w:rPr>
        <w:t> </w:t>
      </w:r>
      <w:r>
        <w:rPr>
          <w:spacing w:val="-83"/>
        </w:rPr>
      </w:r>
      <w:r>
        <w:rPr/>
        <w:t>产整体完工时停止借款费用资本化。</w:t>
      </w:r>
    </w:p>
    <w:p>
      <w:pPr>
        <w:pStyle w:val="BodyText"/>
        <w:spacing w:line="264" w:lineRule="auto" w:before="8"/>
        <w:ind w:right="0"/>
        <w:jc w:val="left"/>
      </w:pPr>
      <w:r>
        <w:rPr/>
        <w:t>（</w:t>
      </w:r>
      <w:r>
        <w:rPr>
          <w:rFonts w:ascii="Times New Roman" w:hAnsi="Times New Roman" w:cs="Times New Roman" w:eastAsia="Times New Roman" w:hint="default"/>
        </w:rPr>
        <w:t>3</w:t>
      </w:r>
      <w:r>
        <w:rPr/>
        <w:t>）暂停资本化期间 符合资本化条件的资产在购建或生产过程中发生的非正常中断、且中断时间连续超过</w:t>
      </w:r>
      <w:r>
        <w:rPr>
          <w:rFonts w:ascii="Times New Roman" w:hAnsi="Times New Roman" w:cs="Times New Roman" w:eastAsia="Times New Roman" w:hint="default"/>
        </w:rPr>
        <w:t>3</w:t>
      </w:r>
      <w:r>
        <w:rPr/>
        <w:t>个月的，则借款费 </w:t>
      </w:r>
      <w:r>
        <w:rPr>
          <w:spacing w:val="-1"/>
        </w:rPr>
        <w:t>用暂停资本化；该项中断如是所购建或生产的符合资本化条件的资产达到预定可使用状态或者可销售状态</w:t>
      </w:r>
      <w:r>
        <w:rPr>
          <w:spacing w:val="-81"/>
        </w:rPr>
        <w:t> </w:t>
      </w:r>
      <w:r>
        <w:rPr>
          <w:spacing w:val="-81"/>
        </w:rPr>
      </w:r>
      <w:r>
        <w:rPr>
          <w:spacing w:val="-1"/>
        </w:rPr>
        <w:t>必要的程序，则借款费用继续资本化。在中断期间发生的借款费用确认为当期损益，直至资产的购建或者</w:t>
      </w:r>
      <w:r>
        <w:rPr>
          <w:spacing w:val="-83"/>
        </w:rPr>
        <w:t> </w:t>
      </w:r>
      <w:r>
        <w:rPr>
          <w:spacing w:val="-83"/>
        </w:rPr>
      </w:r>
      <w:r>
        <w:rPr/>
        <w:t>生产活动重新开始后借款费用继续资本化。</w:t>
      </w:r>
    </w:p>
    <w:p>
      <w:pPr>
        <w:pStyle w:val="BodyText"/>
        <w:spacing w:line="271" w:lineRule="auto" w:before="16"/>
        <w:ind w:right="1024"/>
        <w:jc w:val="left"/>
      </w:pPr>
      <w:r>
        <w:rPr/>
        <w:t>（</w:t>
      </w:r>
      <w:r>
        <w:rPr>
          <w:rFonts w:ascii="Times New Roman" w:hAnsi="Times New Roman" w:cs="Times New Roman" w:eastAsia="Times New Roman" w:hint="default"/>
        </w:rPr>
        <w:t>4</w:t>
      </w:r>
      <w:r>
        <w:rPr/>
        <w:t>）借款费用资本化金额的计算方法 专门借款的利息费用（扣除尚未动用的借款资金存入银行取得的利息收入或者进行暂时性投资取得的投资 收益）及其辅助费用在所购建或者生产的符合资本化条件的资产达到预定可使用或者可销售状态前，予以 资本化。 根据累计资产支出超过专门借款部分的资产支出加权平均数乘以所占用一般借款的资本化率，计算确定一 </w:t>
      </w:r>
      <w:r>
        <w:rPr>
          <w:spacing w:val="-3"/>
        </w:rPr>
        <w:t>般借款应予资本化的利息金额。资本化率根据一般借款加权平均利率计算确定。借款存在折价或者溢价的，</w:t>
      </w:r>
      <w:r>
        <w:rPr>
          <w:spacing w:val="-92"/>
        </w:rPr>
        <w:t> </w:t>
      </w:r>
      <w:r>
        <w:rPr>
          <w:spacing w:val="-92"/>
        </w:rPr>
      </w:r>
      <w:r>
        <w:rPr/>
        <w:t>按照实际利率法确定每一会计期间应摊销的折价或者溢价金额，调整每期利息金额。</w:t>
      </w:r>
    </w:p>
    <w:p>
      <w:pPr>
        <w:spacing w:line="240" w:lineRule="auto" w:before="10"/>
        <w:rPr>
          <w:rFonts w:ascii="宋体" w:hAnsi="宋体" w:cs="宋体" w:eastAsia="宋体" w:hint="default"/>
          <w:sz w:val="23"/>
          <w:szCs w:val="23"/>
        </w:rPr>
      </w:pPr>
    </w:p>
    <w:p>
      <w:pPr>
        <w:pStyle w:val="Heading3"/>
        <w:spacing w:line="240" w:lineRule="auto"/>
        <w:ind w:left="153" w:right="0"/>
        <w:jc w:val="left"/>
        <w:rPr>
          <w:b w:val="0"/>
          <w:bCs w:val="0"/>
        </w:rPr>
      </w:pPr>
      <w:bookmarkStart w:name="19、生物资产" w:id="199"/>
      <w:bookmarkEnd w:id="199"/>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0、油气资产" w:id="200"/>
      <w:bookmarkEnd w:id="200"/>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1、无形资产" w:id="201"/>
      <w:bookmarkEnd w:id="201"/>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202"/>
      <w:bookmarkEnd w:id="202"/>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4" w:right="3402"/>
        <w:jc w:val="left"/>
      </w:pPr>
      <w:r>
        <w:rPr/>
        <w:t>（</w:t>
      </w:r>
      <w:r>
        <w:rPr>
          <w:rFonts w:ascii="Times New Roman" w:hAnsi="Times New Roman" w:cs="Times New Roman" w:eastAsia="Times New Roman" w:hint="default"/>
        </w:rPr>
        <w:t>1</w:t>
      </w:r>
      <w:r>
        <w:rPr/>
        <w:t>）无形资产 无形资产是指本公司拥有或者控制的没有实物形态的可辨认非货币性资产。</w:t>
      </w:r>
    </w:p>
    <w:p>
      <w:pPr>
        <w:pStyle w:val="BodyText"/>
        <w:spacing w:line="273" w:lineRule="auto" w:before="22"/>
        <w:ind w:right="1131" w:firstLine="420"/>
        <w:jc w:val="both"/>
      </w:pPr>
      <w:r>
        <w:rPr>
          <w:spacing w:val="-1"/>
        </w:rPr>
        <w:t>无形资产按成本进行初始计量。与无形资产有关的支出，如果相关的经济利益很可能流入本公司且其</w:t>
      </w:r>
      <w:r>
        <w:rPr/>
        <w:t> 成本能可靠地计量，则计入无形资产成本。除此以外的其他项目的支出，在发生时计入当期损益。</w:t>
      </w:r>
    </w:p>
    <w:p>
      <w:pPr>
        <w:pStyle w:val="BodyText"/>
        <w:spacing w:line="273" w:lineRule="auto"/>
        <w:ind w:right="1131" w:firstLine="420"/>
        <w:jc w:val="both"/>
      </w:pPr>
      <w:r>
        <w:rPr>
          <w:spacing w:val="-1"/>
        </w:rPr>
        <w:t>取得的土地使用权通常作为无形资产核算。自行开发建造厂房等建筑物，相关的土地使用权支出和建</w:t>
      </w:r>
      <w:r>
        <w:rPr/>
        <w:t> </w:t>
      </w:r>
      <w:r>
        <w:rPr>
          <w:spacing w:val="-1"/>
        </w:rPr>
        <w:t>筑物建造成本则分别作为无形资产和固定资产核算。如为外购的房屋及建筑物，则将有关价款在土地使用</w:t>
      </w:r>
      <w:r>
        <w:rPr>
          <w:spacing w:val="-81"/>
        </w:rPr>
        <w:t> </w:t>
      </w:r>
      <w:r>
        <w:rPr>
          <w:spacing w:val="-81"/>
        </w:rPr>
      </w:r>
      <w:r>
        <w:rPr/>
        <w:t>权和建筑物之间进行分配，难以合理分配的，全部作为固定资产处理。</w:t>
      </w:r>
    </w:p>
    <w:p>
      <w:pPr>
        <w:pStyle w:val="BodyText"/>
        <w:spacing w:line="273" w:lineRule="auto"/>
        <w:ind w:right="1110" w:firstLine="420"/>
        <w:jc w:val="both"/>
      </w:pPr>
      <w:r>
        <w:rPr/>
        <w:t>使用寿命有限的无形资产自可供使用时起，对其原值在其预计使用寿命内采用直线法分期平均摊销。 使用寿命不确定的无形资产不予摊销。</w:t>
      </w:r>
    </w:p>
    <w:p>
      <w:pPr>
        <w:pStyle w:val="BodyText"/>
        <w:spacing w:line="240" w:lineRule="auto"/>
        <w:ind w:left="573" w:right="0"/>
        <w:jc w:val="left"/>
      </w:pPr>
      <w:r>
        <w:rPr/>
        <w:t>各项无形资产的使用寿命如下：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610"/>
        <w:gridCol w:w="4610"/>
      </w:tblGrid>
      <w:tr>
        <w:trPr>
          <w:trHeight w:val="347" w:hRule="exact"/>
        </w:trPr>
        <w:tc>
          <w:tcPr>
            <w:tcW w:w="4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使用寿命（年）</w:t>
            </w:r>
          </w:p>
        </w:tc>
      </w:tr>
      <w:tr>
        <w:trPr>
          <w:trHeight w:val="348" w:hRule="exact"/>
        </w:trPr>
        <w:tc>
          <w:tcPr>
            <w:tcW w:w="4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4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50</w:t>
            </w:r>
          </w:p>
        </w:tc>
      </w:tr>
      <w:tr>
        <w:trPr>
          <w:trHeight w:val="347" w:hRule="exact"/>
        </w:trPr>
        <w:tc>
          <w:tcPr>
            <w:tcW w:w="4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4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w:t>
            </w:r>
          </w:p>
        </w:tc>
      </w:tr>
      <w:tr>
        <w:trPr>
          <w:trHeight w:val="347" w:hRule="exact"/>
        </w:trPr>
        <w:tc>
          <w:tcPr>
            <w:tcW w:w="4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4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r>
      <w:tr>
        <w:trPr>
          <w:trHeight w:val="348" w:hRule="exact"/>
        </w:trPr>
        <w:tc>
          <w:tcPr>
            <w:tcW w:w="4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4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610"/>
        <w:gridCol w:w="4610"/>
      </w:tblGrid>
      <w:tr>
        <w:trPr>
          <w:trHeight w:val="335" w:hRule="exact"/>
        </w:trPr>
        <w:tc>
          <w:tcPr>
            <w:tcW w:w="4610" w:type="dxa"/>
            <w:tcBorders>
              <w:top w:val="nil" w:sz="6" w:space="0" w:color="auto"/>
              <w:left w:val="nil" w:sz="6" w:space="0" w:color="auto"/>
              <w:bottom w:val="single" w:sz="6" w:space="0" w:color="000000"/>
              <w:right w:val="nil" w:sz="6" w:space="0" w:color="auto"/>
            </w:tcBorders>
          </w:tcPr>
          <w:p>
            <w:pPr/>
          </w:p>
        </w:tc>
        <w:tc>
          <w:tcPr>
            <w:tcW w:w="4610" w:type="dxa"/>
            <w:tcBorders>
              <w:top w:val="nil" w:sz="6" w:space="0" w:color="auto"/>
              <w:left w:val="nil" w:sz="6" w:space="0" w:color="auto"/>
              <w:bottom w:val="single" w:sz="6" w:space="0" w:color="000000"/>
              <w:right w:val="nil" w:sz="6" w:space="0" w:color="auto"/>
            </w:tcBorders>
          </w:tcPr>
          <w:p>
            <w:pPr/>
          </w:p>
        </w:tc>
      </w:tr>
      <w:tr>
        <w:trPr>
          <w:trHeight w:val="348" w:hRule="exact"/>
        </w:trPr>
        <w:tc>
          <w:tcPr>
            <w:tcW w:w="4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PPP</w:t>
            </w:r>
            <w:r>
              <w:rPr>
                <w:rFonts w:ascii="宋体" w:hAnsi="宋体" w:cs="宋体" w:eastAsia="宋体" w:hint="default"/>
                <w:sz w:val="18"/>
                <w:szCs w:val="18"/>
              </w:rPr>
              <w:t>项目收益权</w:t>
            </w:r>
          </w:p>
        </w:tc>
        <w:tc>
          <w:tcPr>
            <w:tcW w:w="4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合同约定受益期</w:t>
            </w:r>
          </w:p>
        </w:tc>
      </w:tr>
    </w:tbl>
    <w:p>
      <w:pPr>
        <w:pStyle w:val="BodyText"/>
        <w:spacing w:line="260" w:lineRule="exact" w:before="0"/>
        <w:ind w:left="154" w:right="0" w:firstLine="420"/>
        <w:jc w:val="left"/>
      </w:pPr>
      <w:r>
        <w:rPr/>
        <w:pict>
          <v:group style="position:absolute;margin-left:55.200001pt;margin-top:-34.5pt;width:485pt;height:.1pt;mso-position-horizontal-relative:page;mso-position-vertical-relative:paragraph;z-index:-1030192" coordorigin="1104,-690" coordsize="9700,2">
            <v:shape style="position:absolute;left:1104;top:-690;width:9700;height:2" coordorigin="1104,-690" coordsize="9700,0" path="m1104,-690l10804,-690e" filled="false" stroked="true" strokeweight=".72pt" strokecolor="#000000">
              <v:path arrowok="t"/>
            </v:shape>
            <w10:wrap type="none"/>
          </v:group>
        </w:pict>
      </w:r>
      <w:r>
        <w:rPr/>
        <w:t>期末，对使用寿命有限的无形资产的使用寿命和摊销方法进行复核，如发生变更则作为会计估计变更</w:t>
      </w:r>
    </w:p>
    <w:p>
      <w:pPr>
        <w:pStyle w:val="BodyText"/>
        <w:spacing w:line="273" w:lineRule="auto" w:before="37"/>
        <w:ind w:left="154" w:right="1092"/>
        <w:jc w:val="left"/>
      </w:pPr>
      <w:r>
        <w:rPr>
          <w:spacing w:val="-1"/>
        </w:rPr>
        <w:t>处理。此外，还对使用寿命不确定的无形资产的使用寿命进行复核，如果有证据表明该无形资产为企业带</w:t>
      </w:r>
      <w:r>
        <w:rPr>
          <w:spacing w:val="-83"/>
        </w:rPr>
        <w:t> </w:t>
      </w:r>
      <w:r>
        <w:rPr>
          <w:spacing w:val="-83"/>
        </w:rPr>
      </w:r>
      <w:r>
        <w:rPr/>
        <w:t>来经济利益的期限是可预见的，则估计其使用寿命并按照使用寿命有限的无形资产的摊销政策进行摊销。</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2）内部研究开发支出会计政策" w:id="203"/>
      <w:bookmarkEnd w:id="203"/>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24"/>
          <w:szCs w:val="24"/>
        </w:rPr>
      </w:pPr>
    </w:p>
    <w:p>
      <w:pPr>
        <w:pStyle w:val="BodyText"/>
        <w:spacing w:line="307" w:lineRule="auto" w:before="0"/>
        <w:ind w:left="574" w:right="1118"/>
        <w:jc w:val="left"/>
      </w:pPr>
      <w:r>
        <w:rPr/>
        <w:t>本公司内部研究开发项目的支出分为研究阶段支出与开发阶段支出。 研究阶段的支出，于发生时计入当期损益。 </w:t>
      </w:r>
      <w:r>
        <w:rPr>
          <w:spacing w:val="-1"/>
        </w:rPr>
        <w:t>开发阶段的支出同时满足下列条件的，确认为无形资产，不能满足下述条件的开发阶段的支出计入当</w:t>
      </w:r>
    </w:p>
    <w:p>
      <w:pPr>
        <w:pStyle w:val="BodyText"/>
        <w:spacing w:line="254" w:lineRule="exact" w:before="0"/>
        <w:ind w:left="154" w:right="0"/>
        <w:jc w:val="left"/>
      </w:pPr>
      <w:r>
        <w:rPr/>
        <w:t>期损益：</w:t>
      </w:r>
    </w:p>
    <w:p>
      <w:pPr>
        <w:pStyle w:val="BodyText"/>
        <w:spacing w:line="240" w:lineRule="auto" w:before="78"/>
        <w:ind w:left="574" w:right="0"/>
        <w:jc w:val="left"/>
      </w:pPr>
      <w:r>
        <w:rPr/>
        <w:t>①完成该无形资产以使其能够使用或出售在技术上具有可行性；</w:t>
      </w:r>
    </w:p>
    <w:p>
      <w:pPr>
        <w:pStyle w:val="BodyText"/>
        <w:spacing w:line="240" w:lineRule="auto" w:before="76"/>
        <w:ind w:left="574" w:right="0"/>
        <w:jc w:val="left"/>
      </w:pPr>
      <w:r>
        <w:rPr/>
        <w:t>②具有完成该无形资产并使用或出售的意图；</w:t>
      </w:r>
    </w:p>
    <w:p>
      <w:pPr>
        <w:pStyle w:val="BodyText"/>
        <w:spacing w:line="273" w:lineRule="auto" w:before="75"/>
        <w:ind w:left="154" w:right="0" w:firstLine="420"/>
        <w:jc w:val="left"/>
      </w:pPr>
      <w:r>
        <w:rPr>
          <w:spacing w:val="-1"/>
        </w:rPr>
        <w:t>③无形资产产生经济利益的方式，包括能够证明运用该无形资产生产的产品存在市场或无形资产自身</w:t>
      </w:r>
      <w:r>
        <w:rPr/>
        <w:t> 存在市场，无形资产将在内部使用的，能够证明其有用性；</w:t>
      </w:r>
    </w:p>
    <w:p>
      <w:pPr>
        <w:pStyle w:val="BodyText"/>
        <w:spacing w:line="273" w:lineRule="auto" w:before="47"/>
        <w:ind w:left="154" w:right="1118" w:firstLine="420"/>
        <w:jc w:val="left"/>
      </w:pPr>
      <w:r>
        <w:rPr>
          <w:spacing w:val="-1"/>
        </w:rPr>
        <w:t>④有足够的技术、财务资源和其他资源支持，以完成该无形资产的开发，并有能力使用或出售该无形</w:t>
      </w:r>
      <w:r>
        <w:rPr/>
        <w:t> 资产；</w:t>
      </w:r>
    </w:p>
    <w:p>
      <w:pPr>
        <w:pStyle w:val="BodyText"/>
        <w:spacing w:line="307" w:lineRule="auto" w:before="47"/>
        <w:ind w:left="573" w:right="0"/>
        <w:jc w:val="left"/>
      </w:pPr>
      <w:r>
        <w:rPr/>
        <w:t>⑤归属于该无形资产开发阶段的支出能够可靠地计量。 无法区分研究阶段支出和开发阶段支出的，将发生的研发支出全部计入当期损益。 </w:t>
      </w:r>
      <w:r>
        <w:rPr>
          <w:spacing w:val="-1"/>
        </w:rPr>
        <w:t>本公司相应项目在满足上述条件，通过技术可行性及经济可行性研究，形成项目立项后，进入开发阶</w:t>
      </w:r>
    </w:p>
    <w:p>
      <w:pPr>
        <w:pStyle w:val="BodyText"/>
        <w:spacing w:line="254" w:lineRule="exact" w:before="0"/>
        <w:ind w:right="0"/>
        <w:jc w:val="left"/>
      </w:pPr>
      <w:r>
        <w:rPr/>
        <w:t>段。</w:t>
      </w:r>
    </w:p>
    <w:p>
      <w:pPr>
        <w:pStyle w:val="BodyText"/>
        <w:spacing w:line="288" w:lineRule="auto" w:before="77"/>
        <w:ind w:left="574" w:right="0"/>
        <w:jc w:val="left"/>
      </w:pPr>
      <w:r>
        <w:rPr/>
        <w:t>（</w:t>
      </w:r>
      <w:r>
        <w:rPr>
          <w:rFonts w:ascii="宋体" w:hAnsi="宋体" w:cs="宋体" w:eastAsia="宋体" w:hint="default"/>
        </w:rPr>
        <w:t>3</w:t>
      </w:r>
      <w:r>
        <w:rPr/>
        <w:t>）无形资产的减值测试方法及减值准备计提方法 </w:t>
      </w:r>
      <w:r>
        <w:rPr>
          <w:spacing w:val="-1"/>
        </w:rPr>
        <w:t>使用寿命确定的无形资产，在资产负债表日有迹象表明发生减值的，按照账面价值与可收回金额的差</w:t>
      </w:r>
    </w:p>
    <w:p>
      <w:pPr>
        <w:pStyle w:val="BodyText"/>
        <w:spacing w:line="230" w:lineRule="exact" w:before="0"/>
        <w:ind w:left="154" w:right="0"/>
        <w:jc w:val="left"/>
      </w:pPr>
      <w:r>
        <w:rPr/>
        <w:t>额计提相应的减值准备；使用寿命不确定的无形资产和尚未达到可使用状态的无形资产，无论是否存在减</w:t>
      </w:r>
    </w:p>
    <w:p>
      <w:pPr>
        <w:pStyle w:val="BodyText"/>
        <w:spacing w:line="274" w:lineRule="exact" w:before="0"/>
        <w:ind w:left="154" w:right="0"/>
        <w:jc w:val="left"/>
      </w:pPr>
      <w:r>
        <w:rPr/>
        <w:t>值迹象，每年均进行减值测试。</w:t>
      </w:r>
    </w:p>
    <w:p>
      <w:pPr>
        <w:spacing w:line="240" w:lineRule="auto" w:before="4"/>
        <w:rPr>
          <w:rFonts w:ascii="宋体" w:hAnsi="宋体" w:cs="宋体" w:eastAsia="宋体" w:hint="default"/>
          <w:sz w:val="24"/>
          <w:szCs w:val="24"/>
        </w:rPr>
      </w:pPr>
    </w:p>
    <w:p>
      <w:pPr>
        <w:pStyle w:val="Heading3"/>
        <w:spacing w:line="240" w:lineRule="auto"/>
        <w:ind w:right="0"/>
        <w:jc w:val="left"/>
        <w:rPr>
          <w:b w:val="0"/>
          <w:bCs w:val="0"/>
        </w:rPr>
      </w:pPr>
      <w:bookmarkStart w:name="22、长期资产减值" w:id="204"/>
      <w:bookmarkEnd w:id="204"/>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3、长期待摊费用" w:id="205"/>
      <w:bookmarkEnd w:id="205"/>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154" w:right="0"/>
        <w:jc w:val="left"/>
      </w:pPr>
      <w:r>
        <w:rPr/>
        <w:t>（</w:t>
      </w:r>
      <w:r>
        <w:rPr>
          <w:rFonts w:ascii="Times New Roman" w:hAnsi="Times New Roman" w:cs="Times New Roman" w:eastAsia="Times New Roman" w:hint="default"/>
        </w:rPr>
        <w:t>1</w:t>
      </w:r>
      <w:r>
        <w:rPr/>
        <w:t>）长期待摊费用指应由本期和以后各期负担的分摊期限在一年以上的各项费用。</w:t>
      </w:r>
    </w:p>
    <w:p>
      <w:pPr>
        <w:pStyle w:val="BodyText"/>
        <w:spacing w:line="264" w:lineRule="auto" w:before="21"/>
        <w:ind w:left="154" w:right="0"/>
        <w:jc w:val="left"/>
      </w:pPr>
      <w:r>
        <w:rPr/>
        <w:t>（</w:t>
      </w:r>
      <w:r>
        <w:rPr>
          <w:rFonts w:ascii="Times New Roman" w:hAnsi="Times New Roman" w:cs="Times New Roman" w:eastAsia="Times New Roman" w:hint="default"/>
        </w:rPr>
        <w:t>2</w:t>
      </w:r>
      <w:r>
        <w:rPr/>
        <w:t>）长期待摊费用在取得时按照实际成本计价，开办费在发生时计入当期损益；经营性租赁固定资产的 </w:t>
      </w:r>
      <w:r>
        <w:rPr>
          <w:spacing w:val="-1"/>
        </w:rPr>
        <w:t>装修费用在租赁期内平均摊销，其他长期待摊费用按项目的受益期平均摊销。对于在以后会计期间已无法</w:t>
      </w:r>
      <w:r>
        <w:rPr>
          <w:spacing w:val="-81"/>
        </w:rPr>
        <w:t> </w:t>
      </w:r>
      <w:r>
        <w:rPr>
          <w:spacing w:val="-81"/>
        </w:rPr>
      </w:r>
      <w:r>
        <w:rPr/>
        <w:t>带来预期经济利益的长期待摊费用，本公司对其尚未摊销的摊余价值全部转入当期损益。</w:t>
      </w:r>
    </w:p>
    <w:p>
      <w:pPr>
        <w:spacing w:line="240" w:lineRule="auto" w:before="3"/>
        <w:rPr>
          <w:rFonts w:ascii="宋体" w:hAnsi="宋体" w:cs="宋体" w:eastAsia="宋体" w:hint="default"/>
          <w:sz w:val="24"/>
          <w:szCs w:val="24"/>
        </w:rPr>
      </w:pPr>
    </w:p>
    <w:p>
      <w:pPr>
        <w:pStyle w:val="Heading3"/>
        <w:spacing w:line="240" w:lineRule="auto"/>
        <w:ind w:left="153" w:right="0"/>
        <w:jc w:val="left"/>
        <w:rPr>
          <w:b w:val="0"/>
          <w:bCs w:val="0"/>
        </w:rPr>
      </w:pPr>
      <w:bookmarkStart w:name="24、职工薪酬" w:id="206"/>
      <w:bookmarkEnd w:id="206"/>
      <w:r>
        <w:rPr>
          <w:b w:val="0"/>
          <w:bCs w:val="0"/>
        </w:rPr>
      </w:r>
      <w:r>
        <w:rPr>
          <w:rFonts w:ascii="Times New Roman" w:hAnsi="Times New Roman" w:cs="Times New Roman" w:eastAsia="Times New Roman" w:hint="default"/>
        </w:rPr>
        <w:t>24</w:t>
      </w:r>
      <w:r>
        <w:rPr/>
        <w:t>、职工薪酬</w:t>
      </w:r>
      <w:r>
        <w:rPr>
          <w:b w:val="0"/>
          <w:bCs w:val="0"/>
        </w:rPr>
      </w:r>
    </w:p>
    <w:p>
      <w:pPr>
        <w:spacing w:line="590" w:lineRule="atLeast" w:before="23"/>
        <w:ind w:left="574" w:right="0" w:hanging="420"/>
        <w:jc w:val="left"/>
        <w:rPr>
          <w:rFonts w:ascii="宋体" w:hAnsi="宋体" w:cs="宋体" w:eastAsia="宋体" w:hint="default"/>
          <w:sz w:val="21"/>
          <w:szCs w:val="21"/>
        </w:rPr>
      </w:pPr>
      <w:bookmarkStart w:name="（1）短期薪酬的会计处理方法" w:id="207"/>
      <w:bookmarkEnd w:id="2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本公司在职工提供服务的会计期间，将实际发生的短期薪酬确认为负债，并按照受益对象计入当期损</w:t>
      </w:r>
    </w:p>
    <w:p>
      <w:pPr>
        <w:pStyle w:val="BodyText"/>
        <w:spacing w:line="240" w:lineRule="auto" w:before="37"/>
        <w:ind w:left="154" w:right="0"/>
        <w:jc w:val="left"/>
      </w:pPr>
      <w:r>
        <w:rPr/>
        <w:t>益或相关资产成本；其中，非货币性福利按照公允价值计量。</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pStyle w:val="Heading3"/>
        <w:spacing w:line="240" w:lineRule="auto" w:before="35"/>
        <w:ind w:left="153" w:right="0"/>
        <w:jc w:val="both"/>
        <w:rPr>
          <w:b w:val="0"/>
          <w:bCs w:val="0"/>
        </w:rPr>
      </w:pPr>
      <w:bookmarkStart w:name="（2）离职后福利的会计处理方法" w:id="208"/>
      <w:bookmarkEnd w:id="208"/>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3" w:right="0"/>
        <w:jc w:val="left"/>
      </w:pPr>
      <w:r>
        <w:rPr/>
        <w:t>离职后福利计划按照承担的风险和义务情况，可以分为设定提存计划和设定受益计划。</w:t>
      </w:r>
    </w:p>
    <w:p>
      <w:pPr>
        <w:pStyle w:val="BodyText"/>
        <w:spacing w:line="273" w:lineRule="auto" w:before="37"/>
        <w:ind w:left="573" w:right="0"/>
        <w:jc w:val="left"/>
      </w:pPr>
      <w:r>
        <w:rPr/>
        <w:t>①设定提存计划 </w:t>
      </w:r>
      <w:r>
        <w:rPr>
          <w:spacing w:val="3"/>
        </w:rPr>
        <w:t>公司根据在资产负债表日为换取职工在会计期间提供的服务而向单独主体缴存的提存金，确认为负</w:t>
      </w:r>
    </w:p>
    <w:p>
      <w:pPr>
        <w:pStyle w:val="BodyText"/>
        <w:spacing w:line="240" w:lineRule="auto"/>
        <w:ind w:right="0"/>
        <w:jc w:val="both"/>
      </w:pPr>
      <w:r>
        <w:rPr/>
        <w:t>债，并按照受益对象计人当期损益或相关资产成本。</w:t>
      </w:r>
    </w:p>
    <w:p>
      <w:pPr>
        <w:pStyle w:val="BodyText"/>
        <w:spacing w:line="273" w:lineRule="auto" w:before="37"/>
        <w:ind w:left="573" w:right="1118"/>
        <w:jc w:val="left"/>
      </w:pPr>
      <w:r>
        <w:rPr/>
        <w:t>②设定受益计划 设定受益计划，是指除设定提存计划以外的离职后福利计划。会计处理包括下列步骤： </w:t>
      </w:r>
      <w:r>
        <w:rPr>
          <w:rFonts w:ascii="Times New Roman" w:hAnsi="Times New Roman" w:cs="Times New Roman" w:eastAsia="Times New Roman" w:hint="default"/>
        </w:rPr>
        <w:t>A</w:t>
      </w:r>
      <w:r>
        <w:rPr/>
        <w:t>．根据预期累计福利单位法，采用无偏且相互一致的精算假设对有关人口统计变量和财务变量等作</w:t>
      </w:r>
    </w:p>
    <w:p>
      <w:pPr>
        <w:pStyle w:val="BodyText"/>
        <w:spacing w:line="273" w:lineRule="auto" w:before="0"/>
        <w:ind w:right="1130"/>
        <w:jc w:val="both"/>
      </w:pPr>
      <w:r>
        <w:rPr>
          <w:spacing w:val="-1"/>
        </w:rPr>
        <w:t>出估计，计量设定受益计划所产生的义务，并确定相关义务的所属期间；公司对所有设定受益计划义务予</w:t>
      </w:r>
      <w:r>
        <w:rPr>
          <w:spacing w:val="-82"/>
        </w:rPr>
        <w:t> </w:t>
      </w:r>
      <w:r>
        <w:rPr>
          <w:spacing w:val="-82"/>
        </w:rPr>
      </w:r>
      <w:r>
        <w:rPr>
          <w:spacing w:val="-1"/>
        </w:rPr>
        <w:t>以折现，包括预期在职工提供服务的年度报告期间结束后的十二个月内支付的义务。折现时所采用的折现</w:t>
      </w:r>
      <w:r>
        <w:rPr>
          <w:spacing w:val="-81"/>
        </w:rPr>
        <w:t> </w:t>
      </w:r>
      <w:r>
        <w:rPr>
          <w:spacing w:val="-81"/>
        </w:rPr>
      </w:r>
      <w:r>
        <w:rPr>
          <w:spacing w:val="3"/>
        </w:rPr>
        <w:t>率根据资产负债表日与设定受益计划义务期限和币种相匹配的国债或活跃市场上的高质量公司债券的市</w:t>
      </w:r>
      <w:r>
        <w:rPr>
          <w:spacing w:val="-82"/>
        </w:rPr>
        <w:t> </w:t>
      </w:r>
      <w:r>
        <w:rPr>
          <w:spacing w:val="-82"/>
        </w:rPr>
      </w:r>
      <w:r>
        <w:rPr/>
        <w:t>场收益率确定；</w:t>
      </w:r>
    </w:p>
    <w:p>
      <w:pPr>
        <w:pStyle w:val="BodyText"/>
        <w:spacing w:line="266" w:lineRule="auto"/>
        <w:ind w:right="1131" w:firstLine="420"/>
        <w:jc w:val="both"/>
      </w:pPr>
      <w:r>
        <w:rPr>
          <w:rFonts w:ascii="Times New Roman" w:hAnsi="Times New Roman" w:cs="Times New Roman" w:eastAsia="Times New Roman" w:hint="default"/>
          <w:spacing w:val="-1"/>
        </w:rPr>
        <w:t>B.</w:t>
      </w:r>
      <w:r>
        <w:rPr>
          <w:spacing w:val="-1"/>
        </w:rPr>
        <w:t>设定受益计划存在资产的，将设定受益计划义务现值减去设定受益计划资产公允价值所形成的赤字</w:t>
      </w:r>
      <w:r>
        <w:rPr/>
        <w:t> </w:t>
      </w:r>
      <w:r>
        <w:rPr>
          <w:spacing w:val="-1"/>
        </w:rPr>
        <w:t>或盈余确认为一项设定受益计划净负债或净资产。设定受益计划存在盈余的，以设定受益计划的盈余和资</w:t>
      </w:r>
      <w:r>
        <w:rPr>
          <w:spacing w:val="-81"/>
        </w:rPr>
        <w:t> </w:t>
      </w:r>
      <w:r>
        <w:rPr>
          <w:spacing w:val="-81"/>
        </w:rPr>
      </w:r>
      <w:r>
        <w:rPr>
          <w:spacing w:val="-1"/>
        </w:rPr>
        <w:t>产上限两项的孰低者计量设定受益计划净资产。资产上限是指公司可从设定受益计划退款或减少未来对设</w:t>
      </w:r>
      <w:r>
        <w:rPr>
          <w:spacing w:val="-81"/>
        </w:rPr>
        <w:t> </w:t>
      </w:r>
      <w:r>
        <w:rPr>
          <w:spacing w:val="-81"/>
        </w:rPr>
      </w:r>
      <w:r>
        <w:rPr/>
        <w:t>定受益计划缴存资金而获得的经济利益的现值；</w:t>
      </w:r>
    </w:p>
    <w:p>
      <w:pPr>
        <w:pStyle w:val="BodyText"/>
        <w:spacing w:line="268" w:lineRule="auto" w:before="14"/>
        <w:ind w:right="1131" w:firstLine="420"/>
        <w:jc w:val="both"/>
      </w:pPr>
      <w:r>
        <w:rPr>
          <w:rFonts w:ascii="Times New Roman" w:hAnsi="Times New Roman" w:cs="Times New Roman" w:eastAsia="Times New Roman" w:hint="default"/>
        </w:rPr>
        <w:t>C.</w:t>
      </w:r>
      <w:r>
        <w:rPr/>
        <w:t>期末，将设定受益计划产生的职工薪酬成本确认为服务成本、设定受益计划净负债或净资产的利息 </w:t>
      </w:r>
      <w:r>
        <w:rPr>
          <w:spacing w:val="-1"/>
        </w:rPr>
        <w:t>净额以及重新计量设定受益计划净负债或净资产所产生的变动，其中服务成本和设定受益计划净负债或净</w:t>
      </w:r>
      <w:r>
        <w:rPr>
          <w:spacing w:val="-81"/>
        </w:rPr>
        <w:t> </w:t>
      </w:r>
      <w:r>
        <w:rPr>
          <w:spacing w:val="-81"/>
        </w:rPr>
      </w:r>
      <w:r>
        <w:rPr>
          <w:spacing w:val="-1"/>
        </w:rPr>
        <w:t>资产的利息净额计入当期损益或相关资产成本，重新计量设定受益计划净负债或净资产所产生的变动计入</w:t>
      </w:r>
      <w:r>
        <w:rPr>
          <w:spacing w:val="-81"/>
        </w:rPr>
        <w:t> </w:t>
      </w:r>
      <w:r>
        <w:rPr>
          <w:spacing w:val="-81"/>
        </w:rPr>
      </w:r>
      <w:r>
        <w:rPr>
          <w:spacing w:val="-1"/>
        </w:rPr>
        <w:t>其他综合收益，并且在后续会计期间不允许转回至损益，但可以在权益范围内转移这些在其他综合收益确</w:t>
      </w:r>
      <w:r>
        <w:rPr>
          <w:spacing w:val="-81"/>
        </w:rPr>
        <w:t> </w:t>
      </w:r>
      <w:r>
        <w:rPr>
          <w:spacing w:val="-81"/>
        </w:rPr>
      </w:r>
      <w:r>
        <w:rPr/>
        <w:t>认的金额；</w:t>
      </w:r>
    </w:p>
    <w:p>
      <w:pPr>
        <w:pStyle w:val="BodyText"/>
        <w:spacing w:line="240" w:lineRule="auto" w:before="12"/>
        <w:ind w:left="573" w:right="0"/>
        <w:jc w:val="left"/>
      </w:pPr>
      <w:r>
        <w:rPr>
          <w:rFonts w:ascii="Times New Roman" w:hAnsi="Times New Roman" w:cs="Times New Roman" w:eastAsia="Times New Roman" w:hint="default"/>
        </w:rPr>
        <w:t>D.</w:t>
      </w:r>
      <w:r>
        <w:rPr/>
        <w:t>在设定受益计划结算时，确认一项结算利得或损失。</w:t>
      </w:r>
    </w:p>
    <w:p>
      <w:pPr>
        <w:spacing w:line="590" w:lineRule="atLeast" w:before="23"/>
        <w:ind w:left="573" w:right="1018" w:hanging="420"/>
        <w:jc w:val="left"/>
        <w:rPr>
          <w:rFonts w:ascii="宋体" w:hAnsi="宋体" w:cs="宋体" w:eastAsia="宋体" w:hint="default"/>
          <w:sz w:val="21"/>
          <w:szCs w:val="21"/>
        </w:rPr>
      </w:pPr>
      <w:bookmarkStart w:name="（3）辞退福利的会计处理方法" w:id="209"/>
      <w:bookmarkEnd w:id="2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公司向职工提供的辞退福利，在下列两者孰早日确认辞退福利产生的职工薪酬负债，并计入当期损益：</w:t>
      </w:r>
    </w:p>
    <w:p>
      <w:pPr>
        <w:pStyle w:val="BodyText"/>
        <w:spacing w:line="273" w:lineRule="auto" w:before="37"/>
        <w:ind w:right="1132"/>
        <w:jc w:val="both"/>
      </w:pPr>
      <w:r>
        <w:rPr>
          <w:spacing w:val="-1"/>
        </w:rPr>
        <w:t>①公司不能单方面撤回因解除劳动关系计划或裁减建议所提供的辞退福利时；②公司确认与涉及支付辞退</w:t>
      </w:r>
      <w:r>
        <w:rPr>
          <w:spacing w:val="-81"/>
        </w:rPr>
        <w:t> </w:t>
      </w:r>
      <w:r>
        <w:rPr>
          <w:spacing w:val="-81"/>
        </w:rPr>
      </w:r>
      <w:r>
        <w:rPr/>
        <w:t>福利的重组相关的成本或费用时。</w:t>
      </w:r>
    </w:p>
    <w:p>
      <w:pPr>
        <w:pStyle w:val="BodyText"/>
        <w:spacing w:line="273" w:lineRule="auto"/>
        <w:ind w:right="1130" w:firstLine="420"/>
        <w:jc w:val="both"/>
      </w:pPr>
      <w:r>
        <w:rPr>
          <w:spacing w:val="3"/>
        </w:rPr>
        <w:t>在公司不能单方面撤回解除劳动关系计划或裁减建议时和确认与涉及支付辞退福利的重组相关的成</w:t>
      </w:r>
      <w:r>
        <w:rPr/>
        <w:t> </w:t>
      </w:r>
      <w:r>
        <w:rPr>
          <w:spacing w:val="-1"/>
        </w:rPr>
        <w:t>本费用时两者孰早日，确认因解除与职工的劳动关系给予补偿而产生的负债，同时计入当期损益。公司按</w:t>
      </w:r>
      <w:r>
        <w:rPr>
          <w:spacing w:val="-83"/>
        </w:rPr>
        <w:t> </w:t>
      </w:r>
      <w:r>
        <w:rPr>
          <w:spacing w:val="-83"/>
        </w:rPr>
      </w:r>
      <w:r>
        <w:rPr>
          <w:spacing w:val="-1"/>
        </w:rPr>
        <w:t>照辞退计划条款的规定，合理预计并确认辞退福利产生的应付职工薪酬。辞退福利预期在其确认的年度报</w:t>
      </w:r>
      <w:r>
        <w:rPr>
          <w:spacing w:val="-81"/>
        </w:rPr>
        <w:t> </w:t>
      </w:r>
      <w:r>
        <w:rPr>
          <w:spacing w:val="-81"/>
        </w:rPr>
      </w:r>
      <w:r>
        <w:rPr>
          <w:spacing w:val="-1"/>
        </w:rPr>
        <w:t>告期结束后十二个月内完全支付的，适用短期薪酬的相关规定；辞退福利预期在年度报告期结束后十二个</w:t>
      </w:r>
      <w:r>
        <w:rPr>
          <w:spacing w:val="-80"/>
        </w:rPr>
        <w:t> </w:t>
      </w:r>
      <w:r>
        <w:rPr>
          <w:spacing w:val="-80"/>
        </w:rPr>
      </w:r>
      <w:r>
        <w:rPr/>
        <w:t>月内不能完全支付的，适用其他长期职工福利的有关规定。</w:t>
      </w:r>
    </w:p>
    <w:p>
      <w:pPr>
        <w:spacing w:line="240" w:lineRule="auto" w:before="8"/>
        <w:rPr>
          <w:rFonts w:ascii="宋体" w:hAnsi="宋体" w:cs="宋体" w:eastAsia="宋体" w:hint="default"/>
          <w:sz w:val="23"/>
          <w:szCs w:val="23"/>
        </w:rPr>
      </w:pPr>
    </w:p>
    <w:p>
      <w:pPr>
        <w:pStyle w:val="Heading3"/>
        <w:spacing w:line="240" w:lineRule="auto"/>
        <w:ind w:left="153" w:right="0"/>
        <w:jc w:val="both"/>
        <w:rPr>
          <w:b w:val="0"/>
          <w:bCs w:val="0"/>
        </w:rPr>
      </w:pPr>
      <w:bookmarkStart w:name="（4）其他长期职工福利的会计处理方法" w:id="210"/>
      <w:bookmarkEnd w:id="210"/>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1"/>
        <w:jc w:val="both"/>
      </w:pPr>
      <w:r>
        <w:rPr>
          <w:spacing w:val="-1"/>
        </w:rPr>
        <w:t>公司向职工提供的其他长期职工福利，符合设定提存计划条件的，按照设定提存计划进行会计处理；除此</w:t>
      </w:r>
      <w:r>
        <w:rPr>
          <w:spacing w:val="-83"/>
        </w:rPr>
        <w:t> </w:t>
      </w:r>
      <w:r>
        <w:rPr>
          <w:spacing w:val="-83"/>
        </w:rPr>
      </w:r>
      <w:r>
        <w:rPr>
          <w:spacing w:val="-1"/>
        </w:rPr>
        <w:t>之外的其他长期福利，按照设定受益计划进行会计处理，但是重新计量其他长期职工福利净负债或净资产</w:t>
      </w:r>
      <w:r>
        <w:rPr>
          <w:spacing w:val="-81"/>
        </w:rPr>
        <w:t> </w:t>
      </w:r>
      <w:r>
        <w:rPr>
          <w:spacing w:val="-81"/>
        </w:rPr>
      </w:r>
      <w:r>
        <w:rPr/>
        <w:t>所产生的变动计入当期损益或相关资产成本。</w:t>
      </w:r>
    </w:p>
    <w:p>
      <w:pPr>
        <w:spacing w:line="240" w:lineRule="auto" w:before="8"/>
        <w:rPr>
          <w:rFonts w:ascii="宋体" w:hAnsi="宋体" w:cs="宋体" w:eastAsia="宋体" w:hint="default"/>
          <w:sz w:val="23"/>
          <w:szCs w:val="23"/>
        </w:rPr>
      </w:pPr>
    </w:p>
    <w:p>
      <w:pPr>
        <w:pStyle w:val="Heading3"/>
        <w:spacing w:line="240" w:lineRule="auto"/>
        <w:ind w:left="153" w:right="0"/>
        <w:jc w:val="both"/>
        <w:rPr>
          <w:b w:val="0"/>
          <w:bCs w:val="0"/>
        </w:rPr>
      </w:pPr>
      <w:bookmarkStart w:name="25、预计负债" w:id="211"/>
      <w:bookmarkEnd w:id="211"/>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4" w:right="1131"/>
        <w:jc w:val="both"/>
      </w:pPr>
      <w:r>
        <w:rPr>
          <w:spacing w:val="-1"/>
        </w:rPr>
        <w:t>预计负债是与或有事项相关的义务。或有事项指过去的交易或事项形成的一种状况，其结果须通过未来不</w:t>
      </w:r>
      <w:r>
        <w:rPr>
          <w:spacing w:val="-81"/>
        </w:rPr>
        <w:t> </w:t>
      </w:r>
      <w:r>
        <w:rPr>
          <w:spacing w:val="-81"/>
        </w:rPr>
      </w:r>
      <w:r>
        <w:rPr>
          <w:spacing w:val="-1"/>
        </w:rPr>
        <w:t>确定事项的发生或不发生予以证实。预计负债包括对外提供担保、商业承兑汇票贴现、未决诉讼、产品质</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量保证、亏损合同及重组义务等很可能发生的负债。</w:t>
      </w:r>
    </w:p>
    <w:p>
      <w:pPr>
        <w:pStyle w:val="BodyText"/>
        <w:spacing w:line="256" w:lineRule="auto" w:before="37"/>
        <w:ind w:left="154" w:right="6552"/>
        <w:jc w:val="left"/>
      </w:pPr>
      <w:r>
        <w:rPr/>
        <w:t>（</w:t>
      </w:r>
      <w:r>
        <w:rPr>
          <w:rFonts w:ascii="Times New Roman" w:hAnsi="Times New Roman" w:cs="Times New Roman" w:eastAsia="Times New Roman" w:hint="default"/>
        </w:rPr>
        <w:t>1</w:t>
      </w:r>
      <w:r>
        <w:rPr/>
        <w:t>）预计负债的确认标准 预计负债的确认必须同时符合以下三个条件：</w:t>
      </w:r>
    </w:p>
    <w:p>
      <w:pPr>
        <w:pStyle w:val="BodyText"/>
        <w:spacing w:line="240" w:lineRule="auto" w:before="22"/>
        <w:ind w:left="154" w:right="0"/>
        <w:jc w:val="left"/>
      </w:pPr>
      <w:r>
        <w:rPr/>
        <w:t>①该义务是企业承担的现时义务，指与或有事项有关的义务，为企业承担的现时义务而非潜在义务；</w:t>
      </w:r>
    </w:p>
    <w:p>
      <w:pPr>
        <w:pStyle w:val="BodyText"/>
        <w:spacing w:line="261" w:lineRule="auto" w:before="37"/>
        <w:ind w:right="1130"/>
        <w:jc w:val="both"/>
      </w:pPr>
      <w:r>
        <w:rPr>
          <w:spacing w:val="-1"/>
        </w:rPr>
        <w:t>②履行该义务很可能导致经济利益流出企业。履行与或有事项相关的现时义务导致经济利益流出企业的可</w:t>
      </w:r>
      <w:r>
        <w:rPr>
          <w:spacing w:val="-81"/>
        </w:rPr>
        <w:t> </w:t>
      </w:r>
      <w:r>
        <w:rPr>
          <w:spacing w:val="-81"/>
        </w:rPr>
      </w:r>
      <w:r>
        <w:rPr/>
        <w:t>能性超过</w:t>
      </w:r>
      <w:r>
        <w:rPr>
          <w:rFonts w:ascii="Times New Roman" w:hAnsi="Times New Roman" w:cs="Times New Roman" w:eastAsia="Times New Roman" w:hint="default"/>
        </w:rPr>
        <w:t>50%</w:t>
      </w:r>
      <w:r>
        <w:rPr/>
        <w:t>但小于或等于</w:t>
      </w:r>
      <w:r>
        <w:rPr>
          <w:rFonts w:ascii="Times New Roman" w:hAnsi="Times New Roman" w:cs="Times New Roman" w:eastAsia="Times New Roman" w:hint="default"/>
        </w:rPr>
        <w:t>95%</w:t>
      </w:r>
      <w:r>
        <w:rPr/>
        <w:t>时，可以确认该预计负债。当事项发生的概率区间为大于</w:t>
      </w:r>
      <w:r>
        <w:rPr>
          <w:rFonts w:ascii="Times New Roman" w:hAnsi="Times New Roman" w:cs="Times New Roman" w:eastAsia="Times New Roman" w:hint="default"/>
        </w:rPr>
        <w:t>95%</w:t>
      </w:r>
      <w:r>
        <w:rPr/>
        <w:t>但小于</w:t>
      </w:r>
      <w:r>
        <w:rPr>
          <w:rFonts w:ascii="Times New Roman" w:hAnsi="Times New Roman" w:cs="Times New Roman" w:eastAsia="Times New Roman" w:hint="default"/>
        </w:rPr>
        <w:t>100% </w:t>
      </w:r>
      <w:r>
        <w:rPr/>
        <w:t>时，将结果的可能性定义为</w:t>
      </w:r>
      <w:r>
        <w:rPr>
          <w:rFonts w:ascii="Times New Roman" w:hAnsi="Times New Roman" w:cs="Times New Roman" w:eastAsia="Times New Roman" w:hint="default"/>
        </w:rPr>
        <w:t>“</w:t>
      </w:r>
      <w:r>
        <w:rPr/>
        <w:t>基本确定</w:t>
      </w:r>
      <w:r>
        <w:rPr>
          <w:rFonts w:ascii="Times New Roman" w:hAnsi="Times New Roman" w:cs="Times New Roman" w:eastAsia="Times New Roman" w:hint="default"/>
        </w:rPr>
        <w:t>”</w:t>
      </w:r>
      <w:r>
        <w:rPr/>
        <w:t>；当事项发生的概率区间为大于</w:t>
      </w:r>
      <w:r>
        <w:rPr>
          <w:rFonts w:ascii="Times New Roman" w:hAnsi="Times New Roman" w:cs="Times New Roman" w:eastAsia="Times New Roman" w:hint="default"/>
        </w:rPr>
        <w:t>50%</w:t>
      </w:r>
      <w:r>
        <w:rPr/>
        <w:t>但小于或等于</w:t>
      </w:r>
      <w:r>
        <w:rPr>
          <w:rFonts w:ascii="Times New Roman" w:hAnsi="Times New Roman" w:cs="Times New Roman" w:eastAsia="Times New Roman" w:hint="default"/>
        </w:rPr>
        <w:t>95%</w:t>
      </w:r>
      <w:r>
        <w:rPr/>
        <w:t>时，将结果 </w:t>
      </w:r>
      <w:r>
        <w:rPr>
          <w:spacing w:val="-1"/>
        </w:rPr>
        <w:t>的可能性定义为</w:t>
      </w:r>
      <w:r>
        <w:rPr>
          <w:rFonts w:ascii="Times New Roman" w:hAnsi="Times New Roman" w:cs="Times New Roman" w:eastAsia="Times New Roman" w:hint="default"/>
          <w:spacing w:val="-1"/>
        </w:rPr>
        <w:t>“</w:t>
      </w:r>
      <w:r>
        <w:rPr>
          <w:spacing w:val="-1"/>
        </w:rPr>
        <w:t>很可能</w:t>
      </w:r>
      <w:r>
        <w:rPr>
          <w:rFonts w:ascii="Times New Roman" w:hAnsi="Times New Roman" w:cs="Times New Roman" w:eastAsia="Times New Roman" w:hint="default"/>
          <w:spacing w:val="-1"/>
        </w:rPr>
        <w:t>”</w:t>
      </w:r>
      <w:r>
        <w:rPr>
          <w:spacing w:val="-1"/>
        </w:rPr>
        <w:t>；当事项发生的概率区间为大于</w:t>
      </w:r>
      <w:r>
        <w:rPr>
          <w:rFonts w:ascii="Times New Roman" w:hAnsi="Times New Roman" w:cs="Times New Roman" w:eastAsia="Times New Roman" w:hint="default"/>
          <w:spacing w:val="-1"/>
        </w:rPr>
        <w:t>5%</w:t>
      </w:r>
      <w:r>
        <w:rPr>
          <w:spacing w:val="-1"/>
        </w:rPr>
        <w:t>但小于或等于</w:t>
      </w:r>
      <w:r>
        <w:rPr>
          <w:rFonts w:ascii="Times New Roman" w:hAnsi="Times New Roman" w:cs="Times New Roman" w:eastAsia="Times New Roman" w:hint="default"/>
          <w:spacing w:val="-1"/>
        </w:rPr>
        <w:t>50%</w:t>
      </w:r>
      <w:r>
        <w:rPr>
          <w:spacing w:val="-1"/>
        </w:rPr>
        <w:t>时，将结果的可能性定义为</w:t>
      </w:r>
      <w:r>
        <w:rPr>
          <w:spacing w:val="-93"/>
        </w:rPr>
        <w:t> </w:t>
      </w:r>
      <w:r>
        <w:rPr>
          <w:spacing w:val="-93"/>
        </w:rPr>
      </w:r>
      <w:r>
        <w:rPr>
          <w:rFonts w:ascii="Times New Roman" w:hAnsi="Times New Roman" w:cs="Times New Roman" w:eastAsia="Times New Roman" w:hint="default"/>
        </w:rPr>
        <w:t>“</w:t>
      </w:r>
      <w:r>
        <w:rPr/>
        <w:t>可能</w:t>
      </w:r>
      <w:r>
        <w:rPr>
          <w:rFonts w:ascii="Times New Roman" w:hAnsi="Times New Roman" w:cs="Times New Roman" w:eastAsia="Times New Roman" w:hint="default"/>
        </w:rPr>
        <w:t>”</w:t>
      </w:r>
      <w:r>
        <w:rPr/>
        <w:t>；当事项发生的概率区间为大于</w:t>
      </w:r>
      <w:r>
        <w:rPr>
          <w:rFonts w:ascii="Times New Roman" w:hAnsi="Times New Roman" w:cs="Times New Roman" w:eastAsia="Times New Roman" w:hint="default"/>
        </w:rPr>
        <w:t>0</w:t>
      </w:r>
      <w:r>
        <w:rPr/>
        <w:t>但小于或等于</w:t>
      </w:r>
      <w:r>
        <w:rPr>
          <w:rFonts w:ascii="Times New Roman" w:hAnsi="Times New Roman" w:cs="Times New Roman" w:eastAsia="Times New Roman" w:hint="default"/>
        </w:rPr>
        <w:t>5%</w:t>
      </w:r>
      <w:r>
        <w:rPr/>
        <w:t>时，将结果的可能性定义为</w:t>
      </w:r>
      <w:r>
        <w:rPr>
          <w:rFonts w:ascii="Times New Roman" w:hAnsi="Times New Roman" w:cs="Times New Roman" w:eastAsia="Times New Roman" w:hint="default"/>
        </w:rPr>
        <w:t>“</w:t>
      </w:r>
      <w:r>
        <w:rPr/>
        <w:t>极小可能</w:t>
      </w:r>
      <w:r>
        <w:rPr>
          <w:rFonts w:ascii="Times New Roman" w:hAnsi="Times New Roman" w:cs="Times New Roman" w:eastAsia="Times New Roman" w:hint="default"/>
        </w:rPr>
        <w:t>”</w:t>
      </w:r>
      <w:r>
        <w:rPr/>
        <w:t>；</w:t>
      </w:r>
    </w:p>
    <w:p>
      <w:pPr>
        <w:pStyle w:val="BodyText"/>
        <w:spacing w:line="273" w:lineRule="auto" w:before="0"/>
        <w:ind w:right="1131"/>
        <w:jc w:val="both"/>
      </w:pPr>
      <w:r>
        <w:rPr>
          <w:spacing w:val="-1"/>
        </w:rPr>
        <w:t>③该义务的金额能够可靠地计量。预计负债应当按照履行相关现时义务所需支出的最佳估计数进行初始计</w:t>
      </w:r>
      <w:r>
        <w:rPr>
          <w:spacing w:val="-81"/>
        </w:rPr>
        <w:t> </w:t>
      </w:r>
      <w:r>
        <w:rPr>
          <w:spacing w:val="-81"/>
        </w:rPr>
      </w:r>
      <w:r>
        <w:rPr>
          <w:spacing w:val="-1"/>
        </w:rPr>
        <w:t>量。最佳估计数应根据不同的情况计算确定。如公司清偿预计负债所需支出全部或部分预期由第三方补偿</w:t>
      </w:r>
      <w:r>
        <w:rPr>
          <w:spacing w:val="-81"/>
        </w:rPr>
        <w:t> </w:t>
      </w:r>
      <w:r>
        <w:rPr>
          <w:spacing w:val="-81"/>
        </w:rPr>
      </w:r>
      <w:r>
        <w:rPr>
          <w:spacing w:val="-1"/>
        </w:rPr>
        <w:t>的，补偿金额在基本确定能够收到时作为资产单独确认，不得冲预计负债，且不应当超过预计负债的账面</w:t>
      </w:r>
      <w:r>
        <w:rPr>
          <w:spacing w:val="-83"/>
        </w:rPr>
        <w:t> </w:t>
      </w:r>
      <w:r>
        <w:rPr>
          <w:spacing w:val="-83"/>
        </w:rPr>
      </w:r>
      <w:r>
        <w:rPr/>
        <w:t>价值。</w:t>
      </w:r>
    </w:p>
    <w:p>
      <w:pPr>
        <w:pStyle w:val="BodyText"/>
        <w:spacing w:line="266" w:lineRule="auto"/>
        <w:ind w:left="154" w:right="1118"/>
        <w:jc w:val="left"/>
      </w:pPr>
      <w:r>
        <w:rPr/>
        <w:t>（</w:t>
      </w:r>
      <w:r>
        <w:rPr>
          <w:rFonts w:ascii="Times New Roman" w:hAnsi="Times New Roman" w:cs="Times New Roman" w:eastAsia="Times New Roman" w:hint="default"/>
        </w:rPr>
        <w:t>2</w:t>
      </w:r>
      <w:r>
        <w:rPr/>
        <w:t>）预计负债的计量方法 </w:t>
      </w:r>
      <w:r>
        <w:rPr>
          <w:spacing w:val="-1"/>
        </w:rPr>
        <w:t>预计负债按照履行现时义务所需支出的最佳估计数进行初始计量。所需支出存在一个连续范围，且该范围</w:t>
      </w:r>
      <w:r>
        <w:rPr>
          <w:spacing w:val="-81"/>
        </w:rPr>
        <w:t> </w:t>
      </w:r>
      <w:r>
        <w:rPr>
          <w:spacing w:val="-81"/>
        </w:rPr>
      </w:r>
      <w:r>
        <w:rPr>
          <w:spacing w:val="-1"/>
        </w:rPr>
        <w:t>内各种结果发生的可能性相同的最佳估计数按该范围的中间值确定；在其他情况下，最佳估计数按如下方</w:t>
      </w:r>
      <w:r>
        <w:rPr>
          <w:spacing w:val="-81"/>
        </w:rPr>
        <w:t> </w:t>
      </w:r>
      <w:r>
        <w:rPr>
          <w:spacing w:val="-81"/>
        </w:rPr>
      </w:r>
      <w:r>
        <w:rPr/>
        <w:t>法确定：</w:t>
      </w:r>
    </w:p>
    <w:p>
      <w:pPr>
        <w:pStyle w:val="BodyText"/>
        <w:spacing w:line="240" w:lineRule="auto" w:before="14"/>
        <w:ind w:right="0"/>
        <w:jc w:val="left"/>
      </w:pPr>
      <w:r>
        <w:rPr/>
        <w:t>①或有事项涉及单个项目时，最佳估计数按最可能发生金额确定。</w:t>
      </w:r>
    </w:p>
    <w:p>
      <w:pPr>
        <w:pStyle w:val="BodyText"/>
        <w:spacing w:line="273" w:lineRule="auto" w:before="37"/>
        <w:ind w:right="1093"/>
        <w:jc w:val="left"/>
      </w:pPr>
      <w:r>
        <w:rPr/>
        <w:t>②或有事项涉及多个项目时，最佳估计数按各种可能发生金额及其发生概率计算确定。 公司清偿预计负债所需支出全部或部分预期由第三方或其他方补偿的，则补偿金额在基本确定能收到时， 作为资产单独确认。确认的补偿金额不超过所确认预计负债的账面价值。 </w:t>
      </w:r>
      <w:r>
        <w:rPr>
          <w:spacing w:val="-1"/>
        </w:rPr>
        <w:t>公司资产负债表日对预计负债账面价值进行复核，有确凿证据表明该账面价值不能真实反映当前最佳估计</w:t>
      </w:r>
      <w:r>
        <w:rPr>
          <w:spacing w:val="-81"/>
        </w:rPr>
        <w:t> </w:t>
      </w:r>
      <w:r>
        <w:rPr>
          <w:spacing w:val="-81"/>
        </w:rPr>
      </w:r>
      <w:r>
        <w:rPr/>
        <w:t>数，按照当前最佳估计数对该账面价值进行调整。</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26、股份支付" w:id="212"/>
      <w:bookmarkEnd w:id="212"/>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4" w:right="5292" w:hanging="420"/>
        <w:jc w:val="left"/>
      </w:pPr>
      <w:r>
        <w:rPr/>
        <w:t>（</w:t>
      </w:r>
      <w:r>
        <w:rPr>
          <w:rFonts w:ascii="Times New Roman" w:hAnsi="Times New Roman" w:cs="Times New Roman" w:eastAsia="Times New Roman" w:hint="default"/>
        </w:rPr>
        <w:t>1</w:t>
      </w:r>
      <w:r>
        <w:rPr/>
        <w:t>）股份支付的种类 包括以权益结算的股份支付和以现金结算的股份支付。</w:t>
      </w:r>
    </w:p>
    <w:p>
      <w:pPr>
        <w:pStyle w:val="BodyText"/>
        <w:spacing w:line="240" w:lineRule="auto" w:before="22"/>
        <w:ind w:right="0"/>
        <w:jc w:val="left"/>
      </w:pPr>
      <w:r>
        <w:rPr/>
        <w:t>（</w:t>
      </w:r>
      <w:r>
        <w:rPr>
          <w:rFonts w:ascii="Times New Roman" w:hAnsi="Times New Roman" w:cs="Times New Roman" w:eastAsia="Times New Roman" w:hint="default"/>
        </w:rPr>
        <w:t>2</w:t>
      </w:r>
      <w:r>
        <w:rPr/>
        <w:t>）股份支付的会计处理</w:t>
      </w:r>
    </w:p>
    <w:p>
      <w:pPr>
        <w:pStyle w:val="BodyText"/>
        <w:spacing w:line="273" w:lineRule="auto" w:before="21"/>
        <w:ind w:left="574" w:right="0"/>
        <w:jc w:val="left"/>
      </w:pPr>
      <w:r>
        <w:rPr/>
        <w:t>①以权益结算的股份支付 </w:t>
      </w:r>
      <w:r>
        <w:rPr>
          <w:spacing w:val="-1"/>
        </w:rPr>
        <w:t>授予后立即可行权的换取职工服务的以权益结算的股份支付，在授予日按照权益工具的公允价值计入</w:t>
      </w:r>
    </w:p>
    <w:p>
      <w:pPr>
        <w:pStyle w:val="BodyText"/>
        <w:spacing w:line="273" w:lineRule="auto"/>
        <w:ind w:left="154" w:right="1023"/>
        <w:jc w:val="left"/>
      </w:pPr>
      <w:r>
        <w:rPr/>
        <w:t>相关成本或费用，相应调整资本公积。完成等待期内的服务或达到规定业绩条件才可行权的换取职工服务 </w:t>
      </w:r>
      <w:r>
        <w:rPr>
          <w:spacing w:val="-3"/>
        </w:rPr>
        <w:t>的以权益结算的股份支付，在等待期内的每个资产负债表日，以对可行权权益工具数量的最佳估计为基础，</w:t>
      </w:r>
      <w:r>
        <w:rPr>
          <w:spacing w:val="-91"/>
        </w:rPr>
        <w:t> </w:t>
      </w:r>
      <w:r>
        <w:rPr>
          <w:spacing w:val="-91"/>
        </w:rPr>
      </w:r>
      <w:r>
        <w:rPr/>
        <w:t>按权益工具授予日的公允价值，将当期取得的服务计入相关成本或费用，相应调整资本公积。</w:t>
      </w:r>
    </w:p>
    <w:p>
      <w:pPr>
        <w:pStyle w:val="BodyText"/>
        <w:spacing w:line="273" w:lineRule="auto"/>
        <w:ind w:right="1131" w:firstLine="420"/>
        <w:jc w:val="both"/>
      </w:pPr>
      <w:r>
        <w:rPr>
          <w:spacing w:val="-1"/>
        </w:rPr>
        <w:t>换取其他方服务的权益结算的股份支付，如果其他方服务的公允价值能够可靠计量的，按照其他方服</w:t>
      </w:r>
      <w:r>
        <w:rPr/>
        <w:t> </w:t>
      </w:r>
      <w:r>
        <w:rPr>
          <w:spacing w:val="-1"/>
        </w:rPr>
        <w:t>务在取得日的公允价值计量；如果其他方服务的公允价值不能可靠计量，但权益工具的公允价值能够可靠</w:t>
      </w:r>
      <w:r>
        <w:rPr>
          <w:spacing w:val="-81"/>
        </w:rPr>
        <w:t> </w:t>
      </w:r>
      <w:r>
        <w:rPr>
          <w:spacing w:val="-81"/>
        </w:rPr>
      </w:r>
      <w:r>
        <w:rPr/>
        <w:t>计量的，按照权益工具在服务取得日的公允价值计量，计入相关成本或费用，相应增加所有者权益。</w:t>
      </w:r>
    </w:p>
    <w:p>
      <w:pPr>
        <w:pStyle w:val="BodyText"/>
        <w:spacing w:line="273" w:lineRule="auto"/>
        <w:ind w:left="573" w:right="0"/>
        <w:jc w:val="left"/>
      </w:pPr>
      <w:r>
        <w:rPr/>
        <w:t>②以现金结算的股份支付 </w:t>
      </w:r>
      <w:r>
        <w:rPr>
          <w:spacing w:val="-1"/>
        </w:rPr>
        <w:t>授予后立即可行权的换取职工服务的以现金结算的股份支付，在授予日按公司承担负债的公允价值计</w:t>
      </w:r>
    </w:p>
    <w:p>
      <w:pPr>
        <w:pStyle w:val="BodyText"/>
        <w:spacing w:line="273" w:lineRule="auto"/>
        <w:ind w:right="1131"/>
        <w:jc w:val="both"/>
      </w:pPr>
      <w:r>
        <w:rPr>
          <w:spacing w:val="-1"/>
        </w:rPr>
        <w:t>入相关成本或费用，相应增加负债。完成等待期内的服务或达到规定业绩条件才可行权的换取职工服务的</w:t>
      </w:r>
      <w:r>
        <w:rPr>
          <w:spacing w:val="-81"/>
        </w:rPr>
        <w:t> </w:t>
      </w:r>
      <w:r>
        <w:rPr>
          <w:spacing w:val="-81"/>
        </w:rPr>
      </w:r>
      <w:r>
        <w:rPr>
          <w:spacing w:val="-1"/>
        </w:rPr>
        <w:t>以现金结算的股份支付，在等待期内的每个资产负债表日，以对可行权情况的最佳估计为基础，按公司承</w:t>
      </w:r>
      <w:r>
        <w:rPr>
          <w:spacing w:val="-83"/>
        </w:rPr>
        <w:t> </w:t>
      </w:r>
      <w:r>
        <w:rPr>
          <w:spacing w:val="-83"/>
        </w:rPr>
      </w:r>
      <w:r>
        <w:rPr/>
        <w:t>担负债的公允价值，将当期取得的服务计入相关成本或费用和相应的负债。</w:t>
      </w:r>
    </w:p>
    <w:p>
      <w:pPr>
        <w:pStyle w:val="BodyText"/>
        <w:spacing w:line="240" w:lineRule="auto"/>
        <w:ind w:left="573" w:right="0"/>
        <w:jc w:val="left"/>
      </w:pPr>
      <w:r>
        <w:rPr/>
        <w:t>（</w:t>
      </w:r>
      <w:r>
        <w:rPr>
          <w:rFonts w:ascii="Times New Roman" w:hAnsi="Times New Roman" w:cs="Times New Roman" w:eastAsia="Times New Roman" w:hint="default"/>
        </w:rPr>
        <w:t>3</w:t>
      </w:r>
      <w:r>
        <w:rPr/>
        <w:t>）权益工具公允价值的确定方法</w:t>
      </w:r>
    </w:p>
    <w:p>
      <w:pPr>
        <w:pStyle w:val="BodyText"/>
        <w:spacing w:line="240" w:lineRule="auto" w:before="21"/>
        <w:ind w:left="573" w:right="0"/>
        <w:jc w:val="left"/>
      </w:pPr>
      <w:r>
        <w:rPr/>
        <w:t>①存在活跃市场的，按照活跃市场中的报价确定。</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firstLine="420"/>
        <w:jc w:val="left"/>
      </w:pPr>
      <w:r>
        <w:rPr>
          <w:spacing w:val="-1"/>
        </w:rPr>
        <w:t>②不存在活跃市场的，采用估值技术确定，包括参考熟悉情况并自愿交易的各方最近进行的市场交易</w:t>
      </w:r>
      <w:r>
        <w:rPr/>
        <w:t> 中使用的价格、参照实质上相同的其他金融工具的当前公允价值、现金流量折现法和期权定价模型等。</w:t>
      </w:r>
    </w:p>
    <w:p>
      <w:pPr>
        <w:pStyle w:val="BodyText"/>
        <w:spacing w:line="273" w:lineRule="auto"/>
        <w:ind w:right="0" w:firstLine="420"/>
        <w:jc w:val="left"/>
      </w:pPr>
      <w:r>
        <w:rPr>
          <w:spacing w:val="-1"/>
        </w:rPr>
        <w:t>可行权权益工具最佳估计数是根据最新取得的可行权职工数变动等后续信息进行估计，修正预计可行</w:t>
      </w:r>
      <w:r>
        <w:rPr/>
        <w:t> 权的权益工具数量。在可行权日，最终预计可行权权益工具的数量与实际可行权数量一致。</w:t>
      </w:r>
    </w:p>
    <w:p>
      <w:pPr>
        <w:pStyle w:val="BodyText"/>
        <w:spacing w:line="256" w:lineRule="auto" w:before="8"/>
        <w:ind w:left="573" w:right="0"/>
        <w:jc w:val="left"/>
      </w:pPr>
      <w:r>
        <w:rPr/>
        <w:t>（</w:t>
      </w:r>
      <w:r>
        <w:rPr>
          <w:rFonts w:ascii="Times New Roman" w:hAnsi="Times New Roman" w:cs="Times New Roman" w:eastAsia="Times New Roman" w:hint="default"/>
        </w:rPr>
        <w:t>4</w:t>
      </w:r>
      <w:r>
        <w:rPr/>
        <w:t>）修改、终止股份支付计划的相关会计处理 </w:t>
      </w:r>
      <w:r>
        <w:rPr>
          <w:spacing w:val="-1"/>
        </w:rPr>
        <w:t>如果修改增加了所授予的权益工具的公允价值，公司按照权益工具公允价值的增加相应地确认取得服</w:t>
      </w:r>
    </w:p>
    <w:p>
      <w:pPr>
        <w:pStyle w:val="BodyText"/>
        <w:spacing w:line="273" w:lineRule="auto" w:before="22"/>
        <w:ind w:right="1131"/>
        <w:jc w:val="both"/>
      </w:pPr>
      <w:r>
        <w:rPr>
          <w:spacing w:val="-1"/>
        </w:rPr>
        <w:t>务的增加；如果修改增加了所授予的权益工具的数量，公司将增加的权益工具的公允价值相应地确认为取</w:t>
      </w:r>
      <w:r>
        <w:rPr>
          <w:spacing w:val="-81"/>
        </w:rPr>
        <w:t> </w:t>
      </w:r>
      <w:r>
        <w:rPr>
          <w:spacing w:val="-81"/>
        </w:rPr>
      </w:r>
      <w:r>
        <w:rPr>
          <w:spacing w:val="-1"/>
        </w:rPr>
        <w:t>得服务的增加；如果公司按照有利于职工的方式修改可行权条件，公司在处理可行权条件时，考虑修改后</w:t>
      </w:r>
      <w:r>
        <w:rPr>
          <w:spacing w:val="-83"/>
        </w:rPr>
        <w:t> </w:t>
      </w:r>
      <w:r>
        <w:rPr>
          <w:spacing w:val="-83"/>
        </w:rPr>
      </w:r>
      <w:r>
        <w:rPr/>
        <w:t>的可行权条件。</w:t>
      </w:r>
    </w:p>
    <w:p>
      <w:pPr>
        <w:pStyle w:val="BodyText"/>
        <w:spacing w:line="273" w:lineRule="auto"/>
        <w:ind w:right="0" w:firstLine="420"/>
        <w:jc w:val="left"/>
      </w:pPr>
      <w:r>
        <w:rPr>
          <w:spacing w:val="-1"/>
        </w:rPr>
        <w:t>如果修改减少了授予的权益工具的公允价值，公司继续以权益工具在授予日的公允价值为基础，确认</w:t>
      </w:r>
      <w:r>
        <w:rPr/>
        <w:t> </w:t>
      </w:r>
      <w:r>
        <w:rPr>
          <w:spacing w:val="-1"/>
        </w:rPr>
        <w:t>取得服务的金额，而不考虑权益工具公允价值的减少；如果修改减少了授予的权益工具的数量，公司将减</w:t>
      </w:r>
      <w:r>
        <w:rPr>
          <w:spacing w:val="-83"/>
        </w:rPr>
        <w:t> </w:t>
      </w:r>
      <w:r>
        <w:rPr>
          <w:spacing w:val="-83"/>
        </w:rPr>
      </w:r>
      <w:r>
        <w:rPr>
          <w:spacing w:val="-1"/>
        </w:rPr>
        <w:t>少部分作为已授予的权益工具的取消来进行处理；如果以不利于职工的方式修改了可行权条件，在处理可</w:t>
      </w:r>
      <w:r>
        <w:rPr>
          <w:spacing w:val="-81"/>
        </w:rPr>
        <w:t> </w:t>
      </w:r>
      <w:r>
        <w:rPr>
          <w:spacing w:val="-81"/>
        </w:rPr>
      </w:r>
      <w:r>
        <w:rPr/>
        <w:t>行权条件时，不考虑修改后的可行权条件。 </w:t>
      </w:r>
      <w:r>
        <w:rPr>
          <w:spacing w:val="-1"/>
        </w:rPr>
        <w:t>如果公司在等待期内取消了所授予的权益工具或结算了所授予的权益工具（因未满足可行权条件而被取消</w:t>
      </w:r>
      <w:r>
        <w:rPr>
          <w:spacing w:val="-81"/>
        </w:rPr>
        <w:t> </w:t>
      </w:r>
      <w:r>
        <w:rPr>
          <w:spacing w:val="-81"/>
        </w:rPr>
      </w:r>
      <w:r>
        <w:rPr/>
        <w:t>的除外），则将取消或结算作为加速可行权处理，立即确认原本在剩余等待期内确认的金额。</w:t>
      </w:r>
    </w:p>
    <w:p>
      <w:pPr>
        <w:spacing w:line="240" w:lineRule="auto" w:before="8"/>
        <w:rPr>
          <w:rFonts w:ascii="宋体" w:hAnsi="宋体" w:cs="宋体" w:eastAsia="宋体" w:hint="default"/>
          <w:sz w:val="23"/>
          <w:szCs w:val="23"/>
        </w:rPr>
      </w:pPr>
    </w:p>
    <w:p>
      <w:pPr>
        <w:pStyle w:val="Heading3"/>
        <w:spacing w:line="240" w:lineRule="auto"/>
        <w:ind w:left="153" w:right="0"/>
        <w:jc w:val="both"/>
        <w:rPr>
          <w:b w:val="0"/>
          <w:bCs w:val="0"/>
        </w:rPr>
      </w:pPr>
      <w:bookmarkStart w:name="27、优先股、永续债等其他金融工具" w:id="213"/>
      <w:bookmarkEnd w:id="213"/>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28、收入" w:id="214"/>
      <w:bookmarkEnd w:id="214"/>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58" w:lineRule="exact" w:before="0"/>
        <w:ind w:left="574" w:right="0"/>
        <w:jc w:val="left"/>
      </w:pPr>
      <w:r>
        <w:rPr/>
        <w:t>（</w:t>
      </w:r>
      <w:r>
        <w:rPr>
          <w:rFonts w:ascii="宋体" w:hAnsi="宋体" w:cs="宋体" w:eastAsia="宋体" w:hint="default"/>
        </w:rPr>
        <w:t>1</w:t>
      </w:r>
      <w:r>
        <w:rPr/>
        <w:t>）销售商品收入</w:t>
      </w:r>
    </w:p>
    <w:p>
      <w:pPr>
        <w:pStyle w:val="BodyText"/>
        <w:spacing w:line="237" w:lineRule="auto" w:before="38"/>
        <w:ind w:left="154" w:right="1131" w:firstLine="420"/>
        <w:jc w:val="both"/>
      </w:pPr>
      <w:r>
        <w:rPr>
          <w:spacing w:val="-1"/>
        </w:rPr>
        <w:t>在已将商品所有权上的重要风险和报酬转移给购货方，本公司不再对该商品实施继续管理权和实际控</w:t>
      </w:r>
      <w:r>
        <w:rPr/>
        <w:t> </w:t>
      </w:r>
      <w:r>
        <w:rPr>
          <w:spacing w:val="-1"/>
        </w:rPr>
        <w:t>制权，相关的收入已经收到或取得了收款的凭据，并且与销售该商品的成本能够可靠的计量时，确认收入</w:t>
      </w:r>
      <w:r>
        <w:rPr>
          <w:spacing w:val="-83"/>
        </w:rPr>
        <w:t> </w:t>
      </w:r>
      <w:r>
        <w:rPr>
          <w:spacing w:val="-83"/>
        </w:rPr>
      </w:r>
      <w:r>
        <w:rPr>
          <w:spacing w:val="-1"/>
        </w:rPr>
        <w:t>的实现。主要交易方式的具体销售确认的时间为：按转移商品所有权凭证或交付实物的时间为收入确认时</w:t>
      </w:r>
      <w:r>
        <w:rPr>
          <w:spacing w:val="-81"/>
        </w:rPr>
        <w:t> </w:t>
      </w:r>
      <w:r>
        <w:rPr>
          <w:spacing w:val="-81"/>
        </w:rPr>
      </w:r>
      <w:r>
        <w:rPr/>
        <w:t>点。</w:t>
      </w:r>
    </w:p>
    <w:p>
      <w:pPr>
        <w:pStyle w:val="BodyText"/>
        <w:spacing w:line="273" w:lineRule="auto" w:before="37"/>
        <w:ind w:left="574" w:right="0"/>
        <w:jc w:val="left"/>
      </w:pPr>
      <w:r>
        <w:rPr/>
        <w:t>（</w:t>
      </w:r>
      <w:r>
        <w:rPr>
          <w:rFonts w:ascii="宋体" w:hAnsi="宋体" w:cs="宋体" w:eastAsia="宋体" w:hint="default"/>
        </w:rPr>
        <w:t>2</w:t>
      </w:r>
      <w:r>
        <w:rPr/>
        <w:t>）提供劳务收入 </w:t>
      </w:r>
      <w:r>
        <w:rPr>
          <w:spacing w:val="-1"/>
        </w:rPr>
        <w:t>对在同一会计年度内开始并完成的劳务，于完成劳务时确认收入；如果劳务的开始和完成分属不同的</w:t>
      </w:r>
    </w:p>
    <w:p>
      <w:pPr>
        <w:pStyle w:val="BodyText"/>
        <w:spacing w:line="243" w:lineRule="exact" w:before="0"/>
        <w:ind w:left="154" w:right="0"/>
        <w:jc w:val="left"/>
      </w:pPr>
      <w:r>
        <w:rPr>
          <w:spacing w:val="-3"/>
        </w:rPr>
        <w:t>会计年度，则在提供劳务交易的结果能够可靠估计的情况下，于期末按完工百分比法确认相关的劳务收入。</w:t>
      </w:r>
    </w:p>
    <w:p>
      <w:pPr>
        <w:pStyle w:val="BodyText"/>
        <w:spacing w:line="273" w:lineRule="auto" w:before="38"/>
        <w:ind w:left="574" w:right="5502"/>
        <w:jc w:val="left"/>
      </w:pPr>
      <w:r>
        <w:rPr/>
        <w:t>（</w:t>
      </w:r>
      <w:r>
        <w:rPr>
          <w:rFonts w:ascii="宋体" w:hAnsi="宋体" w:cs="宋体" w:eastAsia="宋体" w:hint="default"/>
        </w:rPr>
        <w:t>3</w:t>
      </w:r>
      <w:r>
        <w:rPr/>
        <w:t>）让渡资产使用权收入 让渡资产使用权收入包括利息收入和使用费收入等；</w:t>
      </w:r>
    </w:p>
    <w:p>
      <w:pPr>
        <w:pStyle w:val="BodyText"/>
        <w:spacing w:line="240" w:lineRule="auto" w:before="6"/>
        <w:ind w:left="154" w:right="1131" w:firstLine="420"/>
        <w:jc w:val="both"/>
      </w:pPr>
      <w:r>
        <w:rPr>
          <w:spacing w:val="-1"/>
        </w:rPr>
        <w:t>利息收入金额，按照他人使用本公司货币资金的时间和实际利率计算确定；使用费收入金额，按照有</w:t>
      </w:r>
      <w:r>
        <w:rPr/>
        <w:t> 关合同或协议约定的收费时间和方法计算确定。</w:t>
      </w:r>
    </w:p>
    <w:p>
      <w:pPr>
        <w:pStyle w:val="BodyText"/>
        <w:spacing w:line="271" w:lineRule="auto" w:before="38"/>
        <w:ind w:left="574" w:right="0"/>
        <w:jc w:val="left"/>
      </w:pPr>
      <w:r>
        <w:rPr/>
        <w:t>（</w:t>
      </w:r>
      <w:r>
        <w:rPr>
          <w:rFonts w:ascii="宋体" w:hAnsi="宋体" w:cs="宋体" w:eastAsia="宋体" w:hint="default"/>
        </w:rPr>
        <w:t>4</w:t>
      </w:r>
      <w:r>
        <w:rPr/>
        <w:t>）建造合同收入 </w:t>
      </w:r>
      <w:r>
        <w:rPr>
          <w:spacing w:val="-1"/>
        </w:rPr>
        <w:t>依据《企业会计准则－建造合同》的规定，本公司的建造合同收入确认原则为完工百分比法。完工百</w:t>
      </w:r>
    </w:p>
    <w:p>
      <w:pPr>
        <w:pStyle w:val="BodyText"/>
        <w:spacing w:line="246" w:lineRule="exact" w:before="0"/>
        <w:ind w:left="154" w:right="0"/>
        <w:jc w:val="left"/>
      </w:pPr>
      <w:r>
        <w:rPr/>
        <w:t>分比法是指根据合同完工进度确认合同收入和成本的方法。具体原则为：</w:t>
      </w:r>
    </w:p>
    <w:p>
      <w:pPr>
        <w:pStyle w:val="BodyText"/>
        <w:spacing w:line="273" w:lineRule="auto" w:before="36"/>
        <w:ind w:left="573" w:right="4033"/>
        <w:jc w:val="left"/>
      </w:pPr>
      <w:r>
        <w:rPr/>
        <w:t>①建造合同收入，当下列条件均能满足时按完工百分比法予以确认： 合同总收入能够可靠地计量； 与合同相关的经济利益很可能流入企业； 实际发生的合同成本能够清楚地区分和可靠地计量； 合同完工进度和为完成合同尚需发生的成本能够可靠地确定。</w:t>
      </w:r>
    </w:p>
    <w:p>
      <w:pPr>
        <w:pStyle w:val="BodyText"/>
        <w:spacing w:line="240" w:lineRule="auto" w:before="9"/>
        <w:ind w:left="573" w:right="0"/>
        <w:jc w:val="left"/>
      </w:pPr>
      <w:r>
        <w:rPr/>
        <w:t>②完工百分比计算办法和建造工程收入确认原则</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BodyText"/>
        <w:spacing w:line="237" w:lineRule="auto" w:before="37"/>
        <w:ind w:left="154" w:right="1131" w:firstLine="420"/>
        <w:jc w:val="both"/>
      </w:pPr>
      <w:r>
        <w:rPr>
          <w:spacing w:val="-1"/>
        </w:rPr>
        <w:t>公司建造合同业务采用完工百分比法中的工作量法确认收入。按工程进度，公司工程项目一般处于三</w:t>
      </w:r>
      <w:r>
        <w:rPr/>
        <w:t> </w:t>
      </w:r>
      <w:r>
        <w:rPr>
          <w:spacing w:val="-1"/>
        </w:rPr>
        <w:t>种状态：未完工、竣工、结算。公司确认项目工作量主要依靠客户或第三方监理单位确认的工程完工进度</w:t>
      </w:r>
      <w:r>
        <w:rPr>
          <w:spacing w:val="-86"/>
        </w:rPr>
        <w:t> </w:t>
      </w:r>
      <w:r>
        <w:rPr>
          <w:spacing w:val="-86"/>
        </w:rPr>
      </w:r>
      <w:r>
        <w:rPr>
          <w:spacing w:val="-4"/>
        </w:rPr>
        <w:t>单或关键节点的正式报告（如工程竣工报告及工程结算报告）。</w:t>
      </w:r>
    </w:p>
    <w:p>
      <w:pPr>
        <w:spacing w:line="240" w:lineRule="auto" w:before="6"/>
        <w:rPr>
          <w:rFonts w:ascii="宋体" w:hAnsi="宋体" w:cs="宋体" w:eastAsia="宋体" w:hint="default"/>
          <w:sz w:val="5"/>
          <w:szCs w:val="5"/>
        </w:rPr>
      </w:pPr>
    </w:p>
    <w:p>
      <w:pPr>
        <w:spacing w:line="6220" w:lineRule="exact"/>
        <w:ind w:left="514" w:right="0" w:firstLine="0"/>
        <w:rPr>
          <w:rFonts w:ascii="宋体" w:hAnsi="宋体" w:cs="宋体" w:eastAsia="宋体" w:hint="default"/>
          <w:sz w:val="20"/>
          <w:szCs w:val="20"/>
        </w:rPr>
      </w:pPr>
      <w:r>
        <w:rPr>
          <w:rFonts w:ascii="宋体" w:hAnsi="宋体" w:cs="宋体" w:eastAsia="宋体" w:hint="default"/>
          <w:position w:val="-123"/>
          <w:sz w:val="20"/>
          <w:szCs w:val="20"/>
        </w:rPr>
        <w:drawing>
          <wp:inline distT="0" distB="0" distL="0" distR="0">
            <wp:extent cx="5299935" cy="3950208"/>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6" cstate="print"/>
                    <a:stretch>
                      <a:fillRect/>
                    </a:stretch>
                  </pic:blipFill>
                  <pic:spPr>
                    <a:xfrm>
                      <a:off x="0" y="0"/>
                      <a:ext cx="5299935" cy="3950208"/>
                    </a:xfrm>
                    <a:prstGeom prst="rect">
                      <a:avLst/>
                    </a:prstGeom>
                  </pic:spPr>
                </pic:pic>
              </a:graphicData>
            </a:graphic>
          </wp:inline>
        </w:drawing>
      </w:r>
      <w:r>
        <w:rPr>
          <w:rFonts w:ascii="宋体" w:hAnsi="宋体" w:cs="宋体" w:eastAsia="宋体" w:hint="default"/>
          <w:position w:val="-123"/>
          <w:sz w:val="20"/>
          <w:szCs w:val="20"/>
        </w:rPr>
      </w:r>
    </w:p>
    <w:p>
      <w:pPr>
        <w:pStyle w:val="BodyText"/>
        <w:spacing w:line="240" w:lineRule="auto" w:before="53"/>
        <w:ind w:left="573" w:right="0"/>
        <w:jc w:val="left"/>
      </w:pPr>
      <w:r>
        <w:rPr/>
        <w:t>公司建造工程收入确认的资料依据：</w:t>
      </w:r>
    </w:p>
    <w:p>
      <w:pPr>
        <w:spacing w:line="240" w:lineRule="auto" w:before="6"/>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1901"/>
        <w:gridCol w:w="2242"/>
        <w:gridCol w:w="4991"/>
      </w:tblGrid>
      <w:tr>
        <w:trPr>
          <w:trHeight w:val="44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30" w:right="0"/>
              <w:jc w:val="left"/>
              <w:rPr>
                <w:rFonts w:ascii="宋体" w:hAnsi="宋体" w:cs="宋体" w:eastAsia="宋体" w:hint="default"/>
                <w:sz w:val="21"/>
                <w:szCs w:val="21"/>
              </w:rPr>
            </w:pPr>
            <w:r>
              <w:rPr>
                <w:rFonts w:ascii="宋体" w:hAnsi="宋体" w:cs="宋体" w:eastAsia="宋体" w:hint="default"/>
                <w:sz w:val="21"/>
                <w:szCs w:val="21"/>
              </w:rPr>
              <w:t>提供方</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4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文件名称</w:t>
            </w:r>
          </w:p>
        </w:tc>
      </w:tr>
      <w:tr>
        <w:trPr>
          <w:trHeight w:val="754" w:hRule="exact"/>
        </w:trPr>
        <w:tc>
          <w:tcPr>
            <w:tcW w:w="19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客户或监理单位</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中间进度确认报告</w:t>
            </w:r>
          </w:p>
        </w:tc>
        <w:tc>
          <w:tcPr>
            <w:tcW w:w="49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5"/>
              <w:ind w:left="103" w:right="102"/>
              <w:jc w:val="left"/>
              <w:rPr>
                <w:rFonts w:ascii="宋体" w:hAnsi="宋体" w:cs="宋体" w:eastAsia="宋体" w:hint="default"/>
                <w:sz w:val="21"/>
                <w:szCs w:val="21"/>
              </w:rPr>
            </w:pPr>
            <w:r>
              <w:rPr>
                <w:rFonts w:ascii="宋体" w:hAnsi="宋体" w:cs="宋体" w:eastAsia="宋体" w:hint="default"/>
                <w:spacing w:val="-3"/>
                <w:sz w:val="21"/>
                <w:szCs w:val="21"/>
              </w:rPr>
              <w:t>《工作联系单》、《工作进度确认函》或《工程形象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进度报告》</w:t>
            </w:r>
          </w:p>
        </w:tc>
      </w:tr>
      <w:tr>
        <w:trPr>
          <w:trHeight w:val="442" w:hRule="exact"/>
        </w:trPr>
        <w:tc>
          <w:tcPr>
            <w:tcW w:w="1901" w:type="dxa"/>
            <w:vMerge/>
            <w:tcBorders>
              <w:left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竣工报告</w:t>
            </w:r>
          </w:p>
        </w:tc>
        <w:tc>
          <w:tcPr>
            <w:tcW w:w="4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《工程竣工验收单》或《工程竣工报告》</w:t>
            </w:r>
          </w:p>
        </w:tc>
      </w:tr>
      <w:tr>
        <w:trPr>
          <w:trHeight w:val="443" w:hRule="exact"/>
        </w:trPr>
        <w:tc>
          <w:tcPr>
            <w:tcW w:w="1901" w:type="dxa"/>
            <w:vMerge/>
            <w:tcBorders>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21"/>
                <w:szCs w:val="21"/>
              </w:rPr>
            </w:pPr>
            <w:r>
              <w:rPr>
                <w:rFonts w:ascii="宋体" w:hAnsi="宋体" w:cs="宋体" w:eastAsia="宋体" w:hint="default"/>
                <w:sz w:val="21"/>
                <w:szCs w:val="21"/>
              </w:rPr>
              <w:t>结算报告</w:t>
            </w:r>
          </w:p>
        </w:tc>
        <w:tc>
          <w:tcPr>
            <w:tcW w:w="4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21"/>
                <w:szCs w:val="21"/>
              </w:rPr>
            </w:pPr>
            <w:r>
              <w:rPr>
                <w:rFonts w:ascii="宋体" w:hAnsi="宋体" w:cs="宋体" w:eastAsia="宋体" w:hint="default"/>
                <w:sz w:val="21"/>
                <w:szCs w:val="21"/>
              </w:rPr>
              <w:t>《工程结算书》或《工程结算报告》</w:t>
            </w:r>
          </w:p>
        </w:tc>
      </w:tr>
      <w:tr>
        <w:trPr>
          <w:trHeight w:val="442"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公司工程部门</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完工进度资料</w:t>
            </w:r>
          </w:p>
        </w:tc>
        <w:tc>
          <w:tcPr>
            <w:tcW w:w="4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《工程实施进度表》或《项目完工结算表》</w:t>
            </w:r>
          </w:p>
        </w:tc>
      </w:tr>
    </w:tbl>
    <w:p>
      <w:pPr>
        <w:pStyle w:val="BodyText"/>
        <w:spacing w:line="273" w:lineRule="auto" w:before="5"/>
        <w:ind w:left="573" w:right="0"/>
        <w:jc w:val="left"/>
      </w:pPr>
      <w:r>
        <w:rPr/>
        <w:t>建造工程的完工进度</w:t>
      </w:r>
      <w:r>
        <w:rPr>
          <w:rFonts w:ascii="宋体" w:hAnsi="宋体" w:cs="宋体" w:eastAsia="宋体" w:hint="default"/>
        </w:rPr>
        <w:t>=</w:t>
      </w:r>
      <w:r>
        <w:rPr/>
        <w:t>已完成的合同工作量</w:t>
      </w:r>
      <w:r>
        <w:rPr>
          <w:rFonts w:ascii="宋体" w:hAnsi="宋体" w:cs="宋体" w:eastAsia="宋体" w:hint="default"/>
        </w:rPr>
        <w:t>/</w:t>
      </w:r>
      <w:r>
        <w:rPr/>
        <w:t>合同预计总工作量×</w:t>
      </w:r>
      <w:r>
        <w:rPr>
          <w:rFonts w:ascii="宋体" w:hAnsi="宋体" w:cs="宋体" w:eastAsia="宋体" w:hint="default"/>
        </w:rPr>
        <w:t>100% </w:t>
      </w:r>
      <w:r>
        <w:rPr>
          <w:spacing w:val="-1"/>
        </w:rPr>
        <w:t>建造工程项目预计的总工作量根据建造工程预算资料合理预计，建造工程预算资料是由达实智能工程</w:t>
      </w:r>
    </w:p>
    <w:p>
      <w:pPr>
        <w:pStyle w:val="BodyText"/>
        <w:spacing w:line="244" w:lineRule="exact" w:before="0"/>
        <w:ind w:right="0"/>
        <w:jc w:val="left"/>
      </w:pPr>
      <w:r>
        <w:rPr/>
        <w:t>预算部门按工程合同约定的工程材料和工程量等进行计算、编制。</w:t>
      </w:r>
    </w:p>
    <w:p>
      <w:pPr>
        <w:pStyle w:val="BodyText"/>
        <w:spacing w:line="273" w:lineRule="auto" w:before="37"/>
        <w:ind w:left="573" w:right="0"/>
        <w:jc w:val="left"/>
      </w:pPr>
      <w:r>
        <w:rPr/>
        <w:t>建造工程收入确认原则： 未完工结算建造工程的工程收入</w:t>
      </w:r>
      <w:r>
        <w:rPr>
          <w:rFonts w:ascii="宋体" w:hAnsi="宋体" w:cs="宋体" w:eastAsia="宋体" w:hint="default"/>
        </w:rPr>
        <w:t>=</w:t>
      </w:r>
      <w:r>
        <w:rPr/>
        <w:t>完工进度×合同总收入－以前会计年度累计已确认的工程收入 竣工未结算建造工程的工程收入</w:t>
      </w:r>
      <w:r>
        <w:rPr>
          <w:rFonts w:ascii="宋体" w:hAnsi="宋体" w:cs="宋体" w:eastAsia="宋体" w:hint="default"/>
        </w:rPr>
        <w:t>=90%</w:t>
      </w:r>
      <w:r>
        <w:rPr/>
        <w:t>×合同总收入－以前会计年度累计已确认的工程收入 已完工结算建造工程的工程收入</w:t>
      </w:r>
      <w:r>
        <w:rPr>
          <w:rFonts w:ascii="宋体" w:hAnsi="宋体" w:cs="宋体" w:eastAsia="宋体" w:hint="default"/>
        </w:rPr>
        <w:t>=</w:t>
      </w:r>
      <w:r>
        <w:rPr/>
        <w:t>结算收入（或已全额结算收入）－以前会计年度累计已确认的工程</w:t>
      </w:r>
    </w:p>
    <w:p>
      <w:pPr>
        <w:pStyle w:val="BodyText"/>
        <w:spacing w:line="244" w:lineRule="exact" w:before="0"/>
        <w:ind w:left="154" w:right="0"/>
        <w:jc w:val="left"/>
      </w:pPr>
      <w:r>
        <w:rPr/>
        <w:t>收入</w:t>
      </w:r>
    </w:p>
    <w:p>
      <w:pPr>
        <w:pStyle w:val="BodyText"/>
        <w:spacing w:line="237" w:lineRule="auto" w:before="39"/>
        <w:ind w:left="154" w:right="1131" w:firstLine="420"/>
        <w:jc w:val="both"/>
      </w:pPr>
      <w:r>
        <w:rPr>
          <w:spacing w:val="-1"/>
        </w:rPr>
        <w:t>③如果建造合同的结果不能可靠地估计，且合同成本能够收回的，合同收入根据能够收回的实际合同</w:t>
      </w:r>
      <w:r>
        <w:rPr/>
        <w:t> </w:t>
      </w:r>
      <w:r>
        <w:rPr>
          <w:spacing w:val="-1"/>
        </w:rPr>
        <w:t>成本加以确认，合同成本在其发生的当期确认为合同费用；合同成本不能收回的，于发生时立即确认为费</w:t>
      </w:r>
      <w:r>
        <w:rPr>
          <w:spacing w:val="-83"/>
        </w:rPr>
        <w:t> </w:t>
      </w:r>
      <w:r>
        <w:rPr>
          <w:spacing w:val="-83"/>
        </w:rPr>
      </w:r>
      <w:r>
        <w:rPr/>
        <w:t>用，不确认收入。</w:t>
      </w:r>
    </w:p>
    <w:p>
      <w:pPr>
        <w:pStyle w:val="BodyText"/>
        <w:spacing w:line="240" w:lineRule="auto" w:before="37"/>
        <w:ind w:left="573" w:right="0"/>
        <w:jc w:val="left"/>
      </w:pPr>
      <w:r>
        <w:rPr/>
        <w:t>④如果合同预计总成本将超过合同预计总收入，超过部分作为预计损失立即计入当期费用。</w:t>
      </w:r>
    </w:p>
    <w:p>
      <w:pPr>
        <w:pStyle w:val="BodyText"/>
        <w:spacing w:line="240" w:lineRule="auto" w:before="38"/>
        <w:ind w:left="573" w:right="0"/>
        <w:jc w:val="left"/>
      </w:pPr>
      <w:r>
        <w:rPr/>
        <w:t>（</w:t>
      </w:r>
      <w:r>
        <w:rPr>
          <w:rFonts w:ascii="宋体" w:hAnsi="宋体" w:cs="宋体" w:eastAsia="宋体" w:hint="default"/>
        </w:rPr>
        <w:t>5</w:t>
      </w:r>
      <w:r>
        <w:rPr/>
        <w:t>）节能服务合同业务收入</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BodyText"/>
        <w:spacing w:line="237" w:lineRule="auto" w:before="37"/>
        <w:ind w:right="1026" w:firstLine="420"/>
        <w:jc w:val="both"/>
      </w:pPr>
      <w:r>
        <w:rPr/>
        <w:t>节能服务合同业务基本情况：公司利用自身技术，通过为客户节约能源，获得节能分成来达到盈利目 的；项目服务期通常为 </w:t>
      </w:r>
      <w:r>
        <w:rPr>
          <w:rFonts w:ascii="宋体" w:hAnsi="宋体" w:cs="宋体" w:eastAsia="宋体" w:hint="default"/>
        </w:rPr>
        <w:t>3-15</w:t>
      </w:r>
      <w:r>
        <w:rPr>
          <w:rFonts w:ascii="宋体" w:hAnsi="宋体" w:cs="宋体" w:eastAsia="宋体" w:hint="default"/>
          <w:spacing w:val="-24"/>
        </w:rPr>
        <w:t> </w:t>
      </w:r>
      <w:r>
        <w:rPr/>
        <w:t>年；在经营过程中，公司为节能项目提供相应的设备；在经营期间，相应设 备由客户代为保管；在项目进行过程中，公司为客户提供相关节能的服务；在项目结束后，公司会将相应 </w:t>
      </w:r>
      <w:r>
        <w:rPr>
          <w:spacing w:val="-3"/>
        </w:rPr>
        <w:t>设备转移给其客户，不再另行收费；在项目结束后，客户如需后续服务，公司会予以提供，但需另行收费。</w:t>
      </w:r>
    </w:p>
    <w:p>
      <w:pPr>
        <w:pStyle w:val="BodyText"/>
        <w:spacing w:line="237" w:lineRule="auto" w:before="38"/>
        <w:ind w:right="1131" w:firstLine="420"/>
        <w:jc w:val="both"/>
      </w:pPr>
      <w:r>
        <w:rPr>
          <w:spacing w:val="-1"/>
        </w:rPr>
        <w:t>节能服务合同业务收入在满足收入确认条件时按双方约定的节能效果来计算确定，公司用于节能项目</w:t>
      </w:r>
      <w:r>
        <w:rPr/>
        <w:t> </w:t>
      </w:r>
      <w:r>
        <w:rPr>
          <w:spacing w:val="-1"/>
        </w:rPr>
        <w:t>的设备作为固定资产处理，使用寿命按项目期确定，计提折旧的年限按项目主要受益期确定，计提的折旧</w:t>
      </w:r>
      <w:r>
        <w:rPr>
          <w:spacing w:val="-83"/>
        </w:rPr>
        <w:t> </w:t>
      </w:r>
      <w:r>
        <w:rPr>
          <w:spacing w:val="-83"/>
        </w:rPr>
      </w:r>
      <w:r>
        <w:rPr/>
        <w:t>计入节能服务业务成本，与节能服务相关的费用计入当期费用。</w:t>
      </w:r>
    </w:p>
    <w:p>
      <w:pPr>
        <w:pStyle w:val="BodyText"/>
        <w:spacing w:line="273" w:lineRule="auto" w:before="56"/>
        <w:ind w:right="1141" w:firstLine="420"/>
        <w:jc w:val="both"/>
      </w:pPr>
      <w:r>
        <w:rPr/>
        <w:t>（</w:t>
      </w:r>
      <w:r>
        <w:rPr>
          <w:rFonts w:ascii="宋体" w:hAnsi="宋体" w:cs="宋体" w:eastAsia="宋体" w:hint="default"/>
        </w:rPr>
        <w:t>6</w:t>
      </w:r>
      <w:r>
        <w:rPr/>
        <w:t>）租赁收入：租赁服务费收入按照合同约定确认收入，租息收入以天为基数按照权责发生制原则 计入当月收入。</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29、政府补助" w:id="215"/>
      <w:bookmarkEnd w:id="215"/>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资产相关的政府补助判断依据及会计处理方法" w:id="216"/>
      <w:bookmarkEnd w:id="216"/>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①类型</w:t>
      </w:r>
    </w:p>
    <w:p>
      <w:pPr>
        <w:spacing w:line="312" w:lineRule="auto" w:before="76"/>
        <w:ind w:left="153" w:right="1131" w:firstLine="360"/>
        <w:jc w:val="both"/>
        <w:rPr>
          <w:rFonts w:ascii="宋体" w:hAnsi="宋体" w:cs="宋体" w:eastAsia="宋体" w:hint="default"/>
          <w:sz w:val="18"/>
          <w:szCs w:val="18"/>
        </w:rPr>
      </w:pPr>
      <w:r>
        <w:rPr>
          <w:rFonts w:ascii="宋体" w:hAnsi="宋体" w:cs="宋体" w:eastAsia="宋体" w:hint="default"/>
          <w:spacing w:val="-2"/>
          <w:sz w:val="18"/>
          <w:szCs w:val="18"/>
        </w:rPr>
        <w:t>政府补助是指本公司从政府无偿取得货币性资产和非货币性资产，不包括政府作为所有者投入的资本。政府补助分为与</w:t>
      </w:r>
      <w:r>
        <w:rPr>
          <w:rFonts w:ascii="宋体" w:hAnsi="宋体" w:cs="宋体" w:eastAsia="宋体" w:hint="default"/>
          <w:sz w:val="18"/>
          <w:szCs w:val="18"/>
        </w:rPr>
        <w:t> </w:t>
      </w:r>
      <w:r>
        <w:rPr>
          <w:rFonts w:ascii="宋体" w:hAnsi="宋体" w:cs="宋体" w:eastAsia="宋体" w:hint="default"/>
          <w:spacing w:val="-2"/>
          <w:sz w:val="18"/>
          <w:szCs w:val="18"/>
        </w:rPr>
        <w:t>资产相关的政府补助和与收益相关的政府补助。与资产相关的政府补助，是指企业取得的、用于购建或以其他方式形成的长</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期资产，包括购买固定资产或无形资产的财政拨款、固定资产专门借款的财政贴息等，但不包括公司合同能源管理对外投资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形成的资产。与收益相关的政府补助，是指除与资产相关的政府补助之外的政府补助。若政府文件未明确规定补助对象，则</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采用以下方式将补助款划分为与收益相关的政府补助和与资产相关的政府补助：（</w:t>
      </w:r>
      <w:r>
        <w:rPr>
          <w:rFonts w:ascii="Times New Roman" w:hAnsi="Times New Roman" w:cs="Times New Roman" w:eastAsia="Times New Roman" w:hint="default"/>
          <w:sz w:val="18"/>
          <w:szCs w:val="18"/>
        </w:rPr>
        <w:t>1</w:t>
      </w:r>
      <w:r>
        <w:rPr>
          <w:rFonts w:ascii="宋体" w:hAnsi="宋体" w:cs="宋体" w:eastAsia="宋体" w:hint="default"/>
          <w:sz w:val="18"/>
          <w:szCs w:val="18"/>
        </w:rPr>
        <w:t>）政府文件明确了补助所针对的特定项 </w:t>
      </w:r>
      <w:r>
        <w:rPr>
          <w:rFonts w:ascii="宋体" w:hAnsi="宋体" w:cs="宋体" w:eastAsia="宋体" w:hint="default"/>
          <w:spacing w:val="-2"/>
          <w:sz w:val="18"/>
          <w:szCs w:val="18"/>
        </w:rPr>
        <w:t>目的，根据该特定项目的预算中将形成资产的支出金额和计入费用的支出金额的相对比例进行划分，对该划分比例需在每个</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资产负债表日进行复核，必要时进行变更；（</w:t>
      </w:r>
      <w:r>
        <w:rPr>
          <w:rFonts w:ascii="Times New Roman" w:hAnsi="Times New Roman" w:cs="Times New Roman" w:eastAsia="Times New Roman" w:hint="default"/>
          <w:sz w:val="18"/>
          <w:szCs w:val="18"/>
        </w:rPr>
        <w:t>2</w:t>
      </w:r>
      <w:r>
        <w:rPr>
          <w:rFonts w:ascii="宋体" w:hAnsi="宋体" w:cs="宋体" w:eastAsia="宋体" w:hint="default"/>
          <w:sz w:val="18"/>
          <w:szCs w:val="18"/>
        </w:rPr>
        <w:t>）政府文件中对用途仅作一般性表述，没有指明特定项目的，作为与收益相 关的政府补助。</w:t>
      </w:r>
    </w:p>
    <w:p>
      <w:pPr>
        <w:spacing w:before="23"/>
        <w:ind w:left="153" w:right="0" w:firstLine="0"/>
        <w:jc w:val="left"/>
        <w:rPr>
          <w:rFonts w:ascii="宋体" w:hAnsi="宋体" w:cs="宋体" w:eastAsia="宋体" w:hint="default"/>
          <w:sz w:val="18"/>
          <w:szCs w:val="18"/>
        </w:rPr>
      </w:pPr>
      <w:r>
        <w:rPr>
          <w:rFonts w:ascii="宋体" w:hAnsi="宋体" w:cs="宋体" w:eastAsia="宋体" w:hint="default"/>
          <w:sz w:val="18"/>
          <w:szCs w:val="18"/>
        </w:rPr>
        <w:t>②会计政策</w:t>
      </w:r>
    </w:p>
    <w:p>
      <w:pPr>
        <w:spacing w:line="304" w:lineRule="auto" w:before="7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资产相关政府补助和与收益相关政府补助的具体标准： </w:t>
      </w:r>
      <w:r>
        <w:rPr>
          <w:rFonts w:ascii="Times New Roman" w:hAnsi="Times New Roman" w:cs="Times New Roman" w:eastAsia="Times New Roman" w:hint="default"/>
          <w:sz w:val="18"/>
          <w:szCs w:val="18"/>
        </w:rPr>
        <w:t>1)</w:t>
      </w:r>
      <w:r>
        <w:rPr>
          <w:rFonts w:ascii="宋体" w:hAnsi="宋体" w:cs="宋体" w:eastAsia="宋体" w:hint="default"/>
          <w:sz w:val="18"/>
          <w:szCs w:val="18"/>
        </w:rPr>
        <w:t>政府补助为货币性资产的，按照收到或应收的金额计量。政府补助为非货币性资产的，按照公允价值计量；公允价值不能 可靠取得的，按照名义金额计量。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与资产相关的政府补助，确认为递延收益，自相关资产达到预定可使用状态时起，在该资产使用寿命内平均计入各期损益。</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相关资产在使用寿命结束前被出售、转让、报废或发生毁损的，将递延收益余额一次性转入资产处置当期的损益。</w:t>
      </w:r>
    </w:p>
    <w:p>
      <w:pPr>
        <w:spacing w:line="300" w:lineRule="auto" w:before="28"/>
        <w:ind w:left="153" w:right="5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政府补助的确认时点 本公司在能够满足政府补助所附条件且实际收到时，确认为政府补助。</w:t>
      </w:r>
    </w:p>
    <w:p>
      <w:pPr>
        <w:spacing w:line="240" w:lineRule="auto" w:before="6"/>
        <w:rPr>
          <w:rFonts w:ascii="宋体" w:hAnsi="宋体" w:cs="宋体" w:eastAsia="宋体" w:hint="default"/>
          <w:sz w:val="23"/>
          <w:szCs w:val="23"/>
        </w:rPr>
      </w:pPr>
    </w:p>
    <w:p>
      <w:pPr>
        <w:pStyle w:val="Heading3"/>
        <w:spacing w:line="240" w:lineRule="auto"/>
        <w:ind w:left="153" w:right="0"/>
        <w:jc w:val="left"/>
        <w:rPr>
          <w:b w:val="0"/>
          <w:bCs w:val="0"/>
        </w:rPr>
      </w:pPr>
      <w:bookmarkStart w:name="（2）与收益相关的政府补助判断依据及会计处理方法" w:id="217"/>
      <w:bookmarkEnd w:id="217"/>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left="154" w:right="0"/>
        <w:jc w:val="left"/>
      </w:pPr>
      <w:r>
        <w:rPr>
          <w:spacing w:val="-1"/>
        </w:rPr>
        <w:t>①用于补偿以后期间的相关费用或损失的，确认为递延收益，在确认相关费用的期间计入当期损益；用于</w:t>
      </w:r>
      <w:r>
        <w:rPr>
          <w:spacing w:val="-83"/>
        </w:rPr>
        <w:t> </w:t>
      </w:r>
      <w:r>
        <w:rPr>
          <w:spacing w:val="-83"/>
        </w:rPr>
      </w:r>
      <w:r>
        <w:rPr/>
        <w:t>补偿已经发生的相关费用或损失的，取得时直接计入当期损益；</w:t>
      </w:r>
    </w:p>
    <w:p>
      <w:pPr>
        <w:pStyle w:val="BodyText"/>
        <w:spacing w:line="273" w:lineRule="auto"/>
        <w:ind w:right="0"/>
        <w:jc w:val="left"/>
      </w:pPr>
      <w:r>
        <w:rPr>
          <w:spacing w:val="-1"/>
        </w:rPr>
        <w:t>②与公司建筑智能化与建筑节能项目相关的政府补助，实际收到时确认为递延收益，以后根据工程项目的</w:t>
      </w:r>
      <w:r>
        <w:rPr>
          <w:spacing w:val="-81"/>
        </w:rPr>
        <w:t> </w:t>
      </w:r>
      <w:r>
        <w:rPr>
          <w:spacing w:val="-81"/>
        </w:rPr>
      </w:r>
      <w:r>
        <w:rPr/>
        <w:t>进度按比例转入当期损益；</w:t>
      </w:r>
    </w:p>
    <w:p>
      <w:pPr>
        <w:pStyle w:val="BodyText"/>
        <w:spacing w:line="273" w:lineRule="auto"/>
        <w:ind w:right="1118"/>
        <w:jc w:val="left"/>
      </w:pPr>
      <w:r>
        <w:rPr>
          <w:spacing w:val="-1"/>
        </w:rPr>
        <w:t>③与研发相关的政府补助，若需要相关部门验收的，则于实际收到时确认为递延收益，待验收通过后转入</w:t>
      </w:r>
      <w:r>
        <w:rPr>
          <w:spacing w:val="-83"/>
        </w:rPr>
        <w:t> </w:t>
      </w:r>
      <w:r>
        <w:rPr>
          <w:spacing w:val="-83"/>
        </w:rPr>
      </w:r>
      <w:r>
        <w:rPr/>
        <w:t>当期损益。</w:t>
      </w:r>
    </w:p>
    <w:p>
      <w:pPr>
        <w:pStyle w:val="BodyText"/>
        <w:spacing w:line="240" w:lineRule="auto"/>
        <w:ind w:right="0"/>
        <w:jc w:val="left"/>
      </w:pPr>
      <w:r>
        <w:rPr/>
        <w:t>④已确认的政府补助需要返还的，分别下列情况处理：</w:t>
      </w:r>
    </w:p>
    <w:p>
      <w:pPr>
        <w:pStyle w:val="BodyText"/>
        <w:spacing w:line="240" w:lineRule="auto" w:before="37"/>
        <w:ind w:right="0"/>
        <w:jc w:val="left"/>
      </w:pPr>
      <w:r>
        <w:rPr>
          <w:rFonts w:ascii="Times New Roman" w:hAnsi="Times New Roman" w:cs="Times New Roman" w:eastAsia="Times New Roman" w:hint="default"/>
        </w:rPr>
        <w:t>1</w:t>
      </w:r>
      <w:r>
        <w:rPr/>
        <w:t>）存在相关递延收益的，冲减相关递延收益账面余额，超出部分计入当期损益。</w:t>
      </w:r>
    </w:p>
    <w:p>
      <w:pPr>
        <w:pStyle w:val="BodyText"/>
        <w:spacing w:line="240" w:lineRule="auto" w:before="21"/>
        <w:ind w:right="0"/>
        <w:jc w:val="left"/>
      </w:pPr>
      <w:r>
        <w:rPr>
          <w:rFonts w:ascii="Times New Roman" w:hAnsi="Times New Roman" w:cs="Times New Roman" w:eastAsia="Times New Roman" w:hint="default"/>
        </w:rPr>
        <w:t>2</w:t>
      </w:r>
      <w:r>
        <w:rPr/>
        <w:t>）不存在相关递延收益的，直接计入当期损益。</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0、递延所得税资产/递延所得税负债" w:id="218"/>
      <w:bookmarkEnd w:id="218"/>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BodyText"/>
        <w:spacing w:line="268" w:lineRule="auto" w:before="0"/>
        <w:ind w:left="154" w:right="0"/>
        <w:jc w:val="left"/>
      </w:pPr>
      <w:r>
        <w:rPr/>
        <w:t>（</w:t>
      </w:r>
      <w:r>
        <w:rPr>
          <w:rFonts w:ascii="Times New Roman" w:hAnsi="Times New Roman" w:cs="Times New Roman" w:eastAsia="Times New Roman" w:hint="default"/>
        </w:rPr>
        <w:t>1</w:t>
      </w:r>
      <w:r>
        <w:rPr/>
        <w:t>）暂时性差异 </w:t>
      </w:r>
      <w:r>
        <w:rPr>
          <w:spacing w:val="-1"/>
        </w:rPr>
        <w:t>暂时性差异包括资产与负债的账面价值与计税基础之间的差额，以及未作为资产和负债确认，但按照税法</w:t>
      </w:r>
      <w:r>
        <w:rPr>
          <w:spacing w:val="-81"/>
        </w:rPr>
        <w:t> </w:t>
      </w:r>
      <w:r>
        <w:rPr>
          <w:spacing w:val="-81"/>
        </w:rPr>
      </w:r>
      <w:r>
        <w:rPr>
          <w:spacing w:val="-1"/>
        </w:rPr>
        <w:t>规定可以确定其计税基础的项目的账面价值与计税基础之间的差额。暂时性差异分为应纳税暂时性差异和</w:t>
      </w:r>
      <w:r>
        <w:rPr>
          <w:spacing w:val="-81"/>
        </w:rPr>
        <w:t> </w:t>
      </w:r>
      <w:r>
        <w:rPr>
          <w:spacing w:val="-81"/>
        </w:rPr>
      </w:r>
      <w:r>
        <w:rPr/>
        <w:t>可抵扣暂时性差异。</w:t>
      </w:r>
    </w:p>
    <w:p>
      <w:pPr>
        <w:pStyle w:val="BodyText"/>
        <w:spacing w:line="271" w:lineRule="auto" w:before="12"/>
        <w:ind w:right="0"/>
        <w:jc w:val="left"/>
      </w:pPr>
      <w:r>
        <w:rPr/>
        <w:t>（</w:t>
      </w:r>
      <w:r>
        <w:rPr>
          <w:rFonts w:ascii="Times New Roman" w:hAnsi="Times New Roman" w:cs="Times New Roman" w:eastAsia="Times New Roman" w:hint="default"/>
        </w:rPr>
        <w:t>2</w:t>
      </w:r>
      <w:r>
        <w:rPr/>
        <w:t>）递延所得税资产的确认依据 </w:t>
      </w:r>
      <w:r>
        <w:rPr>
          <w:spacing w:val="-1"/>
        </w:rPr>
        <w:t>对于可抵扣暂时性差异、能够结转以后年度的可抵扣亏损和税款抵减，本公司以很可能取得用来抵扣可抵</w:t>
      </w:r>
      <w:r>
        <w:rPr>
          <w:spacing w:val="-81"/>
        </w:rPr>
        <w:t> </w:t>
      </w:r>
      <w:r>
        <w:rPr>
          <w:spacing w:val="-81"/>
        </w:rPr>
      </w:r>
      <w:r>
        <w:rPr/>
        <w:t>扣暂时性差异、可抵扣亏损和税款抵减的未来应纳税所得额为限，确认由此产生的递延所得税资产。 </w:t>
      </w:r>
      <w:r>
        <w:rPr>
          <w:spacing w:val="-1"/>
        </w:rPr>
        <w:t>同时具有下列特征的交易中因资产或负债的初始确认所产生的递延所得税资产不予确认：①该交易不是企</w:t>
      </w:r>
      <w:r>
        <w:rPr>
          <w:spacing w:val="-81"/>
        </w:rPr>
        <w:t> </w:t>
      </w:r>
      <w:r>
        <w:rPr>
          <w:spacing w:val="-81"/>
        </w:rPr>
      </w:r>
      <w:r>
        <w:rPr/>
        <w:t>业合并；②交易发生时既不影响会计利润也不影响应纳税所得额（或可抵扣亏损）； </w:t>
      </w:r>
      <w:r>
        <w:rPr>
          <w:spacing w:val="-1"/>
        </w:rPr>
        <w:t>公司对于与子公司、联营企业及合营企业投资相关的可抵扣暂时性差异，同时满足下列条件的，确认相应</w:t>
      </w:r>
      <w:r>
        <w:rPr>
          <w:spacing w:val="-83"/>
        </w:rPr>
        <w:t> </w:t>
      </w:r>
      <w:r>
        <w:rPr>
          <w:spacing w:val="-83"/>
        </w:rPr>
      </w:r>
      <w:r>
        <w:rPr>
          <w:spacing w:val="-1"/>
        </w:rPr>
        <w:t>的递延所得税资产：①暂时性差异在可预见的未来很可能转回；②未来很可能获得用来抵扣可抵扣暂时性</w:t>
      </w:r>
      <w:r>
        <w:rPr>
          <w:spacing w:val="-81"/>
        </w:rPr>
        <w:t> </w:t>
      </w:r>
      <w:r>
        <w:rPr>
          <w:spacing w:val="-81"/>
        </w:rPr>
      </w:r>
      <w:r>
        <w:rPr/>
        <w:t>差异的应纳税所得额。</w:t>
      </w:r>
    </w:p>
    <w:p>
      <w:pPr>
        <w:pStyle w:val="BodyText"/>
        <w:spacing w:line="256" w:lineRule="auto" w:before="10"/>
        <w:ind w:right="5503"/>
        <w:jc w:val="left"/>
      </w:pPr>
      <w:r>
        <w:rPr/>
        <w:t>（</w:t>
      </w:r>
      <w:r>
        <w:rPr>
          <w:rFonts w:ascii="Times New Roman" w:hAnsi="Times New Roman" w:cs="Times New Roman" w:eastAsia="Times New Roman" w:hint="default"/>
        </w:rPr>
        <w:t>3</w:t>
      </w:r>
      <w:r>
        <w:rPr/>
        <w:t>）递延所得税负债的确认依据 对于各种应纳税暂时性差异均据以确认递延所得税负债。</w:t>
      </w:r>
    </w:p>
    <w:p>
      <w:pPr>
        <w:pStyle w:val="BodyText"/>
        <w:spacing w:line="273" w:lineRule="auto" w:before="22"/>
        <w:ind w:right="0"/>
        <w:jc w:val="left"/>
      </w:pPr>
      <w:r>
        <w:rPr>
          <w:spacing w:val="-1"/>
        </w:rPr>
        <w:t>但公司对在以下交易中产生的应纳税暂时性差异不确认递延所得税负债：①商誉的初始确认；②同时具有</w:t>
      </w:r>
      <w:r>
        <w:rPr>
          <w:spacing w:val="-81"/>
        </w:rPr>
        <w:t> </w:t>
      </w:r>
      <w:r>
        <w:rPr>
          <w:spacing w:val="-81"/>
        </w:rPr>
      </w:r>
      <w:r>
        <w:rPr>
          <w:spacing w:val="-1"/>
        </w:rPr>
        <w:t>以下特征的交易中产生的资产或负债的初始确认：该交易不是企业合并；并且交易发生时既不影响会计利</w:t>
      </w:r>
      <w:r>
        <w:rPr>
          <w:spacing w:val="-81"/>
        </w:rPr>
        <w:t> </w:t>
      </w:r>
      <w:r>
        <w:rPr>
          <w:spacing w:val="-81"/>
        </w:rPr>
      </w:r>
      <w:r>
        <w:rPr/>
        <w:t>润也不影响应纳税所得额（或可抵扣亏损）； </w:t>
      </w:r>
      <w:r>
        <w:rPr>
          <w:spacing w:val="-1"/>
        </w:rPr>
        <w:t>对于与子公司、联营企业及合营企业投资相关的应纳税暂时性差异，应当确认相应的递延所得税负债。但</w:t>
      </w:r>
      <w:r>
        <w:rPr>
          <w:spacing w:val="-83"/>
        </w:rPr>
        <w:t> </w:t>
      </w:r>
      <w:r>
        <w:rPr>
          <w:spacing w:val="-83"/>
        </w:rPr>
      </w:r>
      <w:r>
        <w:rPr>
          <w:spacing w:val="-1"/>
        </w:rPr>
        <w:t>同时满足下列条件的除外：①投资企业能够控制暂时性差异转回的时间；②该暂时性差异在可预见的未来</w:t>
      </w:r>
      <w:r>
        <w:rPr>
          <w:spacing w:val="-81"/>
        </w:rPr>
        <w:t> </w:t>
      </w:r>
      <w:r>
        <w:rPr>
          <w:spacing w:val="-81"/>
        </w:rPr>
      </w:r>
      <w:r>
        <w:rPr/>
        <w:t>很可能不会转回。</w:t>
      </w:r>
    </w:p>
    <w:p>
      <w:pPr>
        <w:pStyle w:val="BodyText"/>
        <w:spacing w:line="268" w:lineRule="auto" w:before="8"/>
        <w:ind w:left="154" w:right="0"/>
        <w:jc w:val="left"/>
      </w:pPr>
      <w:r>
        <w:rPr/>
        <w:t>（</w:t>
      </w:r>
      <w:r>
        <w:rPr>
          <w:rFonts w:ascii="Times New Roman" w:hAnsi="Times New Roman" w:cs="Times New Roman" w:eastAsia="Times New Roman" w:hint="default"/>
        </w:rPr>
        <w:t>4</w:t>
      </w:r>
      <w:r>
        <w:rPr/>
        <w:t>）递延所得税资产的减值 </w:t>
      </w:r>
      <w:r>
        <w:rPr>
          <w:spacing w:val="-1"/>
        </w:rPr>
        <w:t>在资产负债表日应当对递延所得税资产的账面价值进行复核。如果未来期间很可能无法取得足够的应纳税</w:t>
      </w:r>
      <w:r>
        <w:rPr>
          <w:spacing w:val="-81"/>
        </w:rPr>
        <w:t> </w:t>
      </w:r>
      <w:r>
        <w:rPr>
          <w:spacing w:val="-81"/>
        </w:rPr>
      </w:r>
      <w:r>
        <w:rPr>
          <w:spacing w:val="-1"/>
        </w:rPr>
        <w:t>所得额用以抵扣递延所得税资产的利益，则减记递延所得税资产的账面价值。除原确认时计入所有者权益</w:t>
      </w:r>
      <w:r>
        <w:rPr>
          <w:spacing w:val="-81"/>
        </w:rPr>
        <w:t> </w:t>
      </w:r>
      <w:r>
        <w:rPr>
          <w:spacing w:val="-81"/>
        </w:rPr>
      </w:r>
      <w:r>
        <w:rPr>
          <w:spacing w:val="-1"/>
        </w:rPr>
        <w:t>的递延所得税资产部分，其减记金额也应计入所有者权益外，其他的情况应计入当期的所得税费用。在很</w:t>
      </w:r>
      <w:r>
        <w:rPr>
          <w:spacing w:val="-83"/>
        </w:rPr>
        <w:t> </w:t>
      </w:r>
      <w:r>
        <w:rPr>
          <w:spacing w:val="-83"/>
        </w:rPr>
      </w:r>
      <w:r>
        <w:rPr/>
        <w:t>可能取得足够的应纳税所得额时，减记的递延所得税资产账面价值可以恢复。</w:t>
      </w:r>
    </w:p>
    <w:p>
      <w:pPr>
        <w:pStyle w:val="BodyText"/>
        <w:spacing w:line="256" w:lineRule="auto" w:before="12"/>
        <w:ind w:left="154" w:right="6762"/>
        <w:jc w:val="left"/>
      </w:pPr>
      <w:r>
        <w:rPr/>
        <w:t>（</w:t>
      </w:r>
      <w:r>
        <w:rPr>
          <w:rFonts w:ascii="Times New Roman" w:hAnsi="Times New Roman" w:cs="Times New Roman" w:eastAsia="Times New Roman" w:hint="default"/>
        </w:rPr>
        <w:t>5</w:t>
      </w:r>
      <w:r>
        <w:rPr/>
        <w:t>）所得税费用 所得税费用包括当期所得税和递延所得税。</w:t>
      </w:r>
    </w:p>
    <w:p>
      <w:pPr>
        <w:pStyle w:val="BodyText"/>
        <w:spacing w:line="273" w:lineRule="auto" w:before="22"/>
        <w:ind w:left="154" w:right="0"/>
        <w:jc w:val="left"/>
      </w:pPr>
      <w:r>
        <w:rPr/>
        <w:t>除确认为其他综合收益或直接计入股东权益的交易和事项相关的当期所得税和递延所得税计入其他综合 </w:t>
      </w:r>
      <w:r>
        <w:rPr>
          <w:spacing w:val="-1"/>
        </w:rPr>
        <w:t>收益或股东权益，以及企业合并产生的递延所得税调整商誉的账面价值外，其余当期所得税和递延所得税</w:t>
      </w:r>
      <w:r>
        <w:rPr>
          <w:spacing w:val="-81"/>
        </w:rPr>
        <w:t> </w:t>
      </w:r>
      <w:r>
        <w:rPr>
          <w:spacing w:val="-81"/>
        </w:rPr>
      </w:r>
      <w:r>
        <w:rPr/>
        <w:t>费用或收益计入当期损益。</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31、租赁" w:id="219"/>
      <w:bookmarkEnd w:id="219"/>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20"/>
      <w:bookmarkEnd w:id="220"/>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4" w:right="1026"/>
        <w:jc w:val="both"/>
      </w:pPr>
      <w:r>
        <w:rPr/>
        <w:t>①公司租入资产所支付的租赁费，在不扣除免租期的整个租赁期内，按直线法进行分摊，计入当期费用。 公司支付的与租赁交易相关的初始直接费用，计入当期费用。资产出租方承担了应由公司承担的与租赁相 </w:t>
      </w:r>
      <w:r>
        <w:rPr>
          <w:spacing w:val="-3"/>
        </w:rPr>
        <w:t>关的费用时，公司将该部分费用从租金总额中扣除，按扣除后的租金费用在租赁期内分摊，计入当期费用。</w:t>
      </w:r>
    </w:p>
    <w:p>
      <w:pPr>
        <w:pStyle w:val="BodyText"/>
        <w:spacing w:line="273" w:lineRule="auto" w:before="8"/>
        <w:ind w:left="154" w:right="1023"/>
        <w:jc w:val="left"/>
      </w:pPr>
      <w:r>
        <w:rPr>
          <w:spacing w:val="-3"/>
        </w:rPr>
        <w:t>②公司出租资产所收取的租赁费，在不扣除免租期的整个租赁期内，按直线法进行分摊，确认为租赁收入。</w:t>
      </w:r>
      <w:r>
        <w:rPr>
          <w:spacing w:val="-90"/>
        </w:rPr>
        <w:t> </w:t>
      </w:r>
      <w:r>
        <w:rPr>
          <w:spacing w:val="-90"/>
        </w:rPr>
      </w:r>
      <w:r>
        <w:rPr/>
        <w:t>公司支付的与租赁交易相关的初始直接费用，计入当期费用；如金额较大的，则予以资本化，在整个租赁</w:t>
      </w:r>
      <w:r>
        <w:rPr/>
        <w:t> 期间内按照与租赁收入确认相同的基础分期计入期收益。公司承担了应由承租方承担的与租赁相关的费用 时，公司将该部分费用从租金收入总额中扣除，按扣除后的租金费用在租赁期内分配。</w:t>
      </w:r>
    </w:p>
    <w:p>
      <w:pPr>
        <w:spacing w:after="0" w:line="273"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both"/>
        <w:rPr>
          <w:b w:val="0"/>
          <w:bCs w:val="0"/>
        </w:rPr>
      </w:pPr>
      <w:bookmarkStart w:name="（2）融资租赁的会计处理方法" w:id="221"/>
      <w:bookmarkEnd w:id="221"/>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1"/>
        <w:jc w:val="both"/>
      </w:pPr>
      <w:r>
        <w:rPr>
          <w:spacing w:val="-1"/>
        </w:rPr>
        <w:t>①融资租入资产：公司在承租开始日，将租赁资产公允价值与最低租赁付款额现值两者中较低者作为租入</w:t>
      </w:r>
      <w:r>
        <w:rPr>
          <w:spacing w:val="-81"/>
        </w:rPr>
        <w:t> </w:t>
      </w:r>
      <w:r>
        <w:rPr>
          <w:spacing w:val="-81"/>
        </w:rPr>
      </w:r>
      <w:r>
        <w:rPr>
          <w:spacing w:val="-1"/>
        </w:rPr>
        <w:t>资产的入账价值，将最低租赁付款额作为长期应付款的入账价值，其差额作为未确认的融资费用。公司采</w:t>
      </w:r>
      <w:r>
        <w:rPr>
          <w:spacing w:val="-83"/>
        </w:rPr>
        <w:t> </w:t>
      </w:r>
      <w:r>
        <w:rPr>
          <w:spacing w:val="-83"/>
        </w:rPr>
      </w:r>
      <w:r>
        <w:rPr/>
        <w:t>用实际利率法对未确认的融资费用，在资产租赁期间内摊销，计入财务费用。</w:t>
      </w:r>
    </w:p>
    <w:p>
      <w:pPr>
        <w:pStyle w:val="BodyText"/>
        <w:spacing w:line="273" w:lineRule="auto"/>
        <w:ind w:right="1131"/>
        <w:jc w:val="both"/>
      </w:pPr>
      <w:r>
        <w:rPr>
          <w:spacing w:val="-1"/>
        </w:rPr>
        <w:t>②融资租出资产：公司在租赁开始日，将应收融资租赁款，未担保余值之和与其现值的差额确认为未实现</w:t>
      </w:r>
      <w:r>
        <w:rPr>
          <w:spacing w:val="-83"/>
        </w:rPr>
        <w:t> </w:t>
      </w:r>
      <w:r>
        <w:rPr>
          <w:spacing w:val="-83"/>
        </w:rPr>
      </w:r>
      <w:r>
        <w:rPr>
          <w:spacing w:val="-1"/>
        </w:rPr>
        <w:t>融资收益，在将来收到租金的各期间内确认为租赁收入，公司发生的与出租交易相关的初始直接费用，计</w:t>
      </w:r>
      <w:r>
        <w:rPr>
          <w:spacing w:val="-83"/>
        </w:rPr>
        <w:t> </w:t>
      </w:r>
      <w:r>
        <w:rPr>
          <w:spacing w:val="-83"/>
        </w:rPr>
      </w:r>
      <w:r>
        <w:rPr/>
        <w:t>入应收融资租赁款的初始计量中，并减少租赁期内确认的收益金额。</w:t>
      </w:r>
    </w:p>
    <w:p>
      <w:pPr>
        <w:spacing w:line="570" w:lineRule="atLeast" w:before="29"/>
        <w:ind w:left="573" w:right="0" w:hanging="420"/>
        <w:jc w:val="left"/>
        <w:rPr>
          <w:rFonts w:ascii="宋体" w:hAnsi="宋体" w:cs="宋体" w:eastAsia="宋体" w:hint="default"/>
          <w:sz w:val="21"/>
          <w:szCs w:val="21"/>
        </w:rPr>
      </w:pPr>
      <w:bookmarkStart w:name="32、其他重要的会计政策和会计估计" w:id="222"/>
      <w:bookmarkEnd w:id="222"/>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、其他重要的会计政策和会计估计</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本公司在运用会计政策过程中，由于经营活动内在的不确定性，本公司需要对无法准确计量的报表项</w:t>
      </w:r>
    </w:p>
    <w:p>
      <w:pPr>
        <w:pStyle w:val="BodyText"/>
        <w:spacing w:line="237" w:lineRule="auto" w:before="0"/>
        <w:ind w:right="1131"/>
        <w:jc w:val="both"/>
      </w:pPr>
      <w:r>
        <w:rPr>
          <w:spacing w:val="-1"/>
        </w:rPr>
        <w:t>目的账面价值进行判断、估计和假设。这些判断、估计和假设是基于本公司管理层过去的历史经验，并在</w:t>
      </w:r>
      <w:r>
        <w:rPr>
          <w:spacing w:val="-85"/>
        </w:rPr>
        <w:t> </w:t>
      </w:r>
      <w:r>
        <w:rPr>
          <w:spacing w:val="-85"/>
        </w:rPr>
      </w:r>
      <w:r>
        <w:rPr>
          <w:spacing w:val="-1"/>
        </w:rPr>
        <w:t>考虑其他相关因素的基础上做出的。这些判断、估计和假设会影响收入、费用、资产和负债的报告金额以</w:t>
      </w:r>
      <w:r>
        <w:rPr>
          <w:spacing w:val="-85"/>
        </w:rPr>
        <w:t> </w:t>
      </w:r>
      <w:r>
        <w:rPr>
          <w:spacing w:val="-85"/>
        </w:rPr>
      </w:r>
      <w:r>
        <w:rPr>
          <w:spacing w:val="-1"/>
        </w:rPr>
        <w:t>及资产负债表日或有负债的披露。然而，这些估计的不确定性所导致的实际结果可能与本公司管理层当前</w:t>
      </w:r>
      <w:r>
        <w:rPr>
          <w:spacing w:val="-81"/>
        </w:rPr>
        <w:t> </w:t>
      </w:r>
      <w:r>
        <w:rPr>
          <w:spacing w:val="-81"/>
        </w:rPr>
      </w:r>
      <w:r>
        <w:rPr/>
        <w:t>的估计存在差异，进而造成对未来受影响的资产或负债的账面金额进行重大调整。</w:t>
      </w:r>
    </w:p>
    <w:p>
      <w:pPr>
        <w:pStyle w:val="BodyText"/>
        <w:spacing w:line="237" w:lineRule="auto" w:before="38"/>
        <w:ind w:right="1131" w:firstLine="420"/>
        <w:jc w:val="both"/>
      </w:pPr>
      <w:r>
        <w:rPr>
          <w:spacing w:val="-1"/>
        </w:rPr>
        <w:t>本公司对前述判断、估计和假设在持续经营的基础上进行定期复核，会计估计的变更仅影响变更当期</w:t>
      </w:r>
      <w:r>
        <w:rPr/>
        <w:t> </w:t>
      </w:r>
      <w:r>
        <w:rPr>
          <w:spacing w:val="-1"/>
        </w:rPr>
        <w:t>的，其影响数在变更当期予以确认；既影响变更当期又影响未来期间的，其影响数在变更当期和未来期间</w:t>
      </w:r>
      <w:r>
        <w:rPr>
          <w:spacing w:val="-83"/>
        </w:rPr>
        <w:t> </w:t>
      </w:r>
      <w:r>
        <w:rPr>
          <w:spacing w:val="-83"/>
        </w:rPr>
      </w:r>
      <w:r>
        <w:rPr/>
        <w:t>予以确认。</w:t>
      </w:r>
    </w:p>
    <w:p>
      <w:pPr>
        <w:pStyle w:val="BodyText"/>
        <w:spacing w:line="240" w:lineRule="auto" w:before="37"/>
        <w:ind w:left="574" w:right="0"/>
        <w:jc w:val="left"/>
      </w:pPr>
      <w:r>
        <w:rPr/>
        <w:t>于资产负债表日，本公司需对财务报表项目金额进行判断、估计和假设的重要领域如下：</w:t>
      </w:r>
    </w:p>
    <w:p>
      <w:pPr>
        <w:pStyle w:val="BodyText"/>
        <w:spacing w:line="271" w:lineRule="auto" w:before="38"/>
        <w:ind w:left="573" w:right="0"/>
        <w:jc w:val="left"/>
      </w:pPr>
      <w:r>
        <w:rPr/>
        <w:t>（</w:t>
      </w:r>
      <w:r>
        <w:rPr>
          <w:rFonts w:ascii="宋体" w:hAnsi="宋体" w:cs="宋体" w:eastAsia="宋体" w:hint="default"/>
        </w:rPr>
        <w:t>1</w:t>
      </w:r>
      <w:r>
        <w:rPr/>
        <w:t>）收入确认——建造合同 </w:t>
      </w:r>
      <w:r>
        <w:rPr>
          <w:spacing w:val="-1"/>
        </w:rPr>
        <w:t>在建造合同结果可以可靠估计时，本公司采用完工百分比法在资产负债表日确认合同收入。合同的完</w:t>
      </w:r>
    </w:p>
    <w:p>
      <w:pPr>
        <w:pStyle w:val="BodyText"/>
        <w:spacing w:line="245" w:lineRule="exact" w:before="0"/>
        <w:ind w:right="0"/>
        <w:jc w:val="both"/>
      </w:pPr>
      <w:r>
        <w:rPr>
          <w:spacing w:val="2"/>
        </w:rPr>
        <w:t>工百</w:t>
      </w:r>
      <w:r>
        <w:rPr>
          <w:spacing w:val="1"/>
        </w:rPr>
        <w:t>分</w:t>
      </w:r>
      <w:r>
        <w:rPr>
          <w:spacing w:val="2"/>
        </w:rPr>
        <w:t>比</w:t>
      </w:r>
      <w:r>
        <w:rPr>
          <w:spacing w:val="1"/>
        </w:rPr>
        <w:t>是</w:t>
      </w:r>
      <w:r>
        <w:rPr>
          <w:spacing w:val="2"/>
        </w:rPr>
        <w:t>依照</w:t>
      </w:r>
      <w:r>
        <w:rPr>
          <w:spacing w:val="1"/>
        </w:rPr>
        <w:t>本</w:t>
      </w:r>
      <w:r>
        <w:rPr>
          <w:spacing w:val="2"/>
        </w:rPr>
        <w:t>附</w:t>
      </w:r>
      <w:r>
        <w:rPr>
          <w:spacing w:val="1"/>
        </w:rPr>
        <w:t>注</w:t>
      </w:r>
      <w:r>
        <w:rPr>
          <w:spacing w:val="2"/>
        </w:rPr>
        <w:t>三</w:t>
      </w:r>
      <w:r>
        <w:rPr>
          <w:spacing w:val="5"/>
        </w:rPr>
        <w:t>、</w:t>
      </w:r>
      <w:r>
        <w:rPr>
          <w:rFonts w:ascii="宋体" w:hAnsi="宋体" w:cs="宋体" w:eastAsia="宋体" w:hint="default"/>
          <w:spacing w:val="-1"/>
        </w:rPr>
        <w:t>2</w:t>
      </w:r>
      <w:r>
        <w:rPr>
          <w:rFonts w:ascii="宋体" w:hAnsi="宋体" w:cs="宋体" w:eastAsia="宋体" w:hint="default"/>
          <w:spacing w:val="3"/>
        </w:rPr>
        <w:t>4</w:t>
      </w:r>
      <w:r>
        <w:rPr>
          <w:spacing w:val="-105"/>
        </w:rPr>
        <w:t>、</w:t>
      </w:r>
      <w:r>
        <w:rPr>
          <w:spacing w:val="2"/>
        </w:rPr>
        <w:t>“</w:t>
      </w:r>
      <w:r>
        <w:rPr>
          <w:spacing w:val="1"/>
        </w:rPr>
        <w:t>收</w:t>
      </w:r>
      <w:r>
        <w:rPr>
          <w:spacing w:val="2"/>
        </w:rPr>
        <w:t>入”</w:t>
      </w:r>
      <w:r>
        <w:rPr>
          <w:spacing w:val="1"/>
        </w:rPr>
        <w:t>所</w:t>
      </w:r>
      <w:r>
        <w:rPr>
          <w:spacing w:val="2"/>
        </w:rPr>
        <w:t>述</w:t>
      </w:r>
      <w:r>
        <w:rPr>
          <w:spacing w:val="1"/>
        </w:rPr>
        <w:t>方</w:t>
      </w:r>
      <w:r>
        <w:rPr>
          <w:spacing w:val="2"/>
        </w:rPr>
        <w:t>法进</w:t>
      </w:r>
      <w:r>
        <w:rPr>
          <w:spacing w:val="1"/>
        </w:rPr>
        <w:t>行</w:t>
      </w:r>
      <w:r>
        <w:rPr>
          <w:spacing w:val="2"/>
        </w:rPr>
        <w:t>确</w:t>
      </w:r>
      <w:r>
        <w:rPr>
          <w:spacing w:val="1"/>
        </w:rPr>
        <w:t>认</w:t>
      </w:r>
      <w:r>
        <w:rPr>
          <w:spacing w:val="2"/>
        </w:rPr>
        <w:t>的，</w:t>
      </w:r>
      <w:r>
        <w:rPr>
          <w:spacing w:val="1"/>
        </w:rPr>
        <w:t>在</w:t>
      </w:r>
      <w:r>
        <w:rPr>
          <w:spacing w:val="2"/>
        </w:rPr>
        <w:t>执</w:t>
      </w:r>
      <w:r>
        <w:rPr>
          <w:spacing w:val="1"/>
        </w:rPr>
        <w:t>行</w:t>
      </w:r>
      <w:r>
        <w:rPr>
          <w:spacing w:val="2"/>
        </w:rPr>
        <w:t>各建</w:t>
      </w:r>
      <w:r>
        <w:rPr>
          <w:spacing w:val="1"/>
        </w:rPr>
        <w:t>造</w:t>
      </w:r>
      <w:r>
        <w:rPr>
          <w:spacing w:val="2"/>
        </w:rPr>
        <w:t>合</w:t>
      </w:r>
      <w:r>
        <w:rPr>
          <w:spacing w:val="1"/>
        </w:rPr>
        <w:t>同</w:t>
      </w:r>
      <w:r>
        <w:rPr>
          <w:spacing w:val="2"/>
        </w:rPr>
        <w:t>的各</w:t>
      </w:r>
      <w:r>
        <w:rPr>
          <w:spacing w:val="1"/>
        </w:rPr>
        <w:t>个</w:t>
      </w:r>
      <w:r>
        <w:rPr>
          <w:spacing w:val="2"/>
        </w:rPr>
        <w:t>会</w:t>
      </w:r>
      <w:r>
        <w:rPr>
          <w:spacing w:val="1"/>
        </w:rPr>
        <w:t>计</w:t>
      </w:r>
      <w:r>
        <w:rPr>
          <w:spacing w:val="2"/>
        </w:rPr>
        <w:t>年度</w:t>
      </w:r>
      <w:r>
        <w:rPr>
          <w:spacing w:val="1"/>
        </w:rPr>
        <w:t>内累</w:t>
      </w:r>
      <w:r>
        <w:rPr/>
        <w:t>积</w:t>
      </w:r>
    </w:p>
    <w:p>
      <w:pPr>
        <w:pStyle w:val="BodyText"/>
        <w:spacing w:line="274" w:lineRule="exact" w:before="0"/>
        <w:ind w:right="0"/>
        <w:jc w:val="both"/>
      </w:pPr>
      <w:r>
        <w:rPr/>
        <w:t>计算。</w:t>
      </w:r>
    </w:p>
    <w:p>
      <w:pPr>
        <w:pStyle w:val="BodyText"/>
        <w:spacing w:line="237" w:lineRule="auto" w:before="38"/>
        <w:ind w:right="1131" w:firstLine="420"/>
        <w:jc w:val="both"/>
      </w:pPr>
      <w:r>
        <w:rPr>
          <w:spacing w:val="-1"/>
        </w:rPr>
        <w:t>在确定完工百分比、预计合同总收入和总成本，以及合同可回收性时，需要作出重大判断。预计合同</w:t>
      </w:r>
      <w:r>
        <w:rPr/>
        <w:t> </w:t>
      </w:r>
      <w:r>
        <w:rPr>
          <w:spacing w:val="-1"/>
        </w:rPr>
        <w:t>总收入和总成本，以及合同执行结果的估计变更都可能对变更当期或以后期间的营业收入、营业成本，以</w:t>
      </w:r>
      <w:r>
        <w:rPr>
          <w:spacing w:val="-83"/>
        </w:rPr>
        <w:t> </w:t>
      </w:r>
      <w:r>
        <w:rPr>
          <w:spacing w:val="-83"/>
        </w:rPr>
      </w:r>
      <w:r>
        <w:rPr/>
        <w:t>及期间损益产生影响。</w:t>
      </w:r>
    </w:p>
    <w:p>
      <w:pPr>
        <w:pStyle w:val="BodyText"/>
        <w:spacing w:line="273" w:lineRule="auto" w:before="37"/>
        <w:ind w:left="573" w:right="0"/>
        <w:jc w:val="left"/>
      </w:pPr>
      <w:r>
        <w:rPr/>
        <w:t>（</w:t>
      </w:r>
      <w:r>
        <w:rPr>
          <w:rFonts w:ascii="宋体" w:hAnsi="宋体" w:cs="宋体" w:eastAsia="宋体" w:hint="default"/>
        </w:rPr>
        <w:t>2</w:t>
      </w:r>
      <w:r>
        <w:rPr/>
        <w:t>）应收款项减值 </w:t>
      </w:r>
      <w:r>
        <w:rPr>
          <w:spacing w:val="-1"/>
        </w:rPr>
        <w:t>本公司根据应收款项的会计政策，采用备抵法核算坏账损失。应收款项减值是基于评估应收款项的可</w:t>
      </w:r>
    </w:p>
    <w:p>
      <w:pPr>
        <w:pStyle w:val="BodyText"/>
        <w:spacing w:line="242" w:lineRule="exact" w:before="0"/>
        <w:ind w:right="0"/>
        <w:jc w:val="both"/>
      </w:pPr>
      <w:r>
        <w:rPr/>
        <w:t>收回性。鉴定应收款项减值要求管理层的判断和估计。实际的结果与原先估计的差异将在估计被改变的期</w:t>
      </w:r>
    </w:p>
    <w:p>
      <w:pPr>
        <w:pStyle w:val="BodyText"/>
        <w:spacing w:line="274" w:lineRule="exact" w:before="0"/>
        <w:ind w:right="0"/>
        <w:jc w:val="both"/>
      </w:pPr>
      <w:r>
        <w:rPr/>
        <w:t>间影响应收款项的账面价值及应收款项坏账准备的计提或转回。</w:t>
      </w:r>
    </w:p>
    <w:p>
      <w:pPr>
        <w:pStyle w:val="BodyText"/>
        <w:spacing w:line="271" w:lineRule="auto" w:before="37"/>
        <w:ind w:left="573" w:right="0"/>
        <w:jc w:val="left"/>
      </w:pPr>
      <w:r>
        <w:rPr/>
        <w:t>（</w:t>
      </w:r>
      <w:r>
        <w:rPr>
          <w:rFonts w:ascii="宋体" w:hAnsi="宋体" w:cs="宋体" w:eastAsia="宋体" w:hint="default"/>
        </w:rPr>
        <w:t>3</w:t>
      </w:r>
      <w:r>
        <w:rPr/>
        <w:t>）存货减值 </w:t>
      </w:r>
      <w:r>
        <w:rPr>
          <w:spacing w:val="-1"/>
        </w:rPr>
        <w:t>本公司根据存货会计政策，按照成本与可变现净值孰低计量，对成本高于可变现净值及陈旧和滞销的</w:t>
      </w:r>
    </w:p>
    <w:p>
      <w:pPr>
        <w:pStyle w:val="BodyText"/>
        <w:spacing w:line="244" w:lineRule="exact" w:before="0"/>
        <w:ind w:right="0"/>
        <w:jc w:val="both"/>
      </w:pPr>
      <w:r>
        <w:rPr/>
        <w:t>存货，计提存货跌价准备。存货减值至可变现净值是基于评估存货的可售性及其可变现净值。鉴定存货减</w:t>
      </w:r>
    </w:p>
    <w:p>
      <w:pPr>
        <w:pStyle w:val="BodyText"/>
        <w:spacing w:line="237" w:lineRule="auto" w:before="1"/>
        <w:ind w:right="1131"/>
        <w:jc w:val="both"/>
      </w:pPr>
      <w:r>
        <w:rPr>
          <w:spacing w:val="-1"/>
        </w:rPr>
        <w:t>值要求管理层在取得确凿证据，并且考虑持有存货的目的、资产负债表日后事项的影响等因素的基础上作</w:t>
      </w:r>
      <w:r>
        <w:rPr>
          <w:spacing w:val="-81"/>
        </w:rPr>
        <w:t> </w:t>
      </w:r>
      <w:r>
        <w:rPr>
          <w:spacing w:val="-81"/>
        </w:rPr>
      </w:r>
      <w:r>
        <w:rPr>
          <w:spacing w:val="-1"/>
        </w:rPr>
        <w:t>出判断和估计。实际的结果与原先估计的差异将在估计被改变的期间影响存货的账面价值及存货跌价准备</w:t>
      </w:r>
      <w:r>
        <w:rPr>
          <w:spacing w:val="-81"/>
        </w:rPr>
        <w:t> </w:t>
      </w:r>
      <w:r>
        <w:rPr>
          <w:spacing w:val="-81"/>
        </w:rPr>
      </w:r>
      <w:r>
        <w:rPr/>
        <w:t>的计提或转回。</w:t>
      </w:r>
    </w:p>
    <w:p>
      <w:pPr>
        <w:pStyle w:val="BodyText"/>
        <w:spacing w:line="273" w:lineRule="auto" w:before="37"/>
        <w:ind w:left="573" w:right="0"/>
        <w:jc w:val="left"/>
      </w:pPr>
      <w:r>
        <w:rPr/>
        <w:t>（</w:t>
      </w:r>
      <w:r>
        <w:rPr>
          <w:rFonts w:ascii="宋体" w:hAnsi="宋体" w:cs="宋体" w:eastAsia="宋体" w:hint="default"/>
        </w:rPr>
        <w:t>4</w:t>
      </w:r>
      <w:r>
        <w:rPr/>
        <w:t>）长期资产减值 </w:t>
      </w:r>
      <w:r>
        <w:rPr>
          <w:spacing w:val="-1"/>
        </w:rPr>
        <w:t>本公司于资产负债表日对除金融资产之外的非流动资产判断是否存在可能发生减值的迹象。对使用寿</w:t>
      </w:r>
    </w:p>
    <w:p>
      <w:pPr>
        <w:pStyle w:val="BodyText"/>
        <w:spacing w:line="241" w:lineRule="exact" w:before="0"/>
        <w:ind w:right="0"/>
        <w:jc w:val="both"/>
      </w:pPr>
      <w:r>
        <w:rPr/>
        <w:t>命不确定的无形资产，除每年进行的减值测试外，当其存在减值迹象时，也进行减值测试。其他除金融资</w:t>
      </w:r>
    </w:p>
    <w:p>
      <w:pPr>
        <w:pStyle w:val="BodyText"/>
        <w:spacing w:line="273" w:lineRule="auto" w:before="0"/>
        <w:ind w:left="573" w:right="0" w:hanging="420"/>
        <w:jc w:val="left"/>
      </w:pPr>
      <w:r>
        <w:rPr/>
        <w:t>产之外的非流动资产，当存在迹象表明其账面金额不可收回时，进行减值测试。 </w:t>
      </w:r>
      <w:r>
        <w:rPr>
          <w:spacing w:val="-1"/>
        </w:rPr>
        <w:t>当资产或资产组的账面价值高于可收回金额，即公允价值减去处置费用后的净额和预计未来现金流量</w:t>
      </w:r>
    </w:p>
    <w:p>
      <w:pPr>
        <w:pStyle w:val="BodyText"/>
        <w:spacing w:line="244" w:lineRule="exact" w:before="0"/>
        <w:ind w:right="0"/>
        <w:jc w:val="both"/>
      </w:pPr>
      <w:r>
        <w:rPr/>
        <w:t>的现值中的较高者，表明发生了减值。</w:t>
      </w:r>
    </w:p>
    <w:p>
      <w:pPr>
        <w:pStyle w:val="BodyText"/>
        <w:spacing w:line="240" w:lineRule="auto" w:before="36"/>
        <w:ind w:right="1109" w:firstLine="420"/>
        <w:jc w:val="both"/>
      </w:pPr>
      <w:r>
        <w:rPr/>
        <w:t>公允价值减去处置费用后的净额，参考公平交易中类似资产的销售协议价格或可观察到的市场价格， 减去可直接归属于该资产处置的增量成本确定。</w:t>
      </w:r>
    </w:p>
    <w:p>
      <w:pPr>
        <w:pStyle w:val="BodyText"/>
        <w:spacing w:line="272" w:lineRule="exact" w:before="63"/>
        <w:ind w:left="154" w:right="1131" w:firstLine="420"/>
        <w:jc w:val="both"/>
      </w:pPr>
      <w:r>
        <w:rPr>
          <w:spacing w:val="-1"/>
        </w:rPr>
        <w:t>在预计未来现金流量现值时，需要对该资产（或资产组）的产量、售价、相关经营成本以及计算现值</w:t>
      </w:r>
      <w:r>
        <w:rPr/>
        <w:t> </w:t>
      </w:r>
      <w:r>
        <w:rPr>
          <w:spacing w:val="-1"/>
        </w:rPr>
        <w:t>时使用的折现率等作出重大判断。本公司在估计可收回金额时会采用所有能够获得的相关资料，包括根据</w:t>
      </w:r>
    </w:p>
    <w:p>
      <w:pPr>
        <w:spacing w:after="0" w:line="272" w:lineRule="exact"/>
        <w:jc w:val="both"/>
        <w:sectPr>
          <w:pgSz w:w="11910" w:h="16840"/>
          <w:pgMar w:header="747" w:footer="979" w:top="1060" w:bottom="1160" w:left="980" w:right="0"/>
        </w:sectPr>
      </w:pPr>
    </w:p>
    <w:p>
      <w:pPr>
        <w:spacing w:line="240" w:lineRule="auto" w:before="3"/>
        <w:rPr>
          <w:rFonts w:ascii="宋体" w:hAnsi="宋体" w:cs="宋体" w:eastAsia="宋体" w:hint="default"/>
          <w:sz w:val="23"/>
          <w:szCs w:val="23"/>
        </w:rPr>
      </w:pPr>
    </w:p>
    <w:p>
      <w:pPr>
        <w:pStyle w:val="BodyText"/>
        <w:spacing w:line="271" w:lineRule="auto" w:before="35"/>
        <w:ind w:left="573" w:right="0" w:hanging="420"/>
        <w:jc w:val="left"/>
      </w:pPr>
      <w:r>
        <w:rPr/>
        <w:t>合理和可支持的假设所作出有关产量、售价和相关经营成本的预测。 </w:t>
      </w:r>
      <w:r>
        <w:rPr>
          <w:spacing w:val="-1"/>
        </w:rPr>
        <w:t>本公司至少每年测试商誉是否发生减值。这要求对分配了商誉的资产组或者资产组组合的未来现金流</w:t>
      </w:r>
    </w:p>
    <w:p>
      <w:pPr>
        <w:pStyle w:val="BodyText"/>
        <w:spacing w:line="244" w:lineRule="exact" w:before="0"/>
        <w:ind w:right="0"/>
        <w:jc w:val="left"/>
      </w:pPr>
      <w:r>
        <w:rPr/>
        <w:t>量的现值进行预计。对未来现金流量的现值进行预计时，本公司需要预计未来资产组或者资产组组合产生</w:t>
      </w:r>
    </w:p>
    <w:p>
      <w:pPr>
        <w:pStyle w:val="BodyText"/>
        <w:spacing w:line="274" w:lineRule="exact" w:before="0"/>
        <w:ind w:right="0"/>
        <w:jc w:val="left"/>
      </w:pPr>
      <w:r>
        <w:rPr/>
        <w:t>的现金流量，同时选择恰当的折现率确定未来现金流量的现值。</w:t>
      </w:r>
    </w:p>
    <w:p>
      <w:pPr>
        <w:pStyle w:val="BodyText"/>
        <w:spacing w:line="273" w:lineRule="auto" w:before="37"/>
        <w:ind w:left="573" w:right="0"/>
        <w:jc w:val="left"/>
      </w:pPr>
      <w:r>
        <w:rPr/>
        <w:t>（</w:t>
      </w:r>
      <w:r>
        <w:rPr>
          <w:rFonts w:ascii="宋体" w:hAnsi="宋体" w:cs="宋体" w:eastAsia="宋体" w:hint="default"/>
        </w:rPr>
        <w:t>5</w:t>
      </w:r>
      <w:r>
        <w:rPr/>
        <w:t>）折旧和摊销 </w:t>
      </w:r>
      <w:r>
        <w:rPr>
          <w:spacing w:val="-1"/>
        </w:rPr>
        <w:t>本公司对投资性房地产、固定资产和无形资产在考虑其残值后，在使用寿命内按直线法计提折旧和摊</w:t>
      </w:r>
    </w:p>
    <w:p>
      <w:pPr>
        <w:pStyle w:val="BodyText"/>
        <w:spacing w:line="242" w:lineRule="exact" w:before="0"/>
        <w:ind w:right="0"/>
        <w:jc w:val="left"/>
      </w:pPr>
      <w:r>
        <w:rPr/>
        <w:t>销。本公司定期复核使用寿命，以决定将计入每个报告期的折旧和摊销费用数额。使用寿命是本公司根据</w:t>
      </w:r>
    </w:p>
    <w:p>
      <w:pPr>
        <w:pStyle w:val="BodyText"/>
        <w:spacing w:line="240" w:lineRule="auto" w:before="0"/>
        <w:ind w:right="0"/>
        <w:jc w:val="left"/>
      </w:pPr>
      <w:r>
        <w:rPr>
          <w:spacing w:val="-1"/>
        </w:rPr>
        <w:t>对同类资产的以往经验并结合预期的技术更新而确定的。如果以前的估计发生重大变化，则会在未来期间</w:t>
      </w:r>
      <w:r>
        <w:rPr>
          <w:spacing w:val="-81"/>
        </w:rPr>
        <w:t> </w:t>
      </w:r>
      <w:r>
        <w:rPr>
          <w:spacing w:val="-81"/>
        </w:rPr>
      </w:r>
      <w:r>
        <w:rPr/>
        <w:t>对折旧和摊销费用进行调整。</w:t>
      </w:r>
    </w:p>
    <w:p>
      <w:pPr>
        <w:pStyle w:val="BodyText"/>
        <w:spacing w:line="271" w:lineRule="auto" w:before="37"/>
        <w:ind w:left="573" w:right="0"/>
        <w:jc w:val="left"/>
      </w:pPr>
      <w:r>
        <w:rPr/>
        <w:t>（</w:t>
      </w:r>
      <w:r>
        <w:rPr>
          <w:rFonts w:ascii="宋体" w:hAnsi="宋体" w:cs="宋体" w:eastAsia="宋体" w:hint="default"/>
        </w:rPr>
        <w:t>6</w:t>
      </w:r>
      <w:r>
        <w:rPr/>
        <w:t>）开发支出 </w:t>
      </w:r>
      <w:r>
        <w:rPr>
          <w:spacing w:val="-1"/>
        </w:rPr>
        <w:t>确定资本化的金额时，本公司管理层需要作出有关资产的预计未来现金流量、适用的折现率以及预计</w:t>
      </w:r>
    </w:p>
    <w:p>
      <w:pPr>
        <w:pStyle w:val="BodyText"/>
        <w:spacing w:line="246" w:lineRule="exact" w:before="0"/>
        <w:ind w:right="0"/>
        <w:jc w:val="left"/>
      </w:pPr>
      <w:r>
        <w:rPr/>
        <w:t>受益期间的假设。</w:t>
      </w:r>
    </w:p>
    <w:p>
      <w:pPr>
        <w:pStyle w:val="BodyText"/>
        <w:spacing w:line="237" w:lineRule="auto" w:before="38"/>
        <w:ind w:right="1131" w:firstLine="420"/>
        <w:jc w:val="both"/>
      </w:pPr>
      <w:r>
        <w:rPr>
          <w:spacing w:val="-1"/>
        </w:rPr>
        <w:t>本公司自行开发的无形资产，管理层认为该业务的前景和目前的发展良好，市场对以该无形资产生产</w:t>
      </w:r>
      <w:r>
        <w:rPr/>
        <w:t> </w:t>
      </w:r>
      <w:r>
        <w:rPr>
          <w:spacing w:val="-1"/>
        </w:rPr>
        <w:t>的产品的反应也证实了管理层之前对这一项目预期收入的估计。但是日益增加的竞争也使得管理层重新考</w:t>
      </w:r>
      <w:r>
        <w:rPr>
          <w:spacing w:val="-81"/>
        </w:rPr>
        <w:t> </w:t>
      </w:r>
      <w:r>
        <w:rPr>
          <w:spacing w:val="-81"/>
        </w:rPr>
      </w:r>
      <w:r>
        <w:rPr>
          <w:spacing w:val="-1"/>
        </w:rPr>
        <w:t>虑对市场份额和有关产品的预计毛利等方面的假设。经过全面的检视后，本公司管理层认为即使在产品回</w:t>
      </w:r>
      <w:r>
        <w:rPr>
          <w:spacing w:val="-81"/>
        </w:rPr>
        <w:t> </w:t>
      </w:r>
      <w:r>
        <w:rPr>
          <w:spacing w:val="-81"/>
        </w:rPr>
      </w:r>
      <w:r>
        <w:rPr>
          <w:spacing w:val="-1"/>
        </w:rPr>
        <w:t>报率出现下调的情况下，仍可以全额收回该无形资产账面价值。本公司将继续密切检视有关情况，一旦有</w:t>
      </w:r>
      <w:r>
        <w:rPr>
          <w:spacing w:val="-83"/>
        </w:rPr>
        <w:t> </w:t>
      </w:r>
      <w:r>
        <w:rPr>
          <w:spacing w:val="-83"/>
        </w:rPr>
      </w:r>
      <w:r>
        <w:rPr/>
        <w:t>迹象表明需要调整相关会计估计的假设，本公司将在有关迹象发生的期间作出调整。</w:t>
      </w:r>
    </w:p>
    <w:p>
      <w:pPr>
        <w:spacing w:line="240" w:lineRule="auto" w:before="4"/>
        <w:rPr>
          <w:rFonts w:ascii="宋体" w:hAnsi="宋体" w:cs="宋体" w:eastAsia="宋体" w:hint="default"/>
          <w:sz w:val="24"/>
          <w:szCs w:val="24"/>
        </w:rPr>
      </w:pPr>
    </w:p>
    <w:p>
      <w:pPr>
        <w:pStyle w:val="Heading3"/>
        <w:spacing w:line="240" w:lineRule="auto"/>
        <w:ind w:left="153" w:right="0"/>
        <w:jc w:val="left"/>
        <w:rPr>
          <w:b w:val="0"/>
          <w:bCs w:val="0"/>
        </w:rPr>
      </w:pPr>
      <w:bookmarkStart w:name="33、重要会计政策和会计估计变更" w:id="223"/>
      <w:bookmarkEnd w:id="223"/>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会计政策变更" w:id="224"/>
      <w:bookmarkEnd w:id="224"/>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65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①</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 </w:t>
            </w:r>
            <w:r>
              <w:rPr>
                <w:rFonts w:ascii="宋体" w:hAnsi="宋体" w:cs="宋体" w:eastAsia="宋体" w:hint="default"/>
                <w:spacing w:val="-7"/>
                <w:sz w:val="18"/>
                <w:szCs w:val="18"/>
              </w:rPr>
              <w:t>日，财政部颁布了《企</w:t>
            </w:r>
          </w:p>
          <w:p>
            <w:pPr>
              <w:pStyle w:val="TableParagraph"/>
              <w:spacing w:line="307"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业会计准则第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持有待售的非流 </w:t>
            </w:r>
            <w:r>
              <w:rPr>
                <w:rFonts w:ascii="宋体" w:hAnsi="宋体" w:cs="宋体" w:eastAsia="宋体" w:hint="default"/>
                <w:spacing w:val="-6"/>
                <w:sz w:val="18"/>
                <w:szCs w:val="18"/>
              </w:rPr>
              <w:t>动资产、处置组和终止经营》，要求自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日起在所有执行企业会计 准则的企业范围内施行。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第六届董事会第十四次会议决议批准</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日，财政部颁布了修订</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后的《企业会计准则第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w:t>
            </w:r>
          </w:p>
          <w:p>
            <w:pPr>
              <w:pStyle w:val="TableParagraph"/>
              <w:spacing w:line="309" w:lineRule="auto" w:before="63"/>
              <w:ind w:left="22" w:right="20"/>
              <w:jc w:val="left"/>
              <w:rPr>
                <w:rFonts w:ascii="Times New Roman" w:hAnsi="Times New Roman" w:cs="Times New Roman" w:eastAsia="Times New Roman" w:hint="default"/>
                <w:sz w:val="18"/>
                <w:szCs w:val="18"/>
              </w:rPr>
            </w:pPr>
            <w:r>
              <w:rPr>
                <w:rFonts w:ascii="宋体" w:hAnsi="宋体" w:cs="宋体" w:eastAsia="宋体" w:hint="default"/>
                <w:spacing w:val="-17"/>
                <w:sz w:val="18"/>
                <w:szCs w:val="18"/>
              </w:rPr>
              <w:t>助》，要求自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2"/>
                <w:sz w:val="18"/>
                <w:szCs w:val="18"/>
              </w:rPr>
              <w:t>日起，与企</w:t>
            </w:r>
            <w:r>
              <w:rPr>
                <w:rFonts w:ascii="宋体" w:hAnsi="宋体" w:cs="宋体" w:eastAsia="宋体" w:hint="default"/>
                <w:sz w:val="18"/>
                <w:szCs w:val="18"/>
              </w:rPr>
              <w:t> 业日常活动相关的政府补助，应当按照 经济业务实质，计入其他收益或冲减相 关成本费用。与企业日常活动无关的政 府补助，应当计入营业外收支。企业应 当在利润表中的</w:t>
            </w:r>
            <w:r>
              <w:rPr>
                <w:rFonts w:ascii="Times New Roman" w:hAnsi="Times New Roman" w:cs="Times New Roman" w:eastAsia="Times New Roman" w:hint="default"/>
                <w:sz w:val="18"/>
                <w:szCs w:val="18"/>
              </w:rPr>
              <w:t>“</w:t>
            </w: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w:t>
            </w:r>
            <w:r>
              <w:rPr>
                <w:rFonts w:ascii="宋体" w:hAnsi="宋体" w:cs="宋体" w:eastAsia="宋体" w:hint="default"/>
                <w:sz w:val="18"/>
                <w:szCs w:val="18"/>
              </w:rPr>
              <w:t>项目之上单 </w:t>
            </w:r>
            <w:r>
              <w:rPr>
                <w:rFonts w:ascii="宋体" w:hAnsi="宋体" w:cs="宋体" w:eastAsia="宋体" w:hint="default"/>
                <w:spacing w:val="-5"/>
                <w:w w:val="100"/>
                <w:sz w:val="18"/>
                <w:szCs w:val="18"/>
              </w:rPr>
              <w:t>独列报</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其他收益</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项目，计入其他收益的</w:t>
            </w:r>
            <w:r>
              <w:rPr>
                <w:rFonts w:ascii="宋体" w:hAnsi="宋体" w:cs="宋体" w:eastAsia="宋体" w:hint="default"/>
                <w:spacing w:val="-82"/>
                <w:w w:val="100"/>
                <w:sz w:val="18"/>
                <w:szCs w:val="18"/>
              </w:rPr>
              <w:t> </w:t>
            </w:r>
            <w:r>
              <w:rPr>
                <w:rFonts w:ascii="宋体" w:hAnsi="宋体" w:cs="宋体" w:eastAsia="宋体" w:hint="default"/>
                <w:spacing w:val="-82"/>
                <w:w w:val="100"/>
                <w:sz w:val="18"/>
                <w:szCs w:val="18"/>
              </w:rPr>
            </w:r>
            <w:r>
              <w:rPr>
                <w:rFonts w:ascii="宋体" w:hAnsi="宋体" w:cs="宋体" w:eastAsia="宋体" w:hint="default"/>
                <w:sz w:val="18"/>
                <w:szCs w:val="18"/>
              </w:rPr>
              <w:t>政府补助在该项目中反映。企业对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日存在的政府补助采用未来适</w:t>
            </w:r>
          </w:p>
          <w:p>
            <w:pPr>
              <w:pStyle w:val="TableParagraph"/>
              <w:spacing w:line="309" w:lineRule="auto" w:before="63"/>
              <w:ind w:left="22" w:right="22"/>
              <w:jc w:val="left"/>
              <w:rPr>
                <w:rFonts w:ascii="宋体" w:hAnsi="宋体" w:cs="宋体" w:eastAsia="宋体" w:hint="default"/>
                <w:sz w:val="18"/>
                <w:szCs w:val="18"/>
              </w:rPr>
            </w:pPr>
            <w:r>
              <w:rPr>
                <w:rFonts w:ascii="宋体" w:hAnsi="宋体" w:cs="宋体" w:eastAsia="宋体" w:hint="default"/>
                <w:spacing w:val="-3"/>
                <w:sz w:val="18"/>
                <w:szCs w:val="18"/>
              </w:rPr>
              <w:t>用法处理，对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日至新政府 补助准则施行日之间新增的政府补助根 据新政府补助准则进行调整。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第六届董事会第十四次会议决议批准</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重要会计估计变更" w:id="225"/>
      <w:bookmarkEnd w:id="225"/>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line="487" w:lineRule="auto" w:before="0"/>
        <w:ind w:left="154" w:right="8966" w:firstLine="0"/>
        <w:jc w:val="left"/>
        <w:rPr>
          <w:rFonts w:ascii="宋体" w:hAnsi="宋体" w:cs="宋体" w:eastAsia="宋体" w:hint="default"/>
          <w:sz w:val="21"/>
          <w:szCs w:val="21"/>
        </w:rPr>
      </w:pPr>
      <w:bookmarkStart w:name="34、其他" w:id="226"/>
      <w:bookmarkEnd w:id="226"/>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27"/>
      <w:bookmarkEnd w:id="227"/>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8"/>
      <w:bookmarkEnd w:id="228"/>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应税销售额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应纳增值税额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应纳增值税额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应纳增值税额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深圳达实智能股份有限公司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上海达实自动化工程有限公司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深圳达实信息技术有限公司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上海达实联欣科技发展有限公司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上海联欣金山建筑技术有限公司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上海腾隆变配电设备管理有限公司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深圳达实融资租赁有限公司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珠海达实科技发展有限公司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遵义达实绿色智慧发展有限公司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江苏达实久信医疗科技有限公司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常州丹迪医疗器械有限公司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江苏达实久信数字医疗科技有限公司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江苏德盟传输物流系统有限公司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江苏久信净化设备有限公司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淮南达实智慧城市投资发展有限公司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仁怀达实绿色智慧发展有限公司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昌都市达实投资咨询有限公司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深圳达实软件有限公司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雄安达实智慧科技有限公司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江苏洪泽湖达实智慧医养有限公司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汕头达实智慧医疗投资发展有限公司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29"/>
      <w:bookmarkEnd w:id="229"/>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left="154" w:right="1130"/>
        <w:jc w:val="both"/>
      </w:pPr>
      <w:r>
        <w:rPr>
          <w:spacing w:val="-4"/>
        </w:rPr>
        <w:t>（</w:t>
      </w:r>
      <w:r>
        <w:rPr>
          <w:rFonts w:ascii="Times New Roman" w:hAnsi="Times New Roman" w:cs="Times New Roman" w:eastAsia="Times New Roman" w:hint="default"/>
          <w:spacing w:val="-4"/>
        </w:rPr>
        <w:t>1</w:t>
      </w:r>
      <w:r>
        <w:rPr>
          <w:spacing w:val="-4"/>
        </w:rPr>
        <w:t>）根据</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23</w:t>
      </w:r>
      <w:r>
        <w:rPr>
          <w:spacing w:val="-4"/>
        </w:rPr>
        <w:t>日发布的财税</w:t>
      </w:r>
      <w:r>
        <w:rPr>
          <w:rFonts w:ascii="Times New Roman" w:hAnsi="Times New Roman" w:cs="Times New Roman" w:eastAsia="Times New Roman" w:hint="default"/>
          <w:spacing w:val="-4"/>
        </w:rPr>
        <w:t>[2016]36</w:t>
      </w:r>
      <w:r>
        <w:rPr>
          <w:spacing w:val="-4"/>
        </w:rPr>
        <w:t>号《财政部国家税务总局</w:t>
      </w:r>
      <w:r>
        <w:rPr>
          <w:spacing w:val="-8"/>
        </w:rPr>
        <w:t> </w:t>
      </w:r>
      <w:r>
        <w:rPr/>
        <w:t>关于全面推开营业税改征增值税</w:t>
      </w:r>
      <w:r>
        <w:rPr>
          <w:spacing w:val="-8"/>
        </w:rPr>
        <w:t> </w:t>
      </w:r>
      <w:r>
        <w:rPr/>
        <w:t>试</w:t>
      </w:r>
      <w:r>
        <w:rPr>
          <w:spacing w:val="-103"/>
        </w:rPr>
        <w:t> </w:t>
      </w:r>
      <w:r>
        <w:rPr>
          <w:spacing w:val="-103"/>
        </w:rPr>
      </w:r>
      <w:r>
        <w:rPr>
          <w:spacing w:val="-3"/>
        </w:rPr>
        <w:t>点的通知》中附件</w:t>
      </w:r>
      <w:r>
        <w:rPr>
          <w:rFonts w:ascii="Times New Roman" w:hAnsi="Times New Roman" w:cs="Times New Roman" w:eastAsia="Times New Roman" w:hint="default"/>
          <w:spacing w:val="-3"/>
        </w:rPr>
        <w:t>3</w:t>
      </w:r>
      <w:r>
        <w:rPr>
          <w:spacing w:val="-3"/>
        </w:rPr>
        <w:t>《营业税改征增值税试点过渡政策的规定》第一条第二十七款规定</w:t>
      </w:r>
      <w:r>
        <w:rPr>
          <w:rFonts w:ascii="Times New Roman" w:hAnsi="Times New Roman" w:cs="Times New Roman" w:eastAsia="Times New Roman" w:hint="default"/>
          <w:spacing w:val="-3"/>
        </w:rPr>
        <w:t>“</w:t>
      </w:r>
      <w:r>
        <w:rPr>
          <w:spacing w:val="-3"/>
        </w:rPr>
        <w:t>一、下列项目</w:t>
      </w:r>
      <w:r>
        <w:rPr>
          <w:spacing w:val="14"/>
        </w:rPr>
        <w:t> </w:t>
      </w:r>
      <w:r>
        <w:rPr/>
        <w:t>免征</w:t>
      </w:r>
      <w:r>
        <w:rPr>
          <w:spacing w:val="-101"/>
        </w:rPr>
        <w:t> </w:t>
      </w:r>
      <w:r>
        <w:rPr>
          <w:spacing w:val="-101"/>
        </w:rPr>
      </w:r>
      <w:r>
        <w:rPr/>
        <w:t>增值税：（二十七）同时符合下列条件的合同能源管理服务：</w:t>
      </w:r>
      <w:r>
        <w:rPr>
          <w:rFonts w:ascii="Times New Roman" w:hAnsi="Times New Roman" w:cs="Times New Roman" w:eastAsia="Times New Roman" w:hint="default"/>
        </w:rPr>
        <w:t>1.</w:t>
      </w:r>
      <w:r>
        <w:rPr/>
        <w:t>节能服务公司实施合同能源管理项目相关 技术，应当符合国家质量监督检验检疫总局和国家标准化管理委员会发布的《合同能源管理技术通则》</w:t>
      </w:r>
    </w:p>
    <w:p>
      <w:pPr>
        <w:pStyle w:val="BodyText"/>
        <w:spacing w:line="256" w:lineRule="auto" w:before="22"/>
        <w:ind w:right="1139"/>
        <w:jc w:val="both"/>
      </w:pPr>
      <w:r>
        <w:rPr/>
        <w:t>（</w:t>
      </w:r>
      <w:r>
        <w:rPr>
          <w:rFonts w:ascii="Times New Roman" w:hAnsi="Times New Roman" w:cs="Times New Roman" w:eastAsia="Times New Roman" w:hint="default"/>
        </w:rPr>
        <w:t>GB/T24915-2010</w:t>
      </w:r>
      <w:r>
        <w:rPr/>
        <w:t>）规定的技术要求。</w:t>
      </w:r>
      <w:r>
        <w:rPr>
          <w:rFonts w:ascii="Times New Roman" w:hAnsi="Times New Roman" w:cs="Times New Roman" w:eastAsia="Times New Roman" w:hint="default"/>
        </w:rPr>
        <w:t>2.</w:t>
      </w:r>
      <w:r>
        <w:rPr/>
        <w:t>节能服务公司与用能企业签订节能效益分享型合同，其合同格式 和内容，符合《中华人民共和国合同法》和《合同能源管理技术通则》（</w:t>
      </w:r>
      <w:r>
        <w:rPr>
          <w:rFonts w:ascii="Times New Roman" w:hAnsi="Times New Roman" w:cs="Times New Roman" w:eastAsia="Times New Roman" w:hint="default"/>
        </w:rPr>
        <w:t>GB/T24915-2010</w:t>
      </w:r>
      <w:r>
        <w:rPr/>
        <w:t>）等规定。</w:t>
      </w:r>
      <w:r>
        <w:rPr>
          <w:rFonts w:ascii="Times New Roman" w:hAnsi="Times New Roman" w:cs="Times New Roman" w:eastAsia="Times New Roman" w:hint="default"/>
        </w:rPr>
        <w:t>”</w:t>
      </w:r>
      <w:r>
        <w:rPr/>
        <w:t>本 公司提供的节能服务业务符合该政策，享受免征增值税优惠。</w:t>
      </w:r>
    </w:p>
    <w:p>
      <w:pPr>
        <w:pStyle w:val="BodyText"/>
        <w:spacing w:line="256" w:lineRule="auto" w:before="22"/>
        <w:ind w:left="154" w:right="1197"/>
        <w:jc w:val="left"/>
      </w:pPr>
      <w:r>
        <w:rPr/>
        <w:t>（</w:t>
      </w:r>
      <w:r>
        <w:rPr>
          <w:rFonts w:ascii="Times New Roman" w:hAnsi="Times New Roman" w:cs="Times New Roman" w:eastAsia="Times New Roman" w:hint="default"/>
        </w:rPr>
        <w:t>2</w:t>
      </w:r>
      <w:r>
        <w:rPr/>
        <w:t>）本公司及子公司达实信息、达实联欣、久信医疗均系国家级高新技术企业，依据企业所得税法的规 定适用</w:t>
      </w:r>
      <w:r>
        <w:rPr>
          <w:rFonts w:ascii="Times New Roman" w:hAnsi="Times New Roman" w:cs="Times New Roman" w:eastAsia="Times New Roman" w:hint="default"/>
        </w:rPr>
        <w:t>15%</w:t>
      </w:r>
      <w:r>
        <w:rPr/>
        <w:t>的企业所得税税率。</w:t>
      </w:r>
    </w:p>
    <w:p>
      <w:pPr>
        <w:pStyle w:val="BodyText"/>
        <w:spacing w:line="264" w:lineRule="auto" w:before="5"/>
        <w:ind w:left="154" w:right="0"/>
        <w:jc w:val="left"/>
      </w:pPr>
      <w:r>
        <w:rPr/>
        <w:t>（</w:t>
      </w:r>
      <w:r>
        <w:rPr>
          <w:rFonts w:ascii="Times New Roman" w:hAnsi="Times New Roman" w:cs="Times New Roman" w:eastAsia="Times New Roman" w:hint="default"/>
        </w:rPr>
        <w:t>3</w:t>
      </w:r>
      <w:r>
        <w:rPr/>
        <w:t>）本公司子公司常州丹迪医疗器械有限公司、江苏德盟传输物流系统有限公司、江苏久信净化设备有 </w:t>
      </w:r>
      <w:r>
        <w:rPr>
          <w:spacing w:val="-1"/>
        </w:rPr>
        <w:t>限公司、珠海达实科技发展有限公司符合小型微利企业的判定标准，按照规定自行享受小型微利企业所得</w:t>
      </w:r>
      <w:r>
        <w:rPr>
          <w:spacing w:val="-81"/>
        </w:rPr>
        <w:t> </w:t>
      </w:r>
      <w:r>
        <w:rPr>
          <w:spacing w:val="-81"/>
        </w:rPr>
      </w:r>
      <w:r>
        <w:rPr/>
        <w:t>税优惠政策，其所得减按</w:t>
      </w:r>
      <w:r>
        <w:rPr>
          <w:rFonts w:ascii="Times New Roman" w:hAnsi="Times New Roman" w:cs="Times New Roman" w:eastAsia="Times New Roman" w:hint="default"/>
        </w:rPr>
        <w:t>50%</w:t>
      </w:r>
      <w:r>
        <w:rPr/>
        <w:t>计入应纳税所得额，并按</w:t>
      </w:r>
      <w:r>
        <w:rPr>
          <w:rFonts w:ascii="Times New Roman" w:hAnsi="Times New Roman" w:cs="Times New Roman" w:eastAsia="Times New Roman" w:hint="default"/>
        </w:rPr>
        <w:t>20%</w:t>
      </w:r>
      <w:r>
        <w:rPr/>
        <w:t>税率缴纳企业所得税。</w:t>
      </w:r>
    </w:p>
    <w:p>
      <w:pPr>
        <w:pStyle w:val="BodyText"/>
        <w:spacing w:line="261" w:lineRule="auto" w:before="0"/>
        <w:ind w:left="154" w:right="0"/>
        <w:jc w:val="left"/>
      </w:pPr>
      <w:r>
        <w:rPr/>
        <w:t>（</w:t>
      </w:r>
      <w:r>
        <w:rPr>
          <w:rFonts w:ascii="Times New Roman" w:hAnsi="Times New Roman" w:cs="Times New Roman" w:eastAsia="Times New Roman" w:hint="default"/>
        </w:rPr>
        <w:t>4</w:t>
      </w:r>
      <w:r>
        <w:rPr/>
        <w:t>）根据常州市经济和信息化委员会、江苏省常州市国家税务局、江苏省常州地产税务局《关于落实全 市第七十四批通过双软认定的企业名单和软件产品目录及第三十五批通过延续登记的软件产品目录的通 知》</w:t>
      </w:r>
      <w:r>
        <w:rPr>
          <w:rFonts w:ascii="Times New Roman" w:hAnsi="Times New Roman" w:cs="Times New Roman" w:eastAsia="Times New Roman" w:hint="default"/>
        </w:rPr>
        <w:t>(</w:t>
      </w:r>
      <w:r>
        <w:rPr/>
        <w:t>常经信软件〔</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315</w:t>
      </w:r>
      <w:r>
        <w:rPr/>
        <w:t>号</w:t>
      </w:r>
      <w:r>
        <w:rPr>
          <w:rFonts w:ascii="Times New Roman" w:hAnsi="Times New Roman" w:cs="Times New Roman" w:eastAsia="Times New Roman" w:hint="default"/>
        </w:rPr>
        <w:t>)</w:t>
      </w:r>
      <w:r>
        <w:rPr/>
        <w:t>，江苏达实久信数字医疗科技有限公司通过双软认定</w:t>
      </w:r>
      <w:r>
        <w:rPr>
          <w:rFonts w:ascii="Times New Roman" w:hAnsi="Times New Roman" w:cs="Times New Roman" w:eastAsia="Times New Roman" w:hint="default"/>
        </w:rPr>
        <w:t>(</w:t>
      </w:r>
      <w:r>
        <w:rPr/>
        <w:t>即软件产品认证和 软件企业认证</w:t>
      </w:r>
      <w:r>
        <w:rPr>
          <w:rFonts w:ascii="Times New Roman" w:hAnsi="Times New Roman" w:cs="Times New Roman" w:eastAsia="Times New Roman" w:hint="default"/>
        </w:rPr>
        <w:t>)</w:t>
      </w:r>
      <w:r>
        <w:rPr/>
        <w:t>。江苏达实久信数字医疗科技有限公司享受</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的税务优惠政策，从开始获利年度 </w:t>
      </w:r>
      <w:r>
        <w:rPr>
          <w:spacing w:val="-3"/>
          <w:w w:val="100"/>
        </w:rPr>
        <w:t>起执行</w:t>
      </w:r>
      <w:r>
        <w:rPr>
          <w:rFonts w:ascii="Times New Roman" w:hAnsi="Times New Roman" w:cs="Times New Roman" w:eastAsia="Times New Roman" w:hint="default"/>
          <w:spacing w:val="-3"/>
          <w:w w:val="100"/>
        </w:rPr>
        <w:t>“</w:t>
      </w:r>
      <w:r>
        <w:rPr>
          <w:spacing w:val="-3"/>
          <w:w w:val="100"/>
        </w:rPr>
        <w:t>两免三减半</w:t>
      </w:r>
      <w:r>
        <w:rPr>
          <w:rFonts w:ascii="Times New Roman" w:hAnsi="Times New Roman" w:cs="Times New Roman" w:eastAsia="Times New Roman" w:hint="default"/>
          <w:spacing w:val="-3"/>
          <w:w w:val="100"/>
        </w:rPr>
        <w:t>”</w:t>
      </w:r>
      <w:r>
        <w:rPr>
          <w:spacing w:val="-3"/>
          <w:w w:val="100"/>
        </w:rPr>
        <w:t>的税收优惠政策，</w:t>
      </w:r>
      <w:r>
        <w:rPr>
          <w:rFonts w:ascii="Times New Roman" w:hAnsi="Times New Roman" w:cs="Times New Roman" w:eastAsia="Times New Roman" w:hint="default"/>
          <w:spacing w:val="-3"/>
          <w:w w:val="100"/>
        </w:rPr>
        <w:t>2017</w:t>
      </w:r>
      <w:r>
        <w:rPr>
          <w:spacing w:val="-3"/>
          <w:w w:val="100"/>
        </w:rPr>
        <w:t>年度为江苏达实久信数字医疗科技有限公司的第三个获利年度。</w:t>
      </w:r>
    </w:p>
    <w:p>
      <w:pPr>
        <w:pStyle w:val="BodyText"/>
        <w:spacing w:line="261" w:lineRule="auto" w:before="0"/>
        <w:ind w:right="1131"/>
        <w:jc w:val="both"/>
      </w:pPr>
      <w:r>
        <w:rPr>
          <w:spacing w:val="-1"/>
        </w:rPr>
        <w:t>（</w:t>
      </w:r>
      <w:r>
        <w:rPr>
          <w:rFonts w:ascii="Times New Roman" w:hAnsi="Times New Roman" w:cs="Times New Roman" w:eastAsia="Times New Roman" w:hint="default"/>
          <w:spacing w:val="-1"/>
        </w:rPr>
        <w:t>5</w:t>
      </w:r>
      <w:r>
        <w:rPr>
          <w:spacing w:val="-1"/>
        </w:rPr>
        <w:t>）根据《西藏自治区企业所得税政策实施办法》第三条规定</w:t>
      </w:r>
      <w:r>
        <w:rPr>
          <w:rFonts w:ascii="Times New Roman" w:hAnsi="Times New Roman" w:cs="Times New Roman" w:eastAsia="Times New Roman" w:hint="default"/>
          <w:spacing w:val="-1"/>
        </w:rPr>
        <w:t>“</w:t>
      </w:r>
      <w:r>
        <w:rPr>
          <w:spacing w:val="-1"/>
        </w:rPr>
        <w:t>西藏自治区的企业统一执行西部大开发战</w:t>
      </w:r>
      <w:r>
        <w:rPr>
          <w:spacing w:val="-70"/>
        </w:rPr>
        <w:t> </w:t>
      </w:r>
      <w:r>
        <w:rPr>
          <w:spacing w:val="-70"/>
        </w:rPr>
      </w:r>
      <w:r>
        <w:rPr/>
        <w:t>略中企业所得税</w:t>
      </w:r>
      <w:r>
        <w:rPr>
          <w:rFonts w:ascii="Times New Roman" w:hAnsi="Times New Roman" w:cs="Times New Roman" w:eastAsia="Times New Roman" w:hint="default"/>
        </w:rPr>
        <w:t>15%</w:t>
      </w:r>
      <w:r>
        <w:rPr/>
        <w:t>的税率</w:t>
      </w:r>
      <w:r>
        <w:rPr>
          <w:rFonts w:ascii="Times New Roman" w:hAnsi="Times New Roman" w:cs="Times New Roman" w:eastAsia="Times New Roman" w:hint="default"/>
        </w:rPr>
        <w:t>”</w:t>
      </w:r>
      <w:r>
        <w:rPr/>
        <w:t>，同时根据第四条规定</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日止，暂免征收我 </w:t>
      </w:r>
      <w:r>
        <w:rPr>
          <w:spacing w:val="-1"/>
        </w:rPr>
        <w:t>区企业应缴纳的企业所得税中属于地方分享的部分。采矿业及矿业权交易行为有关企业所得税政策另行研</w:t>
      </w:r>
      <w:r>
        <w:rPr>
          <w:spacing w:val="-81"/>
        </w:rPr>
        <w:t> </w:t>
      </w:r>
      <w:r>
        <w:rPr>
          <w:spacing w:val="-81"/>
        </w:rPr>
      </w:r>
      <w:r>
        <w:rPr/>
        <w:t>究</w:t>
      </w:r>
      <w:r>
        <w:rPr>
          <w:rFonts w:ascii="Times New Roman" w:hAnsi="Times New Roman" w:cs="Times New Roman" w:eastAsia="Times New Roman" w:hint="default"/>
        </w:rPr>
        <w:t>”</w:t>
      </w:r>
      <w:r>
        <w:rPr/>
        <w:t>，子公司昌都市达实投资符合该政策。</w:t>
      </w:r>
    </w:p>
    <w:p>
      <w:pPr>
        <w:pStyle w:val="BodyText"/>
        <w:spacing w:line="256" w:lineRule="auto" w:before="0"/>
        <w:ind w:left="154" w:right="1013"/>
        <w:jc w:val="left"/>
      </w:pPr>
      <w:r>
        <w:rPr/>
        <w:t>（</w:t>
      </w:r>
      <w:r>
        <w:rPr>
          <w:rFonts w:ascii="Times New Roman" w:hAnsi="Times New Roman" w:cs="Times New Roman" w:eastAsia="Times New Roman" w:hint="default"/>
        </w:rPr>
        <w:t>6</w:t>
      </w:r>
      <w:r>
        <w:rPr/>
        <w:t>）自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日起根据财政部、国家税务总局财税</w:t>
      </w:r>
      <w:r>
        <w:rPr>
          <w:rFonts w:ascii="Times New Roman" w:hAnsi="Times New Roman" w:cs="Times New Roman" w:eastAsia="Times New Roman" w:hint="default"/>
        </w:rPr>
        <w:t>[2011]100</w:t>
      </w:r>
      <w:r>
        <w:rPr/>
        <w:t>号《关于软件产品增值税政策的通知》 </w:t>
      </w:r>
      <w:r>
        <w:rPr>
          <w:spacing w:val="-2"/>
        </w:rPr>
        <w:t>执行软件产品增值税政策，增值税一般纳税人销售其自行开发生产的软件产品，按</w:t>
      </w:r>
      <w:r>
        <w:rPr>
          <w:rFonts w:ascii="Times New Roman" w:hAnsi="Times New Roman" w:cs="Times New Roman" w:eastAsia="Times New Roman" w:hint="default"/>
          <w:spacing w:val="-2"/>
        </w:rPr>
        <w:t>17%</w:t>
      </w:r>
      <w:r>
        <w:rPr>
          <w:spacing w:val="-2"/>
        </w:rPr>
        <w:t>税率征收增值税后，</w:t>
      </w:r>
      <w:r>
        <w:rPr>
          <w:spacing w:val="-101"/>
        </w:rPr>
        <w:t> </w:t>
      </w:r>
      <w:r>
        <w:rPr/>
        <w:t>对其增值税实际税负超过</w:t>
      </w:r>
      <w:r>
        <w:rPr>
          <w:rFonts w:ascii="Times New Roman" w:hAnsi="Times New Roman" w:cs="Times New Roman" w:eastAsia="Times New Roman" w:hint="default"/>
        </w:rPr>
        <w:t>3%</w:t>
      </w:r>
      <w:r>
        <w:rPr/>
        <w:t>的部分实行即征即退政策。</w:t>
      </w: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bookmarkStart w:name="3、其他" w:id="230"/>
      <w:bookmarkEnd w:id="230"/>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128"/>
        <w:jc w:val="left"/>
      </w:pPr>
      <w:r>
        <w:rPr/>
        <w:t>（</w:t>
      </w:r>
      <w:r>
        <w:rPr>
          <w:rFonts w:ascii="Times New Roman" w:hAnsi="Times New Roman" w:cs="Times New Roman" w:eastAsia="Times New Roman" w:hint="default"/>
        </w:rPr>
        <w:t>1</w:t>
      </w:r>
      <w:r>
        <w:rPr/>
        <w:t>）上海达实联欣科技发展有限公司适用</w:t>
      </w:r>
      <w:r>
        <w:rPr>
          <w:rFonts w:ascii="Times New Roman" w:hAnsi="Times New Roman" w:cs="Times New Roman" w:eastAsia="Times New Roman" w:hint="default"/>
        </w:rPr>
        <w:t>5%</w:t>
      </w:r>
      <w:r>
        <w:rPr/>
        <w:t>的城市维护建设税税率，上海联欣金山建筑科技发展有限公 司适用</w:t>
      </w:r>
      <w:r>
        <w:rPr>
          <w:rFonts w:ascii="Times New Roman" w:hAnsi="Times New Roman" w:cs="Times New Roman" w:eastAsia="Times New Roman" w:hint="default"/>
        </w:rPr>
        <w:t>1%</w:t>
      </w:r>
      <w:r>
        <w:rPr/>
        <w:t>的城市维护建设税税率，本公司及本公司其他子公司适用</w:t>
      </w:r>
      <w:r>
        <w:rPr>
          <w:rFonts w:ascii="Times New Roman" w:hAnsi="Times New Roman" w:cs="Times New Roman" w:eastAsia="Times New Roman" w:hint="default"/>
        </w:rPr>
        <w:t>7%</w:t>
      </w:r>
      <w:r>
        <w:rPr/>
        <w:t>的城市维护建设税税率。</w:t>
      </w:r>
    </w:p>
    <w:p>
      <w:pPr>
        <w:pStyle w:val="BodyText"/>
        <w:spacing w:line="256" w:lineRule="auto" w:before="5"/>
        <w:ind w:right="1198"/>
        <w:jc w:val="left"/>
      </w:pPr>
      <w:r>
        <w:rPr/>
        <w:t>（</w:t>
      </w:r>
      <w:r>
        <w:rPr>
          <w:rFonts w:ascii="Times New Roman" w:hAnsi="Times New Roman" w:cs="Times New Roman" w:eastAsia="Times New Roman" w:hint="default"/>
        </w:rPr>
        <w:t>2</w:t>
      </w:r>
      <w:r>
        <w:rPr/>
        <w:t>）上海达实联欣科技发展有限公司子公司上海联欣金山建筑技术有限公司经主管税务机关批准为所得 税核定征收企业，按年营业收入的</w:t>
      </w:r>
      <w:r>
        <w:rPr>
          <w:rFonts w:ascii="Times New Roman" w:hAnsi="Times New Roman" w:cs="Times New Roman" w:eastAsia="Times New Roman" w:hint="default"/>
        </w:rPr>
        <w:t>10%</w:t>
      </w:r>
      <w:r>
        <w:rPr/>
        <w:t>核定应纳税所得额，企业所得税率为</w:t>
      </w:r>
      <w:r>
        <w:rPr>
          <w:rFonts w:ascii="Times New Roman" w:hAnsi="Times New Roman" w:cs="Times New Roman" w:eastAsia="Times New Roman" w:hint="default"/>
        </w:rPr>
        <w:t>25%</w:t>
      </w:r>
      <w:r>
        <w:rPr/>
        <w:t>。</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bookmarkStart w:name="七、合并财务报表项目注释" w:id="231"/>
      <w:bookmarkEnd w:id="231"/>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货币资金" w:id="232"/>
      <w:bookmarkEnd w:id="232"/>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369,167.75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490,205.03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662,186,469.54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507,160,012.03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48,433,783.92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48,306,551.76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710,989,421.21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555,956,768.82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300" w:lineRule="auto"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日其他货币资金中存放于指定账户的保函保证金存款</w:t>
      </w:r>
      <w:r>
        <w:rPr>
          <w:rFonts w:ascii="Times New Roman" w:hAnsi="Times New Roman" w:cs="Times New Roman" w:eastAsia="Times New Roman" w:hint="default"/>
          <w:spacing w:val="-2"/>
          <w:sz w:val="18"/>
          <w:szCs w:val="18"/>
        </w:rPr>
        <w:t>16,267,744.70</w:t>
      </w:r>
      <w:r>
        <w:rPr>
          <w:rFonts w:ascii="宋体" w:hAnsi="宋体" w:cs="宋体" w:eastAsia="宋体" w:hint="default"/>
          <w:spacing w:val="-2"/>
          <w:sz w:val="18"/>
          <w:szCs w:val="18"/>
        </w:rPr>
        <w:t>元、银行承兑汇票的保证金</w:t>
      </w:r>
      <w:r>
        <w:rPr>
          <w:rFonts w:ascii="Times New Roman" w:hAnsi="Times New Roman" w:cs="Times New Roman" w:eastAsia="Times New Roman" w:hint="default"/>
          <w:spacing w:val="-2"/>
          <w:sz w:val="18"/>
          <w:szCs w:val="18"/>
        </w:rPr>
        <w:t>26,338,775.86</w:t>
      </w:r>
      <w:r>
        <w:rPr>
          <w:rFonts w:ascii="宋体" w:hAnsi="宋体" w:cs="宋体" w:eastAsia="宋体" w:hint="default"/>
          <w:spacing w:val="-2"/>
          <w:sz w:val="18"/>
          <w:szCs w:val="18"/>
        </w:rPr>
        <w:t>元、</w:t>
      </w:r>
      <w:r>
        <w:rPr>
          <w:rFonts w:ascii="宋体" w:hAnsi="宋体" w:cs="宋体" w:eastAsia="宋体" w:hint="default"/>
          <w:spacing w:val="-32"/>
          <w:sz w:val="18"/>
          <w:szCs w:val="18"/>
        </w:rPr>
        <w:t> </w:t>
      </w:r>
      <w:r>
        <w:rPr>
          <w:rFonts w:ascii="宋体" w:hAnsi="宋体" w:cs="宋体" w:eastAsia="宋体" w:hint="default"/>
          <w:sz w:val="18"/>
          <w:szCs w:val="18"/>
        </w:rPr>
        <w:t>其他资金</w:t>
      </w:r>
      <w:r>
        <w:rPr>
          <w:rFonts w:ascii="Times New Roman" w:hAnsi="Times New Roman" w:cs="Times New Roman" w:eastAsia="Times New Roman" w:hint="default"/>
          <w:sz w:val="18"/>
          <w:szCs w:val="18"/>
        </w:rPr>
        <w:t>5,827,263.36</w:t>
      </w:r>
      <w:r>
        <w:rPr>
          <w:rFonts w:ascii="宋体" w:hAnsi="宋体" w:cs="宋体" w:eastAsia="宋体" w:hint="default"/>
          <w:sz w:val="18"/>
          <w:szCs w:val="18"/>
        </w:rPr>
        <w:t>元。</w:t>
      </w:r>
    </w:p>
    <w:p>
      <w:pPr>
        <w:spacing w:line="240" w:lineRule="auto" w:before="1"/>
        <w:rPr>
          <w:rFonts w:ascii="宋体" w:hAnsi="宋体" w:cs="宋体" w:eastAsia="宋体" w:hint="default"/>
          <w:sz w:val="22"/>
          <w:szCs w:val="22"/>
        </w:rPr>
      </w:pPr>
    </w:p>
    <w:p>
      <w:pPr>
        <w:pStyle w:val="Heading3"/>
        <w:spacing w:line="240" w:lineRule="auto"/>
        <w:ind w:left="153" w:right="0"/>
        <w:jc w:val="left"/>
        <w:rPr>
          <w:b w:val="0"/>
          <w:bCs w:val="0"/>
        </w:rPr>
      </w:pPr>
      <w:bookmarkStart w:name="2、以公允价值计量且其变动计入当期损益的金融资产" w:id="233"/>
      <w:bookmarkEnd w:id="233"/>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衍生金融资产" w:id="234"/>
      <w:bookmarkEnd w:id="234"/>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4、应收票据" w:id="235"/>
      <w:bookmarkEnd w:id="235"/>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票据分类列示" w:id="236"/>
      <w:bookmarkEnd w:id="236"/>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12,881,482.77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12,356,259.99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413,292,061.28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162,104,350.51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426,173,544.05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174,460,610.50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公司已质押的应收票据" w:id="237"/>
      <w:bookmarkEnd w:id="237"/>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期末公司已背书或贴现且在资产负债表日尚未到期的应收票据" w:id="238"/>
      <w:bookmarkEnd w:id="238"/>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2,799,140.70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6,512,983.56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78,000,000.00</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9,312,124.26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78,000,000.00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期末公司因出票人未履约而将其转应收账款的票据" w:id="239"/>
      <w:bookmarkEnd w:id="239"/>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期末公司未终止确认金额</w:t>
      </w:r>
      <w:r>
        <w:rPr>
          <w:rFonts w:ascii="Times New Roman" w:hAnsi="Times New Roman" w:cs="Times New Roman" w:eastAsia="Times New Roman" w:hint="default"/>
          <w:sz w:val="18"/>
          <w:szCs w:val="18"/>
        </w:rPr>
        <w:t>78,000,000.00</w:t>
      </w:r>
      <w:r>
        <w:rPr>
          <w:rFonts w:ascii="宋体" w:hAnsi="宋体" w:cs="宋体" w:eastAsia="宋体" w:hint="default"/>
          <w:sz w:val="18"/>
          <w:szCs w:val="18"/>
        </w:rPr>
        <w:t>元，系子公司达实租赁有追索权应收票据银行贴现。</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5、应收账款" w:id="240"/>
      <w:bookmarkEnd w:id="240"/>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分类披露" w:id="241"/>
      <w:bookmarkEnd w:id="24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403"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10,227,4</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19.80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10,227,4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19.80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2,735,3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38.40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2,735,338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1,876,11</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5,135.37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117,476,</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974.58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1,758,638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,160.79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1,639,5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2"/>
                <w:sz w:val="18"/>
              </w:rPr>
              <w:t>55,611.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102,785,4</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91.07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1,536,770,1</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20.68</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8,622,47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8,622,47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5,439,7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13.97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5,439,713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1,894,96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5,027.93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136,326,</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867.14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7.19%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1,758,638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,160.79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1,647,7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30,664.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110,960,5</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43.44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6.73%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1,536,770,1</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20.68</w:t>
            </w:r>
          </w:p>
        </w:tc>
      </w:tr>
      <w:tr>
        <w:trPr>
          <w:trHeight w:val="391"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8"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中国人民解放军第九十 一中心医院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4,111,935.00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4,111,935.00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期限长，无法收回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镇江华龙广场置业有限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2,735,338.40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2,735,338.40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已诉讼，回收有风险</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黑龙江省建工集团有限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2,030,146.40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2,030,146.40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期限长，无法收回</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中国人民解放军第二军 医大学东方肝胆外科医 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期限长，无法收回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10,227,419.80</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10,227,419.80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5"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2"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1,217,900,392.64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36,537,011.77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398,859,297.86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19,942,964.89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171,701,811.31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17,170,181.13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87,653,633.56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43,826,816.79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57,871,699.00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28,935,849.50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21,128,487.91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10,564,243.96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8,653,446.65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4,326,723.33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1,876,115,135.37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117,476,974.58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3"/>
        <w:rPr>
          <w:rFonts w:ascii="宋体" w:hAnsi="宋体" w:cs="宋体" w:eastAsia="宋体" w:hint="default"/>
          <w:sz w:val="21"/>
          <w:szCs w:val="21"/>
        </w:rPr>
      </w:pPr>
    </w:p>
    <w:p>
      <w:pPr>
        <w:pStyle w:val="Heading3"/>
        <w:spacing w:line="240" w:lineRule="auto"/>
        <w:ind w:left="153" w:right="0"/>
        <w:jc w:val="left"/>
        <w:rPr>
          <w:b w:val="0"/>
          <w:bCs w:val="0"/>
        </w:rPr>
      </w:pPr>
      <w:bookmarkStart w:name="（2）本期计提、收回或转回的坏账准备情况" w:id="242"/>
      <w:bookmarkEnd w:id="24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3874"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29,395,143.08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889,016.27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本期实际核销的应收账款情况" w:id="243"/>
      <w:bookmarkEnd w:id="24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3,139,803.11</w:t>
            </w:r>
          </w:p>
        </w:tc>
      </w:tr>
    </w:tbl>
    <w:p>
      <w:pPr>
        <w:spacing w:line="360" w:lineRule="auto" w:before="51"/>
        <w:ind w:left="154" w:right="5712"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 应收账款核销说明：本期核销的应收账款均为非关联交易产生。</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4）按欠款方归集的期末余额前五名的应收账款情况" w:id="244"/>
      <w:bookmarkEnd w:id="24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436"/>
        <w:gridCol w:w="949"/>
        <w:gridCol w:w="1559"/>
        <w:gridCol w:w="992"/>
        <w:gridCol w:w="2265"/>
        <w:gridCol w:w="1447"/>
      </w:tblGrid>
      <w:tr>
        <w:trPr>
          <w:trHeight w:val="659" w:hRule="exact"/>
        </w:trPr>
        <w:tc>
          <w:tcPr>
            <w:tcW w:w="2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630" w:right="45" w:hanging="586"/>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r>
              <w:rPr>
                <w:rFonts w:ascii="宋体" w:hAnsi="宋体" w:cs="宋体" w:eastAsia="宋体" w:hint="default"/>
                <w:sz w:val="18"/>
                <w:szCs w:val="18"/>
              </w:rPr>
              <w:t>%</w:t>
            </w:r>
            <w:r>
              <w:rPr>
                <w:rFonts w:ascii="宋体" w:hAnsi="宋体" w:cs="宋体" w:eastAsia="宋体" w:hint="default"/>
                <w:sz w:val="18"/>
                <w:szCs w:val="18"/>
              </w:rPr>
              <w:t>）</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626" w:right="84"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347" w:hRule="exact"/>
        </w:trPr>
        <w:tc>
          <w:tcPr>
            <w:tcW w:w="2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宿州市立医院</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94,578,470.97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4.99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2,837,354.13</w:t>
            </w:r>
          </w:p>
        </w:tc>
      </w:tr>
      <w:tr>
        <w:trPr>
          <w:trHeight w:val="347" w:hRule="exact"/>
        </w:trPr>
        <w:tc>
          <w:tcPr>
            <w:tcW w:w="243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深圳市地铁集团有限公司</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20,337,349.19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1.07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610,120.48</w:t>
            </w:r>
          </w:p>
        </w:tc>
      </w:tr>
      <w:tr>
        <w:trPr>
          <w:trHeight w:val="348" w:hRule="exact"/>
        </w:trPr>
        <w:tc>
          <w:tcPr>
            <w:tcW w:w="2436" w:type="dxa"/>
            <w:vMerge/>
            <w:tcBorders>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65,676,882.85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3.47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3,283,844.14</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436"/>
        <w:gridCol w:w="949"/>
        <w:gridCol w:w="1559"/>
        <w:gridCol w:w="992"/>
        <w:gridCol w:w="2265"/>
        <w:gridCol w:w="1447"/>
      </w:tblGrid>
      <w:tr>
        <w:trPr>
          <w:trHeight w:val="659" w:hRule="exact"/>
        </w:trPr>
        <w:tc>
          <w:tcPr>
            <w:tcW w:w="24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120" w:right="40" w:hanging="1081"/>
              <w:jc w:val="left"/>
              <w:rPr>
                <w:rFonts w:ascii="宋体" w:hAnsi="宋体" w:cs="宋体" w:eastAsia="宋体" w:hint="default"/>
                <w:sz w:val="18"/>
                <w:szCs w:val="18"/>
              </w:rPr>
            </w:pPr>
            <w:r>
              <w:rPr>
                <w:rFonts w:ascii="宋体" w:hAnsi="宋体" w:cs="宋体" w:eastAsia="宋体" w:hint="default"/>
                <w:sz w:val="18"/>
                <w:szCs w:val="18"/>
              </w:rPr>
              <w:t>中国建筑一局（集团）有限公 司</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48,590,061.75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2.56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76" w:right="0"/>
              <w:jc w:val="left"/>
              <w:rPr>
                <w:rFonts w:ascii="宋体" w:hAnsi="宋体" w:cs="宋体" w:eastAsia="宋体" w:hint="default"/>
                <w:sz w:val="18"/>
                <w:szCs w:val="18"/>
              </w:rPr>
            </w:pPr>
            <w:r>
              <w:rPr>
                <w:rFonts w:ascii="宋体"/>
                <w:sz w:val="18"/>
              </w:rPr>
              <w:t>1,457,701.85</w:t>
            </w:r>
          </w:p>
        </w:tc>
      </w:tr>
      <w:tr>
        <w:trPr>
          <w:trHeight w:val="347" w:hRule="exact"/>
        </w:trPr>
        <w:tc>
          <w:tcPr>
            <w:tcW w:w="2436"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广州地铁集团有限公司</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46,665,000.00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2.46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76" w:right="0"/>
              <w:jc w:val="left"/>
              <w:rPr>
                <w:rFonts w:ascii="宋体" w:hAnsi="宋体" w:cs="宋体" w:eastAsia="宋体" w:hint="default"/>
                <w:sz w:val="18"/>
                <w:szCs w:val="18"/>
              </w:rPr>
            </w:pPr>
            <w:r>
              <w:rPr>
                <w:rFonts w:ascii="宋体"/>
                <w:sz w:val="18"/>
              </w:rPr>
              <w:t>1,399,950.00</w:t>
            </w:r>
          </w:p>
        </w:tc>
      </w:tr>
      <w:tr>
        <w:trPr>
          <w:trHeight w:val="347" w:hRule="exact"/>
        </w:trPr>
        <w:tc>
          <w:tcPr>
            <w:tcW w:w="2436" w:type="dxa"/>
            <w:vMerge/>
            <w:tcBorders>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1,219,095.58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0.06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1" w:right="0"/>
              <w:jc w:val="left"/>
              <w:rPr>
                <w:rFonts w:ascii="宋体" w:hAnsi="宋体" w:cs="宋体" w:eastAsia="宋体" w:hint="default"/>
                <w:sz w:val="18"/>
                <w:szCs w:val="18"/>
              </w:rPr>
            </w:pPr>
            <w:r>
              <w:rPr>
                <w:rFonts w:ascii="宋体"/>
                <w:sz w:val="18"/>
              </w:rPr>
              <w:t>60,954.78</w:t>
            </w:r>
          </w:p>
        </w:tc>
      </w:tr>
      <w:tr>
        <w:trPr>
          <w:trHeight w:val="348" w:hRule="exact"/>
        </w:trPr>
        <w:tc>
          <w:tcPr>
            <w:tcW w:w="24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39" w:right="0"/>
              <w:jc w:val="left"/>
              <w:rPr>
                <w:rFonts w:ascii="宋体" w:hAnsi="宋体" w:cs="宋体" w:eastAsia="宋体" w:hint="default"/>
                <w:sz w:val="18"/>
                <w:szCs w:val="18"/>
              </w:rPr>
            </w:pPr>
            <w:r>
              <w:rPr>
                <w:rFonts w:ascii="宋体" w:hAnsi="宋体" w:cs="宋体" w:eastAsia="宋体" w:hint="default"/>
                <w:sz w:val="18"/>
                <w:szCs w:val="18"/>
              </w:rPr>
              <w:t>长沙市轨道交通集团有限公司</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2,829,182.32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0.15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1" w:right="0"/>
              <w:jc w:val="left"/>
              <w:rPr>
                <w:rFonts w:ascii="宋体" w:hAnsi="宋体" w:cs="宋体" w:eastAsia="宋体" w:hint="default"/>
                <w:sz w:val="18"/>
                <w:szCs w:val="18"/>
              </w:rPr>
            </w:pPr>
            <w:r>
              <w:rPr>
                <w:rFonts w:ascii="宋体"/>
                <w:sz w:val="18"/>
              </w:rPr>
              <w:t>84,875.47</w:t>
            </w:r>
          </w:p>
        </w:tc>
      </w:tr>
      <w:tr>
        <w:trPr>
          <w:trHeight w:val="347" w:hRule="exact"/>
        </w:trPr>
        <w:tc>
          <w:tcPr>
            <w:tcW w:w="2436" w:type="dxa"/>
            <w:vMerge/>
            <w:tcBorders>
              <w:left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18,917,687.96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1.00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6" w:right="0"/>
              <w:jc w:val="left"/>
              <w:rPr>
                <w:rFonts w:ascii="宋体" w:hAnsi="宋体" w:cs="宋体" w:eastAsia="宋体" w:hint="default"/>
                <w:sz w:val="18"/>
                <w:szCs w:val="18"/>
              </w:rPr>
            </w:pPr>
            <w:r>
              <w:rPr>
                <w:rFonts w:ascii="宋体"/>
                <w:sz w:val="18"/>
              </w:rPr>
              <w:t>945,884.40</w:t>
            </w:r>
          </w:p>
        </w:tc>
      </w:tr>
      <w:tr>
        <w:trPr>
          <w:trHeight w:val="347" w:hRule="exact"/>
        </w:trPr>
        <w:tc>
          <w:tcPr>
            <w:tcW w:w="2436" w:type="dxa"/>
            <w:vMerge/>
            <w:tcBorders>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11,921,126.27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0.63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76" w:right="0"/>
              <w:jc w:val="left"/>
              <w:rPr>
                <w:rFonts w:ascii="宋体" w:hAnsi="宋体" w:cs="宋体" w:eastAsia="宋体" w:hint="default"/>
                <w:sz w:val="18"/>
                <w:szCs w:val="18"/>
              </w:rPr>
            </w:pPr>
            <w:r>
              <w:rPr>
                <w:rFonts w:ascii="宋体"/>
                <w:sz w:val="18"/>
              </w:rPr>
              <w:t>1,192,112.63</w:t>
            </w:r>
          </w:p>
        </w:tc>
      </w:tr>
      <w:tr>
        <w:trPr>
          <w:trHeight w:val="348" w:hRule="exact"/>
        </w:trPr>
        <w:tc>
          <w:tcPr>
            <w:tcW w:w="2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94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310,734,856.89</w:t>
            </w:r>
          </w:p>
        </w:tc>
        <w:tc>
          <w:tcPr>
            <w:tcW w:w="992" w:type="dxa"/>
            <w:tcBorders>
              <w:top w:val="single" w:sz="6" w:space="0" w:color="000000"/>
              <w:left w:val="single" w:sz="6" w:space="0" w:color="000000"/>
              <w:bottom w:val="single" w:sz="6" w:space="0" w:color="000000"/>
              <w:right w:val="single" w:sz="6" w:space="0" w:color="000000"/>
            </w:tcBorders>
          </w:tcPr>
          <w:p>
            <w:pP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16.39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31" w:right="0"/>
              <w:jc w:val="left"/>
              <w:rPr>
                <w:rFonts w:ascii="宋体" w:hAnsi="宋体" w:cs="宋体" w:eastAsia="宋体" w:hint="default"/>
                <w:sz w:val="18"/>
                <w:szCs w:val="18"/>
              </w:rPr>
            </w:pPr>
            <w:r>
              <w:rPr>
                <w:rFonts w:ascii="宋体"/>
                <w:sz w:val="18"/>
              </w:rPr>
              <w:t>11,872,797.88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5）因金融资产转移而终止确认的应收账款" w:id="245"/>
      <w:bookmarkEnd w:id="245"/>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转移应收账款且继续涉入形成的资产、负债金额" w:id="246"/>
      <w:bookmarkEnd w:id="246"/>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预付款项" w:id="247"/>
      <w:bookmarkEnd w:id="247"/>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48"/>
      <w:bookmarkEnd w:id="248"/>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127,263,591.33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82,266,250.27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86.45%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5,885,688.59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9,689,050.66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5,249,123.92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1,158,750.49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2,195,798.96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2,041,990.24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140,594,202.80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95,156,041.66</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338" w:lineRule="auto" w:before="51"/>
        <w:ind w:left="154" w:right="5894"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 公司无账龄超过</w:t>
      </w:r>
      <w:r>
        <w:rPr>
          <w:rFonts w:ascii="Times New Roman" w:hAnsi="Times New Roman" w:cs="Times New Roman" w:eastAsia="Times New Roman" w:hint="default"/>
          <w:sz w:val="18"/>
          <w:szCs w:val="18"/>
        </w:rPr>
        <w:t>1</w:t>
      </w:r>
      <w:r>
        <w:rPr>
          <w:rFonts w:ascii="宋体" w:hAnsi="宋体" w:cs="宋体" w:eastAsia="宋体" w:hint="default"/>
          <w:sz w:val="18"/>
          <w:szCs w:val="18"/>
        </w:rPr>
        <w:t>年且金额重要的预付款项。</w:t>
      </w:r>
    </w:p>
    <w:p>
      <w:pPr>
        <w:spacing w:line="240" w:lineRule="auto" w:before="8"/>
        <w:rPr>
          <w:rFonts w:ascii="宋体" w:hAnsi="宋体" w:cs="宋体" w:eastAsia="宋体" w:hint="default"/>
          <w:sz w:val="19"/>
          <w:szCs w:val="19"/>
        </w:rPr>
      </w:pPr>
    </w:p>
    <w:p>
      <w:pPr>
        <w:pStyle w:val="Heading3"/>
        <w:spacing w:line="240" w:lineRule="auto"/>
        <w:ind w:left="153" w:right="0"/>
        <w:jc w:val="left"/>
        <w:rPr>
          <w:b w:val="0"/>
          <w:bCs w:val="0"/>
        </w:rPr>
      </w:pPr>
      <w:bookmarkStart w:name="（2）按预付对象归集的期末余额前五名的预付款情况" w:id="249"/>
      <w:bookmarkEnd w:id="249"/>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262"/>
        <w:gridCol w:w="992"/>
        <w:gridCol w:w="1704"/>
        <w:gridCol w:w="1132"/>
        <w:gridCol w:w="2560"/>
      </w:tblGrid>
      <w:tr>
        <w:trPr>
          <w:trHeight w:val="660"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8"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927" w:right="11" w:hanging="916"/>
              <w:jc w:val="left"/>
              <w:rPr>
                <w:rFonts w:ascii="宋体" w:hAnsi="宋体" w:cs="宋体" w:eastAsia="宋体" w:hint="default"/>
                <w:sz w:val="18"/>
                <w:szCs w:val="18"/>
              </w:rPr>
            </w:pPr>
            <w:r>
              <w:rPr>
                <w:rFonts w:ascii="宋体" w:hAnsi="宋体" w:cs="宋体" w:eastAsia="宋体" w:hint="default"/>
                <w:sz w:val="18"/>
                <w:szCs w:val="18"/>
              </w:rPr>
              <w:t>占预付款项期末余额合计数的比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中国江苏国际经济技术合作集团有限公司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60,200,000.00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70" w:right="0"/>
              <w:jc w:val="left"/>
              <w:rPr>
                <w:rFonts w:ascii="Times New Roman" w:hAnsi="Times New Roman" w:cs="Times New Roman" w:eastAsia="Times New Roman" w:hint="default"/>
                <w:sz w:val="18"/>
                <w:szCs w:val="18"/>
              </w:rPr>
            </w:pPr>
            <w:r>
              <w:rPr>
                <w:rFonts w:ascii="Times New Roman"/>
                <w:sz w:val="18"/>
              </w:rPr>
              <w:t>42.82</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吉林省思美澳经贸有限公司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3,530,000.00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14" w:right="0"/>
              <w:jc w:val="left"/>
              <w:rPr>
                <w:rFonts w:ascii="Times New Roman" w:hAnsi="Times New Roman" w:cs="Times New Roman" w:eastAsia="Times New Roman" w:hint="default"/>
                <w:sz w:val="18"/>
                <w:szCs w:val="18"/>
              </w:rPr>
            </w:pPr>
            <w:r>
              <w:rPr>
                <w:rFonts w:ascii="Times New Roman"/>
                <w:sz w:val="18"/>
              </w:rPr>
              <w:t>2.51</w:t>
            </w:r>
          </w:p>
        </w:tc>
      </w:tr>
      <w:tr>
        <w:trPr>
          <w:trHeight w:val="348"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苏州蔚蓝医疗科技有限公司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2,730,000.00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14" w:right="0"/>
              <w:jc w:val="left"/>
              <w:rPr>
                <w:rFonts w:ascii="Times New Roman" w:hAnsi="Times New Roman" w:cs="Times New Roman" w:eastAsia="Times New Roman" w:hint="default"/>
                <w:sz w:val="18"/>
                <w:szCs w:val="18"/>
              </w:rPr>
            </w:pPr>
            <w:r>
              <w:rPr>
                <w:rFonts w:ascii="Times New Roman"/>
                <w:sz w:val="18"/>
              </w:rPr>
              <w:t>1.94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262"/>
        <w:gridCol w:w="992"/>
        <w:gridCol w:w="1704"/>
        <w:gridCol w:w="1132"/>
        <w:gridCol w:w="2560"/>
      </w:tblGrid>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贵州奥通机电设备有限公司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2,327,010.00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14" w:right="0"/>
              <w:jc w:val="left"/>
              <w:rPr>
                <w:rFonts w:ascii="Times New Roman" w:hAnsi="Times New Roman" w:cs="Times New Roman" w:eastAsia="Times New Roman" w:hint="default"/>
                <w:sz w:val="18"/>
                <w:szCs w:val="18"/>
              </w:rPr>
            </w:pPr>
            <w:r>
              <w:rPr>
                <w:rFonts w:ascii="Times New Roman"/>
                <w:sz w:val="18"/>
              </w:rPr>
              <w:t>1.66</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江苏东星智慧医疗科技股份有限公司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2,250,000.00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14" w:right="0"/>
              <w:jc w:val="left"/>
              <w:rPr>
                <w:rFonts w:ascii="Times New Roman" w:hAnsi="Times New Roman" w:cs="Times New Roman" w:eastAsia="Times New Roman" w:hint="default"/>
                <w:sz w:val="18"/>
                <w:szCs w:val="18"/>
              </w:rPr>
            </w:pPr>
            <w:r>
              <w:rPr>
                <w:rFonts w:ascii="Times New Roman"/>
                <w:sz w:val="18"/>
              </w:rPr>
              <w:t>1.60</w:t>
            </w:r>
          </w:p>
        </w:tc>
      </w:tr>
      <w:tr>
        <w:trPr>
          <w:trHeight w:val="348"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tabs>
                <w:tab w:pos="542"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71,037,010.00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70" w:right="0"/>
              <w:jc w:val="left"/>
              <w:rPr>
                <w:rFonts w:ascii="Times New Roman" w:hAnsi="Times New Roman" w:cs="Times New Roman" w:eastAsia="Times New Roman" w:hint="default"/>
                <w:sz w:val="18"/>
                <w:szCs w:val="18"/>
              </w:rPr>
            </w:pPr>
            <w:r>
              <w:rPr>
                <w:rFonts w:ascii="Times New Roman"/>
                <w:sz w:val="18"/>
              </w:rPr>
              <w:t>50.53</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7、应收利息" w:id="250"/>
      <w:bookmarkEnd w:id="250"/>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利息分类" w:id="251"/>
      <w:bookmarkEnd w:id="251"/>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融资保理利息</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268,757.36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未到期理财利息</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41,917.81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310,675.17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逾期利息" w:id="252"/>
      <w:bookmarkEnd w:id="252"/>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无重要逾期利息。</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应收股利" w:id="253"/>
      <w:bookmarkEnd w:id="253"/>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本期末无应收股利。</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9、其他应收款" w:id="254"/>
      <w:bookmarkEnd w:id="254"/>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55"/>
      <w:bookmarkEnd w:id="255"/>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97,938,9</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45.54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8,747,58</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6.67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89,191,35</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8.87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95,382,</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907.83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8,265,943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87,116,964.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39</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70,000.00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98,008,9</w:t>
            </w:r>
          </w:p>
          <w:p>
            <w:pPr>
              <w:pStyle w:val="TableParagraph"/>
              <w:spacing w:line="240" w:lineRule="auto" w:before="106"/>
              <w:ind w:left="330" w:right="0"/>
              <w:jc w:val="left"/>
              <w:rPr>
                <w:rFonts w:ascii="Times New Roman" w:hAnsi="Times New Roman" w:cs="Times New Roman" w:eastAsia="Times New Roman" w:hint="default"/>
                <w:sz w:val="18"/>
                <w:szCs w:val="18"/>
              </w:rPr>
            </w:pPr>
            <w:r>
              <w:rPr>
                <w:rFonts w:ascii="Times New Roman"/>
                <w:sz w:val="18"/>
              </w:rPr>
              <w:t>45.54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8,817,58</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6.67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9.00%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89,191,35</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8.87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95,452,</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907.83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8,335,943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8.73%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87,116,964.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39</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6"/>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0"/>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5"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59,931,060.88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1,797,931.84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17,316,304.26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865,815.21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10,654,876.44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1,065,487.64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10,036,703.96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5,018,351.98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5,529,111.94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2,764,555.98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3,066,794.41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1,533,397.20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1,440,797.61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720,398.80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97,938,945.54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8,747,586.67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8.93%</w:t>
            </w: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6"/>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256"/>
      <w:bookmarkEnd w:id="25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459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481,643.23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其中本期坏账准备转回或收回金额重要的：无</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3）本期实际核销的其他应收款情况" w:id="257"/>
      <w:bookmarkEnd w:id="257"/>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5716" w:firstLine="0"/>
        <w:jc w:val="left"/>
        <w:rPr>
          <w:rFonts w:ascii="宋体" w:hAnsi="宋体" w:cs="宋体" w:eastAsia="宋体" w:hint="default"/>
          <w:sz w:val="18"/>
          <w:szCs w:val="18"/>
        </w:rPr>
      </w:pPr>
      <w:r>
        <w:rPr>
          <w:rFonts w:ascii="宋体" w:hAnsi="宋体" w:cs="宋体" w:eastAsia="宋体" w:hint="default"/>
          <w:sz w:val="18"/>
          <w:szCs w:val="18"/>
        </w:rPr>
        <w:t>本期实际核销其他应收款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122,327.96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元，均为非关联交易产生。 其中重要的其他应收款核销情况： 无</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4）其他应收款按款项性质分类情况" w:id="258"/>
      <w:bookmarkEnd w:id="258"/>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3,132,766.33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13,934,923.94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76,163,703.04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77,882,270.29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83,552.70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167,738.32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733,274.47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2,395,649.00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3,461,475.28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企业资金拆借款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98,008,945.54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95,452,907.83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名的其他应收款情况" w:id="259"/>
      <w:bookmarkEnd w:id="259"/>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四川立良建设有限 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企业资金拆借款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465,000.00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淄博市中心医院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8,179,063.80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245,371.91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遵义新区建设集团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5,823,010.58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582,301.06</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中轨投资控股有限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达州市中心医院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86,880.00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37,398,074.38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1,629,552.97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260"/>
      <w:bookmarkEnd w:id="260"/>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因金融资产转移而终止确认的其他应收款" w:id="261"/>
      <w:bookmarkEnd w:id="261"/>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转移其他应收款且继续涉入形成的资产、负债金额" w:id="262"/>
      <w:bookmarkEnd w:id="262"/>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0、存货" w:id="263"/>
      <w:bookmarkEnd w:id="263"/>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7512"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1）存货分类" w:id="264"/>
      <w:bookmarkEnd w:id="26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15,418,172.19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15,418,172.19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13,271,217.47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13,271,217.47</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3,049,457.54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3,049,457.54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2,217,829.95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2,217,829.95</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10,949,347.97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10,949,347.97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8,125,965.16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8,125,965.16</w:t>
            </w:r>
          </w:p>
        </w:tc>
      </w:tr>
      <w:tr>
        <w:trPr>
          <w:trHeight w:val="1026"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235,295,114.56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235,295,114.56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265,110,351.06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265,110,351.06</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2,820.51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2,820.51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21,625,307.13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21,625,307.13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18,098,065.68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18,098,065.68</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286,340,219.90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286,340,219.90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306,823,429.32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306,823,429.32</w:t>
            </w:r>
          </w:p>
        </w:tc>
      </w:tr>
    </w:tbl>
    <w:p>
      <w:pPr>
        <w:spacing w:line="340" w:lineRule="auto" w:before="51"/>
        <w:ind w:left="154" w:right="24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存货跌价准备" w:id="265"/>
      <w:bookmarkEnd w:id="265"/>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存货期末余额含有借款费用资本化金额的说明" w:id="266"/>
      <w:bookmarkEnd w:id="266"/>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期末建造合同形成的已完工未结算资产情况" w:id="267"/>
      <w:bookmarkEnd w:id="267"/>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4,078,716,268.69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1,173,907,290.69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5,017,328,444.82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235,295,114.56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11、持有待售的资产" w:id="268"/>
      <w:bookmarkEnd w:id="268"/>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12、一年内到期的非流动资产" w:id="269"/>
      <w:bookmarkEnd w:id="269"/>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129,023,981.98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246,673,649.20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129,023,981.98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246,673,649.20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13、其他流动资产" w:id="270"/>
      <w:bookmarkEnd w:id="270"/>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37,199,397.59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17,184,564.35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3,134,537.18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156,681.08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120,416.77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40,490,615.85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137,304,981.12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14、可供出售金融资产" w:id="271"/>
      <w:bookmarkEnd w:id="271"/>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可供出售金融资产情况" w:id="272"/>
      <w:bookmarkEnd w:id="272"/>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23,075,000.00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23,075,000.00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12,500,000.00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23,075,000.00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23,075,000.00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12,500,000.00</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23,075,000.00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23,075,000.00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公允价值计量的可供出售金融资产" w:id="273"/>
      <w:bookmarkEnd w:id="273"/>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期末按成本计量的可供出售金融资产" w:id="274"/>
      <w:bookmarkEnd w:id="274"/>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06"/>
        <w:gridCol w:w="1092"/>
        <w:gridCol w:w="1091"/>
        <w:gridCol w:w="518"/>
        <w:gridCol w:w="1091"/>
        <w:gridCol w:w="330"/>
        <w:gridCol w:w="520"/>
        <w:gridCol w:w="519"/>
        <w:gridCol w:w="330"/>
        <w:gridCol w:w="1264"/>
        <w:gridCol w:w="707"/>
      </w:tblGrid>
      <w:tr>
        <w:trPr>
          <w:trHeight w:val="402" w:hRule="exact"/>
        </w:trPr>
        <w:tc>
          <w:tcPr>
            <w:tcW w:w="22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79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67" w:right="84" w:hanging="180"/>
              <w:jc w:val="left"/>
              <w:rPr>
                <w:rFonts w:ascii="宋体" w:hAnsi="宋体" w:cs="宋体" w:eastAsia="宋体" w:hint="default"/>
                <w:sz w:val="18"/>
                <w:szCs w:val="18"/>
              </w:rPr>
            </w:pPr>
            <w:r>
              <w:rPr>
                <w:rFonts w:ascii="宋体" w:hAnsi="宋体" w:cs="宋体" w:eastAsia="宋体" w:hint="default"/>
                <w:sz w:val="18"/>
                <w:szCs w:val="18"/>
              </w:rPr>
              <w:t>在被投资单位 持股比例</w:t>
            </w:r>
          </w:p>
        </w:tc>
        <w:tc>
          <w:tcPr>
            <w:tcW w:w="7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77" w:right="77"/>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714" w:hRule="exact"/>
        </w:trPr>
        <w:tc>
          <w:tcPr>
            <w:tcW w:w="2206" w:type="dxa"/>
            <w:vMerge/>
            <w:tcBorders>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4" w:right="72"/>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0" w:right="67"/>
              <w:jc w:val="left"/>
              <w:rPr>
                <w:rFonts w:ascii="宋体" w:hAnsi="宋体" w:cs="宋体" w:eastAsia="宋体" w:hint="default"/>
                <w:sz w:val="18"/>
                <w:szCs w:val="18"/>
              </w:rPr>
            </w:pPr>
            <w:r>
              <w:rPr>
                <w:rFonts w:ascii="宋体" w:hAnsi="宋体" w:cs="宋体" w:eastAsia="宋体" w:hint="default"/>
                <w:sz w:val="18"/>
                <w:szCs w:val="18"/>
              </w:rPr>
              <w:t>期 初</w:t>
            </w:r>
          </w:p>
        </w:tc>
        <w:tc>
          <w:tcPr>
            <w:tcW w:w="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2"/>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4" w:right="72"/>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0" w:right="67"/>
              <w:jc w:val="left"/>
              <w:rPr>
                <w:rFonts w:ascii="宋体" w:hAnsi="宋体" w:cs="宋体" w:eastAsia="宋体" w:hint="default"/>
                <w:sz w:val="18"/>
                <w:szCs w:val="18"/>
              </w:rPr>
            </w:pPr>
            <w:r>
              <w:rPr>
                <w:rFonts w:ascii="宋体" w:hAnsi="宋体" w:cs="宋体" w:eastAsia="宋体" w:hint="default"/>
                <w:sz w:val="18"/>
                <w:szCs w:val="18"/>
              </w:rPr>
              <w:t>期 末</w:t>
            </w:r>
          </w:p>
        </w:tc>
        <w:tc>
          <w:tcPr>
            <w:tcW w:w="1264" w:type="dxa"/>
            <w:vMerge/>
            <w:tcBorders>
              <w:left w:val="single" w:sz="4" w:space="0" w:color="000000"/>
              <w:bottom w:val="single" w:sz="4" w:space="0" w:color="000000"/>
              <w:right w:val="single" w:sz="4" w:space="0" w:color="000000"/>
            </w:tcBorders>
            <w:shd w:val="clear" w:color="auto" w:fill="D2D2D2"/>
          </w:tcPr>
          <w:p>
            <w:pPr/>
          </w:p>
        </w:tc>
        <w:tc>
          <w:tcPr>
            <w:tcW w:w="70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
                <w:sz w:val="18"/>
                <w:szCs w:val="18"/>
              </w:rPr>
              <w:t>北京中轨股权投资中心（有</w:t>
            </w:r>
            <w:r>
              <w:rPr>
                <w:rFonts w:ascii="宋体" w:hAnsi="宋体" w:cs="宋体" w:eastAsia="宋体" w:hint="default"/>
                <w:sz w:val="18"/>
                <w:szCs w:val="18"/>
              </w:rPr>
              <w:t> 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5,000,000.00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5,000,000.00</w:t>
            </w:r>
          </w:p>
        </w:tc>
        <w:tc>
          <w:tcPr>
            <w:tcW w:w="330"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519" w:type="dxa"/>
            <w:tcBorders>
              <w:top w:val="single" w:sz="4" w:space="0" w:color="000000"/>
              <w:left w:val="single" w:sz="4" w:space="0" w:color="000000"/>
              <w:bottom w:val="single" w:sz="4" w:space="0" w:color="000000"/>
              <w:right w:val="single" w:sz="4" w:space="0" w:color="000000"/>
            </w:tcBorders>
          </w:tcPr>
          <w:p>
            <w:pPr/>
          </w:p>
        </w:tc>
        <w:tc>
          <w:tcPr>
            <w:tcW w:w="33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7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深圳市嘉诚富通基金管理</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7,500,000.00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10,000,000.00</w:t>
            </w:r>
          </w:p>
        </w:tc>
        <w:tc>
          <w:tcPr>
            <w:tcW w:w="51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17,500,000.00</w:t>
            </w:r>
          </w:p>
        </w:tc>
        <w:tc>
          <w:tcPr>
            <w:tcW w:w="330"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519" w:type="dxa"/>
            <w:tcBorders>
              <w:top w:val="single" w:sz="4" w:space="0" w:color="000000"/>
              <w:left w:val="single" w:sz="4" w:space="0" w:color="000000"/>
              <w:bottom w:val="single" w:sz="4" w:space="0" w:color="000000"/>
              <w:right w:val="single" w:sz="4" w:space="0" w:color="000000"/>
            </w:tcBorders>
          </w:tcPr>
          <w:p>
            <w:pPr/>
          </w:p>
        </w:tc>
        <w:tc>
          <w:tcPr>
            <w:tcW w:w="33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7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06"/>
        <w:gridCol w:w="1092"/>
        <w:gridCol w:w="1091"/>
        <w:gridCol w:w="518"/>
        <w:gridCol w:w="1091"/>
        <w:gridCol w:w="330"/>
        <w:gridCol w:w="520"/>
        <w:gridCol w:w="519"/>
        <w:gridCol w:w="330"/>
        <w:gridCol w:w="1264"/>
        <w:gridCol w:w="707"/>
      </w:tblGrid>
      <w:tr>
        <w:trPr>
          <w:trHeight w:val="36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合伙企业（有限合伙）</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330"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519" w:type="dxa"/>
            <w:tcBorders>
              <w:top w:val="single" w:sz="4" w:space="0" w:color="000000"/>
              <w:left w:val="single" w:sz="4" w:space="0" w:color="000000"/>
              <w:bottom w:val="single" w:sz="4" w:space="0" w:color="000000"/>
              <w:right w:val="single" w:sz="4" w:space="0" w:color="000000"/>
            </w:tcBorders>
          </w:tcPr>
          <w:p>
            <w:pPr/>
          </w:p>
        </w:tc>
        <w:tc>
          <w:tcPr>
            <w:tcW w:w="33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北京达实德润能源科技有 限公司</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575,000.00</w:t>
            </w:r>
          </w:p>
        </w:tc>
        <w:tc>
          <w:tcPr>
            <w:tcW w:w="51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575,000.00</w:t>
            </w:r>
          </w:p>
        </w:tc>
        <w:tc>
          <w:tcPr>
            <w:tcW w:w="330"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519" w:type="dxa"/>
            <w:tcBorders>
              <w:top w:val="single" w:sz="4" w:space="0" w:color="000000"/>
              <w:left w:val="single" w:sz="4" w:space="0" w:color="000000"/>
              <w:bottom w:val="single" w:sz="4" w:space="0" w:color="000000"/>
              <w:right w:val="single" w:sz="4" w:space="0" w:color="000000"/>
            </w:tcBorders>
          </w:tcPr>
          <w:p>
            <w:pPr/>
          </w:p>
        </w:tc>
        <w:tc>
          <w:tcPr>
            <w:tcW w:w="33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6" w:right="0"/>
              <w:jc w:val="left"/>
              <w:rPr>
                <w:rFonts w:ascii="Times New Roman" w:hAnsi="Times New Roman" w:cs="Times New Roman" w:eastAsia="Times New Roman" w:hint="default"/>
                <w:sz w:val="18"/>
                <w:szCs w:val="18"/>
              </w:rPr>
            </w:pPr>
            <w:r>
              <w:rPr>
                <w:rFonts w:ascii="Times New Roman"/>
                <w:sz w:val="18"/>
              </w:rPr>
              <w:t>5.00%</w:t>
            </w:r>
          </w:p>
        </w:tc>
        <w:tc>
          <w:tcPr>
            <w:tcW w:w="7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12,500,000.00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10,575,000.00</w:t>
            </w:r>
          </w:p>
        </w:tc>
        <w:tc>
          <w:tcPr>
            <w:tcW w:w="51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23,075,000.00</w:t>
            </w:r>
          </w:p>
        </w:tc>
        <w:tc>
          <w:tcPr>
            <w:tcW w:w="330"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519" w:type="dxa"/>
            <w:tcBorders>
              <w:top w:val="single" w:sz="4" w:space="0" w:color="000000"/>
              <w:left w:val="single" w:sz="4" w:space="0" w:color="000000"/>
              <w:bottom w:val="single" w:sz="4" w:space="0" w:color="000000"/>
              <w:right w:val="single" w:sz="4" w:space="0" w:color="000000"/>
            </w:tcBorders>
          </w:tcPr>
          <w:p>
            <w:pPr/>
          </w:p>
        </w:tc>
        <w:tc>
          <w:tcPr>
            <w:tcW w:w="330" w:type="dxa"/>
            <w:tcBorders>
              <w:top w:val="single" w:sz="4" w:space="0" w:color="000000"/>
              <w:left w:val="single" w:sz="4" w:space="0" w:color="000000"/>
              <w:bottom w:val="single" w:sz="4" w:space="0" w:color="000000"/>
              <w:right w:val="single" w:sz="13" w:space="0" w:color="D2D2D2"/>
            </w:tcBorders>
          </w:tcPr>
          <w:p>
            <w:pP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0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报告期内可供出售金融资产减值的变动情况" w:id="275"/>
      <w:bookmarkEnd w:id="275"/>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可供出售权益工具期末公允价值严重下跌或非暂时性下跌但未计提减值准备的相关说" w:id="276"/>
      <w:bookmarkEnd w:id="276"/>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5、持有至到期投资" w:id="277"/>
      <w:bookmarkEnd w:id="277"/>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持有至到期投资情况" w:id="278"/>
      <w:bookmarkEnd w:id="278"/>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期末重要的持有至到期投资" w:id="279"/>
      <w:bookmarkEnd w:id="279"/>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本期重分类的持有至到期投资" w:id="280"/>
      <w:bookmarkEnd w:id="280"/>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16、长期应收款" w:id="281"/>
      <w:bookmarkEnd w:id="281"/>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82"/>
      <w:bookmarkEnd w:id="282"/>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92"/>
        <w:gridCol w:w="1179"/>
        <w:gridCol w:w="1167"/>
        <w:gridCol w:w="1168"/>
        <w:gridCol w:w="1166"/>
        <w:gridCol w:w="1169"/>
        <w:gridCol w:w="1164"/>
        <w:gridCol w:w="1165"/>
      </w:tblGrid>
      <w:tr>
        <w:trPr>
          <w:trHeight w:val="206"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35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13" w:type="dxa"/>
            <w:gridSpan w:val="3"/>
            <w:vMerge/>
            <w:tcBorders>
              <w:left w:val="single" w:sz="4" w:space="0" w:color="000000"/>
              <w:bottom w:val="single" w:sz="4" w:space="0" w:color="000000"/>
              <w:right w:val="single" w:sz="4" w:space="0" w:color="000000"/>
            </w:tcBorders>
            <w:shd w:val="clear" w:color="auto" w:fill="D2D2D2"/>
          </w:tcPr>
          <w:p>
            <w:pP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200" w:hRule="exact"/>
        </w:trPr>
        <w:tc>
          <w:tcPr>
            <w:tcW w:w="1392" w:type="dxa"/>
            <w:vMerge/>
            <w:tcBorders>
              <w:left w:val="single" w:sz="4" w:space="0" w:color="000000"/>
              <w:bottom w:val="nil" w:sz="6" w:space="0" w:color="auto"/>
              <w:right w:val="single" w:sz="4" w:space="0" w:color="000000"/>
            </w:tcBorders>
            <w:shd w:val="clear" w:color="auto" w:fill="D2D2D2"/>
          </w:tcPr>
          <w:p>
            <w:pPr/>
          </w:p>
        </w:tc>
        <w:tc>
          <w:tcPr>
            <w:tcW w:w="11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9"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69,476,380.86</w:t>
            </w:r>
          </w:p>
        </w:tc>
        <w:tc>
          <w:tcPr>
            <w:tcW w:w="11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1,266,275.86</w:t>
            </w:r>
          </w:p>
        </w:tc>
        <w:tc>
          <w:tcPr>
            <w:tcW w:w="11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68,210,105.00</w:t>
            </w:r>
          </w:p>
        </w:tc>
        <w:tc>
          <w:tcPr>
            <w:tcW w:w="116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167,187,904.4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1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1,266,275.86</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165,921,628.6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165" w:type="dxa"/>
            <w:vMerge w:val="restart"/>
            <w:tcBorders>
              <w:top w:val="single" w:sz="4" w:space="0" w:color="000000"/>
              <w:left w:val="single" w:sz="4" w:space="0" w:color="000000"/>
              <w:right w:val="single" w:sz="4" w:space="0" w:color="000000"/>
            </w:tcBorders>
          </w:tcPr>
          <w:p>
            <w:pPr/>
          </w:p>
        </w:tc>
      </w:tr>
      <w:tr>
        <w:trPr>
          <w:trHeight w:val="392" w:hRule="exact"/>
        </w:trPr>
        <w:tc>
          <w:tcPr>
            <w:tcW w:w="1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79" w:type="dxa"/>
            <w:vMerge/>
            <w:tcBorders>
              <w:left w:val="single" w:sz="9" w:space="0" w:color="D2D2D2"/>
              <w:right w:val="single" w:sz="4" w:space="0" w:color="000000"/>
            </w:tcBorders>
          </w:tcPr>
          <w:p>
            <w:pPr/>
          </w:p>
        </w:tc>
        <w:tc>
          <w:tcPr>
            <w:tcW w:w="1167" w:type="dxa"/>
            <w:vMerge/>
            <w:tcBorders>
              <w:left w:val="single" w:sz="4" w:space="0" w:color="000000"/>
              <w:right w:val="single" w:sz="4" w:space="0" w:color="000000"/>
            </w:tcBorders>
          </w:tcPr>
          <w:p>
            <w:pPr/>
          </w:p>
        </w:tc>
        <w:tc>
          <w:tcPr>
            <w:tcW w:w="1168"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164" w:type="dxa"/>
            <w:vMerge/>
            <w:tcBorders>
              <w:left w:val="single" w:sz="4" w:space="0" w:color="000000"/>
              <w:right w:val="single" w:sz="4" w:space="0" w:color="000000"/>
            </w:tcBorders>
          </w:tcPr>
          <w:p>
            <w:pPr/>
          </w:p>
        </w:tc>
        <w:tc>
          <w:tcPr>
            <w:tcW w:w="1165" w:type="dxa"/>
            <w:vMerge/>
            <w:tcBorders>
              <w:left w:val="single" w:sz="4" w:space="0" w:color="000000"/>
              <w:right w:val="single" w:sz="4" w:space="0" w:color="000000"/>
            </w:tcBorders>
          </w:tcPr>
          <w:p>
            <w:pPr/>
          </w:p>
        </w:tc>
      </w:tr>
      <w:tr>
        <w:trPr>
          <w:trHeight w:val="161"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9" w:type="dxa"/>
            <w:vMerge/>
            <w:tcBorders>
              <w:left w:val="single" w:sz="9" w:space="0" w:color="D2D2D2"/>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1168"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c>
          <w:tcPr>
            <w:tcW w:w="1165" w:type="dxa"/>
            <w:vMerge/>
            <w:tcBorders>
              <w:left w:val="single" w:sz="4" w:space="0" w:color="000000"/>
              <w:bottom w:val="single" w:sz="4" w:space="0" w:color="000000"/>
              <w:right w:val="single" w:sz="4" w:space="0" w:color="000000"/>
            </w:tcBorders>
          </w:tcPr>
          <w:p>
            <w:pPr/>
          </w:p>
        </w:tc>
      </w:tr>
      <w:tr>
        <w:trPr>
          <w:trHeight w:val="714"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7"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7,302,443.49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7,302,443.49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3,899,678.69</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3,899,678.69</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分期收款提供劳 务</w:t>
            </w:r>
          </w:p>
        </w:tc>
        <w:tc>
          <w:tcPr>
            <w:tcW w:w="11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231,352,612.3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231,352,612.3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187,017,271.3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187,017,271.3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9"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300,828,993.2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1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1,266,275.86</w:t>
            </w:r>
          </w:p>
        </w:tc>
        <w:tc>
          <w:tcPr>
            <w:tcW w:w="116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299,562,717.3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16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354,205,175.8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1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1,266,275.86</w:t>
            </w:r>
          </w:p>
        </w:tc>
        <w:tc>
          <w:tcPr>
            <w:tcW w:w="1164" w:type="dxa"/>
            <w:vMerge w:val="restart"/>
            <w:tcBorders>
              <w:top w:val="single" w:sz="4" w:space="0" w:color="000000"/>
              <w:left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352,938,899.9</w:t>
            </w:r>
          </w:p>
          <w:p>
            <w:pPr>
              <w:pStyle w:val="TableParagraph"/>
              <w:spacing w:line="240" w:lineRule="auto" w:before="106"/>
              <w:ind w:right="13"/>
              <w:jc w:val="right"/>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9" w:type="dxa"/>
            <w:vMerge/>
            <w:tcBorders>
              <w:left w:val="single" w:sz="9" w:space="0" w:color="D2D2D2"/>
              <w:right w:val="single" w:sz="4" w:space="0" w:color="000000"/>
            </w:tcBorders>
          </w:tcPr>
          <w:p>
            <w:pPr/>
          </w:p>
        </w:tc>
        <w:tc>
          <w:tcPr>
            <w:tcW w:w="1167" w:type="dxa"/>
            <w:vMerge/>
            <w:tcBorders>
              <w:left w:val="single" w:sz="4" w:space="0" w:color="000000"/>
              <w:right w:val="single" w:sz="4" w:space="0" w:color="000000"/>
            </w:tcBorders>
          </w:tcPr>
          <w:p>
            <w:pPr/>
          </w:p>
        </w:tc>
        <w:tc>
          <w:tcPr>
            <w:tcW w:w="1168"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164" w:type="dxa"/>
            <w:vMerge/>
            <w:tcBorders>
              <w:left w:val="single" w:sz="4" w:space="0" w:color="000000"/>
              <w:right w:val="single" w:sz="10" w:space="0" w:color="D2D2D2"/>
            </w:tcBorders>
          </w:tcPr>
          <w:p>
            <w:pPr/>
          </w:p>
        </w:tc>
        <w:tc>
          <w:tcPr>
            <w:tcW w:w="11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9" w:type="dxa"/>
            <w:vMerge/>
            <w:tcBorders>
              <w:left w:val="single" w:sz="9" w:space="0" w:color="D2D2D2"/>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1168"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10" w:space="0" w:color="D2D2D2"/>
            </w:tcBorders>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因金融资产转移而终止确认的长期应收款" w:id="283"/>
      <w:bookmarkEnd w:id="283"/>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转移长期应收款且继续涉入形成的资产、负债金额" w:id="284"/>
      <w:bookmarkEnd w:id="284"/>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7、长期股权投资" w:id="285"/>
      <w:bookmarkEnd w:id="285"/>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04"/>
        <w:gridCol w:w="1091"/>
        <w:gridCol w:w="1001"/>
        <w:gridCol w:w="413"/>
        <w:gridCol w:w="1290"/>
        <w:gridCol w:w="648"/>
        <w:gridCol w:w="530"/>
        <w:gridCol w:w="826"/>
        <w:gridCol w:w="530"/>
        <w:gridCol w:w="295"/>
        <w:gridCol w:w="1091"/>
        <w:gridCol w:w="648"/>
      </w:tblGrid>
      <w:tr>
        <w:trPr>
          <w:trHeight w:val="402" w:hRule="exact"/>
        </w:trPr>
        <w:tc>
          <w:tcPr>
            <w:tcW w:w="13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0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53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47" w:right="48"/>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1304"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1" w:right="111"/>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1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89" w:right="98"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7" w:right="48"/>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0" w:right="78"/>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6" w:right="47"/>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0" w:right="78"/>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 w:right="53"/>
              <w:jc w:val="left"/>
              <w:rPr>
                <w:rFonts w:ascii="宋体" w:hAnsi="宋体" w:cs="宋体" w:eastAsia="宋体" w:hint="default"/>
                <w:sz w:val="18"/>
                <w:szCs w:val="18"/>
              </w:rPr>
            </w:pPr>
            <w:r>
              <w:rPr>
                <w:rFonts w:ascii="宋体" w:hAnsi="宋体" w:cs="宋体" w:eastAsia="宋体" w:hint="default"/>
                <w:sz w:val="18"/>
                <w:szCs w:val="18"/>
              </w:rPr>
              <w:t>其 他</w:t>
            </w:r>
          </w:p>
        </w:tc>
        <w:tc>
          <w:tcPr>
            <w:tcW w:w="1091" w:type="dxa"/>
            <w:vMerge/>
            <w:tcBorders>
              <w:left w:val="single" w:sz="4" w:space="0" w:color="000000"/>
              <w:bottom w:val="single" w:sz="4" w:space="0" w:color="000000"/>
              <w:right w:val="single" w:sz="4" w:space="0" w:color="000000"/>
            </w:tcBorders>
            <w:shd w:val="clear" w:color="auto" w:fill="D2D2D2"/>
          </w:tcPr>
          <w:p>
            <w:pPr/>
          </w:p>
        </w:tc>
        <w:tc>
          <w:tcPr>
            <w:tcW w:w="6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66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66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深圳市小鹿暖 暖科技有限公 司</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9,028,920.54</w:t>
            </w:r>
          </w:p>
        </w:tc>
        <w:tc>
          <w:tcPr>
            <w:tcW w:w="1001"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-688,948.24</w:t>
            </w:r>
            <w:r>
              <w:rPr>
                <w:rFonts w:ascii="Times New Roman"/>
                <w:sz w:val="18"/>
              </w:rPr>
            </w:r>
          </w:p>
        </w:tc>
        <w:tc>
          <w:tcPr>
            <w:tcW w:w="64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8,339,972.30</w:t>
            </w: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融智节能环保</w:t>
            </w:r>
          </w:p>
          <w:p>
            <w:pPr>
              <w:pStyle w:val="TableParagraph"/>
              <w:spacing w:line="319" w:lineRule="auto" w:before="75"/>
              <w:ind w:left="22" w:right="22"/>
              <w:jc w:val="left"/>
              <w:rPr>
                <w:rFonts w:ascii="宋体" w:hAnsi="宋体" w:cs="宋体" w:eastAsia="宋体" w:hint="default"/>
                <w:sz w:val="18"/>
                <w:szCs w:val="18"/>
              </w:rPr>
            </w:pPr>
            <w:r>
              <w:rPr>
                <w:rFonts w:ascii="宋体" w:hAnsi="宋体" w:cs="宋体" w:eastAsia="宋体" w:hint="default"/>
                <w:spacing w:val="-2"/>
                <w:sz w:val="18"/>
                <w:szCs w:val="18"/>
              </w:rPr>
              <w:t>（深圳）有限公</w:t>
            </w:r>
            <w:r>
              <w:rPr>
                <w:rFonts w:ascii="宋体" w:hAnsi="宋体" w:cs="宋体" w:eastAsia="宋体" w:hint="default"/>
                <w:sz w:val="18"/>
                <w:szCs w:val="18"/>
              </w:rPr>
              <w:t> 司</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8,810,924.77</w:t>
            </w:r>
          </w:p>
        </w:tc>
        <w:tc>
          <w:tcPr>
            <w:tcW w:w="1001"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73,189.13</w:t>
            </w:r>
          </w:p>
        </w:tc>
        <w:tc>
          <w:tcPr>
            <w:tcW w:w="64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8,884,113.90</w:t>
            </w: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both"/>
              <w:rPr>
                <w:rFonts w:ascii="宋体" w:hAnsi="宋体" w:cs="宋体" w:eastAsia="宋体" w:hint="default"/>
                <w:sz w:val="18"/>
                <w:szCs w:val="18"/>
              </w:rPr>
            </w:pPr>
            <w:r>
              <w:rPr>
                <w:rFonts w:ascii="宋体" w:hAnsi="宋体" w:cs="宋体" w:eastAsia="宋体" w:hint="default"/>
                <w:sz w:val="18"/>
                <w:szCs w:val="18"/>
              </w:rPr>
              <w:t>山东茗信股权 投资管理有限 公司</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10,008,992.59</w:t>
            </w:r>
          </w:p>
        </w:tc>
        <w:tc>
          <w:tcPr>
            <w:tcW w:w="1001"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285,764.09</w:t>
            </w:r>
          </w:p>
        </w:tc>
        <w:tc>
          <w:tcPr>
            <w:tcW w:w="64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10,294,756.68</w:t>
            </w: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泰山健康保险 股份有限公司</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（筹）</w:t>
            </w: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1,280,000.00</w:t>
            </w:r>
          </w:p>
        </w:tc>
        <w:tc>
          <w:tcPr>
            <w:tcW w:w="413"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1,280,000.00</w:t>
            </w: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27,848,837.90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1,280,000.00</w:t>
            </w:r>
          </w:p>
        </w:tc>
        <w:tc>
          <w:tcPr>
            <w:tcW w:w="413"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-329,995.02</w:t>
            </w:r>
            <w:r>
              <w:rPr>
                <w:rFonts w:ascii="Times New Roman"/>
                <w:sz w:val="18"/>
              </w:rPr>
            </w:r>
          </w:p>
        </w:tc>
        <w:tc>
          <w:tcPr>
            <w:tcW w:w="64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28,798,842.88</w:t>
            </w: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27,848,837.90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1,280,000.00</w:t>
            </w:r>
          </w:p>
        </w:tc>
        <w:tc>
          <w:tcPr>
            <w:tcW w:w="413"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-329,995.02</w:t>
            </w:r>
            <w:r>
              <w:rPr>
                <w:rFonts w:ascii="Times New Roman"/>
                <w:sz w:val="18"/>
              </w:rPr>
            </w:r>
          </w:p>
        </w:tc>
        <w:tc>
          <w:tcPr>
            <w:tcW w:w="64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28,798,842.88</w:t>
            </w:r>
          </w:p>
        </w:tc>
        <w:tc>
          <w:tcPr>
            <w:tcW w:w="64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18、投资性房地产" w:id="286"/>
      <w:bookmarkEnd w:id="286"/>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87"/>
      <w:bookmarkEnd w:id="287"/>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155,142,614.06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155,142,614.06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20,082,206.32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20,082,206.32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）投资性房地</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产转出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20,082,206.32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20,082,206.32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135,060,407.74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135,060,407.74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70,860,436.78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70,860,436.78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8,559,068.97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8,559,068.97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8,559,068.97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8,559,068.97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10,474,945.39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10,474,945.39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）投资性房地产转出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10,474,945.39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10,474,945.39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68,944,560.36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68,944,560.36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66,115,847.38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66,115,847.38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84,282,177.28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84,282,177.28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其他说明：期末用于抵押借款的投资性房地产账面价值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26,323,492.18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采用公允价值计量模式的投资性房地产" w:id="288"/>
      <w:bookmarkEnd w:id="288"/>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未办妥产权证书的投资性房地产情况" w:id="289"/>
      <w:bookmarkEnd w:id="289"/>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9、固定资产" w:id="290"/>
      <w:bookmarkEnd w:id="290"/>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91"/>
      <w:bookmarkEnd w:id="291"/>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1"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2"/>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节能专用设备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116,560,508.63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13,493,042.16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31,910,315.32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156,006,730.43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317,970,596.54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20,082,206.32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989,215.41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3,312,560.64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19,042,423.75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43,426,406.12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989,215.41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2,137,536.00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3,126,751.41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1,175,024.64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19,042,423.75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20,217,448.39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2"/>
              <w:ind w:left="22" w:right="9" w:firstLine="630"/>
              <w:jc w:val="left"/>
              <w:rPr>
                <w:rFonts w:ascii="宋体" w:hAnsi="宋体" w:cs="宋体" w:eastAsia="宋体"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4</w:t>
            </w:r>
            <w:r>
              <w:rPr>
                <w:rFonts w:ascii="宋体" w:hAnsi="宋体" w:cs="宋体" w:eastAsia="宋体" w:hint="default"/>
                <w:spacing w:val="-14"/>
                <w:sz w:val="18"/>
                <w:szCs w:val="18"/>
              </w:rPr>
              <w:t>）投资性</w:t>
            </w:r>
            <w:r>
              <w:rPr>
                <w:rFonts w:ascii="宋体" w:hAnsi="宋体" w:cs="宋体" w:eastAsia="宋体" w:hint="default"/>
                <w:sz w:val="18"/>
                <w:szCs w:val="18"/>
              </w:rPr>
              <w:t> 房地产转入</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20,082,206.32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20,082,206.32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689,674.21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3,889,123.62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209,000.02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4,806,797.85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689,674.21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3,889,123.62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209,000.02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4,806,797.85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136,623,714.95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13,792,583.36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31,333,752.34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174,840,154.16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356,590,204.81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51,442,023.11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10,535,034.87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20,946,389.68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67,103,611.42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150,027,059.08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17,072,768.35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688,211.69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2,634,577.91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23,955,275.40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44,350,833.35</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6,597,822.96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688,211.69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2,634,577.91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23,955,275.40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33,875,887.96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9" w:firstLine="630"/>
              <w:jc w:val="left"/>
              <w:rPr>
                <w:rFonts w:ascii="宋体" w:hAnsi="宋体" w:cs="宋体" w:eastAsia="宋体"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）投资性</w:t>
            </w:r>
            <w:r>
              <w:rPr>
                <w:rFonts w:ascii="宋体" w:hAnsi="宋体" w:cs="宋体" w:eastAsia="宋体" w:hint="default"/>
                <w:sz w:val="18"/>
                <w:szCs w:val="18"/>
              </w:rPr>
              <w:t> 房地产转入</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10,474,945.39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10,474,945.39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584,933.64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3,596,345.24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209,000.02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4,408,328.90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584,933.64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3,596,345.24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209,000.02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4,408,328.90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68,496,741.46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10,638,312.92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19,984,622.35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90,849,886.80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189,969,563.53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68,126,973.49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3,154,270.44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11,349,129.99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83,990,267.36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166,620,641.28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65,118,485.52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2,958,007.29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10,963,925.64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88,903,119.01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167,943,537.46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其他说明：期末用于抵押借款的房屋及建筑物账面价值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15,068,022.56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暂时闲置的固定资产情况" w:id="292"/>
      <w:bookmarkEnd w:id="292"/>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通过融资租赁租入的固定资产情况" w:id="293"/>
      <w:bookmarkEnd w:id="293"/>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通过经营租赁租出的固定资产" w:id="294"/>
      <w:bookmarkEnd w:id="294"/>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未办妥产权证书的固定资产情况" w:id="295"/>
      <w:bookmarkEnd w:id="295"/>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0、在建工程" w:id="296"/>
      <w:bookmarkEnd w:id="296"/>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97"/>
      <w:bookmarkEnd w:id="29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达实大厦改扩建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338,492,338.07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338,492,338.07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162,117,630.06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162,117,630.06</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淮南智慧医疗</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34,774,532.08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34,774,532.08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合肥京东方中央 空调水蓄冷节能 服务项目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7,506,759.39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7,506,759.39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达实大厦营销中 心装修工程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3,089,046.52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3,089,046.52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深圳集中式空调 能效管控技术工 程实验室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884,159.58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884,159.58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814,283.36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814,283.36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展厅改造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169,220.14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169,220.14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宁德新能源湖西 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亩新厂房</w:t>
            </w:r>
          </w:p>
          <w:p>
            <w:pPr>
              <w:pStyle w:val="TableParagraph"/>
              <w:spacing w:line="319" w:lineRule="auto"/>
              <w:ind w:left="22" w:right="75"/>
              <w:jc w:val="left"/>
              <w:rPr>
                <w:rFonts w:ascii="宋体" w:hAnsi="宋体" w:cs="宋体" w:eastAsia="宋体" w:hint="default"/>
                <w:sz w:val="18"/>
                <w:szCs w:val="18"/>
              </w:rPr>
            </w:pPr>
            <w:r>
              <w:rPr>
                <w:rFonts w:ascii="宋体" w:hAnsi="宋体" w:cs="宋体" w:eastAsia="宋体" w:hint="default"/>
                <w:sz w:val="18"/>
                <w:szCs w:val="18"/>
              </w:rPr>
              <w:t>（一期）冷冻站 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20,211,861.03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20,211,861.03</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南山区建筑节能 技术工程技术研 究开发中心</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966,457.05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966,457.05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384,916,055.78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384,916,055.78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184,110,231.50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184,110,231.50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98"/>
      <w:bookmarkEnd w:id="29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159"/>
              <w:jc w:val="both"/>
              <w:rPr>
                <w:rFonts w:ascii="宋体" w:hAnsi="宋体" w:cs="宋体" w:eastAsia="宋体" w:hint="default"/>
                <w:sz w:val="18"/>
                <w:szCs w:val="18"/>
              </w:rPr>
            </w:pPr>
            <w:r>
              <w:rPr>
                <w:rFonts w:ascii="宋体" w:hAnsi="宋体" w:cs="宋体" w:eastAsia="宋体" w:hint="default"/>
                <w:sz w:val="18"/>
                <w:szCs w:val="18"/>
              </w:rPr>
              <w:t>达实大 厦改扩 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930,324,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162,117,</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630.06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176,374,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708.01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338,492,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338.07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36.38%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1"/>
              <w:jc w:val="center"/>
              <w:rPr>
                <w:rFonts w:ascii="Times New Roman" w:hAnsi="Times New Roman" w:cs="Times New Roman" w:eastAsia="Times New Roman" w:hint="default"/>
                <w:sz w:val="18"/>
                <w:szCs w:val="18"/>
              </w:rPr>
            </w:pPr>
            <w:r>
              <w:rPr>
                <w:rFonts w:ascii="Times New Roman"/>
                <w:sz w:val="18"/>
              </w:rPr>
              <w:t>70.00%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4,757,51</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4,757,51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3.06%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自有资 金及金 融机构 贷款</w:t>
            </w: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0" w:right="0"/>
              <w:jc w:val="center"/>
              <w:rPr>
                <w:rFonts w:ascii="Times New Roman" w:hAnsi="Times New Roman" w:cs="Times New Roman" w:eastAsia="Times New Roman" w:hint="default"/>
                <w:sz w:val="18"/>
                <w:szCs w:val="18"/>
              </w:rPr>
            </w:pPr>
            <w:r>
              <w:rPr>
                <w:rFonts w:ascii="Times New Roman"/>
                <w:sz w:val="18"/>
              </w:rPr>
              <w:t>930,324,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1" w:right="0"/>
              <w:jc w:val="left"/>
              <w:rPr>
                <w:rFonts w:ascii="Times New Roman" w:hAnsi="Times New Roman" w:cs="Times New Roman" w:eastAsia="Times New Roman" w:hint="default"/>
                <w:sz w:val="18"/>
                <w:szCs w:val="18"/>
              </w:rPr>
            </w:pPr>
            <w:r>
              <w:rPr>
                <w:rFonts w:ascii="Times New Roman"/>
                <w:sz w:val="18"/>
              </w:rPr>
              <w:t>162,117,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176,374,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338,492,</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4,757,51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4,757,51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6"/>
        <w:gridCol w:w="737"/>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Times New Roman" w:hAnsi="Times New Roman" w:cs="Times New Roman" w:eastAsia="Times New Roman" w:hint="default"/>
                <w:sz w:val="18"/>
                <w:szCs w:val="18"/>
              </w:rPr>
            </w:pPr>
            <w:r>
              <w:rPr>
                <w:rFonts w:ascii="Times New Roman"/>
                <w:sz w:val="18"/>
              </w:rPr>
              <w:t>400.00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 w:right="0"/>
              <w:jc w:val="left"/>
              <w:rPr>
                <w:rFonts w:ascii="Times New Roman" w:hAnsi="Times New Roman" w:cs="Times New Roman" w:eastAsia="Times New Roman" w:hint="default"/>
                <w:sz w:val="18"/>
                <w:szCs w:val="18"/>
              </w:rPr>
            </w:pPr>
            <w:r>
              <w:rPr>
                <w:rFonts w:ascii="Times New Roman"/>
                <w:sz w:val="18"/>
              </w:rPr>
              <w:t>630.06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Times New Roman" w:hAnsi="Times New Roman" w:cs="Times New Roman" w:eastAsia="Times New Roman" w:hint="default"/>
                <w:sz w:val="18"/>
                <w:szCs w:val="18"/>
              </w:rPr>
            </w:pPr>
            <w:r>
              <w:rPr>
                <w:rFonts w:ascii="Times New Roman"/>
                <w:sz w:val="18"/>
              </w:rPr>
              <w:t>708.01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Times New Roman" w:hAnsi="Times New Roman" w:cs="Times New Roman" w:eastAsia="Times New Roman" w:hint="default"/>
                <w:sz w:val="18"/>
                <w:szCs w:val="18"/>
              </w:rPr>
            </w:pPr>
            <w:r>
              <w:rPr>
                <w:rFonts w:ascii="Times New Roman"/>
                <w:sz w:val="18"/>
              </w:rPr>
              <w:t>338.07</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9" w:right="0"/>
              <w:jc w:val="left"/>
              <w:rPr>
                <w:rFonts w:ascii="Times New Roman" w:hAnsi="Times New Roman" w:cs="Times New Roman" w:eastAsia="Times New Roman" w:hint="default"/>
                <w:sz w:val="18"/>
                <w:szCs w:val="18"/>
              </w:rPr>
            </w:pPr>
            <w:r>
              <w:rPr>
                <w:rFonts w:ascii="Times New Roman"/>
                <w:sz w:val="18"/>
              </w:rPr>
              <w:t>6.35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6.35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计提在建工程减值准备情况" w:id="299"/>
      <w:bookmarkEnd w:id="299"/>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1、工程物资" w:id="300"/>
      <w:bookmarkEnd w:id="300"/>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2、固定资产清理" w:id="301"/>
      <w:bookmarkEnd w:id="301"/>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3、生产性生物资产" w:id="302"/>
      <w:bookmarkEnd w:id="302"/>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采用成本计量模式的生产性生物资产" w:id="303"/>
      <w:bookmarkEnd w:id="303"/>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采用公允价值计量模式的生产性生物资产" w:id="304"/>
      <w:bookmarkEnd w:id="304"/>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4、油气资产" w:id="305"/>
      <w:bookmarkEnd w:id="305"/>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5、无形资产" w:id="306"/>
      <w:bookmarkEnd w:id="306"/>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307"/>
      <w:bookmarkEnd w:id="307"/>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27,313,471.00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14,452,411.93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19,876,900.98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61,642,783.91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74,292,867.51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74,292,867.51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741,220.66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741,220.66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21,555,498.35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21,555,498.35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36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51,996,148.50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51,996,148.50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27,313,471.00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14,452,411.93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94,169,768.49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135,935,651.42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2,030,317.65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3,859,640.38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6,189,488.39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12,079,446.42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185,821.92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3,336,396.83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10,097,487.93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13,619,706.68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185,821.92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3,336,396.83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10,097,487.93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13,619,706.68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2,216,139.57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7,196,037.21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16,286,976.32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25,699,153.10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25,097,331.43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7,256,374.72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77,882,792.17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110,236,498.32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25,283,153.35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10,592,771.55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13,687,412.59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49,563,337.49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26.89%</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未办妥产权证书的土地使用权情况" w:id="308"/>
      <w:bookmarkEnd w:id="308"/>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6、开发支出" w:id="309"/>
      <w:bookmarkEnd w:id="309"/>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4,979,869.23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4,979,869.23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项目二</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1,698,070.28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1,698,070.28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项目三</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2,569,579.91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2,569,579.91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项目四</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218,201.00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218,201.00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1,757,612.44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1,904,656.10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3,662,268.54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项目六</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2,056,664.49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2,056,664.49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项目七</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410,420.19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410,420.19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项目八</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101,499.22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101,499.22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273,024.31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273,024.31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项目十</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264,561.28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264,561.28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项目十一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309,066.89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309,066.89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项目十二</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130,328.67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130,328.67</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项目十三</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506,623.75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506,623.75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项目十四</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1,381,565.87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1,381,565.87</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项目十五</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446,877.00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446,877.00</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项目十六</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165,938.08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165,938.08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项目十七</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212,009.37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212,009.37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项目十八</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622,567.05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622,567.05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项目十九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2,748,016.63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1,481,942.88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4,229,959.51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项目二十</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159,446.25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159,446.25</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项目二十一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238,635.09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238,635.09</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6,612,019.69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18,025,156.2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21,555,498.3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724,824.75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2,356,852.88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27、商誉" w:id="310"/>
      <w:bookmarkEnd w:id="310"/>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311"/>
      <w:bookmarkEnd w:id="311"/>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上海达实联欣科 技发展有限公司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155,406,465.96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155,406,465.96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北京达实德润能 源科技有限公司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7,256,368.77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7,256,368.77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上海腾隆变配电 设备管理有限公 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5,902,248.73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5,902,248.73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江苏达实久信医 疗科技有限公司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621,786,969.96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621,786,969.96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790,352,053.42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7,256,368.77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783,095,684.65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312"/>
      <w:bookmarkEnd w:id="312"/>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上海达实联欣科 技发展有限公司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15,422,557.95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9,679,896.30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25,102,454.25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北京达实德润能 源科技有限公司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5,745,833.28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5,745,833.28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21,168,391.23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9,679,896.30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5,745,833.28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25,102,454.25</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pStyle w:val="BodyText"/>
        <w:spacing w:line="240" w:lineRule="auto" w:before="90"/>
        <w:ind w:left="574" w:right="0"/>
        <w:jc w:val="left"/>
      </w:pPr>
      <w:r>
        <w:rPr/>
        <w:t>商誉减值测试过程、参数及商誉减值损失的确认方法：</w:t>
      </w:r>
    </w:p>
    <w:p>
      <w:pPr>
        <w:pStyle w:val="BodyText"/>
        <w:spacing w:line="273" w:lineRule="auto" w:before="37"/>
        <w:ind w:left="574" w:right="1128"/>
        <w:jc w:val="left"/>
      </w:pPr>
      <w:r>
        <w:rPr/>
        <w:t>（</w:t>
      </w:r>
      <w:r>
        <w:rPr>
          <w:rFonts w:ascii="宋体" w:hAnsi="宋体" w:cs="宋体" w:eastAsia="宋体" w:hint="default"/>
        </w:rPr>
        <w:t>1</w:t>
      </w:r>
      <w:r>
        <w:rPr/>
        <w:t>）商誉的基本情况 </w:t>
      </w:r>
      <w:r>
        <w:rPr>
          <w:rFonts w:ascii="宋体" w:hAnsi="宋体" w:cs="宋体" w:eastAsia="宋体" w:hint="default"/>
          <w:spacing w:val="-3"/>
        </w:rPr>
        <w:t>2012</w:t>
      </w:r>
      <w:r>
        <w:rPr>
          <w:spacing w:val="-3"/>
        </w:rPr>
        <w:t>年</w:t>
      </w:r>
      <w:r>
        <w:rPr>
          <w:rFonts w:ascii="宋体" w:hAnsi="宋体" w:cs="宋体" w:eastAsia="宋体" w:hint="default"/>
          <w:spacing w:val="-3"/>
        </w:rPr>
        <w:t>7</w:t>
      </w:r>
      <w:r>
        <w:rPr>
          <w:spacing w:val="-3"/>
        </w:rPr>
        <w:t>月公司与上海臻龙投资管理合伙企业、上海益憬投资管理事务所、青岛邦源创业投资中心（有</w:t>
      </w:r>
    </w:p>
    <w:p>
      <w:pPr>
        <w:pStyle w:val="BodyText"/>
        <w:spacing w:line="273" w:lineRule="auto"/>
        <w:ind w:right="1129"/>
        <w:jc w:val="both"/>
      </w:pPr>
      <w:r>
        <w:rPr>
          <w:spacing w:val="-1"/>
        </w:rPr>
        <w:t>限合伙）签署了《投资协议》，约定以</w:t>
      </w:r>
      <w:r>
        <w:rPr>
          <w:rFonts w:ascii="宋体" w:hAnsi="宋体" w:cs="宋体" w:eastAsia="宋体" w:hint="default"/>
          <w:spacing w:val="-1"/>
        </w:rPr>
        <w:t>201,144,000.00</w:t>
      </w:r>
      <w:r>
        <w:rPr>
          <w:spacing w:val="-1"/>
        </w:rPr>
        <w:t>元采取股权转让的方式合计受让上海联欣科技发展</w:t>
      </w:r>
      <w:r>
        <w:rPr>
          <w:spacing w:val="-80"/>
        </w:rPr>
        <w:t> </w:t>
      </w:r>
      <w:r>
        <w:rPr>
          <w:spacing w:val="-80"/>
        </w:rPr>
      </w:r>
      <w:r>
        <w:rPr>
          <w:spacing w:val="-1"/>
        </w:rPr>
        <w:t>有限公司（已更名为上海达实联欣科技发展有限公司，以下简称“达实联欣”）</w:t>
      </w:r>
      <w:r>
        <w:rPr>
          <w:rFonts w:ascii="宋体" w:hAnsi="宋体" w:cs="宋体" w:eastAsia="宋体" w:hint="default"/>
          <w:spacing w:val="-1"/>
        </w:rPr>
        <w:t>51.00%</w:t>
      </w:r>
      <w:r>
        <w:rPr>
          <w:spacing w:val="-1"/>
        </w:rPr>
        <w:t>的股权。根据《企</w:t>
      </w:r>
      <w:r>
        <w:rPr>
          <w:spacing w:val="-82"/>
        </w:rPr>
        <w:t> </w:t>
      </w:r>
      <w:r>
        <w:rPr>
          <w:spacing w:val="-82"/>
        </w:rPr>
      </w:r>
      <w:r>
        <w:rPr>
          <w:spacing w:val="-1"/>
        </w:rPr>
        <w:t>业会计准则第</w:t>
      </w:r>
      <w:r>
        <w:rPr>
          <w:rFonts w:ascii="宋体" w:hAnsi="宋体" w:cs="宋体" w:eastAsia="宋体" w:hint="default"/>
          <w:spacing w:val="-1"/>
        </w:rPr>
        <w:t>33</w:t>
      </w:r>
      <w:r>
        <w:rPr>
          <w:spacing w:val="-1"/>
        </w:rPr>
        <w:t>号——合并财务报表》有关规定，合并日按持股比例计算应享有被合并方可辨认净资产的</w:t>
      </w:r>
      <w:r>
        <w:rPr>
          <w:spacing w:val="-82"/>
        </w:rPr>
        <w:t> </w:t>
      </w:r>
      <w:r>
        <w:rPr>
          <w:spacing w:val="-82"/>
        </w:rPr>
      </w:r>
      <w:r>
        <w:rPr/>
        <w:t>公允价值的份额为</w:t>
      </w:r>
      <w:r>
        <w:rPr>
          <w:rFonts w:ascii="宋体" w:hAnsi="宋体" w:cs="宋体" w:eastAsia="宋体" w:hint="default"/>
        </w:rPr>
        <w:t>42,374,250.04</w:t>
      </w:r>
      <w:r>
        <w:rPr/>
        <w:t>元，故合并时形成</w:t>
      </w:r>
      <w:r>
        <w:rPr>
          <w:rFonts w:ascii="宋体" w:hAnsi="宋体" w:cs="宋体" w:eastAsia="宋体" w:hint="default"/>
        </w:rPr>
        <w:t>158,769,749.96</w:t>
      </w:r>
      <w:r>
        <w:rPr/>
        <w:t>元商誉。截至</w:t>
      </w:r>
      <w:r>
        <w:rPr>
          <w:rFonts w:ascii="宋体" w:hAnsi="宋体" w:cs="宋体" w:eastAsia="宋体" w:hint="default"/>
        </w:rPr>
        <w:t>2014</w:t>
      </w:r>
      <w:r>
        <w:rPr/>
        <w:t>年末，达实联欣未</w:t>
      </w:r>
      <w:r>
        <w:rPr>
          <w:spacing w:val="-29"/>
        </w:rPr>
        <w:t> </w:t>
      </w:r>
      <w:r>
        <w:rPr>
          <w:spacing w:val="-1"/>
        </w:rPr>
        <w:t>完成收购时承诺业绩，按实际未完成比例调减了</w:t>
      </w:r>
      <w:r>
        <w:rPr>
          <w:rFonts w:ascii="宋体" w:hAnsi="宋体" w:cs="宋体" w:eastAsia="宋体" w:hint="default"/>
          <w:spacing w:val="-1"/>
        </w:rPr>
        <w:t>3,363,284.00</w:t>
      </w:r>
      <w:r>
        <w:rPr>
          <w:spacing w:val="-1"/>
        </w:rPr>
        <w:t>元应付的股权收购款及对应商誉，调整后对</w:t>
      </w:r>
      <w:r>
        <w:rPr>
          <w:spacing w:val="-77"/>
        </w:rPr>
        <w:t> </w:t>
      </w:r>
      <w:r>
        <w:rPr>
          <w:spacing w:val="-77"/>
        </w:rPr>
      </w:r>
      <w:r>
        <w:rPr/>
        <w:t>达实联欣的合并商誉为</w:t>
      </w:r>
      <w:r>
        <w:rPr>
          <w:rFonts w:ascii="宋体" w:hAnsi="宋体" w:cs="宋体" w:eastAsia="宋体" w:hint="default"/>
        </w:rPr>
        <w:t>155,406,465.96</w:t>
      </w:r>
      <w:r>
        <w:rPr/>
        <w:t>元。</w:t>
      </w:r>
    </w:p>
    <w:p>
      <w:pPr>
        <w:pStyle w:val="BodyText"/>
        <w:spacing w:line="240" w:lineRule="auto"/>
        <w:ind w:left="573" w:right="0"/>
        <w:jc w:val="left"/>
      </w:pPr>
      <w:r>
        <w:rPr>
          <w:rFonts w:ascii="宋体" w:hAnsi="宋体" w:cs="宋体" w:eastAsia="宋体" w:hint="default"/>
        </w:rPr>
        <w:t>2014</w:t>
      </w:r>
      <w:r>
        <w:rPr/>
        <w:t>年</w:t>
      </w:r>
      <w:r>
        <w:rPr>
          <w:rFonts w:ascii="宋体" w:hAnsi="宋体" w:cs="宋体" w:eastAsia="宋体" w:hint="default"/>
        </w:rPr>
        <w:t>4</w:t>
      </w:r>
      <w:r>
        <w:rPr/>
        <w:t>月，上海达实联欣科技发展有限公司通过上海交易所购买上海腾隆变配电设备管理有限公司</w:t>
      </w:r>
    </w:p>
    <w:p>
      <w:pPr>
        <w:pStyle w:val="BodyText"/>
        <w:spacing w:line="273" w:lineRule="auto" w:before="37"/>
        <w:ind w:right="1132"/>
        <w:jc w:val="both"/>
      </w:pPr>
      <w:r>
        <w:rPr>
          <w:rFonts w:ascii="宋体" w:hAnsi="宋体" w:cs="宋体" w:eastAsia="宋体" w:hint="default"/>
          <w:spacing w:val="-1"/>
        </w:rPr>
        <w:t>100.00%</w:t>
      </w:r>
      <w:r>
        <w:rPr>
          <w:spacing w:val="-1"/>
        </w:rPr>
        <w:t>股权，购买价</w:t>
      </w:r>
      <w:r>
        <w:rPr>
          <w:rFonts w:ascii="宋体" w:hAnsi="宋体" w:cs="宋体" w:eastAsia="宋体" w:hint="default"/>
          <w:spacing w:val="-1"/>
        </w:rPr>
        <w:t>17,100,000.00</w:t>
      </w:r>
      <w:r>
        <w:rPr>
          <w:spacing w:val="-1"/>
        </w:rPr>
        <w:t>元，合并日按持股比例计算应享有被合并方可辨认净资产的公允价值</w:t>
      </w:r>
      <w:r>
        <w:rPr>
          <w:spacing w:val="-73"/>
        </w:rPr>
        <w:t> </w:t>
      </w:r>
      <w:r>
        <w:rPr>
          <w:spacing w:val="-73"/>
        </w:rPr>
      </w:r>
      <w:r>
        <w:rPr/>
        <w:t>的份额为</w:t>
      </w:r>
      <w:r>
        <w:rPr>
          <w:rFonts w:ascii="宋体" w:hAnsi="宋体" w:cs="宋体" w:eastAsia="宋体" w:hint="default"/>
        </w:rPr>
        <w:t>11,197,751.27</w:t>
      </w:r>
      <w:r>
        <w:rPr/>
        <w:t>元，故合并时形成</w:t>
      </w:r>
      <w:r>
        <w:rPr>
          <w:rFonts w:ascii="宋体" w:hAnsi="宋体" w:cs="宋体" w:eastAsia="宋体" w:hint="default"/>
        </w:rPr>
        <w:t>5,902,248.73</w:t>
      </w:r>
      <w:r>
        <w:rPr/>
        <w:t>元商誉。</w:t>
      </w:r>
    </w:p>
    <w:p>
      <w:pPr>
        <w:pStyle w:val="BodyText"/>
        <w:spacing w:line="273" w:lineRule="auto"/>
        <w:ind w:right="1130" w:firstLine="420"/>
        <w:jc w:val="both"/>
      </w:pPr>
      <w:r>
        <w:rPr>
          <w:spacing w:val="-1"/>
        </w:rPr>
        <w:t>公司与江苏久信医疗科技股份有限公司（现已更名为江苏达实久信医疗科技有限公司，以下简称“久</w:t>
      </w:r>
      <w:r>
        <w:rPr/>
        <w:t> </w:t>
      </w:r>
      <w:r>
        <w:rPr>
          <w:spacing w:val="-1"/>
        </w:rPr>
        <w:t>信医疗”）原全体股东签署了《发行股份及支付现金购买资产协议》，公司向久信医疗原全体股东以非公</w:t>
      </w:r>
      <w:r>
        <w:rPr>
          <w:spacing w:val="-87"/>
        </w:rPr>
        <w:t> </w:t>
      </w:r>
      <w:r>
        <w:rPr>
          <w:spacing w:val="-87"/>
        </w:rPr>
      </w:r>
      <w:r>
        <w:rPr>
          <w:spacing w:val="-1"/>
        </w:rPr>
        <w:t>开发行股份及支付现金的方式购买其合计持有的久信医疗</w:t>
      </w:r>
      <w:r>
        <w:rPr>
          <w:rFonts w:ascii="宋体" w:hAnsi="宋体" w:cs="宋体" w:eastAsia="宋体" w:hint="default"/>
          <w:spacing w:val="-1"/>
        </w:rPr>
        <w:t>100%</w:t>
      </w:r>
      <w:r>
        <w:rPr>
          <w:spacing w:val="-1"/>
        </w:rPr>
        <w:t>股份。本次交易中，公司需向久信医疗原全</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2"/>
        <w:jc w:val="both"/>
      </w:pPr>
      <w:r>
        <w:rPr>
          <w:spacing w:val="-1"/>
        </w:rPr>
        <w:t>体股东支付对价</w:t>
      </w:r>
      <w:r>
        <w:rPr>
          <w:rFonts w:ascii="宋体" w:hAnsi="宋体" w:cs="宋体" w:eastAsia="宋体" w:hint="default"/>
          <w:spacing w:val="-1"/>
        </w:rPr>
        <w:t>871,975,000.00</w:t>
      </w:r>
      <w:r>
        <w:rPr>
          <w:spacing w:val="-1"/>
        </w:rPr>
        <w:t>元，合并日按持股比例计算应享有被合并方可辨认净资产的公允价值的份</w:t>
      </w:r>
      <w:r>
        <w:rPr>
          <w:spacing w:val="-75"/>
        </w:rPr>
        <w:t> </w:t>
      </w:r>
      <w:r>
        <w:rPr>
          <w:spacing w:val="-75"/>
        </w:rPr>
      </w:r>
      <w:r>
        <w:rPr/>
        <w:t>额为</w:t>
      </w:r>
      <w:r>
        <w:rPr>
          <w:rFonts w:ascii="宋体" w:hAnsi="宋体" w:cs="宋体" w:eastAsia="宋体" w:hint="default"/>
        </w:rPr>
        <w:t>250,188,030.04</w:t>
      </w:r>
      <w:r>
        <w:rPr/>
        <w:t>元，故合并形成</w:t>
      </w:r>
      <w:r>
        <w:rPr>
          <w:rFonts w:ascii="宋体" w:hAnsi="宋体" w:cs="宋体" w:eastAsia="宋体" w:hint="default"/>
        </w:rPr>
        <w:t>621,786,969.96</w:t>
      </w:r>
      <w:r>
        <w:rPr/>
        <w:t>元商誉。</w:t>
      </w:r>
    </w:p>
    <w:p>
      <w:pPr>
        <w:pStyle w:val="BodyText"/>
        <w:spacing w:line="273" w:lineRule="auto"/>
        <w:ind w:left="573" w:right="0"/>
        <w:jc w:val="left"/>
      </w:pPr>
      <w:r>
        <w:rPr/>
        <w:t>（</w:t>
      </w:r>
      <w:r>
        <w:rPr>
          <w:rFonts w:ascii="宋体" w:hAnsi="宋体" w:cs="宋体" w:eastAsia="宋体" w:hint="default"/>
        </w:rPr>
        <w:t>2</w:t>
      </w:r>
      <w:r>
        <w:rPr/>
        <w:t>）商誉减值测试过程 </w:t>
      </w:r>
      <w:r>
        <w:rPr>
          <w:spacing w:val="-1"/>
        </w:rPr>
        <w:t>按照企业会计准则的规定，企业合并所形成的商誉，至少应当在每年年度终进行减值测试。由于商誉</w:t>
      </w:r>
    </w:p>
    <w:p>
      <w:pPr>
        <w:pStyle w:val="BodyText"/>
        <w:spacing w:line="273" w:lineRule="auto" w:before="8"/>
        <w:ind w:right="1131"/>
        <w:jc w:val="both"/>
      </w:pPr>
      <w:r>
        <w:rPr>
          <w:spacing w:val="-1"/>
        </w:rPr>
        <w:t>难以独立产生现金流量，应当结合与其相关的资产组或者资产组组合进行减值测试。为了进行资产减值测</w:t>
      </w:r>
      <w:r>
        <w:rPr>
          <w:spacing w:val="-81"/>
        </w:rPr>
        <w:t> </w:t>
      </w:r>
      <w:r>
        <w:rPr>
          <w:spacing w:val="-81"/>
        </w:rPr>
      </w:r>
      <w:r>
        <w:rPr>
          <w:spacing w:val="-1"/>
        </w:rPr>
        <w:t>试，因企业合并形成的商誉的账面价值，应当自购买日起按照合理的方法分摊至相关的资产组；难以分摊</w:t>
      </w:r>
      <w:r>
        <w:rPr>
          <w:spacing w:val="-83"/>
        </w:rPr>
        <w:t> </w:t>
      </w:r>
      <w:r>
        <w:rPr>
          <w:spacing w:val="-83"/>
        </w:rPr>
      </w:r>
      <w:r>
        <w:rPr/>
        <w:t>至相关的资产组的，应当将其分摊至相关的资产组组合。商誉减值测试流程如下：</w:t>
      </w:r>
    </w:p>
    <w:p>
      <w:pPr>
        <w:pStyle w:val="BodyText"/>
        <w:spacing w:line="273" w:lineRule="auto"/>
        <w:ind w:right="1131" w:firstLine="422"/>
        <w:jc w:val="both"/>
      </w:pPr>
      <w:r>
        <w:rPr>
          <w:rFonts w:ascii="宋体" w:hAnsi="宋体" w:cs="宋体" w:eastAsia="宋体" w:hint="default"/>
        </w:rPr>
        <w:t>1</w:t>
      </w:r>
      <w:r>
        <w:rPr/>
        <w:t>）因企业合并所形成的商誉是母公司根据其在子公司所拥有的权益而确认的商誉，子公司中归属于 </w:t>
      </w:r>
      <w:r>
        <w:rPr>
          <w:spacing w:val="-1"/>
        </w:rPr>
        <w:t>少数股东的商誉并没有在合并财务报表中予以确认。因此，在对与商誉相关的资产组或者资产组组合进行</w:t>
      </w:r>
      <w:r>
        <w:rPr>
          <w:spacing w:val="-81"/>
        </w:rPr>
        <w:t> </w:t>
      </w:r>
      <w:r>
        <w:rPr>
          <w:spacing w:val="-81"/>
        </w:rPr>
      </w:r>
      <w:r>
        <w:rPr>
          <w:spacing w:val="-1"/>
        </w:rPr>
        <w:t>减值测试时，由于其可收回金额的预计包括归属于少数股东的商誉价值部分，因此，公司调整资产组的账</w:t>
      </w:r>
      <w:r>
        <w:rPr>
          <w:spacing w:val="-83"/>
        </w:rPr>
        <w:t> </w:t>
      </w:r>
      <w:r>
        <w:rPr>
          <w:spacing w:val="-83"/>
        </w:rPr>
      </w:r>
      <w:r>
        <w:rPr/>
        <w:t>面价值；</w:t>
      </w:r>
    </w:p>
    <w:p>
      <w:pPr>
        <w:pStyle w:val="BodyText"/>
        <w:spacing w:line="240" w:lineRule="auto"/>
        <w:ind w:left="576" w:right="0"/>
        <w:jc w:val="left"/>
      </w:pPr>
      <w:r>
        <w:rPr>
          <w:rFonts w:ascii="宋体" w:hAnsi="宋体" w:cs="宋体" w:eastAsia="宋体" w:hint="default"/>
        </w:rPr>
        <w:t>2</w:t>
      </w:r>
      <w:r>
        <w:rPr/>
        <w:t>）折现率选取加权平均资本成本</w:t>
      </w:r>
      <w:r>
        <w:rPr>
          <w:rFonts w:ascii="宋体" w:hAnsi="宋体" w:cs="宋体" w:eastAsia="宋体" w:hint="default"/>
        </w:rPr>
        <w:t>(WACC)</w:t>
      </w:r>
      <w:r>
        <w:rPr/>
        <w:t>；</w:t>
      </w:r>
    </w:p>
    <w:p>
      <w:pPr>
        <w:pStyle w:val="BodyText"/>
        <w:spacing w:line="273" w:lineRule="auto" w:before="37"/>
        <w:ind w:right="1110" w:firstLine="422"/>
        <w:jc w:val="both"/>
      </w:pPr>
      <w:r>
        <w:rPr>
          <w:rFonts w:ascii="宋体" w:hAnsi="宋体" w:cs="宋体" w:eastAsia="宋体" w:hint="default"/>
        </w:rPr>
        <w:t>3</w:t>
      </w:r>
      <w:r>
        <w:rPr/>
        <w:t>）营业收入根据已签约合同及预计签约合同业务量测算，营业成本及费用根据公司历史成本费用与 收入的配比关系并考虑物价增长指数数据测算，推算出近五年净利润，并假设五年后经营情况趋于稳定， 计算可收回金额；</w:t>
      </w:r>
    </w:p>
    <w:p>
      <w:pPr>
        <w:pStyle w:val="BodyText"/>
        <w:spacing w:line="240" w:lineRule="auto"/>
        <w:ind w:left="576" w:right="0"/>
        <w:jc w:val="left"/>
      </w:pPr>
      <w:r>
        <w:rPr>
          <w:rFonts w:ascii="宋体" w:hAnsi="宋体" w:cs="宋体" w:eastAsia="宋体" w:hint="default"/>
        </w:rPr>
        <w:t>4</w:t>
      </w:r>
      <w:r>
        <w:rPr/>
        <w:t>）比较调整后的资产组的账面价值与其可收回金额，以确定资产组</w:t>
      </w:r>
      <w:r>
        <w:rPr>
          <w:rFonts w:ascii="宋体" w:hAnsi="宋体" w:cs="宋体" w:eastAsia="宋体" w:hint="default"/>
        </w:rPr>
        <w:t>(</w:t>
      </w:r>
      <w:r>
        <w:rPr/>
        <w:t>包括商誉</w:t>
      </w:r>
      <w:r>
        <w:rPr>
          <w:rFonts w:ascii="宋体" w:hAnsi="宋体" w:cs="宋体" w:eastAsia="宋体" w:hint="default"/>
        </w:rPr>
        <w:t>)</w:t>
      </w:r>
      <w:r>
        <w:rPr/>
        <w:t>是否发生了减值；</w:t>
      </w:r>
    </w:p>
    <w:p>
      <w:pPr>
        <w:pStyle w:val="BodyText"/>
        <w:spacing w:line="273" w:lineRule="auto" w:before="37"/>
        <w:ind w:right="1131" w:firstLine="422"/>
        <w:jc w:val="both"/>
      </w:pPr>
      <w:r>
        <w:rPr>
          <w:rFonts w:ascii="宋体" w:hAnsi="宋体" w:cs="宋体" w:eastAsia="宋体" w:hint="default"/>
        </w:rPr>
        <w:t>5</w:t>
      </w:r>
      <w:r>
        <w:rPr/>
        <w:t>）如发生减值的，应当首先抵减商誉的账面价值，但由于根据上述方法计算的商誉减值损失包括了 </w:t>
      </w:r>
      <w:r>
        <w:rPr>
          <w:spacing w:val="3"/>
        </w:rPr>
        <w:t>应由少数股东权益承担的部分，而少数股东权益拥有的商誉价值及其减值损失都不在合并财务报表中反</w:t>
      </w:r>
      <w:r>
        <w:rPr>
          <w:spacing w:val="-82"/>
        </w:rPr>
        <w:t> </w:t>
      </w:r>
      <w:r>
        <w:rPr>
          <w:spacing w:val="-82"/>
        </w:rPr>
      </w:r>
      <w:r>
        <w:rPr>
          <w:spacing w:val="-1"/>
        </w:rPr>
        <w:t>映，合并财务报表只反映归属于母公司的商誉减值损失，因此应当将商誉减值损失在可归属于母公司和少</w:t>
      </w:r>
      <w:r>
        <w:rPr>
          <w:spacing w:val="-81"/>
        </w:rPr>
        <w:t> </w:t>
      </w:r>
      <w:r>
        <w:rPr>
          <w:spacing w:val="-81"/>
        </w:rPr>
      </w:r>
      <w:r>
        <w:rPr/>
        <w:t>数股东权益部分之间按比例进行分摊，以确认归属于母公司的商誉减值损失。</w:t>
      </w:r>
    </w:p>
    <w:p>
      <w:pPr>
        <w:pStyle w:val="BodyText"/>
        <w:spacing w:line="273" w:lineRule="auto"/>
        <w:ind w:left="681" w:right="3925" w:hanging="105"/>
        <w:jc w:val="left"/>
      </w:pPr>
      <w:r>
        <w:rPr/>
        <w:t>（</w:t>
      </w:r>
      <w:r>
        <w:rPr>
          <w:rFonts w:ascii="宋体" w:hAnsi="宋体" w:cs="宋体" w:eastAsia="宋体" w:hint="default"/>
        </w:rPr>
        <w:t>3</w:t>
      </w:r>
      <w:r>
        <w:rPr/>
        <w:t>）商誉测试结果 </w:t>
      </w:r>
      <w:r>
        <w:rPr>
          <w:rFonts w:ascii="宋体" w:hAnsi="宋体" w:cs="宋体" w:eastAsia="宋体" w:hint="default"/>
        </w:rPr>
        <w:t>1</w:t>
      </w:r>
      <w:r>
        <w:rPr/>
        <w:t>）本公司</w:t>
      </w:r>
      <w:r>
        <w:rPr>
          <w:rFonts w:ascii="宋体" w:hAnsi="宋体" w:cs="宋体" w:eastAsia="宋体" w:hint="default"/>
        </w:rPr>
        <w:t>2015</w:t>
      </w:r>
      <w:r>
        <w:rPr/>
        <w:t>年末对达实联欣计提商誉减值准备</w:t>
      </w:r>
      <w:r>
        <w:rPr>
          <w:rFonts w:ascii="宋体" w:hAnsi="宋体" w:cs="宋体" w:eastAsia="宋体" w:hint="default"/>
        </w:rPr>
        <w:t>15,422,557.95</w:t>
      </w:r>
      <w:r>
        <w:rPr/>
        <w:t>元。</w:t>
      </w:r>
    </w:p>
    <w:p>
      <w:pPr>
        <w:pStyle w:val="BodyText"/>
        <w:spacing w:line="273" w:lineRule="auto" w:before="8"/>
        <w:ind w:right="1131" w:firstLine="527"/>
        <w:jc w:val="both"/>
      </w:pPr>
      <w:r>
        <w:rPr>
          <w:rFonts w:ascii="宋体" w:hAnsi="宋体" w:cs="宋体" w:eastAsia="宋体" w:hint="default"/>
          <w:spacing w:val="-1"/>
        </w:rPr>
        <w:t>2</w:t>
      </w:r>
      <w:r>
        <w:rPr>
          <w:spacing w:val="-1"/>
        </w:rPr>
        <w:t>）本期对非同一控制下合并形成的商誉减值情况进行减值测试，达实联欣的合并商誉存在减值，计</w:t>
      </w:r>
      <w:r>
        <w:rPr/>
        <w:t> </w:t>
      </w:r>
      <w:r>
        <w:rPr>
          <w:spacing w:val="-1"/>
        </w:rPr>
        <w:t>提商誉减值准备</w:t>
      </w:r>
      <w:r>
        <w:rPr>
          <w:rFonts w:ascii="宋体" w:hAnsi="宋体" w:cs="宋体" w:eastAsia="宋体" w:hint="default"/>
          <w:spacing w:val="-1"/>
        </w:rPr>
        <w:t>9,679,896.30</w:t>
      </w:r>
      <w:r>
        <w:rPr>
          <w:spacing w:val="-1"/>
        </w:rPr>
        <w:t>元，上海腾隆、久信医疗经营环境和业务未发生重大变化，商誉不存在减值</w:t>
      </w:r>
      <w:r>
        <w:rPr>
          <w:spacing w:val="-79"/>
        </w:rPr>
        <w:t> </w:t>
      </w:r>
      <w:r>
        <w:rPr>
          <w:spacing w:val="-79"/>
        </w:rPr>
      </w:r>
      <w:r>
        <w:rPr/>
        <w:t>情况。</w:t>
      </w:r>
    </w:p>
    <w:p>
      <w:pPr>
        <w:spacing w:line="240" w:lineRule="auto" w:before="8"/>
        <w:rPr>
          <w:rFonts w:ascii="宋体" w:hAnsi="宋体" w:cs="宋体" w:eastAsia="宋体" w:hint="default"/>
          <w:sz w:val="23"/>
          <w:szCs w:val="23"/>
        </w:rPr>
      </w:pPr>
    </w:p>
    <w:p>
      <w:pPr>
        <w:pStyle w:val="Heading3"/>
        <w:spacing w:line="240" w:lineRule="auto"/>
        <w:ind w:left="153" w:right="0"/>
        <w:jc w:val="both"/>
        <w:rPr>
          <w:b w:val="0"/>
          <w:bCs w:val="0"/>
        </w:rPr>
      </w:pPr>
      <w:bookmarkStart w:name="28、长期待摊费用" w:id="313"/>
      <w:bookmarkEnd w:id="313"/>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11,615,212.87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1,053,907.36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3,067,842.80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9,601,277.43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11,720,212.87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1,053,907.36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3,097,842.80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9,676,277.43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29、递延所得税资产/递延所得税负债" w:id="314"/>
      <w:bookmarkEnd w:id="314"/>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未经抵销的递延所得税资产" w:id="315"/>
      <w:bookmarkEnd w:id="31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146,410,729.67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22,289,875.16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120,424,537.74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18,338,997.48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6,454,183.83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906,652.59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8,202,644.87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1,257,314.84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固定资产折旧、无形资 产摊销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1,748,959.90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262,343.99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403,095.98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60,464.40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22,190,000.00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3,328,500.00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限制性股票成本摊销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2,321,827.30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367,353.48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174,633,873.40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26,461,871.74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153,542,105.89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23,352,630.20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316"/>
      <w:bookmarkEnd w:id="316"/>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0、其他非流动资产" w:id="317"/>
      <w:bookmarkEnd w:id="317"/>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1、短期借款" w:id="318"/>
      <w:bookmarkEnd w:id="318"/>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319"/>
      <w:bookmarkEnd w:id="31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14,354,946.66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142,290,000.00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商业承兑汇票贴现</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76,200,150.22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368,490,150.22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224,354,946.66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已逾期未偿还的短期借款情况" w:id="320"/>
      <w:bookmarkEnd w:id="320"/>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2、以公允价值计量且其变动计入当期损益的金融负债" w:id="321"/>
      <w:bookmarkEnd w:id="321"/>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3、衍生金融负债" w:id="322"/>
      <w:bookmarkEnd w:id="322"/>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4、应付票据" w:id="323"/>
      <w:bookmarkEnd w:id="323"/>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10,707,493.79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176,130,817.05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128,201,559.84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186,838,310.84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128,201,559.84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5、应付账款" w:id="324"/>
      <w:bookmarkEnd w:id="324"/>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325"/>
      <w:bookmarkEnd w:id="325"/>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660,279,067.84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621,094,193.84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145,948,000.04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162,559,658.57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57,642,283.14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24,804,473.28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48,489,421.73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42,308,934.86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912,358,772.75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850,767,260.55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应付账款" w:id="326"/>
      <w:bookmarkEnd w:id="32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上海大华电器设备有限公司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13,751,590.18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深圳市智安科技发展有限公司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10,174,370.46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结算未完成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成都巨安智能化工程有限公司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9,075,352.53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结算未完成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深圳市深安视通科技发展有限公司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8,959,325.78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结算未完成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北京天健源达科技有限公司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结算未完成</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50,700,638.95</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36、预收款项" w:id="327"/>
      <w:bookmarkEnd w:id="327"/>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328"/>
      <w:bookmarkEnd w:id="32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97,954,441.86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55,301,251.60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5,085,264.30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7,679,148.68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1,881,154.98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3,908,335.82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1,852,340.01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4,978,067.54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106,773,201.15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71,866,803.64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329"/>
      <w:bookmarkEnd w:id="32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7、应付职工薪酬" w:id="330"/>
      <w:bookmarkEnd w:id="330"/>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331"/>
      <w:bookmarkEnd w:id="331"/>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43,827,221.95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sz w:val="18"/>
              </w:rPr>
              <w:t>285,353,834.18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sz w:val="18"/>
              </w:rPr>
              <w:t>277,655,595.00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51,525,461.13</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93,965.14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23,156,969.19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23,250,934.33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962,238.57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904,827.77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57,410.80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43,921,187.09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sz w:val="18"/>
              </w:rPr>
              <w:t>309,473,041.94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sz w:val="18"/>
              </w:rPr>
              <w:t>301,811,357.10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51,582,871.93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332"/>
      <w:bookmarkEnd w:id="33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43,658,361.43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263,152,878.77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255,285,779.07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51,525,461.13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5,366,351.24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5,366,351.24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21,639.52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9,780,046.09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9,801,685.61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21,639.52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8,097,450.36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8,119,089.88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784,656.61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784,656.61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897,939.12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897,939.12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147,221.00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6,363,276.06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6,510,497.06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658,503.81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658,503.81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32,778.21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32,778.21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43,827,221.95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285,353,834.18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277,655,595.00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51,525,461.13</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333"/>
      <w:bookmarkEnd w:id="33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86,558.08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22,525,236.43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22,611,794.51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7,407.06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631,732.76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639,139.82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93,965.14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23,156,969.19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23,250,934.33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8、应交税费" w:id="334"/>
      <w:bookmarkEnd w:id="334"/>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5,950,303.70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59,861,999.83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50,413,014.57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51,114,537.05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1,137,776.90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725,526.67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284,523.84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1,634,653.25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452,466.71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630,311.46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282,615.55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413,119.58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103,581.36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139,743.78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283,788.98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334,322.82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19,573.17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4,291.68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58,927,644.78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114,858,506.12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9、应付利息" w:id="335"/>
      <w:bookmarkEnd w:id="335"/>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414,413.64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1,987,073.52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324,869.13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54,523.97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739,282.77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2,041,597.49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40、应付股利" w:id="336"/>
      <w:bookmarkEnd w:id="336"/>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1,032,156.25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863,440.00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1,032,156.25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863,440.00</w:t>
            </w:r>
          </w:p>
        </w:tc>
      </w:tr>
    </w:tbl>
    <w:p>
      <w:pPr>
        <w:spacing w:line="338" w:lineRule="auto" w:before="51"/>
        <w:ind w:left="153" w:right="4995"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 期末应付股利余额是公司代管的未到解禁期的员工限制性股票分红款。</w:t>
      </w:r>
    </w:p>
    <w:p>
      <w:pPr>
        <w:spacing w:line="240" w:lineRule="auto" w:before="4"/>
        <w:rPr>
          <w:rFonts w:ascii="宋体" w:hAnsi="宋体" w:cs="宋体" w:eastAsia="宋体" w:hint="default"/>
          <w:sz w:val="21"/>
          <w:szCs w:val="21"/>
        </w:rPr>
      </w:pPr>
    </w:p>
    <w:p>
      <w:pPr>
        <w:pStyle w:val="Heading3"/>
        <w:spacing w:line="240" w:lineRule="auto"/>
        <w:ind w:left="153" w:right="0"/>
        <w:jc w:val="left"/>
        <w:rPr>
          <w:b w:val="0"/>
          <w:bCs w:val="0"/>
        </w:rPr>
      </w:pPr>
      <w:bookmarkStart w:name="41、其他应付款" w:id="337"/>
      <w:bookmarkEnd w:id="337"/>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338"/>
      <w:bookmarkEnd w:id="338"/>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6,470,780.05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3,593,728.73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45,316,133.84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37,579,426.50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限制性股票激励回购义务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38,525,177.00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69,951,962.00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24,806,103.94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23,428,300.75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115,118,194.83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134,553,417.98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339"/>
      <w:bookmarkEnd w:id="33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深圳市深安视通科技发展有限公司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625,354.79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履约保证金，未到期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深圳市美兆能源环境科技有限公司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履约保证金，未到期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深圳市中保航智能系统有限公司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519,358.33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履约保证金，未到期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1,679,713.12</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42、持有待售的负债" w:id="340"/>
      <w:bookmarkEnd w:id="340"/>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3、一年内到期的非流动负债" w:id="341"/>
      <w:bookmarkEnd w:id="341"/>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17,499,999.96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51,173,072.54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一年内到期的应付融资租赁拆借款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一年内到期的应付融资租赁款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16,332,239.83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15,532,439.64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33,832,239.79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166,705,512.18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44、其他流动负债" w:id="342"/>
      <w:bookmarkEnd w:id="342"/>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94,207,565.63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15,732,592.86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94,207,565.63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15,732,592.86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5、长期借款" w:id="343"/>
      <w:bookmarkEnd w:id="343"/>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44"/>
      <w:bookmarkEnd w:id="344"/>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保证、抵押、质押借款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233,163,273.86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53,183,042.53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233,163,273.86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53,183,042.53</w:t>
            </w:r>
          </w:p>
        </w:tc>
      </w:tr>
    </w:tbl>
    <w:p>
      <w:pPr>
        <w:spacing w:line="357" w:lineRule="auto" w:before="51"/>
        <w:ind w:left="154" w:right="8412" w:firstLine="0"/>
        <w:jc w:val="left"/>
        <w:rPr>
          <w:rFonts w:ascii="宋体" w:hAnsi="宋体" w:cs="宋体" w:eastAsia="宋体" w:hint="default"/>
          <w:sz w:val="18"/>
          <w:szCs w:val="18"/>
        </w:rPr>
      </w:pPr>
      <w:r>
        <w:rPr>
          <w:rFonts w:ascii="宋体" w:hAnsi="宋体" w:cs="宋体" w:eastAsia="宋体" w:hint="default"/>
          <w:sz w:val="18"/>
          <w:szCs w:val="18"/>
        </w:rPr>
        <w:t>长期借款分类的说明：无 其他说明，包括利率区间：无</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46、应付债券" w:id="345"/>
      <w:bookmarkEnd w:id="345"/>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债券" w:id="346"/>
      <w:bookmarkEnd w:id="346"/>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应付债券的增减变动（不包括划分为金融负债的优先股、永续债等其他金融工具）" w:id="347"/>
      <w:bookmarkEnd w:id="347"/>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可转换公司债券的转股条件、转股时间说明" w:id="348"/>
      <w:bookmarkEnd w:id="348"/>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4）划分为金融负债的其他金融工具说明" w:id="349"/>
      <w:bookmarkEnd w:id="349"/>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7、长期应付款" w:id="350"/>
      <w:bookmarkEnd w:id="350"/>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长期应付款" w:id="351"/>
      <w:bookmarkEnd w:id="351"/>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9,351,212.98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25,683,448.11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48、长期应付职工薪酬" w:id="352"/>
      <w:bookmarkEnd w:id="352"/>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长期应付职工薪酬表" w:id="353"/>
      <w:bookmarkEnd w:id="353"/>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设定受益计划变动情况" w:id="354"/>
      <w:bookmarkEnd w:id="354"/>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9、专项应付款" w:id="355"/>
      <w:bookmarkEnd w:id="355"/>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0、预计负债" w:id="356"/>
      <w:bookmarkEnd w:id="356"/>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1、递延收益" w:id="357"/>
      <w:bookmarkEnd w:id="357"/>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3"/>
        <w:gridCol w:w="1596"/>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1" w:hRule="exact"/>
        </w:trPr>
        <w:tc>
          <w:tcPr>
            <w:tcW w:w="1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22,190,000.00</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8" w:right="0"/>
              <w:jc w:val="left"/>
              <w:rPr>
                <w:rFonts w:ascii="Times New Roman" w:hAnsi="Times New Roman" w:cs="Times New Roman" w:eastAsia="Times New Roman" w:hint="default"/>
                <w:sz w:val="18"/>
                <w:szCs w:val="18"/>
              </w:rPr>
            </w:pPr>
            <w:r>
              <w:rPr>
                <w:rFonts w:ascii="Times New Roman"/>
                <w:sz w:val="18"/>
              </w:rPr>
              <w:t>1,300,000.00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3,470,000.00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20,020,000.00</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尚不符合确认营业 外收入的条件</w:t>
            </w:r>
          </w:p>
        </w:tc>
      </w:tr>
      <w:tr>
        <w:trPr>
          <w:trHeight w:val="392" w:hRule="exact"/>
        </w:trPr>
        <w:tc>
          <w:tcPr>
            <w:tcW w:w="15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22" w:right="0"/>
              <w:jc w:val="left"/>
              <w:rPr>
                <w:rFonts w:ascii="Times New Roman" w:hAnsi="Times New Roman" w:cs="Times New Roman" w:eastAsia="Times New Roman" w:hint="default"/>
                <w:sz w:val="18"/>
                <w:szCs w:val="18"/>
              </w:rPr>
            </w:pPr>
            <w:r>
              <w:rPr>
                <w:rFonts w:ascii="Times New Roman"/>
                <w:sz w:val="18"/>
              </w:rPr>
              <w:t>22,190,000.00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1,300,000.00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3,470,000.00</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20,020,000.00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74"/>
        <w:gridCol w:w="1092"/>
        <w:gridCol w:w="1133"/>
        <w:gridCol w:w="1277"/>
        <w:gridCol w:w="668"/>
        <w:gridCol w:w="670"/>
        <w:gridCol w:w="380"/>
        <w:gridCol w:w="1091"/>
        <w:gridCol w:w="684"/>
      </w:tblGrid>
      <w:tr>
        <w:trPr>
          <w:trHeight w:val="714" w:hRule="exact"/>
        </w:trPr>
        <w:tc>
          <w:tcPr>
            <w:tcW w:w="2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1" w:right="109"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58" w:right="59"/>
              <w:jc w:val="left"/>
              <w:rPr>
                <w:rFonts w:ascii="宋体" w:hAnsi="宋体" w:cs="宋体" w:eastAsia="宋体" w:hint="default"/>
                <w:sz w:val="18"/>
                <w:szCs w:val="18"/>
              </w:rPr>
            </w:pPr>
            <w:r>
              <w:rPr>
                <w:rFonts w:ascii="宋体" w:hAnsi="宋体" w:cs="宋体" w:eastAsia="宋体" w:hint="default"/>
                <w:sz w:val="18"/>
                <w:szCs w:val="18"/>
              </w:rPr>
              <w:t>本期计 入其他</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60" w:right="58"/>
              <w:jc w:val="left"/>
              <w:rPr>
                <w:rFonts w:ascii="宋体" w:hAnsi="宋体" w:cs="宋体" w:eastAsia="宋体" w:hint="default"/>
                <w:sz w:val="18"/>
                <w:szCs w:val="18"/>
              </w:rPr>
            </w:pPr>
            <w:r>
              <w:rPr>
                <w:rFonts w:ascii="宋体" w:hAnsi="宋体" w:cs="宋体" w:eastAsia="宋体" w:hint="default"/>
                <w:sz w:val="18"/>
                <w:szCs w:val="18"/>
              </w:rPr>
              <w:t>本期冲 减成本</w:t>
            </w:r>
          </w:p>
        </w:tc>
        <w:tc>
          <w:tcPr>
            <w:tcW w:w="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94" w:right="95"/>
              <w:jc w:val="left"/>
              <w:rPr>
                <w:rFonts w:ascii="宋体" w:hAnsi="宋体" w:cs="宋体" w:eastAsia="宋体" w:hint="default"/>
                <w:sz w:val="18"/>
                <w:szCs w:val="18"/>
              </w:rPr>
            </w:pPr>
            <w:r>
              <w:rPr>
                <w:rFonts w:ascii="宋体" w:hAnsi="宋体" w:cs="宋体" w:eastAsia="宋体" w:hint="default"/>
                <w:sz w:val="18"/>
                <w:szCs w:val="18"/>
              </w:rPr>
              <w:t>其 他</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40" w:right="41" w:firstLine="25"/>
              <w:jc w:val="left"/>
              <w:rPr>
                <w:rFonts w:ascii="宋体" w:hAnsi="宋体" w:cs="宋体" w:eastAsia="宋体" w:hint="default"/>
                <w:sz w:val="18"/>
                <w:szCs w:val="18"/>
              </w:rPr>
            </w:pPr>
            <w:r>
              <w:rPr>
                <w:rFonts w:ascii="宋体" w:hAnsi="宋体" w:cs="宋体" w:eastAsia="宋体" w:hint="default"/>
                <w:sz w:val="18"/>
                <w:szCs w:val="18"/>
              </w:rPr>
              <w:t>与资产 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191.839996pt;margin-top:367.219971pt;width:51.75pt;height:19.650pt;mso-position-horizontal-relative:page;mso-position-vertical-relative:page;z-index:-1030144" coordorigin="3837,7344" coordsize="1035,393">
            <v:shape style="position:absolute;left:3837;top:7344;width:1035;height:393" coordorigin="3837,7344" coordsize="1035,393" path="m3837,7737l4872,7737,4872,7344,3837,7344,3837,7737xe" filled="true" fillcolor="#ffffff" stroked="false">
              <v:path arrowok="t"/>
              <v:fill type="solid"/>
            </v:shape>
            <w10:wrap type="none"/>
          </v:group>
        </w:pict>
      </w:r>
      <w:r>
        <w:rPr/>
        <w:pict>
          <v:group style="position:absolute;margin-left:190.639999pt;margin-top:438.639984pt;width:54.1pt;height:15.6pt;mso-position-horizontal-relative:page;mso-position-vertical-relative:page;z-index:-1030120" coordorigin="3813,8773" coordsize="1082,312">
            <v:shape style="position:absolute;left:3813;top:8773;width:1082;height:312" coordorigin="3813,8773" coordsize="1082,312" path="m3813,9085l4894,9085,4894,8773,3813,8773,3813,9085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2674"/>
        <w:gridCol w:w="158"/>
        <w:gridCol w:w="935"/>
        <w:gridCol w:w="1133"/>
        <w:gridCol w:w="1277"/>
        <w:gridCol w:w="668"/>
        <w:gridCol w:w="670"/>
        <w:gridCol w:w="380"/>
        <w:gridCol w:w="1091"/>
        <w:gridCol w:w="682"/>
      </w:tblGrid>
      <w:tr>
        <w:trPr>
          <w:trHeight w:val="674" w:hRule="exact"/>
        </w:trPr>
        <w:tc>
          <w:tcPr>
            <w:tcW w:w="26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38" w:right="59" w:hanging="180"/>
              <w:jc w:val="left"/>
              <w:rPr>
                <w:rFonts w:ascii="宋体" w:hAnsi="宋体" w:cs="宋体" w:eastAsia="宋体" w:hint="default"/>
                <w:sz w:val="18"/>
                <w:szCs w:val="18"/>
              </w:rPr>
            </w:pPr>
            <w:r>
              <w:rPr>
                <w:rFonts w:ascii="宋体" w:hAnsi="宋体" w:cs="宋体" w:eastAsia="宋体" w:hint="default"/>
                <w:sz w:val="18"/>
                <w:szCs w:val="18"/>
              </w:rPr>
              <w:t>收益金 额</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40" w:right="58" w:hanging="181"/>
              <w:jc w:val="left"/>
              <w:rPr>
                <w:rFonts w:ascii="宋体" w:hAnsi="宋体" w:cs="宋体" w:eastAsia="宋体" w:hint="default"/>
                <w:sz w:val="18"/>
                <w:szCs w:val="18"/>
              </w:rPr>
            </w:pPr>
            <w:r>
              <w:rPr>
                <w:rFonts w:ascii="宋体" w:hAnsi="宋体" w:cs="宋体" w:eastAsia="宋体" w:hint="default"/>
                <w:sz w:val="18"/>
                <w:szCs w:val="18"/>
              </w:rPr>
              <w:t>费用金 额</w:t>
            </w:r>
          </w:p>
        </w:tc>
        <w:tc>
          <w:tcPr>
            <w:tcW w:w="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4" w:right="95"/>
              <w:jc w:val="left"/>
              <w:rPr>
                <w:rFonts w:ascii="宋体" w:hAnsi="宋体" w:cs="宋体" w:eastAsia="宋体" w:hint="default"/>
                <w:sz w:val="18"/>
                <w:szCs w:val="18"/>
              </w:rPr>
            </w:pPr>
            <w:r>
              <w:rPr>
                <w:rFonts w:ascii="宋体" w:hAnsi="宋体" w:cs="宋体" w:eastAsia="宋体" w:hint="default"/>
                <w:sz w:val="18"/>
                <w:szCs w:val="18"/>
              </w:rPr>
              <w:t>变 动</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45" w:right="65" w:hanging="180"/>
              <w:jc w:val="left"/>
              <w:rPr>
                <w:rFonts w:ascii="宋体" w:hAnsi="宋体" w:cs="宋体" w:eastAsia="宋体" w:hint="default"/>
                <w:sz w:val="18"/>
                <w:szCs w:val="18"/>
              </w:rPr>
            </w:pPr>
            <w:r>
              <w:rPr>
                <w:rFonts w:ascii="宋体" w:hAnsi="宋体" w:cs="宋体" w:eastAsia="宋体" w:hint="default"/>
                <w:sz w:val="18"/>
                <w:szCs w:val="18"/>
              </w:rPr>
              <w:t>收益相 关</w:t>
            </w:r>
          </w:p>
        </w:tc>
      </w:tr>
      <w:tr>
        <w:trPr>
          <w:trHeight w:val="71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深圳市财政委员会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年站新节</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能环保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20160014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补贴款</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71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主动蓄能的分布式冷热电联产系 统集成研究补助</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400,000.00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71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大型建筑主动蓄冷冻中央空调系 统合同能源管理产业化项目</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7,500,000.00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26"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深科技创新【</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278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年深圳市战略新兴产业发展专项 资金</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70,000.00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7"/>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26"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大型建筑主动蓄冷的中央空调系 </w:t>
            </w:r>
            <w:r>
              <w:rPr>
                <w:rFonts w:ascii="宋体" w:hAnsi="宋体" w:cs="宋体" w:eastAsia="宋体" w:hint="default"/>
                <w:spacing w:val="-6"/>
                <w:sz w:val="18"/>
                <w:szCs w:val="18"/>
              </w:rPr>
              <w:t>统合同能源管理产业化项目（深发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改（</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1581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2,220,000.00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2,220,000.00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7"/>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71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南山区建筑节能技术工程技术研 究开发中心</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26" w:hRule="exact"/>
        </w:trPr>
        <w:tc>
          <w:tcPr>
            <w:tcW w:w="2674" w:type="dxa"/>
            <w:tcBorders>
              <w:top w:val="single" w:sz="4" w:space="0" w:color="000000"/>
              <w:left w:val="single" w:sz="4" w:space="0" w:color="000000"/>
              <w:bottom w:val="single" w:sz="4" w:space="0" w:color="000000"/>
              <w:right w:val="single" w:sz="13" w:space="0" w:color="FFFFFF"/>
            </w:tcBorders>
          </w:tcPr>
          <w:p>
            <w:pPr>
              <w:pStyle w:val="TableParagraph"/>
              <w:spacing w:line="309"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广东省建筑节能与环境控制工程 </w:t>
            </w:r>
            <w:r>
              <w:rPr>
                <w:rFonts w:ascii="宋体" w:hAnsi="宋体" w:cs="宋体" w:eastAsia="宋体" w:hint="default"/>
                <w:spacing w:val="-11"/>
                <w:sz w:val="18"/>
                <w:szCs w:val="18"/>
              </w:rPr>
              <w:t>技术研究中心（粤科规财字【</w:t>
            </w:r>
            <w:r>
              <w:rPr>
                <w:rFonts w:ascii="Times New Roman" w:hAnsi="Times New Roman" w:cs="Times New Roman" w:eastAsia="Times New Roman" w:hint="default"/>
                <w:spacing w:val="-11"/>
                <w:sz w:val="18"/>
                <w:szCs w:val="18"/>
              </w:rPr>
              <w:t>2014</w:t>
            </w:r>
            <w:r>
              <w:rPr>
                <w:rFonts w:ascii="Times New Roman" w:hAnsi="Times New Roman" w:cs="Times New Roman" w:eastAsia="Times New Roman" w:hint="default"/>
                <w:spacing w:val="-32"/>
                <w:sz w:val="18"/>
                <w:szCs w:val="18"/>
              </w:rPr>
              <w:t> </w:t>
            </w:r>
            <w:r>
              <w:rPr>
                <w:rFonts w:ascii="Times New Roman" w:hAnsi="Times New Roman" w:cs="Times New Roman" w:eastAsia="Times New Roman" w:hint="default"/>
                <w:sz w:val="18"/>
                <w:szCs w:val="18"/>
              </w:rPr>
              <w:t>205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8" w:type="dxa"/>
            <w:tcBorders>
              <w:top w:val="single" w:sz="4" w:space="0" w:color="000000"/>
              <w:left w:val="single" w:sz="13" w:space="0" w:color="FFFFFF"/>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9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200,000.00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7"/>
              <w:jc w:val="left"/>
              <w:rPr>
                <w:rFonts w:ascii="宋体" w:hAnsi="宋体" w:cs="宋体" w:eastAsia="宋体" w:hint="default"/>
                <w:sz w:val="18"/>
                <w:szCs w:val="18"/>
              </w:rPr>
            </w:pPr>
            <w:r>
              <w:rPr>
                <w:rFonts w:ascii="宋体" w:hAnsi="宋体" w:cs="宋体" w:eastAsia="宋体" w:hint="default"/>
                <w:sz w:val="18"/>
                <w:szCs w:val="18"/>
              </w:rPr>
              <w:t>与资产 相关</w:t>
            </w:r>
          </w:p>
        </w:tc>
      </w:tr>
      <w:tr>
        <w:trPr>
          <w:trHeight w:val="71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深圳集中式空调能效管控技术工 程实验室</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5,000,000.00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与资产 相关</w:t>
            </w:r>
          </w:p>
        </w:tc>
      </w:tr>
      <w:tr>
        <w:trPr>
          <w:trHeight w:val="1026"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深圳市财政委员会关于节能工程 循环经济和资源节约重大示范项 目及重大污染治理工程政府补助</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6"/>
              <w:ind w:left="249" w:right="0"/>
              <w:jc w:val="left"/>
              <w:rPr>
                <w:rFonts w:ascii="Times New Roman" w:hAnsi="Times New Roman" w:cs="Times New Roman" w:eastAsia="Times New Roman" w:hint="default"/>
                <w:sz w:val="18"/>
                <w:szCs w:val="18"/>
              </w:rPr>
            </w:pPr>
            <w:r>
              <w:rPr>
                <w:rFonts w:ascii="Times New Roman"/>
                <w:sz w:val="18"/>
              </w:rPr>
              <w:t>800,000.00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7"/>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26"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智能建筑人工坏境下的实时机电 节能控制技术产业化项目深发改 </w:t>
            </w:r>
            <w:r>
              <w:rPr>
                <w:rFonts w:ascii="Times New Roman" w:hAnsi="Times New Roman" w:cs="Times New Roman" w:eastAsia="Times New Roman" w:hint="default"/>
                <w:sz w:val="18"/>
                <w:szCs w:val="18"/>
              </w:rPr>
              <w:t>[2017]516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092"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7"/>
              <w:jc w:val="left"/>
              <w:rPr>
                <w:rFonts w:ascii="宋体" w:hAnsi="宋体" w:cs="宋体" w:eastAsia="宋体" w:hint="default"/>
                <w:sz w:val="18"/>
                <w:szCs w:val="18"/>
              </w:rPr>
            </w:pPr>
            <w:r>
              <w:rPr>
                <w:rFonts w:ascii="宋体" w:hAnsi="宋体" w:cs="宋体" w:eastAsia="宋体" w:hint="default"/>
                <w:sz w:val="18"/>
                <w:szCs w:val="18"/>
              </w:rPr>
              <w:t>与资产 相关</w:t>
            </w:r>
          </w:p>
        </w:tc>
      </w:tr>
      <w:tr>
        <w:trPr>
          <w:trHeight w:val="402" w:hRule="exact"/>
        </w:trPr>
        <w:tc>
          <w:tcPr>
            <w:tcW w:w="2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2"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22,190,000.00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3,470,000.00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20,020,000.00</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52、其他非流动负债" w:id="358"/>
      <w:bookmarkEnd w:id="358"/>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3、股本" w:id="359"/>
      <w:bookmarkEnd w:id="359"/>
      <w:r>
        <w:rPr>
          <w:b w:val="0"/>
          <w:bCs w:val="0"/>
        </w:rPr>
      </w:r>
      <w:r>
        <w:rPr>
          <w:rFonts w:ascii="Times New Roman" w:hAnsi="Times New Roman" w:cs="Times New Roman" w:eastAsia="Times New Roman" w:hint="default"/>
        </w:rPr>
        <w:t>53</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1,926,729,576.</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-3,132,075.00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-3,132,075.00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4" w:right="0"/>
              <w:jc w:val="left"/>
              <w:rPr>
                <w:rFonts w:ascii="Times New Roman" w:hAnsi="Times New Roman" w:cs="Times New Roman" w:eastAsia="Times New Roman" w:hint="default"/>
                <w:sz w:val="18"/>
                <w:szCs w:val="18"/>
              </w:rPr>
            </w:pPr>
            <w:r>
              <w:rPr>
                <w:rFonts w:ascii="Times New Roman"/>
                <w:sz w:val="18"/>
              </w:rPr>
              <w:t>1,923,597,501.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8"/>
      </w:tblGrid>
      <w:tr>
        <w:trPr>
          <w:trHeight w:val="36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00</w:t>
            </w:r>
          </w:p>
        </w:tc>
      </w:tr>
    </w:tbl>
    <w:p>
      <w:pPr>
        <w:spacing w:line="338" w:lineRule="auto" w:before="51"/>
        <w:ind w:left="153" w:right="1213" w:firstLine="0"/>
        <w:jc w:val="left"/>
        <w:rPr>
          <w:rFonts w:ascii="宋体" w:hAnsi="宋体" w:cs="宋体" w:eastAsia="宋体" w:hint="default"/>
          <w:sz w:val="18"/>
          <w:szCs w:val="18"/>
        </w:rPr>
      </w:pPr>
      <w:r>
        <w:rPr>
          <w:rFonts w:ascii="宋体" w:hAnsi="宋体" w:cs="宋体" w:eastAsia="宋体" w:hint="default"/>
          <w:sz w:val="18"/>
          <w:szCs w:val="18"/>
        </w:rPr>
        <w:t>其他说明： 本报告期股本减少，系公司对第二期限制性股票激励计划部分激励对象获授的全部或部分限制性股票进行回购注销，合计 </w:t>
      </w:r>
      <w:r>
        <w:rPr>
          <w:rFonts w:ascii="Times New Roman" w:hAnsi="Times New Roman" w:cs="Times New Roman" w:eastAsia="Times New Roman" w:hint="default"/>
          <w:sz w:val="18"/>
          <w:szCs w:val="18"/>
        </w:rPr>
        <w:t>3,132,075.00</w:t>
      </w:r>
      <w:r>
        <w:rPr>
          <w:rFonts w:ascii="宋体" w:hAnsi="宋体" w:cs="宋体" w:eastAsia="宋体" w:hint="default"/>
          <w:sz w:val="18"/>
          <w:szCs w:val="18"/>
        </w:rPr>
        <w:t>股。</w:t>
      </w:r>
    </w:p>
    <w:p>
      <w:pPr>
        <w:spacing w:line="240" w:lineRule="auto" w:before="9"/>
        <w:rPr>
          <w:rFonts w:ascii="宋体" w:hAnsi="宋体" w:cs="宋体" w:eastAsia="宋体" w:hint="default"/>
          <w:sz w:val="19"/>
          <w:szCs w:val="19"/>
        </w:rPr>
      </w:pPr>
    </w:p>
    <w:p>
      <w:pPr>
        <w:pStyle w:val="Heading3"/>
        <w:spacing w:line="240" w:lineRule="auto"/>
        <w:ind w:right="0"/>
        <w:jc w:val="left"/>
        <w:rPr>
          <w:b w:val="0"/>
          <w:bCs w:val="0"/>
        </w:rPr>
      </w:pPr>
      <w:bookmarkStart w:name="54、其他权益工具" w:id="360"/>
      <w:bookmarkEnd w:id="360"/>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期末发行在外的优先股、永续债等其他金融工具基本情况" w:id="361"/>
      <w:bookmarkEnd w:id="361"/>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期末发行在外的优先股、永续债等金融工具变动情况表" w:id="362"/>
      <w:bookmarkEnd w:id="362"/>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5、资本公积" w:id="363"/>
      <w:bookmarkEnd w:id="363"/>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214,899,875.70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9,205,806.60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4,659,753.05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219,445,929.25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1,462,766.32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1,462,766.32</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216,362,642.02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9,205,806.60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4,659,753.05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220,908,695.57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before="74"/>
        <w:ind w:left="153" w:right="1119" w:firstLine="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1</w:t>
      </w:r>
      <w:r>
        <w:rPr>
          <w:rFonts w:ascii="宋体" w:hAnsi="宋体" w:cs="宋体" w:eastAsia="宋体" w:hint="default"/>
          <w:spacing w:val="-5"/>
          <w:sz w:val="18"/>
          <w:szCs w:val="18"/>
        </w:rPr>
        <w:t>）本报告期资本溢价（股本溢价）增加系公司限制性股票激励费用企业所得税税前可抵扣差异增加资本公积</w:t>
      </w:r>
      <w:r>
        <w:rPr>
          <w:rFonts w:ascii="宋体" w:hAnsi="宋体" w:cs="宋体" w:eastAsia="宋体" w:hint="default"/>
          <w:spacing w:val="-21"/>
          <w:sz w:val="18"/>
          <w:szCs w:val="18"/>
        </w:rPr>
        <w:t> </w:t>
      </w:r>
      <w:r>
        <w:rPr>
          <w:rFonts w:ascii="宋体" w:hAnsi="宋体" w:cs="宋体" w:eastAsia="宋体" w:hint="default"/>
          <w:sz w:val="18"/>
          <w:szCs w:val="18"/>
        </w:rPr>
        <w:t>9,205,806.60</w:t>
      </w:r>
      <w:r>
        <w:rPr>
          <w:rFonts w:ascii="宋体" w:hAnsi="宋体" w:cs="宋体" w:eastAsia="宋体" w:hint="default"/>
          <w:spacing w:val="-86"/>
          <w:sz w:val="18"/>
          <w:szCs w:val="18"/>
        </w:rPr>
        <w:t> </w:t>
      </w:r>
      <w:r>
        <w:rPr>
          <w:rFonts w:ascii="宋体" w:hAnsi="宋体" w:cs="宋体" w:eastAsia="宋体" w:hint="default"/>
          <w:sz w:val="18"/>
          <w:szCs w:val="18"/>
        </w:rPr>
        <w:t>元。</w:t>
      </w:r>
    </w:p>
    <w:p>
      <w:pPr>
        <w:spacing w:line="232" w:lineRule="exact" w:before="62"/>
        <w:ind w:left="153" w:right="111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）本报告期资本溢价（股本溢价）减少系转让子公司北京达实德润能源科技有限公司</w:t>
      </w:r>
      <w:r>
        <w:rPr>
          <w:rFonts w:ascii="宋体" w:hAnsi="宋体" w:cs="宋体" w:eastAsia="宋体" w:hint="default"/>
          <w:spacing w:val="8"/>
          <w:sz w:val="18"/>
          <w:szCs w:val="18"/>
        </w:rPr>
        <w:t> </w:t>
      </w:r>
      <w:r>
        <w:rPr>
          <w:rFonts w:ascii="宋体" w:hAnsi="宋体" w:cs="宋体" w:eastAsia="宋体" w:hint="default"/>
          <w:sz w:val="18"/>
          <w:szCs w:val="18"/>
        </w:rPr>
        <w:t>40%</w:t>
      </w:r>
      <w:r>
        <w:rPr>
          <w:rFonts w:ascii="宋体" w:hAnsi="宋体" w:cs="宋体" w:eastAsia="宋体" w:hint="default"/>
          <w:sz w:val="18"/>
          <w:szCs w:val="18"/>
        </w:rPr>
        <w:t>股权，结转的达实德润限制性 股票成本摊销形成的资本公积</w:t>
      </w:r>
      <w:r>
        <w:rPr>
          <w:rFonts w:ascii="宋体" w:hAnsi="宋体" w:cs="宋体" w:eastAsia="宋体" w:hint="default"/>
          <w:spacing w:val="-46"/>
          <w:sz w:val="18"/>
          <w:szCs w:val="18"/>
        </w:rPr>
        <w:t> </w:t>
      </w:r>
      <w:r>
        <w:rPr>
          <w:rFonts w:ascii="宋体" w:hAnsi="宋体" w:cs="宋体" w:eastAsia="宋体" w:hint="default"/>
          <w:sz w:val="18"/>
          <w:szCs w:val="18"/>
        </w:rPr>
        <w:t>114,476.30</w:t>
      </w:r>
      <w:r>
        <w:rPr>
          <w:rFonts w:ascii="宋体" w:hAnsi="宋体" w:cs="宋体" w:eastAsia="宋体" w:hint="default"/>
          <w:spacing w:val="-45"/>
          <w:sz w:val="18"/>
          <w:szCs w:val="18"/>
        </w:rPr>
        <w:t> </w:t>
      </w:r>
      <w:r>
        <w:rPr>
          <w:rFonts w:ascii="宋体" w:hAnsi="宋体" w:cs="宋体" w:eastAsia="宋体" w:hint="default"/>
          <w:sz w:val="18"/>
          <w:szCs w:val="18"/>
        </w:rPr>
        <w:t>元；第三次限制性股票回购注销股份减少资本公积</w:t>
      </w:r>
      <w:r>
        <w:rPr>
          <w:rFonts w:ascii="宋体" w:hAnsi="宋体" w:cs="宋体" w:eastAsia="宋体" w:hint="default"/>
          <w:spacing w:val="-45"/>
          <w:sz w:val="18"/>
          <w:szCs w:val="18"/>
        </w:rPr>
        <w:t> </w:t>
      </w:r>
      <w:r>
        <w:rPr>
          <w:rFonts w:ascii="宋体" w:hAnsi="宋体" w:cs="宋体" w:eastAsia="宋体" w:hint="default"/>
          <w:sz w:val="18"/>
          <w:szCs w:val="18"/>
        </w:rPr>
        <w:t>4,545,276.75</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22"/>
          <w:szCs w:val="22"/>
        </w:rPr>
      </w:pPr>
    </w:p>
    <w:p>
      <w:pPr>
        <w:pStyle w:val="Heading3"/>
        <w:spacing w:line="240" w:lineRule="auto"/>
        <w:ind w:left="153" w:right="0"/>
        <w:jc w:val="left"/>
        <w:rPr>
          <w:b w:val="0"/>
          <w:bCs w:val="0"/>
        </w:rPr>
      </w:pPr>
      <w:bookmarkStart w:name="56、库存股" w:id="364"/>
      <w:bookmarkEnd w:id="364"/>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股权激励授予限制性股 票的回购义务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69,951,962.00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31,426,785.00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38,525,177.00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69,951,962.00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31,426,785.00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38,525,177.00</w:t>
            </w:r>
          </w:p>
        </w:tc>
      </w:tr>
    </w:tbl>
    <w:p>
      <w:pPr>
        <w:spacing w:line="357" w:lineRule="auto" w:before="51"/>
        <w:ind w:left="153" w:right="5193"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 限制性股票激励计划的内容详见附注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十三、股份支付</w:t>
      </w:r>
      <w:r>
        <w:rPr>
          <w:rFonts w:ascii="Times New Roman" w:hAnsi="Times New Roman" w:cs="Times New Roman" w:eastAsia="Times New Roman" w:hint="default"/>
          <w:sz w:val="18"/>
          <w:szCs w:val="18"/>
        </w:rPr>
        <w:t>”</w:t>
      </w:r>
      <w:r>
        <w:rPr>
          <w:rFonts w:ascii="宋体" w:hAnsi="宋体" w:cs="宋体" w:eastAsia="宋体" w:hint="default"/>
          <w:sz w:val="18"/>
          <w:szCs w:val="18"/>
        </w:rPr>
        <w:t>中的详细说明。</w:t>
      </w:r>
    </w:p>
    <w:p>
      <w:pPr>
        <w:spacing w:line="240" w:lineRule="auto" w:before="6"/>
        <w:rPr>
          <w:rFonts w:ascii="宋体" w:hAnsi="宋体" w:cs="宋体" w:eastAsia="宋体" w:hint="default"/>
          <w:sz w:val="18"/>
          <w:szCs w:val="18"/>
        </w:rPr>
      </w:pPr>
    </w:p>
    <w:p>
      <w:pPr>
        <w:pStyle w:val="Heading3"/>
        <w:spacing w:line="240" w:lineRule="auto"/>
        <w:ind w:left="153" w:right="0"/>
        <w:jc w:val="left"/>
        <w:rPr>
          <w:b w:val="0"/>
          <w:bCs w:val="0"/>
        </w:rPr>
      </w:pPr>
      <w:bookmarkStart w:name="57、其他综合收益" w:id="365"/>
      <w:bookmarkEnd w:id="365"/>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58、专项储备" w:id="366"/>
      <w:bookmarkEnd w:id="366"/>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9、盈余公积" w:id="367"/>
      <w:bookmarkEnd w:id="367"/>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58,835,879.83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16,757,688.63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75,593,568.46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58,835,879.83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16,757,688.63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75,593,568.46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309" w:lineRule="auto" w:before="115"/>
        <w:ind w:left="15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）根据公司法、章程的规定，本公司按净利润的</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提取法定盈余公积金。法定盈余公积累计额为本公司注册资本</w:t>
      </w:r>
      <w:r>
        <w:rPr>
          <w:rFonts w:ascii="Times New Roman" w:hAnsi="Times New Roman" w:cs="Times New Roman" w:eastAsia="Times New Roman" w:hint="default"/>
          <w:sz w:val="18"/>
          <w:szCs w:val="18"/>
        </w:rPr>
        <w:t>50% </w:t>
      </w:r>
      <w:r>
        <w:rPr>
          <w:rFonts w:ascii="宋体" w:hAnsi="宋体" w:cs="宋体" w:eastAsia="宋体" w:hint="default"/>
          <w:spacing w:val="-2"/>
          <w:sz w:val="18"/>
          <w:szCs w:val="18"/>
        </w:rPr>
        <w:t>以上的，可不再提取。在提取法定盈余公积金后，可提取任意盈余公积金。经批准，任意盈余公积金可用于弥补以前年度亏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损或增加股本。</w:t>
      </w:r>
    </w:p>
    <w:p>
      <w:pPr>
        <w:spacing w:before="24"/>
        <w:ind w:left="15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）本公司按母公司口径本年实现净利润</w:t>
      </w:r>
      <w:r>
        <w:rPr>
          <w:rFonts w:ascii="Times New Roman" w:hAnsi="Times New Roman" w:cs="Times New Roman" w:eastAsia="Times New Roman" w:hint="default"/>
          <w:sz w:val="18"/>
          <w:szCs w:val="18"/>
        </w:rPr>
        <w:t>167,576,886.27</w:t>
      </w:r>
      <w:r>
        <w:rPr>
          <w:rFonts w:ascii="宋体" w:hAnsi="宋体" w:cs="宋体" w:eastAsia="宋体" w:hint="default"/>
          <w:sz w:val="18"/>
          <w:szCs w:val="18"/>
        </w:rPr>
        <w:t>元，按照</w:t>
      </w:r>
      <w:r>
        <w:rPr>
          <w:rFonts w:ascii="Times New Roman" w:hAnsi="Times New Roman" w:cs="Times New Roman" w:eastAsia="Times New Roman" w:hint="default"/>
          <w:sz w:val="18"/>
          <w:szCs w:val="18"/>
        </w:rPr>
        <w:t>10%</w:t>
      </w:r>
      <w:r>
        <w:rPr>
          <w:rFonts w:ascii="宋体" w:hAnsi="宋体" w:cs="宋体" w:eastAsia="宋体" w:hint="default"/>
          <w:sz w:val="18"/>
          <w:szCs w:val="18"/>
        </w:rPr>
        <w:t>的比例提取盈余公积</w:t>
      </w:r>
      <w:r>
        <w:rPr>
          <w:rFonts w:ascii="Times New Roman" w:hAnsi="Times New Roman" w:cs="Times New Roman" w:eastAsia="Times New Roman" w:hint="default"/>
          <w:sz w:val="18"/>
          <w:szCs w:val="18"/>
        </w:rPr>
        <w:t>16,757,688.63</w:t>
      </w:r>
      <w:r>
        <w:rPr>
          <w:rFonts w:ascii="宋体" w:hAnsi="宋体" w:cs="宋体" w:eastAsia="宋体" w:hint="default"/>
          <w:sz w:val="18"/>
          <w:szCs w:val="18"/>
        </w:rPr>
        <w:t>元。</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60、未分配利润" w:id="368"/>
      <w:bookmarkEnd w:id="368"/>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678,378,928.30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447,138,080.02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678,378,928.30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447,138,080.02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311,825,825.86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275,495,429.54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16,757,688.63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12,165,106.66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57,688,414.78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32,089,474.60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915,758,650.75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678,378,928.30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61、营业收入和营业成本" w:id="369"/>
      <w:bookmarkEnd w:id="369"/>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3819"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2,547,682,627.09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7" w:right="0"/>
              <w:jc w:val="left"/>
              <w:rPr>
                <w:rFonts w:ascii="Times New Roman" w:hAnsi="Times New Roman" w:cs="Times New Roman" w:eastAsia="Times New Roman" w:hint="default"/>
                <w:sz w:val="18"/>
                <w:szCs w:val="18"/>
              </w:rPr>
            </w:pPr>
            <w:r>
              <w:rPr>
                <w:rFonts w:ascii="Times New Roman"/>
                <w:sz w:val="18"/>
              </w:rPr>
              <w:t>1,723,754,411.27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2,385,346,986.50</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1,675,150,616.49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24,805,098.93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11,826,392.95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71,668,479.32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32,676,589.22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2,572,487,726.02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1,735,580,804.22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2,457,015,465.82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1,707,827,205.71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2、税金及附加" w:id="370"/>
      <w:bookmarkEnd w:id="370"/>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2,822,078.99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2,997,893.92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1,700,331.53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1,229,528.34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1,193,302.56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833,444.06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428,419.84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366,503.58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16,385.44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1,478,852.01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477,297.15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6,117,795.73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1,069,141.89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847,968.95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86,933.22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82,540.04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34,092.68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133,429.99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8,829,538.16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13,087,521.76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63、销售费用" w:id="371"/>
      <w:bookmarkEnd w:id="371"/>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110,547,457.11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92,994,858.15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22,792,239.53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19,063,901.95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3,264,929.53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5,502,835.66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16,347,363.10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13,244,497.56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12,548,000.34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8,120,233.60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物料消耗及低耗品摊销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811,447.95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620,399.63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工程及售后维护费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7,923,612.06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5,987,370.97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其他项小计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27,858,462.23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26,039,300.09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202,093,511.85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171,573,397.61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64、管理费用" w:id="372"/>
      <w:bookmarkEnd w:id="372"/>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104,947,095.85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100,057,225.53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4,159,207.36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2,012,397.32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5,262,378.22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4,643,019.49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咨询及审计费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9,043,282.81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5,287,676.85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14,847,435.62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14,691,098.67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9,670,891.28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10,700,836.36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其他项小计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62,645,137.71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61,857,504.84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210,575,428.85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199,249,759.06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65、财务费用" w:id="373"/>
      <w:bookmarkEnd w:id="373"/>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12,431,341.16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7,858,631.79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8,144,217.52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9,178,641.56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283,503.29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-72,560.52</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减：未确认融资收益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460,486.82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676,233.72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803,931.93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1,102,053.69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4,914,072.04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-966,750.32</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66、资产减值损失" w:id="374"/>
      <w:bookmarkEnd w:id="374"/>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29,897,466.45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36,029,160.17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9,679,896.30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4,127,947.82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39,577,362.75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40,157,107.99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67、公允价值变动收益" w:id="375"/>
      <w:bookmarkEnd w:id="375"/>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68、投资收益" w:id="376"/>
      <w:bookmarkEnd w:id="376"/>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-329,995.02</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-1,554,455.05</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-2,516.87</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-332,511.89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-1,554,455.05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69、资产处置收益" w:id="377"/>
      <w:bookmarkEnd w:id="377"/>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-274,190.11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-9,066.86</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0、其他收益" w:id="378"/>
      <w:bookmarkEnd w:id="378"/>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即征即退增值税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7,599,622.74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821,286.19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8,420,908.93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1、营业外收入" w:id="379"/>
      <w:bookmarkEnd w:id="379"/>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10,692,100.36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24,880,340.84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10,692,100.36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1,028,402.86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428,356.24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1,028,402.86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11,720,503.22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25,308,697.08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11,720,503.22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专利奖励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29,300.00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三位一体</w:t>
            </w:r>
            <w:r>
              <w:rPr>
                <w:rFonts w:ascii="Times New Roman" w:hAnsi="Times New Roman" w:cs="Times New Roman" w:eastAsia="Times New Roman"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战略奖励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常州市经济 信息委员会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科学技术奖 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常州市新北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320,000.00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常州市新北 区会计中心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25,600.00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专利奖励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常州市新北 区薛家镇会 计中心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发明专利奖 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常州市新北 区政府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科技成果转 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广东省教育 部产学研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国家金库常 州市中心支 库</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2,306,186.13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转型升级专 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江苏省经济 信息委员会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1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2"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 一批节能减 排专项资金 资助款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南山区发展 和改革局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公共建筑节 能改造补助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上海市财政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2,752,400.00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财政扶持</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上海市金山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财政扶持</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上海市青浦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2,520,700.00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2,821,200.00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上海市青浦 区朱家角镇 人民政府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上海市知识 产权局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10,082.50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1,892.50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政府扶持</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上海市杨浦 区资金收付 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政府扶持</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杨浦区级财 政直接支付 内部户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 岗前培训补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深圳市高技 能人才公共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因符合地方 政府招商引</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7"/>
              <w:jc w:val="left"/>
              <w:rPr>
                <w:rFonts w:ascii="宋体" w:hAnsi="宋体" w:cs="宋体" w:eastAsia="宋体" w:hint="default"/>
                <w:sz w:val="18"/>
                <w:szCs w:val="18"/>
              </w:rPr>
            </w:pPr>
            <w:r>
              <w:rPr>
                <w:rFonts w:ascii="宋体" w:hAnsi="宋体" w:cs="宋体" w:eastAsia="宋体" w:hint="default"/>
                <w:sz w:val="18"/>
                <w:szCs w:val="18"/>
              </w:rPr>
              <w:t>实训管理服 务中心</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提升竞争力 重点工业企 业扩产增效 奖励项目金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952,000.00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扶持计划品 牌培育项目 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示范区科研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深圳市科技 创新委员会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1,828,000.00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 岗前培训补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深圳市科技 创新委员会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科技成果转 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深圳市科技 创新委员会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深圳市南山 科技局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17,500.00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自主创新产 业发展专项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深圳市南山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工业稳增长 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深圳市南山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1,819,200.00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科技成果转 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深圳市南山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52.7pt;height:14.6pt;mso-position-horizontal-relative:char;mso-position-vertical-relative:line" coordorigin="0,0" coordsize="1054,292">
                  <v:group style="position:absolute;left:0;top:0;width:1054;height:292" coordorigin="0,0" coordsize="1054,292">
                    <v:shape style="position:absolute;left:0;top:0;width:1054;height:292" coordorigin="0,0" coordsize="1054,292" path="m0,292l1054,292,1054,0,0,0,0,29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达实智能党 支部党建示 范点建设经 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区工商业联 合会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增值税软件 退税</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区国家税务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7,959,986.54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达实建筑智 能化科普基 地经费补贴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区科学技术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国家高新技 术企业倍增 计划项目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区科学技术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国内外发明 专利补助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区科学技术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102,500.00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博士后设站 </w:t>
            </w:r>
            <w:r>
              <w:rPr>
                <w:rFonts w:ascii="宋体" w:hAnsi="宋体" w:cs="宋体" w:eastAsia="宋体" w:hint="default"/>
                <w:spacing w:val="-12"/>
                <w:sz w:val="18"/>
                <w:szCs w:val="18"/>
              </w:rPr>
              <w:t>单位（创新实</w:t>
            </w:r>
            <w:r>
              <w:rPr>
                <w:rFonts w:ascii="宋体" w:hAnsi="宋体" w:cs="宋体" w:eastAsia="宋体" w:hint="default"/>
                <w:sz w:val="18"/>
                <w:szCs w:val="18"/>
              </w:rPr>
              <w:t> </w:t>
            </w:r>
            <w:r>
              <w:rPr>
                <w:rFonts w:ascii="宋体" w:hAnsi="宋体" w:cs="宋体" w:eastAsia="宋体" w:hint="default"/>
                <w:spacing w:val="-12"/>
                <w:sz w:val="18"/>
                <w:szCs w:val="18"/>
              </w:rPr>
              <w:t>践基地）资助</w:t>
            </w:r>
            <w:r>
              <w:rPr>
                <w:rFonts w:ascii="宋体" w:hAnsi="宋体" w:cs="宋体" w:eastAsia="宋体" w:hint="default"/>
                <w:sz w:val="18"/>
                <w:szCs w:val="18"/>
              </w:rPr>
              <w:t> 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区人力资源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人才实训基 地计划资助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区人力资源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122,700.00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55,200.00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区粤海街道 办事处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年度南 山区自主创 新产业发展</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深圳市南山 区住房和建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52.7pt;height:14.6pt;mso-position-horizontal-relative:char;mso-position-vertical-relative:line" coordorigin="0,0" coordsize="1054,292">
                  <v:group style="position:absolute;left:0;top:0;width:1054;height:292" coordorigin="0,0" coordsize="1054,292">
                    <v:shape style="position:absolute;left:0;top:0;width:1054;height:292" coordorigin="0,0" coordsize="1054,292" path="m0,292l1054,292,1054,0,0,0,0,29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设局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创新券资助 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深圳市瑞方 达知识产权 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13,900.00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失业稳岗补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深圳市社会 保险基金管 理局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196,624.66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349,422.07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31"/>
              <w:jc w:val="left"/>
              <w:rPr>
                <w:rFonts w:ascii="宋体" w:hAnsi="宋体" w:cs="宋体" w:eastAsia="宋体" w:hint="default"/>
                <w:sz w:val="18"/>
                <w:szCs w:val="18"/>
              </w:rPr>
            </w:pPr>
            <w:r>
              <w:rPr>
                <w:rFonts w:ascii="宋体" w:hAnsi="宋体" w:cs="宋体" w:eastAsia="宋体" w:hint="default"/>
                <w:sz w:val="18"/>
                <w:szCs w:val="18"/>
              </w:rPr>
              <w:t>生育保险补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深圳市社会 保险基金管 理局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著作权登记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深圳市市场 和质量监督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23,400.00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著作权登记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深圳市市场 监督管理局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市民营及中 小企业发展 专项补贴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深圳市中小 企业服务署</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108,890.00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67,850.00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绿色建筑标 识评价补贴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深圳市住房 和建设局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机关合同能 源管理节能</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深圳市住房 和建设局市</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因从事国家 鼓励和扶持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416,203.20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61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改造项目补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公安局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公共建筑节 能改造补助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深圳市住建 和建设局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2,851,203.60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省级服务业 引导资金奖 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省发改委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71"/>
              <w:jc w:val="left"/>
              <w:rPr>
                <w:rFonts w:ascii="宋体" w:hAnsi="宋体" w:cs="宋体" w:eastAsia="宋体" w:hint="default"/>
                <w:sz w:val="18"/>
                <w:szCs w:val="18"/>
              </w:rPr>
            </w:pPr>
            <w:r>
              <w:rPr>
                <w:rFonts w:ascii="宋体" w:hAnsi="宋体" w:cs="宋体" w:eastAsia="宋体" w:hint="default"/>
                <w:sz w:val="18"/>
                <w:szCs w:val="18"/>
              </w:rPr>
              <w:t>工业经济发 展奖补资金</w:t>
            </w:r>
            <w:r>
              <w:rPr>
                <w:rFonts w:ascii="Times New Roman" w:hAnsi="Times New Roman" w:cs="Times New Roman" w:eastAsia="Times New Roman" w:hint="default"/>
                <w:sz w:val="18"/>
                <w:szCs w:val="18"/>
              </w:rPr>
              <w:t>- </w:t>
            </w:r>
            <w:r>
              <w:rPr>
                <w:rFonts w:ascii="宋体" w:hAnsi="宋体" w:cs="宋体" w:eastAsia="宋体" w:hint="default"/>
                <w:sz w:val="18"/>
                <w:szCs w:val="18"/>
              </w:rPr>
              <w:t>产品宣传推 介资助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信息化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99" w:right="0"/>
              <w:jc w:val="left"/>
              <w:rPr>
                <w:rFonts w:ascii="Times New Roman" w:hAnsi="Times New Roman" w:cs="Times New Roman" w:eastAsia="Times New Roman" w:hint="default"/>
                <w:sz w:val="18"/>
                <w:szCs w:val="18"/>
              </w:rPr>
            </w:pPr>
            <w:r>
              <w:rPr>
                <w:rFonts w:ascii="Times New Roman"/>
                <w:sz w:val="18"/>
              </w:rPr>
              <w:t>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10,692,100.3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24,880,340.8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72、营业外支出" w:id="380"/>
      <w:bookmarkEnd w:id="380"/>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152,942.65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244,208.89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152,942.65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6,748.68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6,748.68</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549,691.33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334,208.89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549,691.33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73、所得税费用" w:id="381"/>
      <w:bookmarkEnd w:id="381"/>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82"/>
      <w:bookmarkEnd w:id="382"/>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59,907,085.34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59,164,845.04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-3,283,854.78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-5,237,133.06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56,623,230.56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53,927,711.98</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83"/>
      <w:bookmarkEnd w:id="383"/>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389,902,026.97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58,485,304.03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-1,122,256.88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-2,441,822.88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4,516,810.93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-10,760.57</w:t>
            </w:r>
            <w:r>
              <w:rPr>
                <w:rFonts w:ascii="Times New Roman"/>
                <w:sz w:val="18"/>
              </w:rPr>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2,121,385.76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减：免税、减计收入及研发加计扣除的影响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4,925,429.83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56,623,230.56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74、其他综合收益" w:id="384"/>
      <w:bookmarkEnd w:id="384"/>
      <w:r>
        <w:rPr>
          <w:b w:val="0"/>
          <w:bCs w:val="0"/>
        </w:rPr>
      </w:r>
      <w:r>
        <w:rPr>
          <w:rFonts w:ascii="Times New Roman" w:hAnsi="Times New Roman" w:cs="Times New Roman" w:eastAsia="Times New Roman" w:hint="default"/>
        </w:rPr>
        <w:t>74</w:t>
      </w:r>
      <w:r>
        <w:rPr/>
        <w:t>、其他综合收益</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5、现金流量表项目" w:id="385"/>
      <w:bookmarkEnd w:id="385"/>
      <w:r>
        <w:rPr>
          <w:b w:val="0"/>
          <w:bCs w:val="0"/>
        </w:rPr>
      </w:r>
      <w:r>
        <w:rPr>
          <w:rFonts w:ascii="Times New Roman" w:hAnsi="Times New Roman" w:cs="Times New Roman" w:eastAsia="Times New Roman" w:hint="default"/>
        </w:rPr>
        <w:t>75</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收到的其他与经营活动有关的现金" w:id="386"/>
      <w:bookmarkEnd w:id="386"/>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8,428,919.13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7,853,580.14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除税收返还外的其他补贴收入等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8,522,100.36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19,366,802.39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施工、投标等保证金收支净额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22,397,110.91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18,305,443.01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保函及票据保证金收支净额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8,569,300.88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445,670.04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1,013,257.68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48,930,688.96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45,971,495.58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支付的其他与经营活动有关的现金" w:id="387"/>
      <w:bookmarkEnd w:id="387"/>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销售、管理费用等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110,892,617.30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122,014,893.11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施工、投标、保函等保证金收支净额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23,263,493.72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56,449,135.00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保函保证金收支净额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493,168.00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1,574,258.69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11,997,397.44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17,739,181.00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147,036,676.46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197,777,467.80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支付的其他与经营活动有关的现金说明：无</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3）收到的其他与投资活动有关的现金" w:id="388"/>
      <w:bookmarkEnd w:id="388"/>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保本型银行理财款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320,025,506.85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661,000,000.00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29,418.53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7,912,500.00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320,054,925.38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668,912,500.00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收到的其他与投资活动有关的现金说明：无</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4）支付的其他与投资活动有关的现金" w:id="389"/>
      <w:bookmarkEnd w:id="389"/>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保本型银行理财款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收购中介费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283,018.87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15,625,809.92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215,625,809.92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788,483,018.87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支付的其他与投资活动有关的现金说明：无</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5）收到的其他与筹资活动有关的现金" w:id="390"/>
      <w:bookmarkEnd w:id="390"/>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5,028,059.53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161,691,583.00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外部借款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638.289978pt;width:151.25pt;height:20.7pt;mso-position-horizontal-relative:page;mso-position-vertical-relative:page;z-index:-1029496" coordorigin="4467,12766" coordsize="3025,414">
            <v:group style="position:absolute;left:4478;top:12777;width:2;height:392" coordorigin="4478,12777" coordsize="2,392">
              <v:shape style="position:absolute;left:4478;top:12777;width:2;height:392" coordorigin="4478,12777" coordsize="0,392" path="m4478,12777l4478,13168e" filled="false" stroked="true" strokeweight="1.140pt" strokecolor="#ffffff">
                <v:path arrowok="t"/>
              </v:shape>
            </v:group>
            <v:group style="position:absolute;left:4490;top:12777;width:3002;height:392" coordorigin="4490,12777" coordsize="3002,392">
              <v:shape style="position:absolute;left:4490;top:12777;width:3002;height:392" coordorigin="4490,12777" coordsize="3002,392" path="m4490,13168l7491,13168,7491,12777,4490,12777,4490,1316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5,028,059.53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162,891,583.00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收到的其他与筹资活动有关的现金说明：无</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6）支付的其他与筹资活动有关的现金" w:id="391"/>
      <w:bookmarkEnd w:id="391"/>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限制性股票中介费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23,521.83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58,665,508.90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7,677,351.75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7,179,238.00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2,496,709.50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10,197,583.08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65,845,492.90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支付的其他与筹资活动有关的现金说明：无</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76、现金流量表补充资料" w:id="392"/>
      <w:bookmarkEnd w:id="392"/>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现金流量表补充资料" w:id="393"/>
      <w:bookmarkEnd w:id="393"/>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333,278,796.41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295,570,478.31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39,577,362.75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40,157,107.99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42,434,956.93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53,598,217.80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13,619,706.68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6,205,916.52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3,097,842.80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3,406,235.19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274,190.11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-28,955,692.44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12,714,844.45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5,039,531.91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332,511.89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1,554,455.05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019" w:val="left" w:leader="none"/>
              </w:tabs>
              <w:spacing w:line="240" w:lineRule="auto" w:before="52"/>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-3,109,241.54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-5,237,133.06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41,813,008.68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-12,327,059.49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-253,356,988.53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-425,257,030.54</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-20,549,645.09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47,660,758.70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3,766,504.41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210,127,345.54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-14,817,709.65</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662,555,637.29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507,650,217.06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507,650,217.06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954,727,480.22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154,905,420.23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-447,077,263.16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94"/>
      <w:bookmarkEnd w:id="394"/>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本期收到的处置子公司的现金净额" w:id="395"/>
      <w:bookmarkEnd w:id="395"/>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处置达实德润收到的现金或现金等价物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4,725,809.92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处置日达实德润持有的现金或现金等价物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4,725,809.92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-125,809.92</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4）现金和现金等价物的构成" w:id="396"/>
      <w:bookmarkEnd w:id="396"/>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662,555,637.29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507,650,217.06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369,167.75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490,205.03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662,186,469.54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507,160,012.03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662,555,637.29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507,650,217.06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547" w:lineRule="auto" w:before="35"/>
        <w:ind w:left="153" w:right="5193" w:firstLine="0"/>
        <w:jc w:val="left"/>
        <w:rPr>
          <w:rFonts w:ascii="宋体" w:hAnsi="宋体" w:cs="宋体" w:eastAsia="宋体" w:hint="default"/>
          <w:sz w:val="21"/>
          <w:szCs w:val="21"/>
        </w:rPr>
      </w:pPr>
      <w:bookmarkStart w:name="77、所有者权益变动表项目注释" w:id="397"/>
      <w:bookmarkEnd w:id="397"/>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项目名称及调整金额等事项：无 </w:t>
      </w:r>
      <w:bookmarkStart w:name="78、所有权或使用权受到限制的资产" w:id="398"/>
      <w:bookmarkEnd w:id="398"/>
      <w:r>
        <w:rPr>
          <w:rFonts w:ascii="宋体" w:hAnsi="宋体" w:cs="宋体" w:eastAsia="宋体" w:hint="default"/>
          <w:sz w:val="18"/>
          <w:szCs w:val="18"/>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78,000,000.00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有追索权应收票据银行贴现</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42,606,520.56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保函保证金、票据保证金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5,827,263.36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诉讼，法院冻结资金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房屋及建筑物</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15,068,022.56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银行贷款抵押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26,323,492.18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银行贷款抵押</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167,825,298.66</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79、外币货币性项目" w:id="399"/>
      <w:bookmarkEnd w:id="399"/>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外币货币性项目" w:id="400"/>
      <w:bookmarkEnd w:id="400"/>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12,059.97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78,802.26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499,972.04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3,900,931.85</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41,750.27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34,899.47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0.057883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10,418.94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3"/>
        <w:spacing w:line="259" w:lineRule="auto"/>
        <w:ind w:left="153" w:right="0"/>
        <w:jc w:val="left"/>
        <w:rPr>
          <w:b w:val="0"/>
          <w:bCs w:val="0"/>
        </w:rPr>
      </w:pPr>
      <w:bookmarkStart w:name="（2）境外经营实体说明，包括对于重要的境外经营实体，应披露其境外主要经营地、记账" w:id="401"/>
      <w:bookmarkEnd w:id="401"/>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7"/>
        </w:rPr>
        <w:t> </w:t>
      </w:r>
      <w:r>
        <w:rPr>
          <w:spacing w:val="-67"/>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80、套期" w:id="402"/>
      <w:bookmarkEnd w:id="402"/>
      <w:r>
        <w:rPr>
          <w:b w:val="0"/>
          <w:bCs w:val="0"/>
        </w:rPr>
      </w:r>
      <w:r>
        <w:rPr>
          <w:rFonts w:ascii="Times New Roman" w:hAnsi="Times New Roman" w:cs="Times New Roman" w:eastAsia="Times New Roman" w:hint="default"/>
        </w:rPr>
        <w:t>80</w:t>
      </w:r>
      <w:r>
        <w:rPr/>
        <w:t>、套期</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按照套期类别披露套期项目及相关套期工具、被套期风险的定性和定量信息：无</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81、其他" w:id="403"/>
      <w:bookmarkEnd w:id="403"/>
      <w:r>
        <w:rPr>
          <w:b w:val="0"/>
          <w:bCs w:val="0"/>
        </w:rPr>
      </w:r>
      <w:r>
        <w:rPr>
          <w:rFonts w:ascii="Times New Roman" w:hAnsi="Times New Roman" w:cs="Times New Roman" w:eastAsia="Times New Roman" w:hint="default"/>
        </w:rPr>
        <w:t>81</w:t>
      </w:r>
      <w:r>
        <w:rPr/>
        <w:t>、其他</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八、合并范围的变更" w:id="404"/>
      <w:bookmarkEnd w:id="404"/>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非同一控制下企业合并" w:id="405"/>
      <w:bookmarkEnd w:id="405"/>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本期发生的非同一控制下企业合并" w:id="406"/>
      <w:bookmarkEnd w:id="406"/>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其他说明：本报告期公司未发生非同一控制下企业合并</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合并成本及商誉" w:id="407"/>
      <w:bookmarkEnd w:id="407"/>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被购买方于购买日可辨认资产、负债" w:id="408"/>
      <w:bookmarkEnd w:id="408"/>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购买日之前持有的股权按照公允价值重新计量产生的利得或损失" w:id="409"/>
      <w:bookmarkEnd w:id="409"/>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5）购买日或合并当期期末无法合理确定合并对价或被购买方可辨认资产、负债公允价值" w:id="410"/>
      <w:bookmarkEnd w:id="410"/>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其他说明" w:id="411"/>
      <w:bookmarkEnd w:id="411"/>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同一控制下企业合并" w:id="412"/>
      <w:bookmarkEnd w:id="412"/>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413"/>
      <w:bookmarkEnd w:id="413"/>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其他说明：本报告期公司未发生同一控制下企业合并</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合并成本" w:id="414"/>
      <w:bookmarkEnd w:id="414"/>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合并日被合并方资产、负债的账面价值" w:id="415"/>
      <w:bookmarkEnd w:id="415"/>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213" w:right="4993"/>
        <w:jc w:val="left"/>
        <w:rPr>
          <w:b w:val="0"/>
          <w:bCs w:val="0"/>
        </w:rPr>
      </w:pPr>
      <w:bookmarkStart w:name="3、反向购买" w:id="416"/>
      <w:bookmarkEnd w:id="416"/>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spacing w:before="0"/>
        <w:ind w:left="213" w:right="499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left="214" w:right="4993"/>
        <w:jc w:val="left"/>
        <w:rPr>
          <w:b w:val="0"/>
          <w:bCs w:val="0"/>
        </w:rPr>
      </w:pPr>
      <w:bookmarkStart w:name="4、处置子公司" w:id="417"/>
      <w:bookmarkEnd w:id="417"/>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20" w:right="0"/>
        </w:sectPr>
      </w:pPr>
    </w:p>
    <w:p>
      <w:pPr>
        <w:spacing w:before="44"/>
        <w:ind w:left="214"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6"/>
        <w:ind w:left="21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2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20" w:right="0"/>
          <w:cols w:num="2" w:equalWidth="0">
            <w:col w:w="4355" w:space="4475"/>
            <w:col w:w="2160"/>
          </w:cols>
        </w:sectPr>
      </w:pP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83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1"/>
              <w:jc w:val="both"/>
              <w:rPr>
                <w:rFonts w:ascii="宋体" w:hAnsi="宋体" w:cs="宋体" w:eastAsia="宋体" w:hint="default"/>
                <w:sz w:val="18"/>
                <w:szCs w:val="18"/>
              </w:rPr>
            </w:pPr>
            <w:r>
              <w:rPr>
                <w:rFonts w:ascii="宋体" w:hAnsi="宋体" w:cs="宋体" w:eastAsia="宋体" w:hint="default"/>
                <w:sz w:val="18"/>
                <w:szCs w:val="18"/>
              </w:rPr>
              <w:t>北京达 实德润 能源科 技有限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4,600,00</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61"/>
              <w:jc w:val="both"/>
              <w:rPr>
                <w:rFonts w:ascii="宋体" w:hAnsi="宋体" w:cs="宋体" w:eastAsia="宋体" w:hint="default"/>
                <w:sz w:val="18"/>
                <w:szCs w:val="18"/>
              </w:rPr>
            </w:pPr>
            <w:r>
              <w:rPr>
                <w:rFonts w:ascii="宋体" w:hAnsi="宋体" w:cs="宋体" w:eastAsia="宋体" w:hint="default"/>
                <w:sz w:val="18"/>
                <w:szCs w:val="18"/>
              </w:rPr>
              <w:t>股权转 让协议 约定的 日期</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1,238,70</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4.30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420,161.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575,000.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154,838.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熟悉情 况的交 易双方 自愿进 行交易 的价格</w:t>
            </w: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213" w:right="4993" w:firstLine="0"/>
        <w:jc w:val="left"/>
        <w:rPr>
          <w:rFonts w:ascii="宋体" w:hAnsi="宋体" w:cs="宋体" w:eastAsia="宋体" w:hint="default"/>
          <w:sz w:val="18"/>
          <w:szCs w:val="18"/>
        </w:rPr>
      </w:pPr>
      <w:r>
        <w:rPr>
          <w:rFonts w:ascii="宋体" w:hAnsi="宋体" w:cs="宋体" w:eastAsia="宋体" w:hint="default"/>
          <w:sz w:val="18"/>
          <w:szCs w:val="18"/>
        </w:rPr>
        <w:t>其他说明：无 是否存在通过多次交易分步处置对子公司投资且在本期丧失控制权的情形</w:t>
      </w:r>
    </w:p>
    <w:p>
      <w:pPr>
        <w:spacing w:before="26"/>
        <w:ind w:left="21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3"/>
        <w:spacing w:line="240" w:lineRule="auto"/>
        <w:ind w:left="213" w:right="4993"/>
        <w:jc w:val="left"/>
        <w:rPr>
          <w:b w:val="0"/>
          <w:bCs w:val="0"/>
        </w:rPr>
      </w:pPr>
      <w:bookmarkStart w:name="5、其他原因的合并范围变动" w:id="418"/>
      <w:bookmarkEnd w:id="418"/>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spacing w:line="338" w:lineRule="auto" w:before="0"/>
        <w:ind w:left="213" w:right="281"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 </w:t>
      </w:r>
      <w:r>
        <w:rPr>
          <w:rFonts w:ascii="宋体" w:hAnsi="宋体" w:cs="宋体" w:eastAsia="宋体" w:hint="default"/>
          <w:spacing w:val="-2"/>
          <w:sz w:val="18"/>
          <w:szCs w:val="18"/>
        </w:rPr>
        <w:t>报告期内，公司新设立深圳达实软件有限公司、雄安达实智慧科技有限公司、江苏洪泽湖达实智慧医养有限公司，本期纳入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合并报告。</w:t>
      </w:r>
    </w:p>
    <w:tbl>
      <w:tblPr>
        <w:tblW w:w="0" w:type="auto"/>
        <w:jc w:val="left"/>
        <w:tblInd w:w="101" w:type="dxa"/>
        <w:tblLayout w:type="fixed"/>
        <w:tblCellMar>
          <w:top w:w="0" w:type="dxa"/>
          <w:left w:w="0" w:type="dxa"/>
          <w:bottom w:w="0" w:type="dxa"/>
          <w:right w:w="0" w:type="dxa"/>
        </w:tblCellMar>
        <w:tblLook w:val="01E0"/>
      </w:tblPr>
      <w:tblGrid>
        <w:gridCol w:w="3226"/>
        <w:gridCol w:w="1230"/>
        <w:gridCol w:w="1584"/>
        <w:gridCol w:w="1746"/>
        <w:gridCol w:w="1512"/>
      </w:tblGrid>
      <w:tr>
        <w:trPr>
          <w:trHeight w:val="407"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子公司级次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新增方式</w:t>
            </w:r>
          </w:p>
        </w:tc>
      </w:tr>
      <w:tr>
        <w:trPr>
          <w:trHeight w:val="407"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深圳达实软件有限公司</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货币资金出资</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Times New Roman" w:hAnsi="Times New Roman" w:cs="Times New Roman" w:eastAsia="Times New Roman" w:hint="default"/>
                <w:sz w:val="18"/>
                <w:szCs w:val="18"/>
              </w:rPr>
            </w:pPr>
            <w:r>
              <w:rPr>
                <w:rFonts w:ascii="Times New Roman"/>
                <w:sz w:val="18"/>
              </w:rPr>
              <w:t>2017-02-27</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407"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雄安达实智慧科技有限公司</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货币资金出资</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Times New Roman" w:hAnsi="Times New Roman" w:cs="Times New Roman" w:eastAsia="Times New Roman" w:hint="default"/>
                <w:sz w:val="18"/>
                <w:szCs w:val="18"/>
              </w:rPr>
            </w:pPr>
            <w:r>
              <w:rPr>
                <w:rFonts w:ascii="Times New Roman"/>
                <w:sz w:val="18"/>
              </w:rPr>
              <w:t>2017-09-25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408"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江苏洪泽湖达实智慧医养有限公司</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货币资金出资</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Times New Roman" w:hAnsi="Times New Roman" w:cs="Times New Roman" w:eastAsia="Times New Roman" w:hint="default"/>
                <w:sz w:val="18"/>
                <w:szCs w:val="18"/>
              </w:rPr>
            </w:pPr>
            <w:r>
              <w:rPr>
                <w:rFonts w:ascii="Times New Roman"/>
                <w:sz w:val="18"/>
              </w:rPr>
              <w:t>2017-11-02</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bl>
    <w:p>
      <w:pPr>
        <w:spacing w:after="0" w:line="240" w:lineRule="auto"/>
        <w:jc w:val="center"/>
        <w:rPr>
          <w:rFonts w:ascii="宋体" w:hAnsi="宋体" w:cs="宋体" w:eastAsia="宋体" w:hint="default"/>
          <w:sz w:val="18"/>
          <w:szCs w:val="18"/>
        </w:rPr>
        <w:sectPr>
          <w:type w:val="continuous"/>
          <w:pgSz w:w="11910" w:h="16840"/>
          <w:pgMar w:top="1060" w:bottom="1160" w:left="920" w:right="0"/>
        </w:sectPr>
      </w:pPr>
    </w:p>
    <w:p>
      <w:pPr>
        <w:spacing w:line="240" w:lineRule="auto" w:before="10"/>
        <w:rPr>
          <w:rFonts w:ascii="宋体" w:hAnsi="宋体" w:cs="宋体" w:eastAsia="宋体" w:hint="default"/>
          <w:sz w:val="24"/>
          <w:szCs w:val="24"/>
        </w:rPr>
      </w:pPr>
      <w:r>
        <w:rPr/>
        <w:pict>
          <v:shape style="position:absolute;margin-left:324.399994pt;margin-top:579.880005pt;width:74.05pt;height:46.8pt;mso-position-horizontal-relative:page;mso-position-vertical-relative:page;z-index:-1029448"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pStyle w:val="Heading3"/>
        <w:spacing w:line="240" w:lineRule="auto" w:before="35"/>
        <w:ind w:left="153" w:right="0"/>
        <w:jc w:val="left"/>
        <w:rPr>
          <w:b w:val="0"/>
          <w:bCs w:val="0"/>
        </w:rPr>
      </w:pPr>
      <w:bookmarkStart w:name="6、其他" w:id="419"/>
      <w:bookmarkEnd w:id="419"/>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九、在其他主体中的权益" w:id="420"/>
      <w:bookmarkEnd w:id="420"/>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在子公司中的权益" w:id="421"/>
      <w:bookmarkEnd w:id="421"/>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pict>
          <v:group style="position:absolute;margin-left:330.579987pt;margin-top:110.513664pt;width:67.9pt;height:59.15pt;mso-position-horizontal-relative:page;mso-position-vertical-relative:paragraph;z-index:-1029424" coordorigin="6612,2210" coordsize="1358,1183">
            <v:group style="position:absolute;left:6623;top:2222;width:2;height:392" coordorigin="6623,2222" coordsize="2,392">
              <v:shape style="position:absolute;left:6623;top:2222;width:2;height:392" coordorigin="6623,2222" coordsize="0,392" path="m6623,2222l6623,2613e" filled="false" stroked="true" strokeweight="1.140pt" strokecolor="#ffffff">
                <v:path arrowok="t"/>
              </v:shape>
            </v:group>
            <v:group style="position:absolute;left:6612;top:2613;width:1358;height:780" coordorigin="6612,2613" coordsize="1358,780">
              <v:shape style="position:absolute;left:6612;top:2613;width:1358;height:780" coordorigin="6612,2613" coordsize="1358,780" path="m6612,3393l7969,3393,7969,2613,6612,2613,6612,3393xe" filled="true" fillcolor="#ffffff" stroked="false">
                <v:path arrowok="t"/>
                <v:fill type="solid"/>
              </v:shape>
            </v:group>
            <v:group style="position:absolute;left:6634;top:2222;width:1312;height:392" coordorigin="6634,2222" coordsize="1312,392">
              <v:shape style="position:absolute;left:6634;top:2222;width:1312;height:392" coordorigin="6634,2222" coordsize="1312,392" path="m6634,2613l7946,2613,7946,2222,6634,2222,6634,2613xe" filled="true" fillcolor="#ffffff" stroked="false">
                <v:path arrowok="t"/>
                <v:fill type="solid"/>
              </v:shape>
            </v:group>
            <w10:wrap type="none"/>
          </v:group>
        </w:pict>
      </w:r>
      <w:bookmarkStart w:name="（1）企业集团的构成" w:id="422"/>
      <w:bookmarkEnd w:id="422"/>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423"/>
        <w:gridCol w:w="944"/>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楼宇自动化、工</w:t>
            </w:r>
          </w:p>
        </w:tc>
        <w:tc>
          <w:tcPr>
            <w:tcW w:w="423" w:type="dxa"/>
            <w:tcBorders>
              <w:top w:val="single" w:sz="4" w:space="0" w:color="000000"/>
              <w:left w:val="single" w:sz="4" w:space="0" w:color="000000"/>
              <w:bottom w:val="nil" w:sz="6" w:space="0" w:color="auto"/>
              <w:right w:val="nil" w:sz="6" w:space="0" w:color="auto"/>
            </w:tcBorders>
          </w:tcPr>
          <w:p>
            <w:pPr/>
          </w:p>
        </w:tc>
        <w:tc>
          <w:tcPr>
            <w:tcW w:w="944" w:type="dxa"/>
            <w:tcBorders>
              <w:top w:val="single" w:sz="4" w:space="0" w:color="000000"/>
              <w:left w:val="nil" w:sz="6" w:space="0" w:color="auto"/>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业自动化、办公</w:t>
            </w:r>
          </w:p>
        </w:tc>
        <w:tc>
          <w:tcPr>
            <w:tcW w:w="423" w:type="dxa"/>
            <w:tcBorders>
              <w:top w:val="nil" w:sz="6" w:space="0" w:color="auto"/>
              <w:left w:val="single" w:sz="4" w:space="0" w:color="000000"/>
              <w:bottom w:val="nil" w:sz="6" w:space="0" w:color="auto"/>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上海达实自动化 工程有限公司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自动化系统的设 </w:t>
            </w:r>
            <w:r>
              <w:rPr>
                <w:rFonts w:ascii="宋体" w:hAnsi="宋体" w:cs="宋体" w:eastAsia="宋体" w:hint="default"/>
                <w:spacing w:val="-6"/>
                <w:sz w:val="18"/>
                <w:szCs w:val="18"/>
              </w:rPr>
              <w:t>计、开发、安装</w:t>
            </w:r>
          </w:p>
        </w:tc>
        <w:tc>
          <w:tcPr>
            <w:tcW w:w="423"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944"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90.00%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调试及维修服</w:t>
            </w:r>
          </w:p>
        </w:tc>
        <w:tc>
          <w:tcPr>
            <w:tcW w:w="423" w:type="dxa"/>
            <w:tcBorders>
              <w:top w:val="nil" w:sz="6" w:space="0" w:color="auto"/>
              <w:left w:val="single" w:sz="4" w:space="0" w:color="000000"/>
              <w:bottom w:val="nil" w:sz="6" w:space="0" w:color="auto"/>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423" w:type="dxa"/>
            <w:tcBorders>
              <w:top w:val="nil" w:sz="6" w:space="0" w:color="auto"/>
              <w:left w:val="single" w:sz="4" w:space="0" w:color="000000"/>
              <w:bottom w:val="single" w:sz="4" w:space="0" w:color="000000"/>
              <w:right w:val="nil" w:sz="6" w:space="0" w:color="auto"/>
            </w:tcBorders>
          </w:tcPr>
          <w:p>
            <w:pPr/>
          </w:p>
        </w:tc>
        <w:tc>
          <w:tcPr>
            <w:tcW w:w="944" w:type="dxa"/>
            <w:tcBorders>
              <w:top w:val="nil" w:sz="6" w:space="0" w:color="auto"/>
              <w:left w:val="nil" w:sz="6" w:space="0" w:color="auto"/>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深圳达实信息技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安防行业，智能 一卡通和计算机 系统集成。</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59"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建筑智能化，安</w:t>
            </w:r>
          </w:p>
        </w:tc>
        <w:tc>
          <w:tcPr>
            <w:tcW w:w="1367" w:type="dxa"/>
            <w:gridSpan w:val="2"/>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防行业，电气及</w:t>
            </w:r>
          </w:p>
        </w:tc>
        <w:tc>
          <w:tcPr>
            <w:tcW w:w="1367" w:type="dxa"/>
            <w:gridSpan w:val="2"/>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上海达实联欣科 技发展有限公司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设备集成系统， 技术咨询服务，</w:t>
            </w:r>
          </w:p>
        </w:tc>
        <w:tc>
          <w:tcPr>
            <w:tcW w:w="1367"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51.00%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销售五金电缆防</w:t>
            </w:r>
          </w:p>
        </w:tc>
        <w:tc>
          <w:tcPr>
            <w:tcW w:w="1367" w:type="dxa"/>
            <w:gridSpan w:val="2"/>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水装潢材料。</w:t>
            </w:r>
          </w:p>
        </w:tc>
        <w:tc>
          <w:tcPr>
            <w:tcW w:w="1367" w:type="dxa"/>
            <w:gridSpan w:val="2"/>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建筑智能化，安</w:t>
            </w:r>
          </w:p>
        </w:tc>
        <w:tc>
          <w:tcPr>
            <w:tcW w:w="1367"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936" w:lineRule="exact"/>
              <w:ind w:right="-51"/>
              <w:jc w:val="left"/>
              <w:rPr>
                <w:rFonts w:ascii="宋体" w:hAnsi="宋体" w:cs="宋体" w:eastAsia="宋体" w:hint="default"/>
                <w:sz w:val="20"/>
                <w:szCs w:val="20"/>
              </w:rPr>
            </w:pPr>
            <w:r>
              <w:rPr>
                <w:rFonts w:ascii="宋体" w:hAnsi="宋体" w:cs="宋体" w:eastAsia="宋体" w:hint="default"/>
                <w:position w:val="-18"/>
                <w:sz w:val="20"/>
                <w:szCs w:val="20"/>
              </w:rPr>
              <w:pict>
                <v:group style="width:67.9pt;height:46.8pt;mso-position-horizontal-relative:char;mso-position-vertical-relative:line" coordorigin="0,0" coordsize="1358,936">
                  <v:group style="position:absolute;left:0;top:0;width:1358;height:936" coordorigin="0,0" coordsize="1358,936">
                    <v:shape style="position:absolute;left:0;top:0;width:1358;height:936" coordorigin="0,0" coordsize="1358,936" path="m0,936l1357,936,1357,0,0,0,0,936xe" filled="true" fillcolor="#ffffff" stroked="false">
                      <v:path arrowok="t"/>
                      <v:fill type="solid"/>
                    </v:shape>
                  </v:group>
                </v:group>
              </w:pict>
            </w:r>
            <w:r>
              <w:rPr>
                <w:rFonts w:ascii="宋体" w:hAnsi="宋体" w:cs="宋体" w:eastAsia="宋体" w:hint="default"/>
                <w:position w:val="-18"/>
                <w:sz w:val="20"/>
                <w:szCs w:val="20"/>
              </w:rPr>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防行业，电气及</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7"/>
              <w:jc w:val="both"/>
              <w:rPr>
                <w:rFonts w:ascii="宋体" w:hAnsi="宋体" w:cs="宋体" w:eastAsia="宋体" w:hint="default"/>
                <w:sz w:val="18"/>
                <w:szCs w:val="18"/>
              </w:rPr>
            </w:pPr>
            <w:r>
              <w:rPr>
                <w:rFonts w:ascii="宋体" w:hAnsi="宋体" w:cs="宋体" w:eastAsia="宋体" w:hint="default"/>
                <w:sz w:val="18"/>
                <w:szCs w:val="18"/>
              </w:rPr>
              <w:t>上海联欣金山建 筑科技发展有限 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设备集成系统， 技术咨询服务， </w:t>
            </w:r>
            <w:r>
              <w:rPr>
                <w:rFonts w:ascii="宋体" w:hAnsi="宋体" w:cs="宋体" w:eastAsia="宋体" w:hint="default"/>
                <w:spacing w:val="-6"/>
                <w:sz w:val="18"/>
                <w:szCs w:val="18"/>
              </w:rPr>
              <w:t>电子产品、五金</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电缆、防水、装</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潢材料的销售。</w:t>
            </w:r>
          </w:p>
        </w:tc>
        <w:tc>
          <w:tcPr>
            <w:tcW w:w="1367" w:type="dxa"/>
            <w:gridSpan w:val="2"/>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110KV</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及以下变</w:t>
            </w:r>
          </w:p>
        </w:tc>
        <w:tc>
          <w:tcPr>
            <w:tcW w:w="1367" w:type="dxa"/>
            <w:gridSpan w:val="2"/>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电站、施工用电</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77"/>
              <w:jc w:val="both"/>
              <w:rPr>
                <w:rFonts w:ascii="宋体" w:hAnsi="宋体" w:cs="宋体" w:eastAsia="宋体" w:hint="default"/>
                <w:sz w:val="18"/>
                <w:szCs w:val="18"/>
              </w:rPr>
            </w:pPr>
            <w:r>
              <w:rPr>
                <w:rFonts w:ascii="宋体" w:hAnsi="宋体" w:cs="宋体" w:eastAsia="宋体" w:hint="default"/>
                <w:sz w:val="18"/>
                <w:szCs w:val="18"/>
              </w:rPr>
              <w:t>上海腾隆变配电 设备管理有限公 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箱式变压器的运 行管理、设备调 试、维修保养、 继保电试，电气</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安全用具销售及</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电气工程咨询服</w:t>
            </w:r>
          </w:p>
        </w:tc>
        <w:tc>
          <w:tcPr>
            <w:tcW w:w="1367" w:type="dxa"/>
            <w:gridSpan w:val="2"/>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399994pt;margin-top:72.47998pt;width:74.05pt;height:142.5pt;mso-position-horizontal-relative:page;mso-position-vertical-relative:page;z-index:-10293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2"/>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24.399994pt;margin-top:329.119995pt;width:74.05pt;height:31.2pt;mso-position-horizontal-relative:page;mso-position-vertical-relative:page;z-index:-10293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17" w:hRule="exact"/>
        </w:trPr>
        <w:tc>
          <w:tcPr>
            <w:tcW w:w="1372"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务，机电设备销</w:t>
            </w:r>
          </w:p>
        </w:tc>
        <w:tc>
          <w:tcPr>
            <w:tcW w:w="1367" w:type="dxa"/>
            <w:vMerge w:val="restart"/>
            <w:tcBorders>
              <w:top w:val="single" w:sz="4" w:space="0" w:color="000000"/>
              <w:left w:val="single" w:sz="4" w:space="0" w:color="000000"/>
              <w:right w:val="single" w:sz="4" w:space="0" w:color="000000"/>
            </w:tcBorders>
          </w:tcPr>
          <w:p>
            <w:pPr>
              <w:pStyle w:val="TableParagraph"/>
              <w:spacing w:line="284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6"/>
                <w:sz w:val="20"/>
                <w:szCs w:val="20"/>
              </w:rPr>
              <w:pict>
                <v:group style="width:67.9pt;height:142.5pt;mso-position-horizontal-relative:char;mso-position-vertical-relative:line" coordorigin="0,0" coordsize="1358,2850">
                  <v:group style="position:absolute;left:0;top:0;width:1358;height:2850" coordorigin="0,0" coordsize="1358,2850">
                    <v:shape style="position:absolute;left:0;top:0;width:1358;height:2850" coordorigin="0,0" coordsize="1358,2850" path="m0,2849l1357,2849,1357,0,0,0,0,2849xe" filled="true" fillcolor="#ffffff" stroked="false">
                      <v:path arrowok="t"/>
                      <v:fill type="solid"/>
                    </v:shape>
                  </v:group>
                </v:group>
              </w:pict>
            </w:r>
            <w:r>
              <w:rPr>
                <w:rFonts w:ascii="Times New Roman" w:hAnsi="Times New Roman" w:cs="Times New Roman" w:eastAsia="Times New Roman" w:hint="default"/>
                <w:position w:val="-56"/>
                <w:sz w:val="20"/>
                <w:szCs w:val="20"/>
              </w:rPr>
            </w:r>
          </w:p>
        </w:tc>
        <w:tc>
          <w:tcPr>
            <w:tcW w:w="1367"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售及维修，在电</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力专业领域内从</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事四技服务，电</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力设施承装类四</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级、承修类三级</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承试类五级，自</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3"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有设备租赁（除</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57" w:hRule="exact"/>
        </w:trPr>
        <w:tc>
          <w:tcPr>
            <w:tcW w:w="1372"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金融租赁</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融资租赁业务；</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租赁业务；向国</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深圳达实融资租 赁有限公司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内外购买租赁资 产；租赁资产的 残值处理及维</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通过设立方式取 得</w:t>
            </w: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修；租赁交易咨</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询和担保。</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财务咨询、投资</w:t>
            </w:r>
          </w:p>
        </w:tc>
        <w:tc>
          <w:tcPr>
            <w:tcW w:w="1367" w:type="dxa"/>
            <w:vMerge w:val="restart"/>
            <w:tcBorders>
              <w:top w:val="single" w:sz="4" w:space="0" w:color="000000"/>
              <w:left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67.9pt;height:31.2pt;mso-position-horizontal-relative:char;mso-position-vertical-relative:line" coordorigin="0,0" coordsize="1358,624">
                  <v:group style="position:absolute;left:0;top:0;width:1358;height:624" coordorigin="0,0" coordsize="1358,624">
                    <v:shape style="position:absolute;left:0;top:0;width:1358;height:624" coordorigin="0,0" coordsize="1358,624" path="m0,624l1357,624,1357,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昌都市达实投资 咨询有限公司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昌都市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昌都市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both"/>
              <w:rPr>
                <w:rFonts w:ascii="宋体" w:hAnsi="宋体" w:cs="宋体" w:eastAsia="宋体" w:hint="default"/>
                <w:sz w:val="18"/>
                <w:szCs w:val="18"/>
              </w:rPr>
            </w:pPr>
            <w:r>
              <w:rPr>
                <w:rFonts w:ascii="宋体" w:hAnsi="宋体" w:cs="宋体" w:eastAsia="宋体" w:hint="default"/>
                <w:spacing w:val="-6"/>
                <w:sz w:val="18"/>
                <w:szCs w:val="18"/>
              </w:rPr>
              <w:t>咨询、管理咨询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税务咨询、商务 咨询兼并重组咨</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68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通过设立方式取 得</w:t>
            </w: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询</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研发能源管理产</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卡读写机</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具产品、安防监</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控设备和信息终</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端、智能大厦监</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控系统、现场网</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络控制设备、机</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珠海达实科技发 展有限公司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电设备和仪器仪 表的技术开发及 相关系统软件的</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通过设立方式取 得</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销售；承接建筑</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智能化系统和工</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业自动化系统的</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设计、集成、安</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装、技术咨询；</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提供能源监测、</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节能咨询服务。</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智慧城市、基础</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77"/>
              <w:jc w:val="left"/>
              <w:rPr>
                <w:rFonts w:ascii="宋体" w:hAnsi="宋体" w:cs="宋体" w:eastAsia="宋体" w:hint="default"/>
                <w:sz w:val="18"/>
                <w:szCs w:val="18"/>
              </w:rPr>
            </w:pPr>
            <w:r>
              <w:rPr>
                <w:rFonts w:ascii="宋体" w:hAnsi="宋体" w:cs="宋体" w:eastAsia="宋体" w:hint="default"/>
                <w:sz w:val="18"/>
                <w:szCs w:val="18"/>
              </w:rPr>
              <w:t>遵义达实绿色智 慧发展有限公司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遵义</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遵义</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设施、科普设施 建设、展览设施 建设、绿色节能</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71"/>
              <w:jc w:val="left"/>
              <w:rPr>
                <w:rFonts w:ascii="宋体" w:hAnsi="宋体" w:cs="宋体" w:eastAsia="宋体" w:hint="default"/>
                <w:sz w:val="18"/>
                <w:szCs w:val="18"/>
              </w:rPr>
            </w:pPr>
            <w:r>
              <w:rPr>
                <w:rFonts w:ascii="宋体" w:hAnsi="宋体" w:cs="宋体" w:eastAsia="宋体" w:hint="default"/>
                <w:sz w:val="18"/>
                <w:szCs w:val="18"/>
              </w:rPr>
              <w:t>通过设立方式取 得</w:t>
            </w:r>
          </w:p>
        </w:tc>
      </w:tr>
      <w:tr>
        <w:trPr>
          <w:trHeight w:val="318"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建筑投资及投资</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399994pt;margin-top:90.599983pt;width:74.05pt;height:249.65pt;mso-position-horizontal-relative:page;mso-position-vertical-relative:page;z-index:-10292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24.399994pt;margin-top:734.459961pt;width:74.05pt;height:22.4pt;mso-position-horizontal-relative:page;mso-position-vertical-relative:page;z-index:-1029256" type="#_x0000_t202" filled="false" stroked="false">
            <v:textbox inset="0,0,0,0">
              <w:txbxContent>
                <w:p>
                  <w:pPr>
                    <w:spacing w:before="14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30.579987pt;margin-top:90.599983pt;width:67.9pt;height:249.65pt;mso-position-horizontal-relative:page;mso-position-vertical-relative:page;z-index:-1029232" coordorigin="6612,1812" coordsize="1358,4993">
            <v:shape style="position:absolute;left:6612;top:1812;width:1358;height:4993" coordorigin="6612,1812" coordsize="1358,4993" path="m6612,6804l7969,6804,7969,1812,6612,1812,6612,680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咨询管理。</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数字化手术室的</w:t>
            </w:r>
          </w:p>
        </w:tc>
        <w:tc>
          <w:tcPr>
            <w:tcW w:w="378" w:type="dxa"/>
            <w:vMerge w:val="restart"/>
            <w:tcBorders>
              <w:top w:val="single" w:sz="4" w:space="0" w:color="000000"/>
              <w:left w:val="single" w:sz="4" w:space="0" w:color="000000"/>
              <w:right w:val="nil" w:sz="6" w:space="0" w:color="auto"/>
            </w:tcBorders>
          </w:tcPr>
          <w:p>
            <w:pPr/>
          </w:p>
        </w:tc>
        <w:tc>
          <w:tcPr>
            <w:tcW w:w="989" w:type="dxa"/>
            <w:tcBorders>
              <w:top w:val="single" w:sz="4" w:space="0" w:color="000000"/>
              <w:left w:val="nil" w:sz="6" w:space="0" w:color="auto"/>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研发、医用机器</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人导航系统的研</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发、微创手术平</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台系统的研发；</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空气净化处理</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机、不锈钢柜橱</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保温柜、保冷柜</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的制造、加工；</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一类医用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X </w:t>
            </w:r>
            <w:r>
              <w:rPr>
                <w:rFonts w:ascii="宋体" w:hAnsi="宋体" w:cs="宋体" w:eastAsia="宋体" w:hint="default"/>
                <w:sz w:val="18"/>
                <w:szCs w:val="18"/>
              </w:rPr>
              <w:t>射线</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附属设备及部件</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的制造；建筑装</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饰工程、净化工</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程设计、施工；</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数字化手术室软</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江苏达实久信医 疗科技有限公司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件开发、销售、 安装；空气净化 设备的销售、安</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16" w:right="0"/>
              <w:jc w:val="lef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装；气动物流系</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统的设计、安装</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及相关装置的销</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售；信息管理系</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统软件与硬件开</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发、销售、技术</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服务；Ⅱ类医疗</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器械：</w:t>
            </w:r>
            <w:r>
              <w:rPr>
                <w:rFonts w:ascii="Times New Roman" w:hAnsi="Times New Roman" w:cs="Times New Roman" w:eastAsia="Times New Roman" w:hint="default"/>
                <w:sz w:val="18"/>
                <w:szCs w:val="18"/>
              </w:rPr>
              <w:t>6856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病房</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护理设备及器</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w:t>
            </w:r>
            <w:r>
              <w:rPr>
                <w:rFonts w:ascii="Times New Roman" w:hAnsi="Times New Roman" w:cs="Times New Roman" w:eastAsia="Times New Roman" w:hint="default"/>
                <w:sz w:val="18"/>
                <w:szCs w:val="18"/>
              </w:rPr>
              <w:t>6870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Ⅲ类医疗器械：</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手术室、急</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救室、诊疗室设</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备及器具的销</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378" w:type="dxa"/>
            <w:vMerge/>
            <w:tcBorders>
              <w:left w:val="single" w:sz="4" w:space="0" w:color="000000"/>
              <w:bottom w:val="single" w:sz="4" w:space="0" w:color="000000"/>
              <w:right w:val="nil" w:sz="6" w:space="0" w:color="auto"/>
            </w:tcBorders>
          </w:tcPr>
          <w:p>
            <w:pPr/>
          </w:p>
        </w:tc>
        <w:tc>
          <w:tcPr>
            <w:tcW w:w="989" w:type="dxa"/>
            <w:tcBorders>
              <w:top w:val="nil" w:sz="6" w:space="0" w:color="auto"/>
              <w:left w:val="nil" w:sz="6" w:space="0" w:color="auto"/>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一类医疗器械销</w:t>
            </w:r>
          </w:p>
        </w:tc>
        <w:tc>
          <w:tcPr>
            <w:tcW w:w="1367" w:type="dxa"/>
            <w:gridSpan w:val="2"/>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常州丹迪医疗器 械有限公司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2" w:right="31"/>
              <w:jc w:val="both"/>
              <w:rPr>
                <w:rFonts w:ascii="宋体" w:hAnsi="宋体" w:cs="宋体" w:eastAsia="宋体" w:hint="default"/>
                <w:sz w:val="18"/>
                <w:szCs w:val="18"/>
              </w:rPr>
            </w:pPr>
            <w:r>
              <w:rPr>
                <w:rFonts w:ascii="宋体" w:hAnsi="宋体" w:cs="宋体" w:eastAsia="宋体" w:hint="default"/>
                <w:sz w:val="18"/>
                <w:szCs w:val="18"/>
              </w:rPr>
              <w:t>售；医用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X</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射线</w:t>
            </w:r>
            <w:r>
              <w:rPr>
                <w:rFonts w:ascii="宋体" w:hAnsi="宋体" w:cs="宋体" w:eastAsia="宋体" w:hint="default"/>
                <w:spacing w:val="1"/>
                <w:sz w:val="18"/>
                <w:szCs w:val="18"/>
              </w:rPr>
              <w:t> </w:t>
            </w:r>
            <w:r>
              <w:rPr>
                <w:rFonts w:ascii="宋体" w:hAnsi="宋体" w:cs="宋体" w:eastAsia="宋体" w:hint="default"/>
                <w:sz w:val="18"/>
                <w:szCs w:val="18"/>
              </w:rPr>
              <w:t>胶片观察装置、</w:t>
            </w:r>
            <w:r>
              <w:rPr>
                <w:rFonts w:ascii="宋体" w:hAnsi="宋体" w:cs="宋体" w:eastAsia="宋体" w:hint="default"/>
                <w:sz w:val="18"/>
                <w:szCs w:val="18"/>
              </w:rPr>
              <w:t> 不锈钢制品的制</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造，加工。</w:t>
            </w:r>
          </w:p>
        </w:tc>
        <w:tc>
          <w:tcPr>
            <w:tcW w:w="1367" w:type="dxa"/>
            <w:gridSpan w:val="2"/>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299"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77"/>
              <w:jc w:val="both"/>
              <w:rPr>
                <w:rFonts w:ascii="宋体" w:hAnsi="宋体" w:cs="宋体" w:eastAsia="宋体" w:hint="default"/>
                <w:sz w:val="18"/>
                <w:szCs w:val="18"/>
              </w:rPr>
            </w:pPr>
            <w:r>
              <w:rPr>
                <w:rFonts w:ascii="宋体" w:hAnsi="宋体" w:cs="宋体" w:eastAsia="宋体" w:hint="default"/>
                <w:sz w:val="18"/>
                <w:szCs w:val="18"/>
              </w:rPr>
              <w:t>江苏达实久信数 字医疗科技有限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二类</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6870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软件的 生产；医疗信息 管理系统软件与 </w:t>
            </w:r>
            <w:r>
              <w:rPr>
                <w:rFonts w:ascii="宋体" w:hAnsi="宋体" w:cs="宋体" w:eastAsia="宋体" w:hint="default"/>
                <w:spacing w:val="-6"/>
                <w:sz w:val="18"/>
                <w:szCs w:val="18"/>
              </w:rPr>
              <w:t>硬件开发、销售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44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67.9pt;height:22.4pt;mso-position-horizontal-relative:char;mso-position-vertical-relative:line" coordorigin="0,0" coordsize="1358,448">
                  <v:group style="position:absolute;left:0;top:0;width:1358;height:448" coordorigin="0,0" coordsize="1358,448">
                    <v:shape style="position:absolute;left:0;top:0;width:1358;height:448" coordorigin="0,0" coordsize="1358,448" path="m0,448l1357,448,1357,0,0,0,0,448xe" filled="true" fillcolor="#ffffff" stroked="false">
                      <v:path arrowok="t"/>
                      <v:fill type="solid"/>
                    </v:shape>
                  </v:group>
                </v:group>
              </w:pict>
            </w:r>
            <w:r>
              <w:rPr>
                <w:rFonts w:ascii="Times New Roman" w:hAnsi="Times New Roman" w:cs="Times New Roman" w:eastAsia="Times New Roman" w:hint="default"/>
                <w:position w:val="-8"/>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390991pt;margin-top:270.739990pt;width:74.05pt;height:31.2pt;mso-position-horizontal-relative:page;mso-position-vertical-relative:page;z-index:-1029184" type="#_x0000_t202" filled="false" stroked="false">
            <v:textbox inset="0,0,0,0">
              <w:txbxContent>
                <w:p>
                  <w:pPr>
                    <w:spacing w:line="240" w:lineRule="auto" w:before="7"/>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24.399994pt;margin-top:540.459961pt;width:74.05pt;height:218.45pt;mso-position-horizontal-relative:page;mso-position-vertical-relative:page;z-index:-10291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30.579987pt;margin-top:540.459961pt;width:67.9pt;height:218.45pt;mso-position-horizontal-relative:page;mso-position-vertical-relative:page;z-index:-1029136" coordorigin="6612,10809" coordsize="1358,4369">
            <v:shape style="position:absolute;left:6612;top:10809;width:1358;height:4369" coordorigin="6612,10809" coordsize="1358,4369" path="m6612,15178l7969,15178,7969,10809,6612,10809,6612,1517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423"/>
        <w:gridCol w:w="944"/>
        <w:gridCol w:w="1367"/>
        <w:gridCol w:w="1366"/>
      </w:tblGrid>
      <w:tr>
        <w:trPr>
          <w:trHeight w:val="317" w:hRule="exact"/>
        </w:trPr>
        <w:tc>
          <w:tcPr>
            <w:tcW w:w="1372"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技术服务；一类</w:t>
            </w:r>
          </w:p>
        </w:tc>
        <w:tc>
          <w:tcPr>
            <w:tcW w:w="1367" w:type="dxa"/>
            <w:gridSpan w:val="2"/>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医疗器械销售与</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技术服务；自营</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和代理各类商品</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3"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和技术的进出口</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57" w:hRule="exact"/>
        </w:trPr>
        <w:tc>
          <w:tcPr>
            <w:tcW w:w="1372"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业务</w:t>
            </w:r>
          </w:p>
        </w:tc>
        <w:tc>
          <w:tcPr>
            <w:tcW w:w="1367" w:type="dxa"/>
            <w:gridSpan w:val="2"/>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江苏德盟传输物 流系统有限公司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传输物流系统的 设计、安装及相 关装置的销售。</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室内空气净化</w:t>
            </w:r>
          </w:p>
        </w:tc>
        <w:tc>
          <w:tcPr>
            <w:tcW w:w="1367"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67.9pt;height:31.2pt;mso-position-horizontal-relative:char;mso-position-vertical-relative:line" coordorigin="0,0" coordsize="1358,624">
                  <v:group style="position:absolute;left:0;top:0;width:1358;height:624" coordorigin="0,0" coordsize="1358,624">
                    <v:shape style="position:absolute;left:0;top:0;width:1358;height:624" coordorigin="0,0" coordsize="1358,624" path="m0,624l1357,624,1357,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江苏久信净化设 备有限公司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器、车载空气净 化器、空气净化 消毒设备的制</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6"/>
                <w:sz w:val="18"/>
                <w:szCs w:val="18"/>
              </w:rPr>
              <w:t>造、销售、安装</w:t>
            </w:r>
          </w:p>
        </w:tc>
        <w:tc>
          <w:tcPr>
            <w:tcW w:w="1367" w:type="dxa"/>
            <w:gridSpan w:val="2"/>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w:t>
            </w:r>
          </w:p>
        </w:tc>
        <w:tc>
          <w:tcPr>
            <w:tcW w:w="423" w:type="dxa"/>
            <w:vMerge w:val="restart"/>
            <w:tcBorders>
              <w:top w:val="single" w:sz="4" w:space="0" w:color="000000"/>
              <w:left w:val="single" w:sz="4" w:space="0" w:color="000000"/>
              <w:right w:val="nil" w:sz="6" w:space="0" w:color="auto"/>
            </w:tcBorders>
          </w:tcPr>
          <w:p>
            <w:pPr/>
          </w:p>
        </w:tc>
        <w:tc>
          <w:tcPr>
            <w:tcW w:w="944" w:type="dxa"/>
            <w:tcBorders>
              <w:top w:val="single" w:sz="4" w:space="0" w:color="000000"/>
              <w:left w:val="nil" w:sz="6" w:space="0" w:color="auto"/>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目投资、智慧医</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项目投</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资、智慧教育</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项目投资，</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互联网医疗运营</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（不含医学治</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疗</w:t>
            </w:r>
            <w:r>
              <w:rPr>
                <w:rFonts w:ascii="宋体" w:hAnsi="宋体" w:cs="宋体" w:eastAsia="宋体" w:hint="default"/>
                <w:spacing w:val="-90"/>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健康养</w:t>
            </w:r>
            <w:r>
              <w:rPr>
                <w:rFonts w:ascii="宋体" w:hAnsi="宋体" w:cs="宋体" w:eastAsia="宋体" w:hint="default"/>
                <w:spacing w:val="-2"/>
                <w:sz w:val="18"/>
                <w:szCs w:val="18"/>
              </w:rPr>
              <w:t>生</w:t>
            </w:r>
            <w:r>
              <w:rPr>
                <w:rFonts w:ascii="宋体" w:hAnsi="宋体" w:cs="宋体" w:eastAsia="宋体" w:hint="default"/>
                <w:sz w:val="18"/>
                <w:szCs w:val="18"/>
              </w:rPr>
              <w:t>管</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理咨询、心理咨</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询（不含医学心</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理咨询、医学心</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理训练、医学心</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理辅导等医疗行</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7"/>
              <w:jc w:val="both"/>
              <w:rPr>
                <w:rFonts w:ascii="宋体" w:hAnsi="宋体" w:cs="宋体" w:eastAsia="宋体" w:hint="default"/>
                <w:sz w:val="18"/>
                <w:szCs w:val="18"/>
              </w:rPr>
            </w:pPr>
            <w:r>
              <w:rPr>
                <w:rFonts w:ascii="宋体" w:hAnsi="宋体" w:cs="宋体" w:eastAsia="宋体" w:hint="default"/>
                <w:sz w:val="18"/>
                <w:szCs w:val="18"/>
              </w:rPr>
              <w:t>淮南达实智慧城 市投资发展有限 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淮南</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淮南</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both"/>
              <w:rPr>
                <w:rFonts w:ascii="宋体" w:hAnsi="宋体" w:cs="宋体" w:eastAsia="宋体" w:hint="default"/>
                <w:sz w:val="18"/>
                <w:szCs w:val="18"/>
              </w:rPr>
            </w:pPr>
            <w:r>
              <w:rPr>
                <w:rFonts w:ascii="宋体" w:hAnsi="宋体" w:cs="宋体" w:eastAsia="宋体" w:hint="default"/>
                <w:spacing w:val="-17"/>
                <w:sz w:val="18"/>
                <w:szCs w:val="18"/>
              </w:rPr>
              <w:t>为），健康档案管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理技术平台的研 发和运营，商务</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61" w:right="0"/>
              <w:jc w:val="left"/>
              <w:rPr>
                <w:rFonts w:ascii="Times New Roman" w:hAnsi="Times New Roman" w:cs="Times New Roman" w:eastAsia="Times New Roman" w:hint="default"/>
                <w:sz w:val="18"/>
                <w:szCs w:val="18"/>
              </w:rPr>
            </w:pPr>
            <w:r>
              <w:rPr>
                <w:rFonts w:ascii="Times New Roman"/>
                <w:sz w:val="18"/>
              </w:rPr>
              <w:t>70.00%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通过设立方式取 得</w:t>
            </w: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信息咨询，经济</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信息咨询，计算</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机编程，计算机</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软硬件的技术开</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发销售，基础设</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施投资，绿色节</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能建筑投资、投</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资咨询及管理、</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承接建筑智能化</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系统和工业自动</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化的设计、集成</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安装、技术咨询</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节能咨询服务。</w:t>
            </w:r>
          </w:p>
        </w:tc>
        <w:tc>
          <w:tcPr>
            <w:tcW w:w="423" w:type="dxa"/>
            <w:vMerge/>
            <w:tcBorders>
              <w:left w:val="single" w:sz="4" w:space="0" w:color="000000"/>
              <w:bottom w:val="single" w:sz="4" w:space="0" w:color="000000"/>
              <w:right w:val="nil" w:sz="6" w:space="0" w:color="auto"/>
            </w:tcBorders>
          </w:tcPr>
          <w:p>
            <w:pPr/>
          </w:p>
        </w:tc>
        <w:tc>
          <w:tcPr>
            <w:tcW w:w="944" w:type="dxa"/>
            <w:tcBorders>
              <w:top w:val="nil" w:sz="6" w:space="0" w:color="auto"/>
              <w:left w:val="nil" w:sz="6" w:space="0" w:color="auto"/>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399994pt;margin-top:72.47998pt;width:74.05pt;height:93.65pt;mso-position-horizontal-relative:page;mso-position-vertical-relative:page;z-index:-10291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24.399994pt;margin-top:185.719986pt;width:74.05pt;height:93.6pt;mso-position-horizontal-relative:page;mso-position-vertical-relative:page;z-index:-1029088"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24.399994pt;margin-top:502.23999pt;width:74.05pt;height:202.85pt;mso-position-horizontal-relative:page;mso-position-vertical-relative:page;z-index:-10290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30.579987pt;margin-top:72.47998pt;width:67.9pt;height:93.65pt;mso-position-horizontal-relative:page;mso-position-vertical-relative:page;z-index:-1029040" coordorigin="6612,1450" coordsize="1358,1873">
            <v:shape style="position:absolute;left:6612;top:1450;width:1358;height:1873" coordorigin="6612,1450" coordsize="1358,1873" path="m6612,3322l7969,3322,7969,1450,6612,1450,6612,3322xe" filled="true" fillcolor="#ffffff" stroked="false">
              <v:path arrowok="t"/>
              <v:fill type="solid"/>
            </v:shape>
            <w10:wrap type="none"/>
          </v:group>
        </w:pict>
      </w:r>
      <w:r>
        <w:rPr/>
        <w:pict>
          <v:group style="position:absolute;margin-left:330.579987pt;margin-top:185.719986pt;width:67.9pt;height:93.6pt;mso-position-horizontal-relative:page;mso-position-vertical-relative:page;z-index:-1029016" coordorigin="6612,3714" coordsize="1358,1872">
            <v:shape style="position:absolute;left:6612;top:3714;width:1358;height:1872" coordorigin="6612,3714" coordsize="1358,1872" path="m6612,5586l7969,5586,7969,3714,6612,3714,6612,5586xe" filled="true" fillcolor="#ffffff" stroked="false">
              <v:path arrowok="t"/>
              <v:fill type="solid"/>
            </v:shape>
            <w10:wrap type="none"/>
          </v:group>
        </w:pict>
      </w:r>
      <w:r>
        <w:rPr/>
        <w:pict>
          <v:group style="position:absolute;margin-left:330.579987pt;margin-top:502.23999pt;width:67.9pt;height:202.85pt;mso-position-horizontal-relative:page;mso-position-vertical-relative:page;z-index:-1028992" coordorigin="6612,10045" coordsize="1358,4057">
            <v:shape style="position:absolute;left:6612;top:10045;width:1358;height:4057" coordorigin="6612,10045" coordsize="1358,4057" path="m6612,14101l7969,14101,7969,10045,6612,10045,6612,1410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414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2"/>
              <w:ind w:left="22" w:right="77"/>
              <w:jc w:val="left"/>
              <w:rPr>
                <w:rFonts w:ascii="宋体" w:hAnsi="宋体" w:cs="宋体" w:eastAsia="宋体" w:hint="default"/>
                <w:sz w:val="18"/>
                <w:szCs w:val="18"/>
              </w:rPr>
            </w:pPr>
            <w:r>
              <w:rPr>
                <w:rFonts w:ascii="宋体" w:hAnsi="宋体" w:cs="宋体" w:eastAsia="宋体" w:hint="default"/>
                <w:sz w:val="18"/>
                <w:szCs w:val="18"/>
              </w:rPr>
              <w:t>仁怀达实绿色智 慧发展有限公司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仁怀市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仁怀市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z w:val="18"/>
                <w:szCs w:val="18"/>
              </w:rPr>
              <w:t>建筑智能化及机 电设备工程、净 </w:t>
            </w:r>
            <w:r>
              <w:rPr>
                <w:rFonts w:ascii="宋体" w:hAnsi="宋体" w:cs="宋体" w:eastAsia="宋体" w:hint="default"/>
                <w:spacing w:val="-6"/>
                <w:sz w:val="18"/>
                <w:szCs w:val="18"/>
              </w:rPr>
              <w:t>化工程（手术室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供应室、</w:t>
            </w:r>
            <w:r>
              <w:rPr>
                <w:rFonts w:ascii="Times New Roman" w:hAnsi="Times New Roman" w:cs="Times New Roman" w:eastAsia="Times New Roman" w:hint="default"/>
                <w:sz w:val="18"/>
                <w:szCs w:val="18"/>
              </w:rPr>
              <w:t>ICU </w:t>
            </w:r>
            <w:r>
              <w:rPr>
                <w:rFonts w:ascii="宋体" w:hAnsi="宋体" w:cs="宋体" w:eastAsia="宋体" w:hint="default"/>
                <w:sz w:val="18"/>
                <w:szCs w:val="18"/>
              </w:rPr>
              <w:t>病 </w:t>
            </w:r>
            <w:r>
              <w:rPr>
                <w:rFonts w:ascii="宋体" w:hAnsi="宋体" w:cs="宋体" w:eastAsia="宋体" w:hint="default"/>
                <w:spacing w:val="-12"/>
                <w:sz w:val="18"/>
                <w:szCs w:val="18"/>
              </w:rPr>
              <w:t>房）、制氧工程、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屏蔽防辐射工 程、高压氧舱工 </w:t>
            </w:r>
            <w:r>
              <w:rPr>
                <w:rFonts w:ascii="宋体" w:hAnsi="宋体" w:cs="宋体" w:eastAsia="宋体" w:hint="default"/>
                <w:spacing w:val="-6"/>
                <w:sz w:val="18"/>
                <w:szCs w:val="18"/>
              </w:rPr>
              <w:t>程、实施室工程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检验工程行、隔 离病房工程、锅 炉工程的设计、 采购、集成及安 装。</w:t>
            </w:r>
          </w:p>
        </w:tc>
        <w:tc>
          <w:tcPr>
            <w:tcW w:w="378"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2"/>
              <w:ind w:left="22" w:right="71"/>
              <w:jc w:val="left"/>
              <w:rPr>
                <w:rFonts w:ascii="宋体" w:hAnsi="宋体" w:cs="宋体" w:eastAsia="宋体" w:hint="default"/>
                <w:sz w:val="18"/>
                <w:szCs w:val="18"/>
              </w:rPr>
            </w:pPr>
            <w:r>
              <w:rPr>
                <w:rFonts w:ascii="宋体" w:hAnsi="宋体" w:cs="宋体" w:eastAsia="宋体" w:hint="default"/>
                <w:sz w:val="18"/>
                <w:szCs w:val="18"/>
              </w:rPr>
              <w:t>通过设立方式取 得</w:t>
            </w:r>
          </w:p>
        </w:tc>
      </w:tr>
      <w:tr>
        <w:trPr>
          <w:trHeight w:val="85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9" w:lineRule="auto"/>
              <w:ind w:left="22" w:right="77"/>
              <w:jc w:val="both"/>
              <w:rPr>
                <w:rFonts w:ascii="宋体" w:hAnsi="宋体" w:cs="宋体" w:eastAsia="宋体" w:hint="default"/>
                <w:sz w:val="18"/>
                <w:szCs w:val="18"/>
              </w:rPr>
            </w:pPr>
            <w:r>
              <w:rPr>
                <w:rFonts w:ascii="宋体" w:hAnsi="宋体" w:cs="宋体" w:eastAsia="宋体" w:hint="default"/>
                <w:sz w:val="18"/>
                <w:szCs w:val="18"/>
              </w:rPr>
              <w:t>汕头达实智慧医 疗投资发展有限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汕头市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汕头市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智慧医疗项目投 资，智慧城市项 目投资，基础设 施投资，绿色节 能建筑投资，投 资咨询；健康养 生管理咨询、心 理咨询（不含医 学心理咨询、医 学心理训练、医 </w:t>
            </w:r>
            <w:r>
              <w:rPr>
                <w:rFonts w:ascii="宋体" w:hAnsi="宋体" w:cs="宋体" w:eastAsia="宋体" w:hint="default"/>
                <w:spacing w:val="-17"/>
                <w:sz w:val="18"/>
                <w:szCs w:val="18"/>
              </w:rPr>
              <w:t>学心理辅导），健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康档案管理技术 平台的研发，商 务信息咨询；增 值电信业务，计 算机软硬件的技 术开发销售，承 接建筑智能化系 统和工业自动化 的设计、集成、 </w:t>
            </w:r>
            <w:r>
              <w:rPr>
                <w:rFonts w:ascii="宋体" w:hAnsi="宋体" w:cs="宋体" w:eastAsia="宋体" w:hint="default"/>
                <w:spacing w:val="-6"/>
                <w:sz w:val="18"/>
                <w:szCs w:val="18"/>
              </w:rPr>
              <w:t>安装、技术咨询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能源监测、综合 节能和用能咨询 服务，新能源的 技术开发和技术 咨询服务，合同 能源管理。</w:t>
            </w:r>
          </w:p>
        </w:tc>
        <w:tc>
          <w:tcPr>
            <w:tcW w:w="378"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通过设立方式取 得</w:t>
            </w:r>
          </w:p>
        </w:tc>
      </w:tr>
      <w:tr>
        <w:trPr>
          <w:trHeight w:val="98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深圳达实软件有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物联网、智慧医 院、智慧交通、 智能建筑应用系</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通过设立方式取 得</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统软件和产品软 件开发和销售。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1011"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雄安达实智慧科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互联网、云计算 软件与平台服 务，物联网系统 研发与应用服 务；智慧医疗信 息系统研发与集 成服务，医疗大 数据开发与应用 服务，智能交通 含轨道交通信号 监控系统开发、 技术咨询设计、 销售与集成服 务；智能建筑系 统开发与集成、 技术咨询设计， 机电总包服务， 机电设备安装工 程；能源监测与 节能服务、合同 能源管理服务， 新能源技术开发 和咨询设计服 务，电力建设工 程施工，承装、 承修、承试电力 设施，变电站、 施工用电箱式变 压器的运行管 理、设备调试、 维修保养服务。</w:t>
            </w:r>
          </w:p>
          <w:p>
            <w:pPr>
              <w:pStyle w:val="TableParagraph"/>
              <w:spacing w:line="319" w:lineRule="auto" w:before="19"/>
              <w:ind w:left="22" w:right="72"/>
              <w:jc w:val="both"/>
              <w:rPr>
                <w:rFonts w:ascii="宋体" w:hAnsi="宋体" w:cs="宋体" w:eastAsia="宋体" w:hint="default"/>
                <w:sz w:val="18"/>
                <w:szCs w:val="18"/>
              </w:rPr>
            </w:pPr>
            <w:r>
              <w:rPr>
                <w:rFonts w:ascii="宋体" w:hAnsi="宋体" w:cs="宋体" w:eastAsia="宋体" w:hint="default"/>
                <w:sz w:val="18"/>
                <w:szCs w:val="18"/>
              </w:rPr>
              <w:t>（依法须经批准 的项目，经相关 部门批准后方可 开展经营活动）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通过设立方式取 得</w:t>
            </w:r>
          </w:p>
        </w:tc>
      </w:tr>
      <w:tr>
        <w:trPr>
          <w:trHeight w:val="223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77"/>
              <w:jc w:val="both"/>
              <w:rPr>
                <w:rFonts w:ascii="宋体" w:hAnsi="宋体" w:cs="宋体" w:eastAsia="宋体" w:hint="default"/>
                <w:sz w:val="18"/>
                <w:szCs w:val="18"/>
              </w:rPr>
            </w:pPr>
            <w:r>
              <w:rPr>
                <w:rFonts w:ascii="宋体" w:hAnsi="宋体" w:cs="宋体" w:eastAsia="宋体" w:hint="default"/>
                <w:sz w:val="18"/>
                <w:szCs w:val="18"/>
              </w:rPr>
              <w:t>江苏洪泽湖达实 智慧医养有限公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淮安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淮安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医养一体化健康 服务，健康养生 管理及咨询服 务，医疗和健康 养生项目投资、 </w:t>
            </w:r>
            <w:r>
              <w:rPr>
                <w:rFonts w:ascii="宋体" w:hAnsi="宋体" w:cs="宋体" w:eastAsia="宋体" w:hint="default"/>
                <w:spacing w:val="-17"/>
                <w:sz w:val="18"/>
                <w:szCs w:val="18"/>
              </w:rPr>
              <w:t>建设、运营。（依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法须经批准的项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通过设立方式取 得</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986"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目，经相关部门 批准后方可开展 经营活动）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2）重要的非全资子公司" w:id="423"/>
      <w:bookmarkEnd w:id="423"/>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上海达实联欣科技发展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9,779,747.68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14,700,000.00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82,884,449.73</w:t>
            </w: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子公司少数股东的持股比例不同于表决权比例的说明：无 其他说明：无</w:t>
      </w:r>
    </w:p>
    <w:p>
      <w:pPr>
        <w:spacing w:line="240" w:lineRule="auto" w:before="11"/>
        <w:rPr>
          <w:rFonts w:ascii="宋体" w:hAnsi="宋体" w:cs="宋体" w:eastAsia="宋体" w:hint="default"/>
          <w:sz w:val="19"/>
          <w:szCs w:val="19"/>
        </w:rPr>
      </w:pPr>
    </w:p>
    <w:p>
      <w:pPr>
        <w:pStyle w:val="Heading3"/>
        <w:spacing w:line="240" w:lineRule="auto"/>
        <w:ind w:left="153" w:right="0"/>
        <w:jc w:val="left"/>
        <w:rPr>
          <w:b w:val="0"/>
          <w:bCs w:val="0"/>
        </w:rPr>
      </w:pPr>
      <w:bookmarkStart w:name="（3）重要非全资子公司的主要财务信息" w:id="424"/>
      <w:bookmarkEnd w:id="424"/>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61"/>
              <w:jc w:val="both"/>
              <w:rPr>
                <w:rFonts w:ascii="宋体" w:hAnsi="宋体" w:cs="宋体" w:eastAsia="宋体" w:hint="default"/>
                <w:sz w:val="18"/>
                <w:szCs w:val="18"/>
              </w:rPr>
            </w:pPr>
            <w:r>
              <w:rPr>
                <w:rFonts w:ascii="宋体" w:hAnsi="宋体" w:cs="宋体" w:eastAsia="宋体" w:hint="default"/>
                <w:sz w:val="18"/>
                <w:szCs w:val="18"/>
              </w:rPr>
              <w:t>上海达 实联欣 科技发 展有限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289,218,</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067.01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26,421,8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01.26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315,639,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868.27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155,702,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750.35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155,702,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750.35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270,920,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763.10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31,023,7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01.83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301,944,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464.93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133,331,</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688.89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133,331,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688.89</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上海达实联 欣科技发展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276,164,161.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21,312,857.8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21,312,857.8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41,754,852.3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249,539,876.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42,280,937.0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42,280,937.0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3" w:right="0"/>
              <w:jc w:val="left"/>
              <w:rPr>
                <w:rFonts w:ascii="Times New Roman" w:hAnsi="Times New Roman" w:cs="Times New Roman" w:eastAsia="Times New Roman" w:hint="default"/>
                <w:sz w:val="18"/>
                <w:szCs w:val="18"/>
              </w:rPr>
            </w:pPr>
            <w:r>
              <w:rPr>
                <w:rFonts w:ascii="Times New Roman"/>
                <w:sz w:val="18"/>
              </w:rPr>
              <w:t>-98,586.91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4）使用企业集团资产和清偿企业集团债务的重大限制" w:id="425"/>
      <w:bookmarkEnd w:id="425"/>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向纳入合并财务报表范围的结构化主体提供的财务支持或其他支持" w:id="426"/>
      <w:bookmarkEnd w:id="426"/>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r>
        <w:rPr/>
        <w:pict>
          <v:shape style="position:absolute;margin-left:324.399994pt;margin-top:374.059998pt;width:74.05pt;height:117.05pt;mso-position-horizontal-relative:page;mso-position-vertical-relative:page;z-index:-102896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30.579987pt;margin-top:374.059998pt;width:67.9pt;height:117.05pt;mso-position-horizontal-relative:page;mso-position-vertical-relative:page;z-index:-1028944" coordorigin="6612,7481" coordsize="1358,2341">
            <v:shape style="position:absolute;left:6612;top:7481;width:1358;height:2341" coordorigin="6612,7481" coordsize="1358,2341" path="m6612,9822l7969,9822,7969,7481,6612,7481,6612,9822xe" filled="true" fillcolor="#ffffff" stroked="false">
              <v:path arrowok="t"/>
              <v:fill type="solid"/>
            </v:shape>
            <w10:wrap type="none"/>
          </v:group>
        </w:pict>
      </w:r>
    </w:p>
    <w:p>
      <w:pPr>
        <w:pStyle w:val="Heading3"/>
        <w:spacing w:line="240" w:lineRule="auto" w:before="35"/>
        <w:ind w:left="153" w:right="0"/>
        <w:jc w:val="left"/>
        <w:rPr>
          <w:b w:val="0"/>
          <w:bCs w:val="0"/>
        </w:rPr>
      </w:pPr>
      <w:bookmarkStart w:name="2、在子公司的所有者权益份额发生变化且仍控制子公司的交易" w:id="427"/>
      <w:bookmarkEnd w:id="427"/>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在子公司所有者权益份额发生变化的情况说明" w:id="428"/>
      <w:bookmarkEnd w:id="428"/>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交易对于少数股东权益及归属于母公司所有者权益的影响" w:id="429"/>
      <w:bookmarkEnd w:id="429"/>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在合营安排或联营企业中的权益" w:id="430"/>
      <w:bookmarkEnd w:id="430"/>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431"/>
      <w:bookmarkEnd w:id="431"/>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423"/>
        <w:gridCol w:w="944"/>
        <w:gridCol w:w="1367"/>
        <w:gridCol w:w="1366"/>
      </w:tblGrid>
      <w:tr>
        <w:trPr>
          <w:trHeight w:val="401"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深圳市小鹿暖暖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计算机编程、计 算机软件设计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508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融智节能环保</w:t>
            </w:r>
          </w:p>
          <w:p>
            <w:pPr>
              <w:pStyle w:val="TableParagraph"/>
              <w:spacing w:line="319" w:lineRule="auto" w:before="75"/>
              <w:ind w:left="22" w:right="77"/>
              <w:jc w:val="left"/>
              <w:rPr>
                <w:rFonts w:ascii="宋体" w:hAnsi="宋体" w:cs="宋体" w:eastAsia="宋体" w:hint="default"/>
                <w:sz w:val="18"/>
                <w:szCs w:val="18"/>
              </w:rPr>
            </w:pPr>
            <w:r>
              <w:rPr>
                <w:rFonts w:ascii="宋体" w:hAnsi="宋体" w:cs="宋体" w:eastAsia="宋体" w:hint="default"/>
                <w:sz w:val="18"/>
                <w:szCs w:val="18"/>
              </w:rPr>
              <w:t>（深圳）有限公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节能技术的研发 及相应的技术转 让、技术咨询和 技术服务；环保 </w:t>
            </w:r>
            <w:r>
              <w:rPr>
                <w:rFonts w:ascii="宋体" w:hAnsi="宋体" w:cs="宋体" w:eastAsia="宋体" w:hint="default"/>
                <w:spacing w:val="-6"/>
                <w:sz w:val="18"/>
                <w:szCs w:val="18"/>
              </w:rPr>
              <w:t>设备、建筑材料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节能照明设备、 电子零器件、电 器设备的销售； 节能方案的设 计；建筑工程咨 询；建筑智能化 系统的设计、集 成；商务信息咨 询；合同能源管 理；货物及技术 进出口</w:t>
            </w:r>
          </w:p>
        </w:tc>
        <w:tc>
          <w:tcPr>
            <w:tcW w:w="423" w:type="dxa"/>
            <w:tcBorders>
              <w:top w:val="single" w:sz="4" w:space="0" w:color="000000"/>
              <w:left w:val="single" w:sz="4" w:space="0" w:color="000000"/>
              <w:bottom w:val="single" w:sz="4" w:space="0" w:color="000000"/>
              <w:right w:val="nil" w:sz="6" w:space="0" w:color="auto"/>
            </w:tcBorders>
          </w:tcPr>
          <w:p>
            <w:pPr/>
          </w:p>
        </w:tc>
        <w:tc>
          <w:tcPr>
            <w:tcW w:w="94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重要合营企业的主要财务信息" w:id="432"/>
      <w:bookmarkEnd w:id="432"/>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重要联营企业的主要财务信息" w:id="433"/>
      <w:bookmarkEnd w:id="433"/>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8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1892" w:type="dxa"/>
            <w:tcBorders>
              <w:top w:val="single" w:sz="4" w:space="0" w:color="000000"/>
              <w:left w:val="single" w:sz="4" w:space="0" w:color="000000"/>
              <w:bottom w:val="nil" w:sz="6" w:space="0" w:color="auto"/>
              <w:right w:val="single" w:sz="9" w:space="0" w:color="E0FFFF"/>
            </w:tcBorders>
            <w:shd w:val="clear" w:color="auto" w:fill="D2D2D2"/>
          </w:tcPr>
          <w:p>
            <w:pPr/>
          </w:p>
        </w:tc>
        <w:tc>
          <w:tcPr>
            <w:tcW w:w="1926" w:type="dxa"/>
            <w:vMerge w:val="restart"/>
            <w:tcBorders>
              <w:top w:val="single" w:sz="4" w:space="0" w:color="000000"/>
              <w:left w:val="single" w:sz="9" w:space="0" w:color="D2D2D2"/>
              <w:right w:val="single" w:sz="4" w:space="0" w:color="000000"/>
            </w:tcBorders>
            <w:shd w:val="clear" w:color="auto" w:fill="E0FFFF"/>
          </w:tcPr>
          <w:p>
            <w:pPr>
              <w:pStyle w:val="TableParagraph"/>
              <w:spacing w:line="319" w:lineRule="auto" w:before="51"/>
              <w:ind w:left="686" w:right="51" w:hanging="630"/>
              <w:jc w:val="left"/>
              <w:rPr>
                <w:rFonts w:ascii="宋体" w:hAnsi="宋体" w:cs="宋体" w:eastAsia="宋体" w:hint="default"/>
                <w:sz w:val="18"/>
                <w:szCs w:val="18"/>
              </w:rPr>
            </w:pPr>
            <w:r>
              <w:rPr>
                <w:rFonts w:ascii="宋体" w:hAnsi="宋体" w:cs="宋体" w:eastAsia="宋体" w:hint="default"/>
                <w:sz w:val="18"/>
                <w:szCs w:val="18"/>
              </w:rPr>
              <w:t>深圳市小鹿暖暖科技有 限公司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591" w:right="50" w:hanging="540"/>
              <w:jc w:val="left"/>
              <w:rPr>
                <w:rFonts w:ascii="宋体" w:hAnsi="宋体" w:cs="宋体" w:eastAsia="宋体" w:hint="default"/>
                <w:sz w:val="18"/>
                <w:szCs w:val="18"/>
              </w:rPr>
            </w:pPr>
            <w:r>
              <w:rPr>
                <w:rFonts w:ascii="宋体" w:hAnsi="宋体" w:cs="宋体" w:eastAsia="宋体" w:hint="default"/>
                <w:sz w:val="18"/>
                <w:szCs w:val="18"/>
              </w:rPr>
              <w:t>融智节能环保（深圳） 有限公司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681" w:right="51" w:hanging="630"/>
              <w:jc w:val="left"/>
              <w:rPr>
                <w:rFonts w:ascii="宋体" w:hAnsi="宋体" w:cs="宋体" w:eastAsia="宋体" w:hint="default"/>
                <w:sz w:val="18"/>
                <w:szCs w:val="18"/>
              </w:rPr>
            </w:pPr>
            <w:r>
              <w:rPr>
                <w:rFonts w:ascii="宋体" w:hAnsi="宋体" w:cs="宋体" w:eastAsia="宋体" w:hint="default"/>
                <w:sz w:val="18"/>
                <w:szCs w:val="18"/>
              </w:rPr>
              <w:t>深圳市小鹿暖暖科技有 限公司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591" w:right="50" w:hanging="540"/>
              <w:jc w:val="left"/>
              <w:rPr>
                <w:rFonts w:ascii="宋体" w:hAnsi="宋体" w:cs="宋体" w:eastAsia="宋体" w:hint="default"/>
                <w:sz w:val="18"/>
                <w:szCs w:val="18"/>
              </w:rPr>
            </w:pPr>
            <w:r>
              <w:rPr>
                <w:rFonts w:ascii="宋体" w:hAnsi="宋体" w:cs="宋体" w:eastAsia="宋体" w:hint="default"/>
                <w:sz w:val="18"/>
                <w:szCs w:val="18"/>
              </w:rPr>
              <w:t>融智节能环保（深圳） 有限公司</w:t>
            </w:r>
          </w:p>
        </w:tc>
      </w:tr>
      <w:tr>
        <w:trPr>
          <w:trHeight w:val="392" w:hRule="exact"/>
        </w:trPr>
        <w:tc>
          <w:tcPr>
            <w:tcW w:w="1892" w:type="dxa"/>
            <w:tcBorders>
              <w:top w:val="nil" w:sz="6" w:space="0" w:color="auto"/>
              <w:left w:val="single" w:sz="4" w:space="0" w:color="000000"/>
              <w:bottom w:val="nil" w:sz="6" w:space="0" w:color="auto"/>
              <w:right w:val="single" w:sz="9" w:space="0" w:color="E0FFFF"/>
            </w:tcBorders>
            <w:shd w:val="clear" w:color="auto" w:fill="D2D2D2"/>
          </w:tcPr>
          <w:p>
            <w:pPr/>
          </w:p>
        </w:tc>
        <w:tc>
          <w:tcPr>
            <w:tcW w:w="1926" w:type="dxa"/>
            <w:vMerge/>
            <w:tcBorders>
              <w:left w:val="single" w:sz="9" w:space="0" w:color="D2D2D2"/>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r>
      <w:tr>
        <w:trPr>
          <w:trHeight w:val="161" w:hRule="exact"/>
        </w:trPr>
        <w:tc>
          <w:tcPr>
            <w:tcW w:w="1892" w:type="dxa"/>
            <w:tcBorders>
              <w:top w:val="nil" w:sz="6" w:space="0" w:color="auto"/>
              <w:left w:val="single" w:sz="4" w:space="0" w:color="000000"/>
              <w:bottom w:val="single" w:sz="4" w:space="0" w:color="000000"/>
              <w:right w:val="single" w:sz="9" w:space="0" w:color="E0FFFF"/>
            </w:tcBorders>
            <w:shd w:val="clear" w:color="auto" w:fill="D2D2D2"/>
          </w:tcPr>
          <w:p>
            <w:pPr/>
          </w:p>
        </w:tc>
        <w:tc>
          <w:tcPr>
            <w:tcW w:w="1926" w:type="dxa"/>
            <w:vMerge/>
            <w:tcBorders>
              <w:left w:val="single" w:sz="9" w:space="0" w:color="D2D2D2"/>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4,774,830.96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18,737,288.57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7,131,828.97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26,783,254.28</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1,315,146.11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20,302,072.74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713,520.25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4,906,723.20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6,089,977.07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39,039,361.31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7,845,349.22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31,689,977.48</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140,046.31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10,773,171.63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173,047.88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4,662,665.55</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6,055,904.92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140,046.31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16,829,076.55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173,047.88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9,662,665.55</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5,949,930.76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22,210,284.76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7,672,301.34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22,027,311.93</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8"/>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2,379,972.30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8,884,113.90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3,068,920.54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8,810,924.77</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5,960,000.00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5,960,000.00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8"/>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8,339,972.30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8,884,113.90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9,028,920.54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8,810,924.77</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51,282.06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27,998,015.85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2,959,383.14</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-1,722,370.58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182,972.83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-1,723,759.18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-2,184,859.92</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-1,722,370.58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182,972.83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-1,723,759.18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-2,184,859.92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4）不重要的合营企业和联营企业的汇总财务信息" w:id="434"/>
      <w:bookmarkEnd w:id="434"/>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11,574,756.68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10,008,992.59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285,764.09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8,992.59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285,764.09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8,992.59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5）合营企业或联营企业向本公司转移资金的能力存在重大限制的说明" w:id="435"/>
      <w:bookmarkEnd w:id="435"/>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6）合营企业或联营企业发生的超额亏损" w:id="436"/>
      <w:bookmarkEnd w:id="436"/>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与合营企业投资相关的未确认承诺" w:id="437"/>
      <w:bookmarkEnd w:id="437"/>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与合营企业或联营企业投资相关的或有负债" w:id="438"/>
      <w:bookmarkEnd w:id="438"/>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重要的共同经营" w:id="439"/>
      <w:bookmarkEnd w:id="439"/>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5353"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在共同经营中的持股比例或享有的份额不同于表决权比例的说明：无 共同经营为单独主体的，分类为共同经营的依据：无</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5、在未纳入合并财务报表范围的结构化主体中的权益" w:id="440"/>
      <w:bookmarkEnd w:id="440"/>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其他" w:id="441"/>
      <w:bookmarkEnd w:id="441"/>
      <w:r>
        <w:rPr>
          <w:b w:val="0"/>
          <w:bCs w:val="0"/>
        </w:rPr>
      </w: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与金融工具相关的风险" w:id="442"/>
      <w:bookmarkEnd w:id="442"/>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1"/>
        <w:jc w:val="both"/>
      </w:pPr>
      <w:r>
        <w:rPr>
          <w:spacing w:val="-1"/>
        </w:rPr>
        <w:t>本公司的主要金融工具包括：货币资金、应收票据、应收款项、短期借款、应付款项等，各项金融工具的</w:t>
      </w:r>
      <w:r>
        <w:rPr>
          <w:spacing w:val="-83"/>
        </w:rPr>
        <w:t> </w:t>
      </w:r>
      <w:r>
        <w:rPr>
          <w:spacing w:val="-83"/>
        </w:rPr>
      </w:r>
      <w:r>
        <w:rPr>
          <w:spacing w:val="-1"/>
        </w:rPr>
        <w:t>详细情况说明见本附注五相关项目。各项金融工具的详细情况说明见本附注五相关项目。与这些金融工具</w:t>
      </w:r>
      <w:r>
        <w:rPr>
          <w:spacing w:val="-81"/>
        </w:rPr>
        <w:t> </w:t>
      </w:r>
      <w:r>
        <w:rPr>
          <w:spacing w:val="-81"/>
        </w:rPr>
      </w:r>
      <w:r>
        <w:rPr>
          <w:spacing w:val="-1"/>
        </w:rPr>
        <w:t>有关的风险，以及本公司为降低这些风险所采取的风险管理政策如下所述。本公司管理层对这些风险敞口</w:t>
      </w:r>
      <w:r>
        <w:rPr>
          <w:spacing w:val="-81"/>
        </w:rPr>
        <w:t> </w:t>
      </w:r>
      <w:r>
        <w:rPr>
          <w:spacing w:val="-81"/>
        </w:rPr>
      </w:r>
      <w:r>
        <w:rPr/>
        <w:t>进行管理和监控以确保将上述风险控制在限定的范围之内。</w:t>
      </w:r>
    </w:p>
    <w:p>
      <w:pPr>
        <w:pStyle w:val="BodyText"/>
        <w:spacing w:line="273" w:lineRule="auto"/>
        <w:ind w:right="0"/>
        <w:jc w:val="left"/>
      </w:pPr>
      <w:r>
        <w:rPr/>
        <w:t>（一）市场风险 </w:t>
      </w:r>
      <w:r>
        <w:rPr>
          <w:spacing w:val="-1"/>
        </w:rPr>
        <w:t>金融工具的市场风险，是指金融工具的公允价值或未来现金流量因市场价格变动而发生波动的风险，包括</w:t>
      </w:r>
      <w:r>
        <w:rPr>
          <w:spacing w:val="-81"/>
        </w:rPr>
        <w:t> </w:t>
      </w:r>
      <w:r>
        <w:rPr>
          <w:spacing w:val="-81"/>
        </w:rPr>
      </w:r>
      <w:r>
        <w:rPr/>
        <w:t>外汇风险、利率风险。</w:t>
      </w:r>
    </w:p>
    <w:p>
      <w:pPr>
        <w:pStyle w:val="BodyText"/>
        <w:spacing w:line="266" w:lineRule="auto"/>
        <w:ind w:right="0"/>
        <w:jc w:val="left"/>
      </w:pPr>
      <w:r>
        <w:rPr/>
        <w:t>（</w:t>
      </w:r>
      <w:r>
        <w:rPr>
          <w:rFonts w:ascii="Times New Roman" w:hAnsi="Times New Roman" w:cs="Times New Roman" w:eastAsia="Times New Roman" w:hint="default"/>
        </w:rPr>
        <w:t>1</w:t>
      </w:r>
      <w:r>
        <w:rPr/>
        <w:t>）外汇风险 </w:t>
      </w:r>
      <w:r>
        <w:rPr>
          <w:spacing w:val="-1"/>
        </w:rPr>
        <w:t>外汇风险是因汇率变动产生的风险。本公司仅持有少量美元、港币、日元现金和银行存款，因此本公司管</w:t>
      </w:r>
      <w:r>
        <w:rPr>
          <w:spacing w:val="-85"/>
        </w:rPr>
        <w:t> </w:t>
      </w:r>
      <w:r>
        <w:rPr>
          <w:spacing w:val="-85"/>
        </w:rPr>
      </w:r>
      <w:r>
        <w:rPr/>
        <w:t>理层认为公司所面临的外汇风险不大。</w:t>
      </w:r>
      <w:r>
        <w:rPr>
          <w:spacing w:val="49"/>
        </w:rPr>
        <w:t> </w:t>
      </w:r>
      <w:r>
        <w:rPr/>
        <w:t>本公司期末外币金融资产和外币金融负债列示见本附注项目注释</w:t>
      </w:r>
      <w:r>
        <w:rPr>
          <w:spacing w:val="-88"/>
        </w:rPr>
        <w:t> </w:t>
      </w:r>
      <w:r>
        <w:rPr>
          <w:spacing w:val="-88"/>
        </w:rPr>
      </w:r>
      <w:r>
        <w:rPr/>
        <w:t>其他之外币货币性项目说明。</w:t>
      </w:r>
    </w:p>
    <w:p>
      <w:pPr>
        <w:pStyle w:val="BodyText"/>
        <w:spacing w:line="268" w:lineRule="auto" w:before="14"/>
        <w:ind w:left="154" w:right="0"/>
        <w:jc w:val="left"/>
      </w:pPr>
      <w:r>
        <w:rPr/>
        <w:t>（</w:t>
      </w:r>
      <w:r>
        <w:rPr>
          <w:rFonts w:ascii="Times New Roman" w:hAnsi="Times New Roman" w:cs="Times New Roman" w:eastAsia="Times New Roman" w:hint="default"/>
        </w:rPr>
        <w:t>2</w:t>
      </w:r>
      <w:r>
        <w:rPr/>
        <w:t>）利率风险 </w:t>
      </w:r>
      <w:r>
        <w:rPr>
          <w:spacing w:val="-1"/>
        </w:rPr>
        <w:t>利率风险，是指金融工具的公允价值或未来现金流量因市场利率变动而发生波动的风险。通常利率风险敞</w:t>
      </w:r>
      <w:r>
        <w:rPr>
          <w:spacing w:val="-81"/>
        </w:rPr>
        <w:t> </w:t>
      </w:r>
      <w:r>
        <w:rPr>
          <w:spacing w:val="-81"/>
        </w:rPr>
      </w:r>
      <w:r>
        <w:rPr>
          <w:spacing w:val="-1"/>
        </w:rPr>
        <w:t>口来自于市场利率的意外变动，公司目前对外借款业务全部为短期和长期人民币借款，如人民币借款利率</w:t>
      </w:r>
      <w:r>
        <w:rPr>
          <w:spacing w:val="-81"/>
        </w:rPr>
        <w:t> </w:t>
      </w:r>
      <w:r>
        <w:rPr>
          <w:spacing w:val="-81"/>
        </w:rPr>
      </w:r>
      <w:r>
        <w:rPr/>
        <w:t>发生较大波动，将对本公司的利润总额和股东权益产生较大的影响。</w:t>
      </w:r>
    </w:p>
    <w:p>
      <w:pPr>
        <w:pStyle w:val="BodyText"/>
        <w:spacing w:line="240" w:lineRule="auto" w:before="12"/>
        <w:ind w:right="0"/>
        <w:jc w:val="left"/>
      </w:pPr>
      <w:r>
        <w:rPr/>
        <w:t>（二）信用风险</w:t>
      </w:r>
    </w:p>
    <w:p>
      <w:pPr>
        <w:pStyle w:val="BodyText"/>
        <w:spacing w:line="240" w:lineRule="auto" w:before="37"/>
        <w:ind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日，可能引起本公司财务损失的最大信用风险敞口主要来自于合同另一方未能履行义务而导</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024"/>
        <w:jc w:val="left"/>
      </w:pPr>
      <w:r>
        <w:rPr/>
        <w:t>致本公司金融资产产生的损失。 </w:t>
      </w:r>
      <w:r>
        <w:rPr>
          <w:spacing w:val="-3"/>
        </w:rPr>
        <w:t>为降低信用风险，本公司采取投标及合同评审制度及风控委员会评估风险制度、进行风险评估及合同审批，</w:t>
      </w:r>
      <w:r>
        <w:rPr>
          <w:spacing w:val="-92"/>
        </w:rPr>
        <w:t> </w:t>
      </w:r>
      <w:r>
        <w:rPr>
          <w:spacing w:val="-92"/>
        </w:rPr>
      </w:r>
      <w:r>
        <w:rPr/>
        <w:t>并执行其他监控程序以确保采取必要的措施回收过期债权。此外，本公司于每个资产负债表日审核每一单</w:t>
      </w:r>
      <w:r>
        <w:rPr/>
        <w:t> 项应收款的回收情况，以确保就无法回收的款项计提充分的坏账准备。因此，本公司管理层认为本公司所 承担的信用风险已经大为降低。</w:t>
      </w:r>
    </w:p>
    <w:p>
      <w:pPr>
        <w:pStyle w:val="BodyText"/>
        <w:spacing w:line="273" w:lineRule="auto"/>
        <w:ind w:right="0"/>
        <w:jc w:val="left"/>
      </w:pPr>
      <w:r>
        <w:rPr/>
        <w:t>（三）流动风险 </w:t>
      </w:r>
      <w:r>
        <w:rPr>
          <w:spacing w:val="-1"/>
        </w:rPr>
        <w:t>管理流动风险时，本公司保持管理层认为充分的现金及现金等价物并对其进行监控，以满足本公司经营需</w:t>
      </w:r>
      <w:r>
        <w:rPr>
          <w:spacing w:val="-81"/>
        </w:rPr>
        <w:t> </w:t>
      </w:r>
      <w:r>
        <w:rPr>
          <w:spacing w:val="-81"/>
        </w:rPr>
      </w:r>
      <w:r>
        <w:rPr/>
        <w:t>要，并降低现金流量波动的影响。</w:t>
      </w:r>
    </w:p>
    <w:p>
      <w:pPr>
        <w:spacing w:line="240" w:lineRule="auto" w:before="11"/>
        <w:rPr>
          <w:rFonts w:ascii="宋体" w:hAnsi="宋体" w:cs="宋体" w:eastAsia="宋体" w:hint="default"/>
          <w:sz w:val="21"/>
          <w:szCs w:val="21"/>
        </w:rPr>
      </w:pPr>
    </w:p>
    <w:p>
      <w:pPr>
        <w:spacing w:line="506" w:lineRule="auto" w:before="0"/>
        <w:ind w:left="153" w:right="6221" w:firstLine="0"/>
        <w:jc w:val="left"/>
        <w:rPr>
          <w:rFonts w:ascii="宋体" w:hAnsi="宋体" w:cs="宋体" w:eastAsia="宋体" w:hint="default"/>
          <w:sz w:val="18"/>
          <w:szCs w:val="18"/>
        </w:rPr>
      </w:pPr>
      <w:bookmarkStart w:name="十一、公允价值的披露" w:id="443"/>
      <w:bookmarkEnd w:id="443"/>
      <w:r>
        <w:rPr/>
      </w:r>
      <w:r>
        <w:rPr>
          <w:rFonts w:ascii="宋体" w:hAnsi="宋体" w:cs="宋体" w:eastAsia="宋体" w:hint="default"/>
          <w:b/>
          <w:bCs/>
          <w:sz w:val="24"/>
          <w:szCs w:val="24"/>
        </w:rPr>
        <w:t>十一、公允价值的披露</w:t>
      </w:r>
      <w:r>
        <w:rPr>
          <w:rFonts w:ascii="宋体" w:hAnsi="宋体" w:cs="宋体" w:eastAsia="宋体" w:hint="default"/>
          <w:b/>
          <w:bCs/>
          <w:w w:val="99"/>
          <w:sz w:val="24"/>
          <w:szCs w:val="24"/>
        </w:rPr>
        <w:t> </w:t>
      </w:r>
      <w:bookmarkStart w:name="1、以公允价值计量的资产和负债的期末公允价值" w:id="444"/>
      <w:bookmarkEnd w:id="44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、以公允价值计量的资产和负债的期末公允价值</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50"/>
        <w:ind w:right="0"/>
        <w:jc w:val="left"/>
        <w:rPr>
          <w:b w:val="0"/>
          <w:bCs w:val="0"/>
        </w:rPr>
      </w:pPr>
      <w:bookmarkStart w:name="2、持续和非持续第一层次公允价值计量项目市价的确定依据" w:id="445"/>
      <w:bookmarkEnd w:id="445"/>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持续和非持续第二层次公允价值计量项目，采用的估值技术和重要参数的定性及定量信" w:id="446"/>
      <w:bookmarkEnd w:id="446"/>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持续和非持续第三层次公允价值计量项目，采用的估值技术和重要参数的定性及定量信" w:id="447"/>
      <w:bookmarkEnd w:id="447"/>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持续的第三层次公允价值计量项目，期初与期末账面价值间的调节信息及不可观察参数" w:id="448"/>
      <w:bookmarkEnd w:id="448"/>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持续的公允价值计量项目，本期内发生各层级之间转换的，转换的原因及确定转换时点" w:id="449"/>
      <w:bookmarkEnd w:id="449"/>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本期内发生的估值技术变更及变更原因" w:id="450"/>
      <w:bookmarkEnd w:id="450"/>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不以公允价值计量的金融资产和金融负债的公允价值情况" w:id="451"/>
      <w:bookmarkEnd w:id="451"/>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9、其他" w:id="452"/>
      <w:bookmarkEnd w:id="452"/>
      <w:r>
        <w:rPr>
          <w:b w:val="0"/>
          <w:bCs w:val="0"/>
        </w:rPr>
      </w:r>
      <w:r>
        <w:rPr>
          <w:rFonts w:ascii="Times New Roman" w:hAnsi="Times New Roman" w:cs="Times New Roman" w:eastAsia="Times New Roman" w:hint="default"/>
        </w:rPr>
        <w:t>9</w:t>
      </w:r>
      <w:r>
        <w:rPr/>
        <w:t>、其他</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二、关联方及关联交易" w:id="453"/>
      <w:bookmarkEnd w:id="453"/>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本企业的母公司情况" w:id="454"/>
      <w:bookmarkEnd w:id="454"/>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258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拉萨市达实投资发 展有限公司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拉萨市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0"/>
                <w:sz w:val="18"/>
                <w:szCs w:val="18"/>
              </w:rPr>
              <w:t>投资兴办实业（具体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项目另报）、国内商</w:t>
            </w:r>
            <w:r>
              <w:rPr>
                <w:rFonts w:ascii="宋体" w:hAnsi="宋体" w:cs="宋体" w:eastAsia="宋体" w:hint="default"/>
                <w:sz w:val="18"/>
                <w:szCs w:val="18"/>
              </w:rPr>
              <w:t> </w:t>
            </w:r>
            <w:r>
              <w:rPr>
                <w:rFonts w:ascii="宋体" w:hAnsi="宋体" w:cs="宋体" w:eastAsia="宋体" w:hint="default"/>
                <w:spacing w:val="-10"/>
                <w:sz w:val="18"/>
                <w:szCs w:val="18"/>
              </w:rPr>
              <w:t>业、物资供销业；软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件技术开发、经济信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息咨询；通讯产品销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售及研发；自营和代</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理各类商品及技术 的净出口业务。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18.81%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18.81%</w:t>
            </w:r>
          </w:p>
        </w:tc>
      </w:tr>
    </w:tbl>
    <w:p>
      <w:pPr>
        <w:spacing w:line="357" w:lineRule="auto" w:before="51"/>
        <w:ind w:left="153" w:right="2833"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本公司实际控制人为刘磅，系拉萨市达实投资发展有限公司的第一大股东，本公司董事长、总经理。 本企业最终控制方是刘磅。</w:t>
      </w:r>
    </w:p>
    <w:p>
      <w:pPr>
        <w:spacing w:before="2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0"/>
        <w:rPr>
          <w:rFonts w:ascii="宋体" w:hAnsi="宋体" w:cs="宋体" w:eastAsia="宋体" w:hint="default"/>
          <w:sz w:val="26"/>
          <w:szCs w:val="26"/>
        </w:rPr>
      </w:pPr>
    </w:p>
    <w:p>
      <w:pPr>
        <w:spacing w:line="547" w:lineRule="auto" w:before="0"/>
        <w:ind w:left="153" w:right="6793" w:firstLine="0"/>
        <w:jc w:val="left"/>
        <w:rPr>
          <w:rFonts w:ascii="宋体" w:hAnsi="宋体" w:cs="宋体" w:eastAsia="宋体" w:hint="default"/>
          <w:sz w:val="21"/>
          <w:szCs w:val="21"/>
        </w:rPr>
      </w:pPr>
      <w:bookmarkStart w:name="2、本企业的子公司情况" w:id="455"/>
      <w:bookmarkEnd w:id="45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456"/>
      <w:bookmarkEnd w:id="456"/>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48" w:lineRule="auto" w:before="51"/>
        <w:ind w:left="153" w:right="229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w:t>
      </w:r>
      <w:r>
        <w:rPr>
          <w:rFonts w:ascii="Times New Roman" w:hAnsi="Times New Roman" w:cs="Times New Roman" w:eastAsia="Times New Roman" w:hint="default"/>
          <w:sz w:val="18"/>
          <w:szCs w:val="18"/>
        </w:rPr>
        <w:t>3</w:t>
      </w:r>
      <w:r>
        <w:rPr>
          <w:rFonts w:ascii="宋体" w:hAnsi="宋体" w:cs="宋体" w:eastAsia="宋体" w:hint="default"/>
          <w:sz w:val="18"/>
          <w:szCs w:val="18"/>
        </w:rPr>
        <w:t>。 本期与本公司发生关联方交易，或前期与本公司发生关联方交易形成余额的其他合营或联营企业情况如下： 其他说明：无</w:t>
      </w:r>
    </w:p>
    <w:p>
      <w:pPr>
        <w:spacing w:line="240" w:lineRule="auto" w:before="7"/>
        <w:rPr>
          <w:rFonts w:ascii="宋体" w:hAnsi="宋体" w:cs="宋体" w:eastAsia="宋体" w:hint="default"/>
          <w:sz w:val="20"/>
          <w:szCs w:val="20"/>
        </w:rPr>
      </w:pPr>
    </w:p>
    <w:p>
      <w:pPr>
        <w:pStyle w:val="Heading3"/>
        <w:spacing w:line="240" w:lineRule="auto"/>
        <w:ind w:left="153" w:right="0"/>
        <w:jc w:val="left"/>
        <w:rPr>
          <w:b w:val="0"/>
          <w:bCs w:val="0"/>
        </w:rPr>
      </w:pPr>
      <w:bookmarkStart w:name="4、其他关联方情况" w:id="457"/>
      <w:bookmarkEnd w:id="457"/>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界首市达实置业有限公司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控股股东及实际控制人有重大影响的企业的全资子公司</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r>
        <w:rPr>
          <w:rFonts w:ascii="Times New Roman" w:hAnsi="Times New Roman" w:cs="Times New Roman" w:eastAsia="Times New Roman" w:hint="default"/>
          <w:sz w:val="18"/>
          <w:szCs w:val="18"/>
        </w:rPr>
        <w:t>|</w:t>
      </w: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5、关联交易情况" w:id="458"/>
      <w:bookmarkEnd w:id="458"/>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购销商品、提供和接受劳务的关联交易" w:id="459"/>
      <w:bookmarkEnd w:id="459"/>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关联受托管理/承包及委托管理/出包情况" w:id="460"/>
      <w:bookmarkEnd w:id="460"/>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关联租赁情况" w:id="461"/>
      <w:bookmarkEnd w:id="461"/>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关联担保情况" w:id="462"/>
      <w:bookmarkEnd w:id="462"/>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关联方资金拆借" w:id="463"/>
      <w:bookmarkEnd w:id="463"/>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关联方资产转让、债务重组情况" w:id="464"/>
      <w:bookmarkEnd w:id="464"/>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关键管理人员报酬" w:id="465"/>
      <w:bookmarkEnd w:id="465"/>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8）其他关联交易" w:id="466"/>
      <w:bookmarkEnd w:id="466"/>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关联方应收应付款项" w:id="467"/>
      <w:bookmarkEnd w:id="467"/>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468"/>
      <w:bookmarkEnd w:id="468"/>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界首市达实置业有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1,704,608.42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5,907,750.00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界首市达实置业有</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3,942,766.88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4,174,200.00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6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深圳市小鹿暖暖科 技有限公司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4" w:right="0"/>
              <w:jc w:val="left"/>
              <w:rPr>
                <w:rFonts w:ascii="Times New Roman" w:hAnsi="Times New Roman" w:cs="Times New Roman" w:eastAsia="Times New Roman" w:hint="default"/>
                <w:sz w:val="18"/>
                <w:szCs w:val="18"/>
              </w:rPr>
            </w:pPr>
            <w:r>
              <w:rPr>
                <w:rFonts w:ascii="Times New Roman"/>
                <w:sz w:val="18"/>
              </w:rPr>
              <w:t>6,111.16</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469"/>
      <w:bookmarkEnd w:id="469"/>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关联方承诺" w:id="470"/>
      <w:bookmarkEnd w:id="470"/>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其他" w:id="471"/>
      <w:bookmarkEnd w:id="471"/>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三、股份支付" w:id="472"/>
      <w:bookmarkEnd w:id="472"/>
      <w:r>
        <w:rPr>
          <w:b w:val="0"/>
          <w:bCs w:val="0"/>
        </w:rPr>
      </w:r>
      <w:r>
        <w:rPr/>
        <w:t>十三、股份支付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股份支付总体情况" w:id="473"/>
      <w:bookmarkEnd w:id="473"/>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9,454,425.00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3,132,075.00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0"/>
        <w:ind w:left="574" w:right="0"/>
        <w:jc w:val="left"/>
      </w:pPr>
      <w:r>
        <w:rPr>
          <w:rFonts w:ascii="宋体" w:hAnsi="宋体" w:cs="宋体" w:eastAsia="宋体" w:hint="default"/>
        </w:rPr>
        <w:t>1</w:t>
      </w:r>
      <w:r>
        <w:rPr/>
        <w:t>、</w:t>
      </w:r>
      <w:r>
        <w:rPr>
          <w:rFonts w:ascii="宋体" w:hAnsi="宋体" w:cs="宋体" w:eastAsia="宋体" w:hint="default"/>
        </w:rPr>
        <w:t>2015 </w:t>
      </w:r>
      <w:r>
        <w:rPr/>
        <w:t>年授予限制性股票情况 </w:t>
      </w:r>
      <w:r>
        <w:rPr>
          <w:spacing w:val="-1"/>
        </w:rPr>
        <w:t>经公司</w:t>
      </w:r>
      <w:r>
        <w:rPr>
          <w:rFonts w:ascii="宋体" w:hAnsi="宋体" w:cs="宋体" w:eastAsia="宋体" w:hint="default"/>
          <w:spacing w:val="-1"/>
        </w:rPr>
        <w:t>2015</w:t>
      </w:r>
      <w:r>
        <w:rPr>
          <w:spacing w:val="-1"/>
        </w:rPr>
        <w:t>年第一次临时股东大会及第五届董事会第十三次会议审议批准，公司实施了第二期限制性</w:t>
      </w:r>
    </w:p>
    <w:p>
      <w:pPr>
        <w:pStyle w:val="BodyText"/>
        <w:spacing w:line="240" w:lineRule="auto"/>
        <w:ind w:left="154" w:right="0"/>
        <w:jc w:val="left"/>
      </w:pPr>
      <w:r>
        <w:rPr/>
        <w:t>股票激励计划，并于</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5</w:t>
      </w:r>
      <w:r>
        <w:rPr/>
        <w:t>日完成了限制性股票的首次授予登记，具体情况如下：</w:t>
      </w:r>
    </w:p>
    <w:p>
      <w:pPr>
        <w:pStyle w:val="BodyText"/>
        <w:spacing w:line="240" w:lineRule="auto" w:before="37"/>
        <w:ind w:left="573" w:right="0"/>
        <w:jc w:val="left"/>
      </w:pPr>
      <w:r>
        <w:rPr/>
        <w:t>（</w:t>
      </w:r>
      <w:r>
        <w:rPr>
          <w:rFonts w:ascii="宋体" w:hAnsi="宋体" w:cs="宋体" w:eastAsia="宋体" w:hint="default"/>
        </w:rPr>
        <w:t>1</w:t>
      </w:r>
      <w:r>
        <w:rPr/>
        <w:t>）授予日：</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5</w:t>
      </w:r>
      <w:r>
        <w:rPr/>
        <w:t>日。</w:t>
      </w:r>
    </w:p>
    <w:p>
      <w:pPr>
        <w:pStyle w:val="BodyText"/>
        <w:spacing w:line="273" w:lineRule="auto" w:before="37"/>
        <w:ind w:right="0" w:firstLine="420"/>
        <w:jc w:val="left"/>
      </w:pPr>
      <w:r>
        <w:rPr>
          <w:spacing w:val="-3"/>
        </w:rPr>
        <w:t>（</w:t>
      </w:r>
      <w:r>
        <w:rPr>
          <w:rFonts w:ascii="宋体" w:hAnsi="宋体" w:cs="宋体" w:eastAsia="宋体" w:hint="default"/>
          <w:spacing w:val="-3"/>
        </w:rPr>
        <w:t>2</w:t>
      </w:r>
      <w:r>
        <w:rPr>
          <w:spacing w:val="-3"/>
        </w:rPr>
        <w:t>）授予人数及数量：首次授予的激励对象为</w:t>
      </w:r>
      <w:r>
        <w:rPr>
          <w:rFonts w:ascii="宋体" w:hAnsi="宋体" w:cs="宋体" w:eastAsia="宋体" w:hint="default"/>
          <w:spacing w:val="-3"/>
        </w:rPr>
        <w:t>193</w:t>
      </w:r>
      <w:r>
        <w:rPr>
          <w:spacing w:val="-3"/>
        </w:rPr>
        <w:t>人，首次授予</w:t>
      </w:r>
      <w:r>
        <w:rPr>
          <w:rFonts w:ascii="宋体" w:hAnsi="宋体" w:cs="宋体" w:eastAsia="宋体" w:hint="default"/>
          <w:spacing w:val="-3"/>
        </w:rPr>
        <w:t>580</w:t>
      </w:r>
      <w:r>
        <w:rPr>
          <w:spacing w:val="-3"/>
        </w:rPr>
        <w:t>万股，占授予时当前总股本</w:t>
      </w:r>
      <w:r>
        <w:rPr>
          <w:rFonts w:ascii="宋体" w:hAnsi="宋体" w:cs="宋体" w:eastAsia="宋体" w:hint="default"/>
          <w:spacing w:val="-3"/>
        </w:rPr>
        <w:t>25,580</w:t>
      </w:r>
      <w:r>
        <w:rPr>
          <w:rFonts w:ascii="宋体" w:hAnsi="宋体" w:cs="宋体" w:eastAsia="宋体" w:hint="default"/>
        </w:rPr>
        <w:t> </w:t>
      </w:r>
      <w:r>
        <w:rPr/>
        <w:t>万股的</w:t>
      </w:r>
      <w:r>
        <w:rPr>
          <w:rFonts w:ascii="宋体" w:hAnsi="宋体" w:cs="宋体" w:eastAsia="宋体" w:hint="default"/>
        </w:rPr>
        <w:t>2.27%</w:t>
      </w:r>
      <w:r>
        <w:rPr/>
        <w:t>。预留股份</w:t>
      </w:r>
      <w:r>
        <w:rPr>
          <w:rFonts w:ascii="宋体" w:hAnsi="宋体" w:cs="宋体" w:eastAsia="宋体" w:hint="default"/>
        </w:rPr>
        <w:t>64</w:t>
      </w:r>
      <w:r>
        <w:rPr/>
        <w:t>万股。</w:t>
      </w:r>
    </w:p>
    <w:p>
      <w:pPr>
        <w:pStyle w:val="BodyText"/>
        <w:spacing w:line="240" w:lineRule="auto"/>
        <w:ind w:left="573" w:right="0"/>
        <w:jc w:val="left"/>
      </w:pPr>
      <w:r>
        <w:rPr/>
        <w:t>（</w:t>
      </w:r>
      <w:r>
        <w:rPr>
          <w:rFonts w:ascii="宋体" w:hAnsi="宋体" w:cs="宋体" w:eastAsia="宋体" w:hint="default"/>
        </w:rPr>
        <w:t>3</w:t>
      </w:r>
      <w:r>
        <w:rPr/>
        <w:t>）授予价格：</w:t>
      </w:r>
      <w:r>
        <w:rPr>
          <w:rFonts w:ascii="宋体" w:hAnsi="宋体" w:cs="宋体" w:eastAsia="宋体" w:hint="default"/>
        </w:rPr>
        <w:t>15.76</w:t>
      </w:r>
      <w:r>
        <w:rPr/>
        <w:t>元</w:t>
      </w:r>
      <w:r>
        <w:rPr>
          <w:rFonts w:ascii="宋体" w:hAnsi="宋体" w:cs="宋体" w:eastAsia="宋体" w:hint="default"/>
        </w:rPr>
        <w:t>/</w:t>
      </w:r>
      <w:r>
        <w:rPr/>
        <w:t>股。</w:t>
      </w:r>
    </w:p>
    <w:p>
      <w:pPr>
        <w:pStyle w:val="BodyText"/>
        <w:spacing w:line="240" w:lineRule="auto" w:before="37"/>
        <w:ind w:left="573" w:right="0"/>
        <w:jc w:val="left"/>
      </w:pPr>
      <w:r>
        <w:rPr/>
        <w:t>（</w:t>
      </w:r>
      <w:r>
        <w:rPr>
          <w:rFonts w:ascii="宋体" w:hAnsi="宋体" w:cs="宋体" w:eastAsia="宋体" w:hint="default"/>
        </w:rPr>
        <w:t>4</w:t>
      </w:r>
      <w:r>
        <w:rPr/>
        <w:t>）股票来源：激励计划股票来源为达实智能向激励对象定向发行股票。</w:t>
      </w:r>
    </w:p>
    <w:p>
      <w:pPr>
        <w:pStyle w:val="BodyText"/>
        <w:spacing w:line="273" w:lineRule="auto" w:before="37"/>
        <w:ind w:right="1118" w:firstLine="420"/>
        <w:jc w:val="left"/>
      </w:pPr>
      <w:r>
        <w:rPr>
          <w:spacing w:val="-1"/>
        </w:rPr>
        <w:t>（</w:t>
      </w:r>
      <w:r>
        <w:rPr>
          <w:rFonts w:ascii="宋体" w:hAnsi="宋体" w:cs="宋体" w:eastAsia="宋体" w:hint="default"/>
          <w:spacing w:val="-1"/>
        </w:rPr>
        <w:t>5</w:t>
      </w:r>
      <w:r>
        <w:rPr>
          <w:spacing w:val="-1"/>
        </w:rPr>
        <w:t>）锁定期：激励对象获授的限制性股票适用不同的锁定期，分别为</w:t>
      </w:r>
      <w:r>
        <w:rPr>
          <w:rFonts w:ascii="宋体" w:hAnsi="宋体" w:cs="宋体" w:eastAsia="宋体" w:hint="default"/>
          <w:spacing w:val="-1"/>
        </w:rPr>
        <w:t>1</w:t>
      </w:r>
      <w:r>
        <w:rPr>
          <w:spacing w:val="-1"/>
        </w:rPr>
        <w:t>年、</w:t>
      </w:r>
      <w:r>
        <w:rPr>
          <w:rFonts w:ascii="宋体" w:hAnsi="宋体" w:cs="宋体" w:eastAsia="宋体" w:hint="default"/>
          <w:spacing w:val="-1"/>
        </w:rPr>
        <w:t>2</w:t>
      </w:r>
      <w:r>
        <w:rPr>
          <w:spacing w:val="-1"/>
        </w:rPr>
        <w:t>年和</w:t>
      </w:r>
      <w:r>
        <w:rPr>
          <w:rFonts w:ascii="宋体" w:hAnsi="宋体" w:cs="宋体" w:eastAsia="宋体" w:hint="default"/>
          <w:spacing w:val="-1"/>
        </w:rPr>
        <w:t>3</w:t>
      </w:r>
      <w:r>
        <w:rPr>
          <w:spacing w:val="-1"/>
        </w:rPr>
        <w:t>年，均自授予之日</w:t>
      </w:r>
      <w:r>
        <w:rPr/>
        <w:t> 起计。</w:t>
      </w:r>
    </w:p>
    <w:p>
      <w:pPr>
        <w:pStyle w:val="BodyText"/>
        <w:spacing w:line="273" w:lineRule="auto"/>
        <w:ind w:right="0" w:firstLine="420"/>
        <w:jc w:val="left"/>
      </w:pPr>
      <w:r>
        <w:rPr/>
        <w:t>（</w:t>
      </w:r>
      <w:r>
        <w:rPr>
          <w:rFonts w:ascii="宋体" w:hAnsi="宋体" w:cs="宋体" w:eastAsia="宋体" w:hint="default"/>
        </w:rPr>
        <w:t>6</w:t>
      </w:r>
      <w:r>
        <w:rPr/>
        <w:t>）解锁期：在解锁期内，若达到本激励计划规定的解锁条件，激励对象可分三次申请解锁，实际 可解锁数量应与激励对象上一年度绩效评价结果挂钩。</w:t>
      </w:r>
    </w:p>
    <w:p>
      <w:pPr>
        <w:pStyle w:val="BodyText"/>
        <w:spacing w:line="273" w:lineRule="auto"/>
        <w:ind w:left="574" w:right="0"/>
        <w:jc w:val="left"/>
      </w:pPr>
      <w:r>
        <w:rPr>
          <w:rFonts w:ascii="宋体" w:hAnsi="宋体" w:cs="宋体" w:eastAsia="宋体" w:hint="default"/>
        </w:rPr>
        <w:t>2</w:t>
      </w:r>
      <w:r>
        <w:rPr/>
        <w:t>、</w:t>
      </w:r>
      <w:r>
        <w:rPr>
          <w:rFonts w:ascii="宋体" w:hAnsi="宋体" w:cs="宋体" w:eastAsia="宋体" w:hint="default"/>
        </w:rPr>
        <w:t>2016 </w:t>
      </w:r>
      <w:r>
        <w:rPr/>
        <w:t>年授予限制性股票情况 </w:t>
      </w:r>
      <w:r>
        <w:rPr>
          <w:spacing w:val="-1"/>
        </w:rPr>
        <w:t>经第五届董事会第三十二次会议批准，公司实施了第二期限制性股票激励计划预留股份的授予，并于</w:t>
      </w:r>
    </w:p>
    <w:p>
      <w:pPr>
        <w:pStyle w:val="BodyText"/>
        <w:spacing w:line="240" w:lineRule="auto"/>
        <w:ind w:left="154" w:right="0"/>
        <w:jc w:val="left"/>
      </w:pP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25</w:t>
      </w:r>
      <w:r>
        <w:rPr/>
        <w:t>日完成了限制性股票的授予登记，具体情况如下：</w:t>
      </w:r>
    </w:p>
    <w:p>
      <w:pPr>
        <w:pStyle w:val="BodyText"/>
        <w:spacing w:line="240" w:lineRule="auto" w:before="37"/>
        <w:ind w:left="574" w:right="0"/>
        <w:jc w:val="left"/>
      </w:pPr>
      <w:r>
        <w:rPr/>
        <w:t>（</w:t>
      </w:r>
      <w:r>
        <w:rPr>
          <w:rFonts w:ascii="宋体" w:hAnsi="宋体" w:cs="宋体" w:eastAsia="宋体" w:hint="default"/>
        </w:rPr>
        <w:t>1</w:t>
      </w:r>
      <w:r>
        <w:rPr/>
        <w:t>）授予日：</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25</w:t>
      </w:r>
      <w:r>
        <w:rPr/>
        <w:t>日。</w:t>
      </w:r>
    </w:p>
    <w:p>
      <w:pPr>
        <w:pStyle w:val="BodyText"/>
        <w:spacing w:line="240" w:lineRule="auto" w:before="37"/>
        <w:ind w:left="573" w:right="0"/>
        <w:jc w:val="left"/>
      </w:pPr>
      <w:r>
        <w:rPr/>
        <w:t>（</w:t>
      </w:r>
      <w:r>
        <w:rPr>
          <w:rFonts w:ascii="宋体" w:hAnsi="宋体" w:cs="宋体" w:eastAsia="宋体" w:hint="default"/>
        </w:rPr>
        <w:t>2</w:t>
      </w:r>
      <w:r>
        <w:rPr/>
        <w:t>）授予人数及数量：授予的激励对象为</w:t>
      </w:r>
      <w:r>
        <w:rPr>
          <w:rFonts w:ascii="宋体" w:hAnsi="宋体" w:cs="宋体" w:eastAsia="宋体" w:hint="default"/>
        </w:rPr>
        <w:t>18</w:t>
      </w:r>
      <w:r>
        <w:rPr/>
        <w:t>人，授予</w:t>
      </w:r>
      <w:r>
        <w:rPr>
          <w:rFonts w:ascii="宋体" w:hAnsi="宋体" w:cs="宋体" w:eastAsia="宋体" w:hint="default"/>
        </w:rPr>
        <w:t>74.6</w:t>
      </w:r>
      <w:r>
        <w:rPr/>
        <w:t>万股，占授予时当前总股本</w:t>
      </w:r>
      <w:r>
        <w:rPr>
          <w:rFonts w:ascii="宋体" w:hAnsi="宋体" w:cs="宋体" w:eastAsia="宋体" w:hint="default"/>
        </w:rPr>
        <w:t>64,248.2792</w:t>
      </w:r>
      <w:r>
        <w:rPr/>
        <w:t>万</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股的</w:t>
      </w:r>
      <w:r>
        <w:rPr>
          <w:rFonts w:ascii="宋体" w:hAnsi="宋体" w:cs="宋体" w:eastAsia="宋体" w:hint="default"/>
        </w:rPr>
        <w:t>0.12%</w:t>
      </w:r>
      <w:r>
        <w:rPr/>
        <w:t>。</w:t>
      </w:r>
    </w:p>
    <w:p>
      <w:pPr>
        <w:pStyle w:val="BodyText"/>
        <w:spacing w:line="240" w:lineRule="auto" w:before="37"/>
        <w:ind w:left="573" w:right="0"/>
        <w:jc w:val="left"/>
      </w:pPr>
      <w:r>
        <w:rPr/>
        <w:t>（</w:t>
      </w:r>
      <w:r>
        <w:rPr>
          <w:rFonts w:ascii="宋体" w:hAnsi="宋体" w:cs="宋体" w:eastAsia="宋体" w:hint="default"/>
        </w:rPr>
        <w:t>3</w:t>
      </w:r>
      <w:r>
        <w:rPr/>
        <w:t>）授予价格：</w:t>
      </w:r>
      <w:r>
        <w:rPr>
          <w:rFonts w:ascii="宋体" w:hAnsi="宋体" w:cs="宋体" w:eastAsia="宋体" w:hint="default"/>
        </w:rPr>
        <w:t>10.84</w:t>
      </w:r>
      <w:r>
        <w:rPr/>
        <w:t>元</w:t>
      </w:r>
      <w:r>
        <w:rPr>
          <w:rFonts w:ascii="宋体" w:hAnsi="宋体" w:cs="宋体" w:eastAsia="宋体" w:hint="default"/>
        </w:rPr>
        <w:t>/</w:t>
      </w:r>
      <w:r>
        <w:rPr/>
        <w:t>股。</w:t>
      </w:r>
    </w:p>
    <w:p>
      <w:pPr>
        <w:pStyle w:val="BodyText"/>
        <w:spacing w:line="240" w:lineRule="auto" w:before="37"/>
        <w:ind w:left="573" w:right="0"/>
        <w:jc w:val="left"/>
      </w:pPr>
      <w:r>
        <w:rPr/>
        <w:t>（</w:t>
      </w:r>
      <w:r>
        <w:rPr>
          <w:rFonts w:ascii="宋体" w:hAnsi="宋体" w:cs="宋体" w:eastAsia="宋体" w:hint="default"/>
        </w:rPr>
        <w:t>4</w:t>
      </w:r>
      <w:r>
        <w:rPr/>
        <w:t>）股票来源：激励计划股票来源为达实智能向激励对象定向发行股票。</w:t>
      </w:r>
    </w:p>
    <w:p>
      <w:pPr>
        <w:pStyle w:val="BodyText"/>
        <w:spacing w:line="240" w:lineRule="auto" w:before="37"/>
        <w:ind w:left="574" w:right="0"/>
        <w:jc w:val="left"/>
      </w:pPr>
      <w:r>
        <w:rPr/>
        <w:t>（</w:t>
      </w:r>
      <w:r>
        <w:rPr>
          <w:rFonts w:ascii="宋体" w:hAnsi="宋体" w:cs="宋体" w:eastAsia="宋体" w:hint="default"/>
        </w:rPr>
        <w:t>5</w:t>
      </w:r>
      <w:r>
        <w:rPr/>
        <w:t>）锁定期：激励对象获授的限制性股票适用不同的锁定期，分别为</w:t>
      </w:r>
      <w:r>
        <w:rPr>
          <w:rFonts w:ascii="宋体" w:hAnsi="宋体" w:cs="宋体" w:eastAsia="宋体" w:hint="default"/>
        </w:rPr>
        <w:t>1</w:t>
      </w:r>
      <w:r>
        <w:rPr/>
        <w:t>年和</w:t>
      </w:r>
      <w:r>
        <w:rPr>
          <w:rFonts w:ascii="宋体" w:hAnsi="宋体" w:cs="宋体" w:eastAsia="宋体" w:hint="default"/>
        </w:rPr>
        <w:t>2</w:t>
      </w:r>
      <w:r>
        <w:rPr/>
        <w:t>年，均自授予之日起计。</w:t>
      </w:r>
    </w:p>
    <w:p>
      <w:pPr>
        <w:pStyle w:val="BodyText"/>
        <w:spacing w:line="273" w:lineRule="auto" w:before="37"/>
        <w:ind w:right="1133" w:firstLine="420"/>
        <w:jc w:val="both"/>
      </w:pPr>
      <w:r>
        <w:rPr/>
        <w:t>（</w:t>
      </w:r>
      <w:r>
        <w:rPr>
          <w:rFonts w:ascii="宋体" w:hAnsi="宋体" w:cs="宋体" w:eastAsia="宋体" w:hint="default"/>
        </w:rPr>
        <w:t>6</w:t>
      </w:r>
      <w:r>
        <w:rPr/>
        <w:t>）解锁期：在解锁期内，若达到激励计划规定的解锁条件，激励对象可分两次申请解锁，实际可 解锁数量与激励对象上一年度绩效评价结果挂钩。</w:t>
      </w:r>
    </w:p>
    <w:p>
      <w:pPr>
        <w:pStyle w:val="BodyText"/>
        <w:spacing w:line="240" w:lineRule="auto"/>
        <w:ind w:left="573" w:right="0"/>
        <w:jc w:val="left"/>
      </w:pPr>
      <w:r>
        <w:rPr>
          <w:rFonts w:ascii="宋体" w:hAnsi="宋体" w:cs="宋体" w:eastAsia="宋体" w:hint="default"/>
        </w:rPr>
        <w:t>3</w:t>
      </w:r>
      <w:r>
        <w:rPr/>
        <w:t>、</w:t>
      </w:r>
      <w:r>
        <w:rPr>
          <w:rFonts w:ascii="宋体" w:hAnsi="宋体" w:cs="宋体" w:eastAsia="宋体" w:hint="default"/>
        </w:rPr>
        <w:t>2016</w:t>
      </w:r>
      <w:r>
        <w:rPr>
          <w:rFonts w:ascii="宋体" w:hAnsi="宋体" w:cs="宋体" w:eastAsia="宋体" w:hint="default"/>
          <w:spacing w:val="-1"/>
        </w:rPr>
        <w:t> </w:t>
      </w:r>
      <w:r>
        <w:rPr/>
        <w:t>年解锁的限制性股票情况</w:t>
      </w:r>
    </w:p>
    <w:p>
      <w:pPr>
        <w:pStyle w:val="BodyText"/>
        <w:spacing w:line="273" w:lineRule="auto" w:before="37"/>
        <w:ind w:right="1131" w:firstLine="420"/>
        <w:jc w:val="both"/>
      </w:pP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21</w:t>
      </w:r>
      <w:r>
        <w:rPr/>
        <w:t>日，</w:t>
      </w:r>
      <w:r>
        <w:rPr>
          <w:spacing w:val="-26"/>
        </w:rPr>
        <w:t> </w:t>
      </w:r>
      <w:r>
        <w:rPr/>
        <w:t>公司第五届董事会第三十六次会议审议通过了见《关于第二期限制性股票激励计划</w:t>
      </w:r>
      <w:r>
        <w:rPr/>
        <w:t> 第一个解锁期条件满足的议案》的议案，</w:t>
      </w:r>
      <w:r>
        <w:rPr>
          <w:spacing w:val="42"/>
        </w:rPr>
        <w:t> </w:t>
      </w:r>
      <w:r>
        <w:rPr/>
        <w:t>第一个解锁期可解锁的限制性股票数量为</w:t>
      </w:r>
      <w:r>
        <w:rPr>
          <w:rFonts w:ascii="宋体" w:hAnsi="宋体" w:cs="宋体" w:eastAsia="宋体" w:hint="default"/>
        </w:rPr>
        <w:t>3,121,800</w:t>
      </w:r>
      <w:r>
        <w:rPr>
          <w:rFonts w:ascii="宋体" w:hAnsi="宋体" w:cs="宋体" w:eastAsia="宋体" w:hint="default"/>
          <w:spacing w:val="33"/>
        </w:rPr>
        <w:t> </w:t>
      </w:r>
      <w:r>
        <w:rPr/>
        <w:t>股，占公</w:t>
      </w:r>
      <w:r>
        <w:rPr>
          <w:spacing w:val="-102"/>
        </w:rPr>
        <w:t> </w:t>
      </w:r>
      <w:r>
        <w:rPr>
          <w:spacing w:val="-102"/>
        </w:rPr>
      </w:r>
      <w:r>
        <w:rPr/>
        <w:t>司当时股本总额的</w:t>
      </w:r>
      <w:r>
        <w:rPr>
          <w:rFonts w:ascii="宋体" w:hAnsi="宋体" w:cs="宋体" w:eastAsia="宋体" w:hint="default"/>
        </w:rPr>
        <w:t>0.4853%</w:t>
      </w:r>
      <w:r>
        <w:rPr/>
        <w:t>，解锁日即上市流通日为</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5</w:t>
      </w:r>
      <w:r>
        <w:rPr/>
        <w:t>日解锁。</w:t>
      </w:r>
    </w:p>
    <w:p>
      <w:pPr>
        <w:pStyle w:val="BodyText"/>
        <w:spacing w:line="273" w:lineRule="auto"/>
        <w:ind w:left="574" w:right="0"/>
        <w:jc w:val="left"/>
      </w:pPr>
      <w:r>
        <w:rPr>
          <w:rFonts w:ascii="宋体" w:hAnsi="宋体" w:cs="宋体" w:eastAsia="宋体" w:hint="default"/>
        </w:rPr>
        <w:t>4</w:t>
      </w:r>
      <w:r>
        <w:rPr/>
        <w:t>、</w:t>
      </w:r>
      <w:r>
        <w:rPr>
          <w:rFonts w:ascii="宋体" w:hAnsi="宋体" w:cs="宋体" w:eastAsia="宋体" w:hint="default"/>
        </w:rPr>
        <w:t>2016 </w:t>
      </w:r>
      <w:r>
        <w:rPr/>
        <w:t>年回购限制性股票情况 </w:t>
      </w:r>
      <w:r>
        <w:rPr>
          <w:spacing w:val="5"/>
        </w:rPr>
        <w:t>公司</w:t>
      </w:r>
      <w:r>
        <w:rPr>
          <w:rFonts w:ascii="宋体" w:hAnsi="宋体" w:cs="宋体" w:eastAsia="宋体" w:hint="default"/>
          <w:spacing w:val="5"/>
        </w:rPr>
        <w:t>2016</w:t>
      </w:r>
      <w:r>
        <w:rPr>
          <w:spacing w:val="5"/>
        </w:rPr>
        <w:t>年</w:t>
      </w:r>
      <w:r>
        <w:rPr>
          <w:rFonts w:ascii="宋体" w:hAnsi="宋体" w:cs="宋体" w:eastAsia="宋体" w:hint="default"/>
          <w:spacing w:val="5"/>
        </w:rPr>
        <w:t>4</w:t>
      </w:r>
      <w:r>
        <w:rPr>
          <w:spacing w:val="5"/>
        </w:rPr>
        <w:t>月</w:t>
      </w:r>
      <w:r>
        <w:rPr>
          <w:rFonts w:ascii="宋体" w:hAnsi="宋体" w:cs="宋体" w:eastAsia="宋体" w:hint="default"/>
          <w:spacing w:val="5"/>
        </w:rPr>
        <w:t>21</w:t>
      </w:r>
      <w:r>
        <w:rPr>
          <w:spacing w:val="5"/>
        </w:rPr>
        <w:t>日第五届董事会第三十六次会议审议通过的《关于回购注销部分限制性股票的议</w:t>
      </w:r>
    </w:p>
    <w:p>
      <w:pPr>
        <w:pStyle w:val="BodyText"/>
        <w:spacing w:line="273" w:lineRule="auto"/>
        <w:ind w:right="1126"/>
        <w:jc w:val="both"/>
      </w:pPr>
      <w:r>
        <w:rPr>
          <w:spacing w:val="-1"/>
        </w:rPr>
        <w:t>案》，公司回购注销限制性股票</w:t>
      </w:r>
      <w:r>
        <w:rPr>
          <w:rFonts w:ascii="宋体" w:hAnsi="宋体" w:cs="宋体" w:eastAsia="宋体" w:hint="default"/>
          <w:spacing w:val="-1"/>
        </w:rPr>
        <w:t>829,400</w:t>
      </w:r>
      <w:r>
        <w:rPr>
          <w:spacing w:val="-1"/>
        </w:rPr>
        <w:t>股；公司</w:t>
      </w:r>
      <w:r>
        <w:rPr>
          <w:rFonts w:ascii="宋体" w:hAnsi="宋体" w:cs="宋体" w:eastAsia="宋体" w:hint="default"/>
          <w:spacing w:val="-1"/>
        </w:rPr>
        <w:t>2016</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12</w:t>
      </w:r>
      <w:r>
        <w:rPr>
          <w:spacing w:val="-1"/>
        </w:rPr>
        <w:t>日第六届董事会第一次会议审议通过的《关</w:t>
      </w:r>
      <w:r>
        <w:rPr>
          <w:spacing w:val="-85"/>
        </w:rPr>
        <w:t> </w:t>
      </w:r>
      <w:r>
        <w:rPr>
          <w:spacing w:val="-85"/>
        </w:rPr>
      </w:r>
      <w:r>
        <w:rPr/>
        <w:t>于回购注销部分限制性股票的议案》和</w:t>
      </w:r>
      <w:r>
        <w:rPr>
          <w:rFonts w:ascii="宋体" w:hAnsi="宋体" w:cs="宋体" w:eastAsia="宋体" w:hint="default"/>
        </w:rPr>
        <w:t>2016</w:t>
      </w:r>
      <w:r>
        <w:rPr/>
        <w:t>年</w:t>
      </w:r>
      <w:r>
        <w:rPr>
          <w:rFonts w:ascii="宋体" w:hAnsi="宋体" w:cs="宋体" w:eastAsia="宋体" w:hint="default"/>
        </w:rPr>
        <w:t>10</w:t>
      </w:r>
      <w:r>
        <w:rPr/>
        <w:t>月</w:t>
      </w:r>
      <w:r>
        <w:rPr>
          <w:rFonts w:ascii="宋体" w:hAnsi="宋体" w:cs="宋体" w:eastAsia="宋体" w:hint="default"/>
        </w:rPr>
        <w:t>20</w:t>
      </w:r>
      <w:r>
        <w:rPr/>
        <w:t>日第六届董事会第二次会议审议通过的《</w:t>
      </w:r>
      <w:r>
        <w:rPr>
          <w:spacing w:val="73"/>
        </w:rPr>
        <w:t> </w:t>
      </w:r>
      <w:r>
        <w:rPr/>
        <w:t>关于调整</w:t>
      </w:r>
      <w:r>
        <w:rPr>
          <w:spacing w:val="-97"/>
        </w:rPr>
        <w:t> </w:t>
      </w:r>
      <w:r>
        <w:rPr>
          <w:spacing w:val="-97"/>
        </w:rPr>
      </w:r>
      <w:r>
        <w:rPr/>
        <w:t>限制性股票回购价格及回购注销数量的议案》，公司回购注销限制性股票</w:t>
      </w:r>
      <w:r>
        <w:rPr>
          <w:rFonts w:ascii="宋体" w:hAnsi="宋体" w:cs="宋体" w:eastAsia="宋体" w:hint="default"/>
        </w:rPr>
        <w:t>468,600</w:t>
      </w:r>
      <w:r>
        <w:rPr/>
        <w:t>股。</w:t>
      </w:r>
    </w:p>
    <w:p>
      <w:pPr>
        <w:pStyle w:val="BodyText"/>
        <w:spacing w:line="240" w:lineRule="auto"/>
        <w:ind w:left="574" w:right="0"/>
        <w:jc w:val="left"/>
      </w:pPr>
      <w:r>
        <w:rPr>
          <w:rFonts w:ascii="宋体" w:hAnsi="宋体" w:cs="宋体" w:eastAsia="宋体" w:hint="default"/>
        </w:rPr>
        <w:t>5</w:t>
      </w:r>
      <w:r>
        <w:rPr/>
        <w:t>、</w:t>
      </w:r>
      <w:r>
        <w:rPr>
          <w:rFonts w:ascii="宋体" w:hAnsi="宋体" w:cs="宋体" w:eastAsia="宋体" w:hint="default"/>
        </w:rPr>
        <w:t>2017</w:t>
      </w:r>
      <w:r>
        <w:rPr>
          <w:rFonts w:ascii="宋体" w:hAnsi="宋体" w:cs="宋体" w:eastAsia="宋体" w:hint="default"/>
          <w:spacing w:val="-1"/>
        </w:rPr>
        <w:t> </w:t>
      </w:r>
      <w:r>
        <w:rPr/>
        <w:t>年解锁的限制性股票情况</w:t>
      </w:r>
    </w:p>
    <w:p>
      <w:pPr>
        <w:pStyle w:val="BodyText"/>
        <w:spacing w:line="273" w:lineRule="auto" w:before="37"/>
        <w:ind w:left="154" w:right="1132" w:firstLine="420"/>
        <w:jc w:val="both"/>
      </w:pP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13</w:t>
      </w:r>
      <w:r>
        <w:rPr/>
        <w:t>日，公司第六届董事会第六次会议审议通过了《关于第二期限制性股票激励计划第二个 解锁期条件及预留股份第一个解锁期条件满足的议案》，本次解除限售的首次授予股份数量为</w:t>
      </w:r>
      <w:r>
        <w:rPr>
          <w:rFonts w:ascii="宋体" w:hAnsi="宋体" w:cs="宋体" w:eastAsia="宋体" w:hint="default"/>
        </w:rPr>
        <w:t>8,509,050</w:t>
      </w:r>
      <w:r>
        <w:rPr>
          <w:rFonts w:ascii="宋体" w:hAnsi="宋体" w:cs="宋体" w:eastAsia="宋体" w:hint="default"/>
          <w:spacing w:val="-27"/>
        </w:rPr>
        <w:t> </w:t>
      </w:r>
      <w:r>
        <w:rPr>
          <w:rFonts w:ascii="宋体" w:hAnsi="宋体" w:cs="宋体" w:eastAsia="宋体" w:hint="default"/>
          <w:spacing w:val="-27"/>
        </w:rPr>
      </w:r>
      <w:r>
        <w:rPr/>
        <w:t>股，占总股本</w:t>
      </w:r>
      <w:r>
        <w:rPr>
          <w:rFonts w:ascii="宋体" w:hAnsi="宋体" w:cs="宋体" w:eastAsia="宋体" w:hint="default"/>
        </w:rPr>
        <w:t>0.4416%</w:t>
      </w:r>
      <w:r>
        <w:rPr/>
        <w:t>，本次解除限售的预留股份数量为</w:t>
      </w:r>
      <w:r>
        <w:rPr>
          <w:rFonts w:ascii="宋体" w:hAnsi="宋体" w:cs="宋体" w:eastAsia="宋体" w:hint="default"/>
        </w:rPr>
        <w:t>945,375</w:t>
      </w:r>
      <w:r>
        <w:rPr/>
        <w:t>股，占总股本</w:t>
      </w:r>
      <w:r>
        <w:rPr>
          <w:rFonts w:ascii="宋体" w:hAnsi="宋体" w:cs="宋体" w:eastAsia="宋体" w:hint="default"/>
        </w:rPr>
        <w:t>0.0491%</w:t>
      </w:r>
      <w:r>
        <w:rPr/>
        <w:t>，合计解除限售的</w:t>
      </w:r>
      <w:r>
        <w:rPr>
          <w:spacing w:val="-28"/>
        </w:rPr>
        <w:t> </w:t>
      </w:r>
      <w:r>
        <w:rPr>
          <w:spacing w:val="-28"/>
        </w:rPr>
      </w:r>
      <w:r>
        <w:rPr/>
        <w:t>股份总数</w:t>
      </w:r>
      <w:r>
        <w:rPr>
          <w:rFonts w:ascii="宋体" w:hAnsi="宋体" w:cs="宋体" w:eastAsia="宋体" w:hint="default"/>
        </w:rPr>
        <w:t>9,454,425</w:t>
      </w:r>
      <w:r>
        <w:rPr/>
        <w:t>股，占总股本的</w:t>
      </w:r>
      <w:r>
        <w:rPr>
          <w:rFonts w:ascii="宋体" w:hAnsi="宋体" w:cs="宋体" w:eastAsia="宋体" w:hint="default"/>
        </w:rPr>
        <w:t>0.49%</w:t>
      </w:r>
      <w:r>
        <w:rPr/>
        <w:t>。解锁日即上市流通日为</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10</w:t>
      </w:r>
      <w:r>
        <w:rPr/>
        <w:t>日解锁。</w:t>
      </w:r>
    </w:p>
    <w:p>
      <w:pPr>
        <w:pStyle w:val="BodyText"/>
        <w:spacing w:line="273" w:lineRule="auto"/>
        <w:ind w:left="574" w:right="0"/>
        <w:jc w:val="left"/>
      </w:pPr>
      <w:r>
        <w:rPr>
          <w:rFonts w:ascii="宋体" w:hAnsi="宋体" w:cs="宋体" w:eastAsia="宋体" w:hint="default"/>
        </w:rPr>
        <w:t>6</w:t>
      </w:r>
      <w:r>
        <w:rPr/>
        <w:t>、</w:t>
      </w:r>
      <w:r>
        <w:rPr>
          <w:rFonts w:ascii="宋体" w:hAnsi="宋体" w:cs="宋体" w:eastAsia="宋体" w:hint="default"/>
        </w:rPr>
        <w:t>2017</w:t>
      </w:r>
      <w:r>
        <w:rPr/>
        <w:t>年回购限制性股票情况 公司</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13</w:t>
      </w:r>
      <w:r>
        <w:rPr/>
        <w:t>日第六届董事会第六次会议审议通过的《关于回购注销部分限制性股票的议案》，</w:t>
      </w:r>
    </w:p>
    <w:p>
      <w:pPr>
        <w:pStyle w:val="BodyText"/>
        <w:spacing w:line="240" w:lineRule="auto" w:before="8"/>
        <w:ind w:left="154" w:right="0"/>
        <w:jc w:val="both"/>
      </w:pPr>
      <w:r>
        <w:rPr/>
        <w:t>公司回购注销限制性股票</w:t>
      </w:r>
      <w:r>
        <w:rPr>
          <w:rFonts w:ascii="宋体" w:hAnsi="宋体" w:cs="宋体" w:eastAsia="宋体" w:hint="default"/>
        </w:rPr>
        <w:t>3,132,075</w:t>
      </w:r>
      <w:r>
        <w:rPr/>
        <w:t>股，占注销前公司总股本的比例为</w:t>
      </w:r>
      <w:r>
        <w:rPr>
          <w:rFonts w:ascii="宋体" w:hAnsi="宋体" w:cs="宋体" w:eastAsia="宋体" w:hint="default"/>
        </w:rPr>
        <w:t>0.1626%</w:t>
      </w:r>
      <w:r>
        <w:rPr/>
        <w:t>。</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bookmarkStart w:name="2、以权益结算的股份支付情况" w:id="474"/>
      <w:bookmarkEnd w:id="474"/>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舒尔斯期权定价模型</w:t>
            </w:r>
          </w:p>
        </w:tc>
      </w:tr>
      <w:tr>
        <w:trPr>
          <w:trHeight w:val="71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公司需根据最新取得的可行权职工人数变动等后续信息做 出最佳估计，修正预计可行权的权益工具数量。</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28,682,286.05</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以现金结算的股份支付情况" w:id="475"/>
      <w:bookmarkEnd w:id="475"/>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4、股份支付的修改、终止情况" w:id="476"/>
      <w:bookmarkEnd w:id="476"/>
      <w:r>
        <w:rPr>
          <w:b w:val="0"/>
          <w:bCs w:val="0"/>
        </w:rPr>
      </w:r>
      <w:r>
        <w:rPr>
          <w:rFonts w:ascii="Times New Roman" w:hAnsi="Times New Roman" w:cs="Times New Roman" w:eastAsia="Times New Roman" w:hint="default"/>
        </w:rPr>
        <w:t>4</w:t>
      </w:r>
      <w:r>
        <w:rPr/>
        <w:t>、股份支付的修改、终止情况</w:t>
      </w:r>
      <w:r>
        <w:rPr>
          <w:b w:val="0"/>
          <w:bCs w:val="0"/>
        </w:rPr>
      </w:r>
    </w:p>
    <w:p>
      <w:pPr>
        <w:spacing w:after="0" w:line="240" w:lineRule="auto"/>
        <w:jc w:val="left"/>
        <w:sectPr>
          <w:footerReference w:type="default" r:id="rId17"/>
          <w:pgSz w:w="11910" w:h="16840"/>
          <w:pgMar w:footer="1639" w:header="747" w:top="1060" w:bottom="1820" w:left="980" w:right="0"/>
          <w:pgNumType w:start="178"/>
        </w:sectPr>
      </w:pPr>
    </w:p>
    <w:p>
      <w:pPr>
        <w:spacing w:line="240" w:lineRule="auto" w:before="10"/>
        <w:rPr>
          <w:rFonts w:ascii="宋体" w:hAnsi="宋体" w:cs="宋体" w:eastAsia="宋体" w:hint="default"/>
          <w:b/>
          <w:bCs/>
          <w:sz w:val="24"/>
          <w:szCs w:val="24"/>
        </w:rPr>
      </w:pPr>
    </w:p>
    <w:p>
      <w:pPr>
        <w:pStyle w:val="Heading3"/>
        <w:spacing w:line="240" w:lineRule="auto" w:before="35"/>
        <w:ind w:left="153" w:right="0"/>
        <w:jc w:val="left"/>
        <w:rPr>
          <w:b w:val="0"/>
          <w:bCs w:val="0"/>
        </w:rPr>
      </w:pPr>
      <w:bookmarkStart w:name="5、其他" w:id="477"/>
      <w:bookmarkEnd w:id="477"/>
      <w:r>
        <w:rPr>
          <w:b w:val="0"/>
          <w:bCs w:val="0"/>
        </w:rPr>
      </w: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四、承诺及或有事项" w:id="478"/>
      <w:bookmarkEnd w:id="478"/>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承诺事项" w:id="479"/>
      <w:bookmarkEnd w:id="479"/>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5712"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 截止</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日，公司不存在需要披露的的重要承诺事项。</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2、或有事项" w:id="480"/>
      <w:bookmarkEnd w:id="480"/>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81"/>
      <w:bookmarkEnd w:id="481"/>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spacing w:line="300" w:lineRule="auto" w:before="0"/>
        <w:ind w:left="153" w:right="1123" w:firstLine="0"/>
        <w:jc w:val="left"/>
        <w:rPr>
          <w:rFonts w:ascii="宋体" w:hAnsi="宋体" w:cs="宋体" w:eastAsia="宋体" w:hint="default"/>
          <w:sz w:val="18"/>
          <w:szCs w:val="18"/>
        </w:rPr>
      </w:pPr>
      <w:r>
        <w:rPr>
          <w:rFonts w:ascii="宋体" w:hAnsi="宋体" w:cs="宋体" w:eastAsia="宋体" w:hint="default"/>
          <w:sz w:val="18"/>
          <w:szCs w:val="18"/>
        </w:rPr>
        <w:t>①截至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日，本公司为承接工程项目出具的未到期投标、履约及预付款保函</w:t>
      </w:r>
      <w:r>
        <w:rPr>
          <w:rFonts w:ascii="Times New Roman" w:hAnsi="Times New Roman" w:cs="Times New Roman" w:eastAsia="Times New Roman" w:hint="default"/>
          <w:sz w:val="18"/>
          <w:szCs w:val="18"/>
        </w:rPr>
        <w:t>112</w:t>
      </w:r>
      <w:r>
        <w:rPr>
          <w:rFonts w:ascii="宋体" w:hAnsi="宋体" w:cs="宋体" w:eastAsia="宋体" w:hint="default"/>
          <w:sz w:val="18"/>
          <w:szCs w:val="18"/>
        </w:rPr>
        <w:t>份，投标、履约及预付款保函金 额为</w:t>
      </w:r>
      <w:r>
        <w:rPr>
          <w:rFonts w:ascii="Times New Roman" w:hAnsi="Times New Roman" w:cs="Times New Roman" w:eastAsia="Times New Roman" w:hint="default"/>
          <w:sz w:val="18"/>
          <w:szCs w:val="18"/>
        </w:rPr>
        <w:t>296,736,649.50</w:t>
      </w:r>
      <w:r>
        <w:rPr>
          <w:rFonts w:ascii="宋体" w:hAnsi="宋体" w:cs="宋体" w:eastAsia="宋体" w:hint="default"/>
          <w:sz w:val="18"/>
          <w:szCs w:val="18"/>
        </w:rPr>
        <w:t>元，存入未到期保函保证金金额为</w:t>
      </w:r>
      <w:r>
        <w:rPr>
          <w:rFonts w:ascii="Times New Roman" w:hAnsi="Times New Roman" w:cs="Times New Roman" w:eastAsia="Times New Roman" w:hint="default"/>
          <w:sz w:val="18"/>
          <w:szCs w:val="18"/>
        </w:rPr>
        <w:t>16,267,744.70</w:t>
      </w:r>
      <w:r>
        <w:rPr>
          <w:rFonts w:ascii="宋体" w:hAnsi="宋体" w:cs="宋体" w:eastAsia="宋体" w:hint="default"/>
          <w:sz w:val="18"/>
          <w:szCs w:val="18"/>
        </w:rPr>
        <w:t>元；应付票据金额为</w:t>
      </w:r>
      <w:r>
        <w:rPr>
          <w:rFonts w:ascii="Times New Roman" w:hAnsi="Times New Roman" w:cs="Times New Roman" w:eastAsia="Times New Roman" w:hint="default"/>
          <w:sz w:val="18"/>
          <w:szCs w:val="18"/>
        </w:rPr>
        <w:t>186,838,310.84</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元，其保证金为 </w:t>
      </w:r>
      <w:r>
        <w:rPr>
          <w:rFonts w:ascii="Times New Roman" w:hAnsi="Times New Roman" w:cs="Times New Roman" w:eastAsia="Times New Roman" w:hint="default"/>
          <w:sz w:val="18"/>
          <w:szCs w:val="18"/>
        </w:rPr>
        <w:t>26,338,775.86</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元；</w:t>
      </w:r>
    </w:p>
    <w:p>
      <w:pPr>
        <w:spacing w:before="13"/>
        <w:ind w:left="153" w:right="0" w:firstLine="0"/>
        <w:jc w:val="left"/>
        <w:rPr>
          <w:rFonts w:ascii="宋体" w:hAnsi="宋体" w:cs="宋体" w:eastAsia="宋体" w:hint="default"/>
          <w:sz w:val="18"/>
          <w:szCs w:val="18"/>
        </w:rPr>
      </w:pPr>
      <w:r>
        <w:rPr>
          <w:rFonts w:ascii="宋体" w:hAnsi="宋体" w:cs="宋体" w:eastAsia="宋体" w:hint="default"/>
          <w:sz w:val="18"/>
          <w:szCs w:val="18"/>
        </w:rPr>
        <w:t>投标、履约及预付款保函未到期前十明细如下：</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4701"/>
        <w:gridCol w:w="1145"/>
        <w:gridCol w:w="1055"/>
        <w:gridCol w:w="842"/>
        <w:gridCol w:w="1100"/>
      </w:tblGrid>
      <w:tr>
        <w:trPr>
          <w:trHeight w:val="347" w:hRule="exact"/>
        </w:trPr>
        <w:tc>
          <w:tcPr>
            <w:tcW w:w="4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受益人</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9" w:right="0"/>
              <w:jc w:val="left"/>
              <w:rPr>
                <w:rFonts w:ascii="宋体" w:hAnsi="宋体" w:cs="宋体" w:eastAsia="宋体" w:hint="default"/>
                <w:sz w:val="18"/>
                <w:szCs w:val="18"/>
              </w:rPr>
            </w:pPr>
            <w:r>
              <w:rPr>
                <w:rFonts w:ascii="宋体" w:hAnsi="宋体" w:cs="宋体" w:eastAsia="宋体" w:hint="default"/>
                <w:sz w:val="18"/>
                <w:szCs w:val="18"/>
              </w:rPr>
              <w:t>保函押金</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开具银行</w:t>
            </w:r>
          </w:p>
        </w:tc>
      </w:tr>
      <w:tr>
        <w:trPr>
          <w:trHeight w:val="347" w:hRule="exact"/>
        </w:trPr>
        <w:tc>
          <w:tcPr>
            <w:tcW w:w="4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安信证券股份有限公司、民太安保险公估集团股份有限公司</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14,436,900.00</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2019/11/15</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平安银行</w:t>
            </w:r>
          </w:p>
        </w:tc>
      </w:tr>
      <w:tr>
        <w:trPr>
          <w:trHeight w:val="347" w:hRule="exact"/>
        </w:trPr>
        <w:tc>
          <w:tcPr>
            <w:tcW w:w="4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安信证券股份有限公司、民太安保险公估集团股份有限公司</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14,436,900.00</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2019/11/15</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平安银行</w:t>
            </w:r>
          </w:p>
        </w:tc>
      </w:tr>
      <w:tr>
        <w:trPr>
          <w:trHeight w:val="347" w:hRule="exact"/>
        </w:trPr>
        <w:tc>
          <w:tcPr>
            <w:tcW w:w="4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长沙市轨道交通四号线建设发展有限公司</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11,539,245.10</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2018/12/31</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平安银行</w:t>
            </w:r>
          </w:p>
        </w:tc>
      </w:tr>
      <w:tr>
        <w:trPr>
          <w:trHeight w:val="348" w:hRule="exact"/>
        </w:trPr>
        <w:tc>
          <w:tcPr>
            <w:tcW w:w="4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仁怀市人民医院</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2018/3/24</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中信银行</w:t>
            </w:r>
          </w:p>
        </w:tc>
      </w:tr>
      <w:tr>
        <w:trPr>
          <w:trHeight w:val="347" w:hRule="exact"/>
        </w:trPr>
        <w:tc>
          <w:tcPr>
            <w:tcW w:w="4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福州地铁集团有限公司</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8,960,000.00</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2019/2/22</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中国建设银行</w:t>
            </w:r>
          </w:p>
        </w:tc>
      </w:tr>
      <w:tr>
        <w:trPr>
          <w:trHeight w:val="347" w:hRule="exact"/>
        </w:trPr>
        <w:tc>
          <w:tcPr>
            <w:tcW w:w="4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南方基金管理有限公司</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8,257,773.95</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2018/1/20</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中国建设银行</w:t>
            </w:r>
          </w:p>
        </w:tc>
      </w:tr>
      <w:tr>
        <w:trPr>
          <w:trHeight w:val="347" w:hRule="exact"/>
        </w:trPr>
        <w:tc>
          <w:tcPr>
            <w:tcW w:w="4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苏州工业园区文化事业局</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7,361,662.10</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2018/10/20</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中国银行</w:t>
            </w:r>
          </w:p>
        </w:tc>
      </w:tr>
      <w:tr>
        <w:trPr>
          <w:trHeight w:val="347" w:hRule="exact"/>
        </w:trPr>
        <w:tc>
          <w:tcPr>
            <w:tcW w:w="4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中国中铁股份有限公司成都轨道交通工程指挥部</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7,220,000.00</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2019/2/28</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中国建设银行</w:t>
            </w:r>
          </w:p>
        </w:tc>
      </w:tr>
      <w:tr>
        <w:trPr>
          <w:trHeight w:val="347" w:hRule="exact"/>
        </w:trPr>
        <w:tc>
          <w:tcPr>
            <w:tcW w:w="4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石家庄市轨道交通有限责任公司</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7,180,000.00</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2018/9/30</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平安银行</w:t>
            </w:r>
          </w:p>
        </w:tc>
      </w:tr>
      <w:tr>
        <w:trPr>
          <w:trHeight w:val="348" w:hRule="exact"/>
        </w:trPr>
        <w:tc>
          <w:tcPr>
            <w:tcW w:w="4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南方基金管理有限公司</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7,033,330.46</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2018/8/15</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中国建设银行</w:t>
            </w:r>
          </w:p>
        </w:tc>
      </w:tr>
      <w:tr>
        <w:trPr>
          <w:trHeight w:val="347" w:hRule="exact"/>
        </w:trPr>
        <w:tc>
          <w:tcPr>
            <w:tcW w:w="4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200,310,837.89</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16,267,744.70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4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296,736,649.50</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16,267,744.70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w:t>
            </w:r>
          </w:p>
        </w:tc>
      </w:tr>
    </w:tbl>
    <w:p>
      <w:pPr>
        <w:spacing w:before="10"/>
        <w:ind w:left="154" w:right="0" w:firstLine="0"/>
        <w:jc w:val="left"/>
        <w:rPr>
          <w:rFonts w:ascii="宋体" w:hAnsi="宋体" w:cs="宋体" w:eastAsia="宋体" w:hint="default"/>
          <w:sz w:val="18"/>
          <w:szCs w:val="18"/>
        </w:rPr>
      </w:pPr>
      <w:r>
        <w:rPr>
          <w:rFonts w:ascii="宋体" w:hAnsi="宋体" w:cs="宋体" w:eastAsia="宋体" w:hint="default"/>
          <w:sz w:val="18"/>
          <w:szCs w:val="18"/>
        </w:rPr>
        <w:t>若公司未按合同履约，将在有效期内向受益人支付不超过保函金额的赔偿额。</w:t>
      </w:r>
    </w:p>
    <w:p>
      <w:pPr>
        <w:spacing w:line="300" w:lineRule="auto" w:before="7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②截至</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日，本公司已背书给他方但尚未到期的应收票据共有</w:t>
      </w:r>
      <w:r>
        <w:rPr>
          <w:rFonts w:ascii="Times New Roman" w:hAnsi="Times New Roman" w:cs="Times New Roman" w:eastAsia="Times New Roman" w:hint="default"/>
          <w:spacing w:val="-2"/>
          <w:sz w:val="18"/>
          <w:szCs w:val="18"/>
        </w:rPr>
        <w:t>9,312,124.26</w:t>
      </w:r>
      <w:r>
        <w:rPr>
          <w:rFonts w:ascii="宋体" w:hAnsi="宋体" w:cs="宋体" w:eastAsia="宋体" w:hint="default"/>
          <w:spacing w:val="-2"/>
          <w:sz w:val="18"/>
          <w:szCs w:val="18"/>
        </w:rPr>
        <w:t>元，其中商业承兑汇票</w:t>
      </w:r>
      <w:r>
        <w:rPr>
          <w:rFonts w:ascii="Times New Roman" w:hAnsi="Times New Roman" w:cs="Times New Roman" w:eastAsia="Times New Roman" w:hint="default"/>
          <w:spacing w:val="-2"/>
          <w:sz w:val="18"/>
          <w:szCs w:val="18"/>
        </w:rPr>
        <w:t>6,512,983.56</w:t>
      </w:r>
      <w:r>
        <w:rPr>
          <w:rFonts w:ascii="宋体" w:hAnsi="宋体" w:cs="宋体" w:eastAsia="宋体" w:hint="default"/>
          <w:spacing w:val="-2"/>
          <w:sz w:val="18"/>
          <w:szCs w:val="18"/>
        </w:rPr>
        <w:t>元。</w:t>
      </w:r>
      <w:r>
        <w:rPr>
          <w:rFonts w:ascii="宋体" w:hAnsi="宋体" w:cs="宋体" w:eastAsia="宋体" w:hint="default"/>
          <w:spacing w:val="-33"/>
          <w:sz w:val="18"/>
          <w:szCs w:val="18"/>
        </w:rPr>
        <w:t> </w:t>
      </w:r>
      <w:r>
        <w:rPr>
          <w:rFonts w:ascii="宋体" w:hAnsi="宋体" w:cs="宋体" w:eastAsia="宋体" w:hint="default"/>
          <w:sz w:val="18"/>
          <w:szCs w:val="18"/>
        </w:rPr>
        <w:t>上述商业承兑汇票可能存在票据到期时出票人拒付风险。</w:t>
      </w:r>
    </w:p>
    <w:p>
      <w:pPr>
        <w:spacing w:line="240" w:lineRule="auto" w:before="6"/>
        <w:rPr>
          <w:rFonts w:ascii="宋体" w:hAnsi="宋体" w:cs="宋体" w:eastAsia="宋体" w:hint="default"/>
          <w:sz w:val="23"/>
          <w:szCs w:val="23"/>
        </w:rPr>
      </w:pPr>
    </w:p>
    <w:p>
      <w:pPr>
        <w:pStyle w:val="Heading3"/>
        <w:spacing w:line="240" w:lineRule="auto"/>
        <w:ind w:left="153" w:right="0"/>
        <w:jc w:val="left"/>
        <w:rPr>
          <w:b w:val="0"/>
          <w:bCs w:val="0"/>
        </w:rPr>
      </w:pPr>
      <w:bookmarkStart w:name="（2）公司没有需要披露的重要或有事项，也应予以说明" w:id="482"/>
      <w:bookmarkEnd w:id="482"/>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其他" w:id="483"/>
      <w:bookmarkEnd w:id="483"/>
      <w:r>
        <w:rPr>
          <w:b w:val="0"/>
          <w:bCs w:val="0"/>
        </w:rPr>
      </w:r>
      <w:r>
        <w:rPr>
          <w:rFonts w:ascii="Times New Roman" w:hAnsi="Times New Roman" w:cs="Times New Roman" w:eastAsia="Times New Roman" w:hint="default"/>
        </w:rPr>
        <w:t>3</w:t>
      </w:r>
      <w:r>
        <w:rPr/>
        <w:t>、其他</w:t>
      </w:r>
      <w:r>
        <w:rPr>
          <w:b w:val="0"/>
          <w:bCs w:val="0"/>
        </w:rPr>
      </w:r>
    </w:p>
    <w:p>
      <w:pPr>
        <w:spacing w:after="0" w:line="240" w:lineRule="auto"/>
        <w:jc w:val="left"/>
        <w:sectPr>
          <w:pgSz w:w="11910" w:h="16840"/>
          <w:pgMar w:header="747" w:footer="1639" w:top="1060" w:bottom="182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十五、资产负债表日后事项" w:id="484"/>
      <w:bookmarkEnd w:id="484"/>
      <w:r>
        <w:rPr>
          <w:b w:val="0"/>
          <w:bCs w:val="0"/>
        </w:rPr>
      </w:r>
      <w:r>
        <w:rPr/>
        <w:t>十五、资产负债表日后事项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的非调整事项" w:id="485"/>
      <w:bookmarkEnd w:id="485"/>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利润分配情况" w:id="486"/>
      <w:bookmarkEnd w:id="486"/>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57,707,925.03</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57,707,925.03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销售退回" w:id="487"/>
      <w:bookmarkEnd w:id="487"/>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其他资产负债表日后事项说明" w:id="488"/>
      <w:bookmarkEnd w:id="488"/>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spacing w:line="506" w:lineRule="auto" w:before="0"/>
        <w:ind w:left="153" w:right="8591" w:firstLine="0"/>
        <w:jc w:val="left"/>
        <w:rPr>
          <w:rFonts w:ascii="宋体" w:hAnsi="宋体" w:cs="宋体" w:eastAsia="宋体" w:hint="default"/>
          <w:sz w:val="18"/>
          <w:szCs w:val="18"/>
        </w:rPr>
      </w:pPr>
      <w:bookmarkStart w:name="十六、其他重要事项" w:id="489"/>
      <w:bookmarkEnd w:id="489"/>
      <w:r>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90"/>
      <w:bookmarkEnd w:id="49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52"/>
        <w:ind w:right="0"/>
        <w:jc w:val="left"/>
        <w:rPr>
          <w:b w:val="0"/>
          <w:bCs w:val="0"/>
        </w:rPr>
      </w:pPr>
      <w:bookmarkStart w:name="2、债务重组" w:id="491"/>
      <w:bookmarkEnd w:id="491"/>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资产置换" w:id="492"/>
      <w:bookmarkEnd w:id="492"/>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年金计划" w:id="493"/>
      <w:bookmarkEnd w:id="493"/>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终止经营" w:id="494"/>
      <w:bookmarkEnd w:id="494"/>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footerReference w:type="default" r:id="rId18"/>
          <w:pgSz w:w="11910" w:h="16840"/>
          <w:pgMar w:footer="979" w:header="747" w:top="1060" w:bottom="1160" w:left="980" w:right="0"/>
          <w:pgNumType w:start="18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6、分部信息" w:id="495"/>
      <w:bookmarkEnd w:id="495"/>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分部的确定依据与会计政策" w:id="496"/>
      <w:bookmarkEnd w:id="496"/>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报告分部的财务信息" w:id="497"/>
      <w:bookmarkEnd w:id="497"/>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公司无报告分部的，或者不能披露各报告分部的资产总额和负债总额的，应说明原因" w:id="498"/>
      <w:bookmarkEnd w:id="498"/>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其他说明" w:id="499"/>
      <w:bookmarkEnd w:id="499"/>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其他对投资者决策有影响的重要交易和事项" w:id="500"/>
      <w:bookmarkEnd w:id="500"/>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其他" w:id="501"/>
      <w:bookmarkEnd w:id="501"/>
      <w:r>
        <w:rPr>
          <w:b w:val="0"/>
          <w:bCs w:val="0"/>
        </w:rPr>
      </w:r>
      <w:r>
        <w:rPr>
          <w:rFonts w:ascii="Times New Roman" w:hAnsi="Times New Roman" w:cs="Times New Roman" w:eastAsia="Times New Roman" w:hint="default"/>
        </w:rPr>
        <w:t>8</w:t>
      </w:r>
      <w:r>
        <w:rPr/>
        <w:t>、其他</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七、母公司财务报表主要项目注释" w:id="502"/>
      <w:bookmarkEnd w:id="502"/>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 w:id="503"/>
      <w:bookmarkEnd w:id="503"/>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分类披露" w:id="504"/>
      <w:bookmarkEnd w:id="50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2,735,33</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8.40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2,735,33</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8.40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2,735,3</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38.40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2,735,338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1,406,47</w:t>
            </w:r>
          </w:p>
          <w:p>
            <w:pPr>
              <w:pStyle w:val="TableParagraph"/>
              <w:spacing w:line="240" w:lineRule="auto" w:before="106"/>
              <w:ind w:left="99" w:right="0"/>
              <w:jc w:val="left"/>
              <w:rPr>
                <w:rFonts w:ascii="Times New Roman" w:hAnsi="Times New Roman" w:cs="Times New Roman" w:eastAsia="Times New Roman" w:hint="default"/>
                <w:sz w:val="18"/>
                <w:szCs w:val="18"/>
              </w:rPr>
            </w:pPr>
            <w:r>
              <w:rPr>
                <w:rFonts w:ascii="Times New Roman"/>
                <w:sz w:val="18"/>
              </w:rPr>
              <w:t>0,385.18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77,429,8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57.08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1,329,040</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,528.10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77,335.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99.25%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53,350,03</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0.14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954,327,30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4.91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7,918,15</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4.86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7,918,15</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4.86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4,893,7</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13.97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4,893,713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1,417,12</w:t>
            </w:r>
          </w:p>
          <w:p>
            <w:pPr>
              <w:pStyle w:val="TableParagraph"/>
              <w:spacing w:line="240" w:lineRule="auto" w:before="106"/>
              <w:ind w:left="100" w:right="0"/>
              <w:jc w:val="left"/>
              <w:rPr>
                <w:rFonts w:ascii="Times New Roman" w:hAnsi="Times New Roman" w:cs="Times New Roman" w:eastAsia="Times New Roman" w:hint="default"/>
                <w:sz w:val="18"/>
                <w:szCs w:val="18"/>
              </w:rPr>
            </w:pPr>
            <w:r>
              <w:rPr>
                <w:rFonts w:ascii="Times New Roman"/>
                <w:sz w:val="18"/>
              </w:rPr>
              <w:t>3,878.44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88,083,3</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50.34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1,329,040</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,528.10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06,387.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60,979,08</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2.51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954,327,30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4.91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镇江华龙广场置业有限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2,735,338.40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2,735,338.40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已诉讼，回收有风险</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2,735,338.40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2,735,338.40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115" w:space="471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2"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1,010,859,855.25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22,979,233.31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2.27%</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227,886,643.69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11,394,332.18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102,014,128.83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10,201,412.88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65,709,757.41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32,854,878.71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38,910,477.32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19,455,238.66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19,938,767.42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9,969,383.71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6,860,512.67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3,430,256.34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1,406,470,385.18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77,429,857.08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5.51%</w:t>
            </w:r>
          </w:p>
        </w:tc>
      </w:tr>
    </w:tbl>
    <w:p>
      <w:pPr>
        <w:spacing w:line="357"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确定该组合依据的说明：无 组合中，采用余额百分比法计提坏账准备的应收账款：</w:t>
      </w:r>
    </w:p>
    <w:p>
      <w:pPr>
        <w:spacing w:line="338" w:lineRule="auto" w:before="29"/>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组合中，采用其他方法计提坏账准备的应收账款：无</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本期计提、收回或转回的坏账准备情况" w:id="505"/>
      <w:bookmarkEnd w:id="50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3874"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29,989,157.62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889,016.27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其中本期坏账准备收回或转回金额重要的：无</w:t>
      </w:r>
    </w:p>
    <w:p>
      <w:pPr>
        <w:spacing w:after="0" w:line="338"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本期实际核销的应收账款情况" w:id="506"/>
      <w:bookmarkEnd w:id="50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1,995,873.52</w:t>
            </w:r>
          </w:p>
        </w:tc>
      </w:tr>
    </w:tbl>
    <w:p>
      <w:pPr>
        <w:spacing w:line="357" w:lineRule="auto" w:before="51"/>
        <w:ind w:left="153" w:right="8053"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其中重要的应收账款核销情况：无 应收账款核销说明：无</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4）按欠款方归集的期末余额前五名的应收账款情况" w:id="507"/>
      <w:bookmarkEnd w:id="50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694"/>
        <w:gridCol w:w="1048"/>
        <w:gridCol w:w="1221"/>
        <w:gridCol w:w="992"/>
        <w:gridCol w:w="2243"/>
        <w:gridCol w:w="1451"/>
      </w:tblGrid>
      <w:tr>
        <w:trPr>
          <w:trHeight w:val="660"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4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843" w:right="32" w:hanging="810"/>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27" w:right="86"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34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宿州市立医院</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94,578,470.97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6.67%</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2,837,354.13</w:t>
            </w:r>
          </w:p>
        </w:tc>
      </w:tr>
      <w:tr>
        <w:trPr>
          <w:trHeight w:val="347" w:hRule="exact"/>
        </w:trPr>
        <w:tc>
          <w:tcPr>
            <w:tcW w:w="2694" w:type="dxa"/>
            <w:vMerge w:val="restart"/>
            <w:tcBorders>
              <w:top w:val="single" w:sz="6" w:space="0" w:color="000000"/>
              <w:left w:val="single" w:sz="6" w:space="0" w:color="000000"/>
              <w:right w:val="single" w:sz="6" w:space="0" w:color="000000"/>
            </w:tcBorders>
          </w:tcPr>
          <w:p>
            <w:pPr>
              <w:pStyle w:val="TableParagraph"/>
              <w:spacing w:line="240" w:lineRule="auto" w:before="21"/>
              <w:ind w:left="349" w:right="0"/>
              <w:jc w:val="left"/>
              <w:rPr>
                <w:rFonts w:ascii="宋体" w:hAnsi="宋体" w:cs="宋体" w:eastAsia="宋体" w:hint="default"/>
                <w:sz w:val="18"/>
                <w:szCs w:val="18"/>
              </w:rPr>
            </w:pPr>
            <w:r>
              <w:rPr>
                <w:rFonts w:ascii="宋体" w:hAnsi="宋体" w:cs="宋体" w:eastAsia="宋体" w:hint="default"/>
                <w:sz w:val="18"/>
                <w:szCs w:val="18"/>
              </w:rPr>
              <w:t>深圳市地铁集团有限公司</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20,337,349.19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1.44%</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610,120.48</w:t>
            </w:r>
          </w:p>
        </w:tc>
      </w:tr>
      <w:tr>
        <w:trPr>
          <w:trHeight w:val="347" w:hRule="exact"/>
        </w:trPr>
        <w:tc>
          <w:tcPr>
            <w:tcW w:w="2694" w:type="dxa"/>
            <w:vMerge/>
            <w:tcBorders>
              <w:left w:val="single" w:sz="6" w:space="0" w:color="000000"/>
              <w:bottom w:val="single" w:sz="6" w:space="0" w:color="000000"/>
              <w:right w:val="single" w:sz="6" w:space="0" w:color="000000"/>
            </w:tcBorders>
          </w:tcPr>
          <w:p>
            <w:pP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65,676,882.85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4.63%</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3,283,844.14</w:t>
            </w:r>
          </w:p>
        </w:tc>
      </w:tr>
      <w:tr>
        <w:trPr>
          <w:trHeight w:val="347" w:hRule="exact"/>
        </w:trPr>
        <w:tc>
          <w:tcPr>
            <w:tcW w:w="2694" w:type="dxa"/>
            <w:vMerge w:val="restart"/>
            <w:tcBorders>
              <w:top w:val="single" w:sz="6" w:space="0" w:color="000000"/>
              <w:left w:val="single" w:sz="6" w:space="0" w:color="000000"/>
              <w:right w:val="single" w:sz="6" w:space="0" w:color="000000"/>
            </w:tcBorders>
          </w:tcPr>
          <w:p>
            <w:pPr>
              <w:pStyle w:val="TableParagraph"/>
              <w:spacing w:line="240" w:lineRule="auto" w:before="21"/>
              <w:ind w:left="439" w:right="0"/>
              <w:jc w:val="left"/>
              <w:rPr>
                <w:rFonts w:ascii="宋体" w:hAnsi="宋体" w:cs="宋体" w:eastAsia="宋体" w:hint="default"/>
                <w:sz w:val="18"/>
                <w:szCs w:val="18"/>
              </w:rPr>
            </w:pPr>
            <w:r>
              <w:rPr>
                <w:rFonts w:ascii="宋体" w:hAnsi="宋体" w:cs="宋体" w:eastAsia="宋体" w:hint="default"/>
                <w:sz w:val="18"/>
                <w:szCs w:val="18"/>
              </w:rPr>
              <w:t>广州地铁集团有限公司</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46,665,000.00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3.29%</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1,399,950.00</w:t>
            </w:r>
          </w:p>
        </w:tc>
      </w:tr>
      <w:tr>
        <w:trPr>
          <w:trHeight w:val="347" w:hRule="exact"/>
        </w:trPr>
        <w:tc>
          <w:tcPr>
            <w:tcW w:w="2694" w:type="dxa"/>
            <w:vMerge/>
            <w:tcBorders>
              <w:left w:val="single" w:sz="6" w:space="0" w:color="000000"/>
              <w:bottom w:val="single" w:sz="6" w:space="0" w:color="000000"/>
              <w:right w:val="single" w:sz="6" w:space="0" w:color="000000"/>
            </w:tcBorders>
          </w:tcPr>
          <w:p>
            <w:pP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1,219,095.58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0.09%</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60,954.78</w:t>
            </w:r>
          </w:p>
        </w:tc>
      </w:tr>
      <w:tr>
        <w:trPr>
          <w:trHeight w:val="348" w:hRule="exact"/>
        </w:trPr>
        <w:tc>
          <w:tcPr>
            <w:tcW w:w="2694" w:type="dxa"/>
            <w:vMerge w:val="restart"/>
            <w:tcBorders>
              <w:top w:val="single" w:sz="6" w:space="0" w:color="000000"/>
              <w:left w:val="single" w:sz="6" w:space="0" w:color="000000"/>
              <w:right w:val="single" w:sz="6" w:space="0" w:color="000000"/>
            </w:tcBorders>
          </w:tcPr>
          <w:p>
            <w:pPr>
              <w:pStyle w:val="TableParagraph"/>
              <w:spacing w:line="240" w:lineRule="auto" w:before="21"/>
              <w:ind w:left="169" w:right="0"/>
              <w:jc w:val="left"/>
              <w:rPr>
                <w:rFonts w:ascii="宋体" w:hAnsi="宋体" w:cs="宋体" w:eastAsia="宋体" w:hint="default"/>
                <w:sz w:val="18"/>
                <w:szCs w:val="18"/>
              </w:rPr>
            </w:pPr>
            <w:r>
              <w:rPr>
                <w:rFonts w:ascii="宋体" w:hAnsi="宋体" w:cs="宋体" w:eastAsia="宋体" w:hint="default"/>
                <w:sz w:val="18"/>
                <w:szCs w:val="18"/>
              </w:rPr>
              <w:t>长沙市轨道交通集团有限公司</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2,829,182.32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0.20%</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84,875.47</w:t>
            </w:r>
          </w:p>
        </w:tc>
      </w:tr>
      <w:tr>
        <w:trPr>
          <w:trHeight w:val="347" w:hRule="exact"/>
        </w:trPr>
        <w:tc>
          <w:tcPr>
            <w:tcW w:w="2694" w:type="dxa"/>
            <w:vMerge/>
            <w:tcBorders>
              <w:left w:val="single" w:sz="6" w:space="0" w:color="000000"/>
              <w:right w:val="single" w:sz="6" w:space="0" w:color="000000"/>
            </w:tcBorders>
          </w:tcPr>
          <w:p>
            <w:pP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18,917,687.96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1.33%</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945,884.40</w:t>
            </w:r>
          </w:p>
        </w:tc>
      </w:tr>
      <w:tr>
        <w:trPr>
          <w:trHeight w:val="347" w:hRule="exact"/>
        </w:trPr>
        <w:tc>
          <w:tcPr>
            <w:tcW w:w="2694" w:type="dxa"/>
            <w:vMerge/>
            <w:tcBorders>
              <w:left w:val="single" w:sz="6" w:space="0" w:color="000000"/>
              <w:bottom w:val="single" w:sz="6" w:space="0" w:color="000000"/>
              <w:right w:val="single" w:sz="6" w:space="0" w:color="000000"/>
            </w:tcBorders>
          </w:tcPr>
          <w:p>
            <w:pP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11,921,126.27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0.84%</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1,192,112.63</w:t>
            </w:r>
          </w:p>
        </w:tc>
      </w:tr>
      <w:tr>
        <w:trPr>
          <w:trHeight w:val="659"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159" w:right="78" w:hanging="1081"/>
              <w:jc w:val="left"/>
              <w:rPr>
                <w:rFonts w:ascii="宋体" w:hAnsi="宋体" w:cs="宋体" w:eastAsia="宋体" w:hint="default"/>
                <w:sz w:val="18"/>
                <w:szCs w:val="18"/>
              </w:rPr>
            </w:pPr>
            <w:r>
              <w:rPr>
                <w:rFonts w:ascii="宋体" w:hAnsi="宋体" w:cs="宋体" w:eastAsia="宋体" w:hint="default"/>
                <w:sz w:val="18"/>
                <w:szCs w:val="18"/>
              </w:rPr>
              <w:t>苏州工业园区体育产业发展有限 公司</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29,609,618.13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2.09%</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888,288.54</w:t>
            </w:r>
          </w:p>
        </w:tc>
      </w:tr>
      <w:tr>
        <w:trPr>
          <w:trHeight w:val="348"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48" w:type="dxa"/>
            <w:tcBorders>
              <w:top w:val="single" w:sz="6" w:space="0" w:color="000000"/>
              <w:left w:val="single" w:sz="6" w:space="0" w:color="000000"/>
              <w:bottom w:val="single" w:sz="6" w:space="0" w:color="000000"/>
              <w:right w:val="single" w:sz="6" w:space="0" w:color="000000"/>
            </w:tcBorders>
          </w:tcPr>
          <w:p>
            <w:pPr/>
          </w:p>
        </w:tc>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291,754,413.27</w:t>
            </w:r>
          </w:p>
        </w:tc>
        <w:tc>
          <w:tcPr>
            <w:tcW w:w="992" w:type="dxa"/>
            <w:tcBorders>
              <w:top w:val="single" w:sz="6" w:space="0" w:color="000000"/>
              <w:left w:val="single" w:sz="6" w:space="0" w:color="000000"/>
              <w:bottom w:val="single" w:sz="6" w:space="0" w:color="000000"/>
              <w:right w:val="single" w:sz="6" w:space="0" w:color="000000"/>
            </w:tcBorders>
          </w:tcPr>
          <w:p>
            <w:pP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20.58%</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11,303,384.57</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0"/>
        <w:jc w:val="left"/>
        <w:rPr>
          <w:b w:val="0"/>
          <w:bCs w:val="0"/>
        </w:rPr>
      </w:pPr>
      <w:bookmarkStart w:name="（5）因金融资产转移而终止确认的应收账款" w:id="508"/>
      <w:bookmarkEnd w:id="508"/>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转移应收账款且继续涉入形成的资产、负债金额" w:id="509"/>
      <w:bookmarkEnd w:id="509"/>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其他应收款" w:id="510"/>
      <w:bookmarkEnd w:id="51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511"/>
      <w:bookmarkEnd w:id="511"/>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62"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53,850,5</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23.60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5,140,82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48,709,69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6.95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56,291,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765.48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4,931,147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51,360,617.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20,000.00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53,870,5</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23.60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5,160,82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6.65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9.58%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48,709,69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6.95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56,311,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765.48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4,951,147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8.79%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51,360,617.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30,643,310.02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601,092.39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12,289,308.01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614,465.40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3,834,209.81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383,420.98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7,083,695.76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3,541,847.88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2,783,825.33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1,391,912.67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2,909,910.82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1,454,955.41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1,389,959.61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694,979.80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53,850,523.60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5,140,826.65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9.55%</w:t>
            </w:r>
          </w:p>
        </w:tc>
      </w:tr>
    </w:tbl>
    <w:p>
      <w:pPr>
        <w:spacing w:line="357" w:lineRule="auto" w:before="51"/>
        <w:ind w:left="154" w:right="877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无</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512"/>
      <w:bookmarkEnd w:id="51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459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209,678.83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其中本期坏账准备转回或收回金额重要的：无</w:t>
      </w:r>
    </w:p>
    <w:p>
      <w:pPr>
        <w:spacing w:after="0" w:line="3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本期实际核销的其他应收款情况" w:id="513"/>
      <w:bookmarkEnd w:id="513"/>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其他应收款按款项性质分类情况" w:id="514"/>
      <w:bookmarkEnd w:id="514"/>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243,567.50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5,781,177.88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41,590,721.22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48,062,607.54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10,606,897.63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472,302.30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1,429,337.25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1,995,677.76</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53,870,523.60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56,311,765.48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名的其他应收款情况" w:id="515"/>
      <w:bookmarkEnd w:id="515"/>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中轨投资控股有限公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传富（杭州）置业有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1,488,503.28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44,655.10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淮南市产业发展（集 团）有限公司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1,483,000.00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44,490.00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苏州工业园区体育产 业发展有限公司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苏州工业园区体育产 业发展有限公司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江西康盛装饰集团有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10,071,503.28</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18.70%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418,145.10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516"/>
      <w:bookmarkEnd w:id="516"/>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因金融资产转移而终止确认的其他应收款" w:id="517"/>
      <w:bookmarkEnd w:id="517"/>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8）转移其他应收款且继续涉入形成的资产、负债金额" w:id="518"/>
      <w:bookmarkEnd w:id="518"/>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长期股权投资" w:id="519"/>
      <w:bookmarkEnd w:id="519"/>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1,664,077,834.62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1,664,077,834.62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1,603,332,226.34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1,603,332,226.34</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28,798,842.88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28,798,842.88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27,848,837.90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27,848,837.90</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1,692,876,677.50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1,692,876,677.50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1,631,181,064.24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1,631,181,064.24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520"/>
      <w:bookmarkEnd w:id="520"/>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上海达实自动化 工程有限公司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2,868,938.71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2,868,938.71</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深圳达实信息技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219,485,556.56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219,485,556.56</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北京达实德润能 源科技有限公司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13,754,391.72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13,754,391.72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上海达实联欣科 技发展有限公司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201,148,339.35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201,148,339.35</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深圳达实融资租 赁有限公司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遵义达实绿色智 慧发展有限公司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珠海达实科技发 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江苏达实久信医 疗科技有限公司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971,975,000.00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971,975,000.00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3"/>
              <w:jc w:val="both"/>
              <w:rPr>
                <w:rFonts w:ascii="宋体" w:hAnsi="宋体" w:cs="宋体" w:eastAsia="宋体" w:hint="default"/>
                <w:sz w:val="18"/>
                <w:szCs w:val="18"/>
              </w:rPr>
            </w:pPr>
            <w:r>
              <w:rPr>
                <w:rFonts w:ascii="宋体" w:hAnsi="宋体" w:cs="宋体" w:eastAsia="宋体" w:hint="default"/>
                <w:sz w:val="18"/>
                <w:szCs w:val="18"/>
              </w:rPr>
              <w:t>淮南达实智慧城 市投资发展有限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仁怀达实绿色智</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慧发展有限公司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深圳达实软件有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雄安达实智慧科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江苏洪泽湖达实 智慧医养有限公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1,603,332,226.34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13,754,391.72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1,664,077,834.62</w:t>
            </w:r>
            <w:r>
              <w:rPr>
                <w:rFonts w:ascii="Times New Roman"/>
                <w:sz w:val="18"/>
              </w:rPr>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521"/>
      <w:bookmarkEnd w:id="521"/>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41"/>
              <w:jc w:val="both"/>
              <w:rPr>
                <w:rFonts w:ascii="宋体" w:hAnsi="宋体" w:cs="宋体" w:eastAsia="宋体" w:hint="default"/>
                <w:sz w:val="18"/>
                <w:szCs w:val="18"/>
              </w:rPr>
            </w:pPr>
            <w:r>
              <w:rPr>
                <w:rFonts w:ascii="宋体" w:hAnsi="宋体" w:cs="宋体" w:eastAsia="宋体" w:hint="default"/>
                <w:sz w:val="18"/>
                <w:szCs w:val="18"/>
              </w:rPr>
              <w:t>深圳市小 鹿暖暖科 技有限公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9,028,920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-688,948.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8,339,972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融智节能 环保（深 圳）有限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8,810,924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73,189.13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8,884,113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山东茗信 股权投资 管理有限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10,008,99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2.59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285,764.0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10,294,75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泰山健康 保险股份 有限公司</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（筹）</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27,848,83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1,280,000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-329,995.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28,798,84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27,848,83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1,280,000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-329,995.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28,798,84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其他说明" w:id="522"/>
      <w:bookmarkEnd w:id="522"/>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营业收入和营业成本" w:id="523"/>
      <w:bookmarkEnd w:id="52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1,538,363,628.03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1,128,987,250.34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1,463,638,687.72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1,138,230,914.72</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676,169.04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441,337.92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1,539,039,797.07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1,128,987,250.34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1,464,080,025.64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1,138,230,914.72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5、投资收益" w:id="524"/>
      <w:bookmarkEnd w:id="52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40,057.65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-329,995.02</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-1,554,455.05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-8,325,000.00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6,645,004.98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-1,514,397.40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其他" w:id="525"/>
      <w:bookmarkEnd w:id="525"/>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八、补充资料" w:id="526"/>
      <w:bookmarkEnd w:id="526"/>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当期非经常性损益明细表" w:id="527"/>
      <w:bookmarkEnd w:id="52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-276,706.98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10,692,100.36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详见附注“营业外收入</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889,016.27</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478,711.53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482,837.91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1,256,358.89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10,043,924.38</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净资产收益率及每股收益" w:id="528"/>
      <w:bookmarkEnd w:id="52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0.1620</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0.1582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0.1568</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529"/>
      <w:bookmarkEnd w:id="529"/>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530"/>
      <w:bookmarkEnd w:id="530"/>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同时按照境外会计准则与按中国会计准则披露的财务报告中净利润和净资产差异情况" w:id="531"/>
      <w:bookmarkEnd w:id="531"/>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59" w:lineRule="auto"/>
        <w:ind w:left="153" w:right="0"/>
        <w:jc w:val="left"/>
        <w:rPr>
          <w:b w:val="0"/>
          <w:bCs w:val="0"/>
        </w:rPr>
      </w:pPr>
      <w:bookmarkStart w:name="（3）境内外会计准则下会计数据差异原因说明，对已经境外审计机构审计的数据进行差异" w:id="532"/>
      <w:bookmarkEnd w:id="532"/>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6"/>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其他" w:id="533"/>
      <w:bookmarkEnd w:id="533"/>
      <w:r>
        <w:rPr>
          <w:b w:val="0"/>
          <w:bCs w:val="0"/>
        </w:rPr>
      </w: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286" w:right="0"/>
        <w:jc w:val="left"/>
        <w:rPr>
          <w:b w:val="0"/>
          <w:bCs w:val="0"/>
        </w:rPr>
      </w:pPr>
      <w:bookmarkStart w:name="第十二节 备查文件目录" w:id="534"/>
      <w:bookmarkEnd w:id="534"/>
      <w:r>
        <w:rPr>
          <w:b w:val="0"/>
          <w:bCs w:val="0"/>
        </w:rPr>
      </w:r>
      <w:bookmarkStart w:name="_bookmark11" w:id="535"/>
      <w:bookmarkEnd w:id="535"/>
      <w:r>
        <w:rPr>
          <w:b w:val="0"/>
          <w:bCs w:val="0"/>
        </w:rPr>
      </w:r>
      <w:r>
        <w:rPr/>
        <w:t>第十二节</w:t>
      </w:r>
      <w:r>
        <w:rPr>
          <w:spacing w:val="-8"/>
        </w:rPr>
        <w:t> </w:t>
      </w:r>
      <w:r>
        <w:rPr/>
        <w:t>备查文件目录</w:t>
      </w:r>
      <w:r>
        <w:rPr>
          <w:b w:val="0"/>
          <w:bCs w:val="0"/>
        </w:rPr>
      </w:r>
    </w:p>
    <w:p>
      <w:pPr>
        <w:spacing w:line="240" w:lineRule="auto" w:before="8"/>
        <w:rPr>
          <w:rFonts w:ascii="宋体" w:hAnsi="宋体" w:cs="宋体" w:eastAsia="宋体" w:hint="default"/>
          <w:b/>
          <w:bCs/>
          <w:sz w:val="42"/>
          <w:szCs w:val="42"/>
        </w:rPr>
      </w:pPr>
    </w:p>
    <w:p>
      <w:pPr>
        <w:spacing w:line="350" w:lineRule="auto"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一、载有董事长刘磅先生签名的</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年年度报告全文及摘要。 二、载有公司法定代表人、主管会计工作负责人及会计机构负责人签名并盖章的财务报表。 三、载有会计师事务所、注册会计师签名并盖章的公司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年度审计报告。</w:t>
      </w:r>
    </w:p>
    <w:p>
      <w:pPr>
        <w:spacing w:line="302" w:lineRule="auto" w:before="9"/>
        <w:ind w:left="154" w:right="0" w:firstLine="0"/>
        <w:jc w:val="left"/>
        <w:rPr>
          <w:rFonts w:ascii="宋体" w:hAnsi="宋体" w:cs="宋体" w:eastAsia="宋体" w:hint="default"/>
          <w:sz w:val="18"/>
          <w:szCs w:val="18"/>
        </w:rPr>
      </w:pPr>
      <w:r>
        <w:rPr>
          <w:rFonts w:ascii="宋体" w:hAnsi="宋体" w:cs="宋体" w:eastAsia="宋体" w:hint="default"/>
          <w:sz w:val="18"/>
          <w:szCs w:val="18"/>
        </w:rPr>
        <w:t>四、报告期内在《中国证券报》、《证券时报》及指定信息披露网站巨潮网（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）上披露的所有公司文件</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的正本及公告的原稿。</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30528" type="#_x0000_t75" stroked="false">
          <v:imagedata r:id="rId1" o:title=""/>
        </v:shape>
      </w:pict>
    </w:r>
    <w:r>
      <w:rPr/>
      <w:pict>
        <v:shape style="position:absolute;margin-left:533.179993pt;margin-top:795.517944pt;width:6.5pt;height:11pt;mso-position-horizontal-relative:page;mso-position-vertical-relative:page;z-index:-10305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30480" type="#_x0000_t75" stroked="false">
          <v:imagedata r:id="rId1" o:title=""/>
        </v:shape>
      </w:pict>
    </w:r>
    <w:r>
      <w:rPr/>
      <w:pict>
        <v:shape style="position:absolute;margin-left:527.679993pt;margin-top:781.957947pt;width:13pt;height:11pt;mso-position-horizontal-relative:page;mso-position-vertical-relative:page;z-index:-1030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30432" type="#_x0000_t75" stroked="false">
          <v:imagedata r:id="rId1" o:title=""/>
        </v:shape>
      </w:pict>
    </w:r>
    <w:r>
      <w:rPr/>
      <w:pict>
        <v:shape style="position:absolute;margin-left:527.679993pt;margin-top:781.957947pt;width:13pt;height:11pt;mso-position-horizontal-relative:page;mso-position-vertical-relative:page;z-index:-1030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30384" type="#_x0000_t75" stroked="false">
          <v:imagedata r:id="rId1" o:title=""/>
        </v:shape>
      </w:pict>
    </w:r>
    <w:r>
      <w:rPr/>
      <w:pict>
        <v:shape style="position:absolute;margin-left:524.179993pt;margin-top:781.957947pt;width:15.5pt;height:11pt;mso-position-horizontal-relative:page;mso-position-vertical-relative:page;z-index:-10303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30336" type="#_x0000_t75" stroked="false">
          <v:imagedata r:id="rId1" o:title=""/>
        </v:shape>
      </w:pict>
    </w:r>
    <w:r>
      <w:rPr/>
      <w:pict>
        <v:shape style="position:absolute;margin-left:523.179993pt;margin-top:781.957947pt;width:17.5pt;height:11pt;mso-position-horizontal-relative:page;mso-position-vertical-relative:page;z-index:-1030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30288" type="#_x0000_t75" stroked="false">
          <v:imagedata r:id="rId1" o:title=""/>
        </v:shape>
      </w:pict>
    </w:r>
    <w:r>
      <w:rPr/>
      <w:pict>
        <v:shape style="position:absolute;margin-left:55.700001pt;margin-top:755.12561pt;width:11pt;height:11pt;mso-position-horizontal-relative:page;mso-position-vertical-relative:page;z-index:-10302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无</w:t>
                </w:r>
              </w:p>
            </w:txbxContent>
          </v:textbox>
          <w10:wrap type="none"/>
        </v:shape>
      </w:pict>
    </w:r>
    <w:r>
      <w:rPr/>
      <w:pict>
        <v:shape style="position:absolute;margin-left:523.179993pt;margin-top:781.957947pt;width:17.5pt;height:11pt;mso-position-horizontal-relative:page;mso-position-vertical-relative:page;z-index:-1030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30216" type="#_x0000_t75" stroked="false">
          <v:imagedata r:id="rId1" o:title=""/>
        </v:shape>
      </w:pict>
    </w:r>
    <w:r>
      <w:rPr/>
      <w:pict>
        <v:shape style="position:absolute;margin-left:523.179993pt;margin-top:781.957947pt;width:17.5pt;height:11pt;mso-position-horizontal-relative:page;mso-position-vertical-relative:page;z-index:-1030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10305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深圳达实智能股份有限公司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93"/>
      <w:ind w:left="153"/>
    </w:pPr>
    <w:rPr>
      <w:rFonts w:ascii="宋体" w:hAnsi="宋体" w:eastAsia="宋体"/>
      <w:b/>
      <w:bCs/>
      <w:sz w:val="24"/>
      <w:szCs w:val="24"/>
    </w:rPr>
  </w:style>
  <w:style w:styleId="BodyText" w:type="paragraph">
    <w:name w:val="Body Text"/>
    <w:basedOn w:val="Normal"/>
    <w:uiPriority w:val="1"/>
    <w:qFormat/>
    <w:pPr>
      <w:spacing w:before="7"/>
      <w:ind w:left="153"/>
    </w:pPr>
    <w:rPr>
      <w:rFonts w:ascii="宋体" w:hAnsi="宋体" w:eastAsia="宋体"/>
      <w:sz w:val="21"/>
      <w:szCs w:val="21"/>
    </w:rPr>
  </w:style>
  <w:style w:styleId="Heading1" w:type="paragraph">
    <w:name w:val="Heading 1"/>
    <w:basedOn w:val="Normal"/>
    <w:uiPriority w:val="1"/>
    <w:qFormat/>
    <w:pPr>
      <w:spacing w:before="1"/>
      <w:ind w:left="774"/>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chn-das.com/" TargetMode="External"/><Relationship Id="rId10" Type="http://schemas.openxmlformats.org/officeDocument/2006/relationships/hyperlink" Target="mailto:das@chn-das.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image" Target="media/image4.jpeg"/><Relationship Id="rId17" Type="http://schemas.openxmlformats.org/officeDocument/2006/relationships/footer" Target="footer6.xml"/><Relationship Id="rId18"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深圳达实智能股份有限公司</dc:creator>
  <dc:title>深圳达实智能股份有限公司2017年年度报告全文</dc:title>
  <dcterms:created xsi:type="dcterms:W3CDTF">2020-05-02T22:23:44Z</dcterms:created>
  <dcterms:modified xsi:type="dcterms:W3CDTF">2020-05-02T22:23:44Z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2018-03-30T00:00:00Z</vt:filetime>
  </property>
  <property fmtid="{D5CDD505-2E9C-101B-9397-08002B2CF9AE}" pid="3" name="Creator">
    <vt:lpwstr>Microsoft® Office Word 2007</vt:lpwstr>
  </property>
  <property fmtid="{D5CDD505-2E9C-101B-9397-08002B2CF9AE}" pid="4" name="LastSaved">
    <vt:filetime>2020-05-02T00:00:00Z</vt:filetime>
  </property>
</Properties>
</file>