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51.059982pt;width:485pt;height:.1pt;mso-position-horizontal-relative:page;mso-position-vertical-relative:page;z-index:0" coordorigin="1104,1021" coordsize="9700,2">
            <v:shape style="position:absolute;left:1104;top:1021;width:9700;height:2" coordorigin="1104,1021" coordsize="9700,0" path="m1104,1021l10804,1021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spacing w:line="540" w:lineRule="exact" w:before="0"/>
        <w:ind w:left="135" w:right="1109" w:firstLine="0"/>
        <w:jc w:val="center"/>
        <w:rPr>
          <w:rFonts w:ascii="黑体" w:hAnsi="黑体" w:cs="黑体" w:eastAsia="黑体" w:hint="default"/>
          <w:sz w:val="44"/>
          <w:szCs w:val="44"/>
        </w:rPr>
      </w:pPr>
      <w:r>
        <w:rPr>
          <w:rFonts w:ascii="黑体" w:hAnsi="黑体" w:cs="黑体" w:eastAsia="黑体" w:hint="default"/>
          <w:sz w:val="44"/>
          <w:szCs w:val="44"/>
        </w:rPr>
        <w:t>深圳达实智能股份有限公司</w:t>
      </w:r>
    </w:p>
    <w:p>
      <w:pPr>
        <w:spacing w:before="35"/>
        <w:ind w:left="135" w:right="1112" w:firstLine="0"/>
        <w:jc w:val="center"/>
        <w:rPr>
          <w:rFonts w:ascii="黑体" w:hAnsi="黑体" w:cs="黑体" w:eastAsia="黑体" w:hint="default"/>
          <w:sz w:val="44"/>
          <w:szCs w:val="44"/>
        </w:rPr>
      </w:pPr>
      <w:r>
        <w:rPr>
          <w:rFonts w:ascii="黑体" w:hAnsi="黑体" w:cs="黑体" w:eastAsia="黑体" w:hint="default"/>
          <w:sz w:val="44"/>
          <w:szCs w:val="44"/>
        </w:rPr>
        <w:t>（</w:t>
      </w:r>
      <w:r>
        <w:rPr>
          <w:rFonts w:ascii="黑体" w:hAnsi="黑体" w:cs="黑体" w:eastAsia="黑体" w:hint="default"/>
          <w:sz w:val="44"/>
          <w:szCs w:val="44"/>
        </w:rPr>
        <w:t>SHENZHEN DAS INTELLITECH CO.,</w:t>
      </w:r>
      <w:r>
        <w:rPr>
          <w:rFonts w:ascii="黑体" w:hAnsi="黑体" w:cs="黑体" w:eastAsia="黑体" w:hint="default"/>
          <w:spacing w:val="1"/>
          <w:sz w:val="44"/>
          <w:szCs w:val="44"/>
        </w:rPr>
        <w:t> </w:t>
      </w:r>
      <w:r>
        <w:rPr>
          <w:rFonts w:ascii="黑体" w:hAnsi="黑体" w:cs="黑体" w:eastAsia="黑体" w:hint="default"/>
          <w:sz w:val="44"/>
          <w:szCs w:val="44"/>
        </w:rPr>
        <w:t>LTD.</w:t>
      </w:r>
      <w:r>
        <w:rPr>
          <w:rFonts w:ascii="黑体" w:hAnsi="黑体" w:cs="黑体" w:eastAsia="黑体" w:hint="default"/>
          <w:sz w:val="44"/>
          <w:szCs w:val="44"/>
        </w:rPr>
        <w:t>）</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11"/>
        <w:rPr>
          <w:rFonts w:ascii="黑体" w:hAnsi="黑体" w:cs="黑体" w:eastAsia="黑体" w:hint="default"/>
          <w:sz w:val="14"/>
          <w:szCs w:val="14"/>
        </w:rPr>
      </w:pPr>
    </w:p>
    <w:p>
      <w:pPr>
        <w:spacing w:line="1231" w:lineRule="exact"/>
        <w:ind w:left="2909" w:right="0" w:firstLine="0"/>
        <w:rPr>
          <w:rFonts w:ascii="黑体" w:hAnsi="黑体" w:cs="黑体" w:eastAsia="黑体" w:hint="default"/>
          <w:sz w:val="20"/>
          <w:szCs w:val="20"/>
        </w:rPr>
      </w:pPr>
      <w:r>
        <w:rPr>
          <w:rFonts w:ascii="黑体" w:hAnsi="黑体" w:cs="黑体" w:eastAsia="黑体" w:hint="default"/>
          <w:position w:val="-24"/>
          <w:sz w:val="20"/>
          <w:szCs w:val="20"/>
        </w:rPr>
        <w:drawing>
          <wp:inline distT="0" distB="0" distL="0" distR="0">
            <wp:extent cx="2616819" cy="781812"/>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2616819" cy="781812"/>
                    </a:xfrm>
                    <a:prstGeom prst="rect">
                      <a:avLst/>
                    </a:prstGeom>
                  </pic:spPr>
                </pic:pic>
              </a:graphicData>
            </a:graphic>
          </wp:inline>
        </w:drawing>
      </w:r>
      <w:r>
        <w:rPr>
          <w:rFonts w:ascii="黑体" w:hAnsi="黑体" w:cs="黑体" w:eastAsia="黑体" w:hint="default"/>
          <w:position w:val="-24"/>
          <w:sz w:val="20"/>
          <w:szCs w:val="20"/>
        </w:rPr>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spacing w:line="240" w:lineRule="auto" w:before="3"/>
        <w:rPr>
          <w:rFonts w:ascii="黑体" w:hAnsi="黑体" w:cs="黑体" w:eastAsia="黑体" w:hint="default"/>
          <w:sz w:val="22"/>
          <w:szCs w:val="22"/>
        </w:rPr>
      </w:pPr>
    </w:p>
    <w:p>
      <w:pPr>
        <w:spacing w:line="659" w:lineRule="exact" w:before="0"/>
        <w:ind w:left="135" w:right="1111" w:firstLine="0"/>
        <w:jc w:val="center"/>
        <w:rPr>
          <w:rFonts w:ascii="宋体" w:hAnsi="宋体" w:cs="宋体" w:eastAsia="宋体" w:hint="default"/>
          <w:sz w:val="52"/>
          <w:szCs w:val="52"/>
        </w:rPr>
      </w:pPr>
      <w:r>
        <w:rPr>
          <w:rFonts w:ascii="Times New Roman" w:hAnsi="Times New Roman" w:cs="Times New Roman" w:eastAsia="Times New Roman" w:hint="default"/>
          <w:b/>
          <w:bCs/>
          <w:sz w:val="52"/>
          <w:szCs w:val="52"/>
        </w:rPr>
        <w:t>2018</w:t>
      </w:r>
      <w:r>
        <w:rPr>
          <w:rFonts w:ascii="Times New Roman" w:hAnsi="Times New Roman" w:cs="Times New Roman" w:eastAsia="Times New Roman" w:hint="default"/>
          <w:b/>
          <w:bCs/>
          <w:spacing w:val="-2"/>
          <w:sz w:val="52"/>
          <w:szCs w:val="52"/>
        </w:rPr>
        <w:t> </w:t>
      </w:r>
      <w:r>
        <w:rPr>
          <w:rFonts w:ascii="宋体" w:hAnsi="宋体" w:cs="宋体" w:eastAsia="宋体" w:hint="default"/>
          <w:b/>
          <w:bCs/>
          <w:sz w:val="52"/>
          <w:szCs w:val="52"/>
        </w:rPr>
        <w:t>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0"/>
        <w:rPr>
          <w:rFonts w:ascii="宋体" w:hAnsi="宋体" w:cs="宋体" w:eastAsia="宋体" w:hint="default"/>
          <w:b/>
          <w:bCs/>
          <w:sz w:val="54"/>
          <w:szCs w:val="54"/>
        </w:rPr>
      </w:pPr>
    </w:p>
    <w:p>
      <w:pPr>
        <w:spacing w:line="240" w:lineRule="auto" w:before="3"/>
        <w:rPr>
          <w:rFonts w:ascii="宋体" w:hAnsi="宋体" w:cs="宋体" w:eastAsia="宋体" w:hint="default"/>
          <w:b/>
          <w:bCs/>
          <w:sz w:val="54"/>
          <w:szCs w:val="54"/>
        </w:rPr>
      </w:pPr>
    </w:p>
    <w:p>
      <w:pPr>
        <w:spacing w:before="0"/>
        <w:ind w:left="135" w:right="111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7" w:footer="1019" w:top="1100" w:bottom="120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5"/>
          <w:szCs w:val="15"/>
        </w:rPr>
      </w:pPr>
    </w:p>
    <w:p>
      <w:pPr>
        <w:pStyle w:val="Heading1"/>
        <w:spacing w:line="240" w:lineRule="auto"/>
        <w:ind w:left="2805" w:right="0"/>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0"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7"/>
          <w:w w:val="95"/>
          <w:sz w:val="28"/>
          <w:szCs w:val="28"/>
        </w:rPr>
        <w:t> </w:t>
      </w:r>
      <w:r>
        <w:rPr>
          <w:rFonts w:ascii="宋体" w:hAnsi="宋体" w:cs="宋体" w:eastAsia="宋体" w:hint="default"/>
          <w:b/>
          <w:bCs/>
          <w:spacing w:val="27"/>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公司负责人刘磅、主管会计工作负责人黄天朗及会计机构负责人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黄庆明声明：保证年度报告中财务报告的真实、准确、完整。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本年度报告中涉及的公司未来计划等前瞻性陈述，不构成对投资者的实质</w:t>
      </w:r>
      <w:r>
        <w:rPr>
          <w:rFonts w:ascii="宋体" w:hAnsi="宋体" w:cs="宋体" w:eastAsia="宋体" w:hint="default"/>
          <w:spacing w:val="3"/>
          <w:sz w:val="28"/>
          <w:szCs w:val="28"/>
        </w:rPr>
      </w:r>
    </w:p>
    <w:p>
      <w:pPr>
        <w:spacing w:line="410" w:lineRule="auto" w:before="0"/>
        <w:ind w:left="154" w:right="0" w:firstLine="0"/>
        <w:jc w:val="left"/>
        <w:rPr>
          <w:rFonts w:ascii="宋体" w:hAnsi="宋体" w:cs="宋体" w:eastAsia="宋体" w:hint="default"/>
          <w:sz w:val="28"/>
          <w:szCs w:val="28"/>
        </w:rPr>
      </w:pPr>
      <w:r>
        <w:rPr>
          <w:rFonts w:ascii="宋体" w:hAnsi="宋体" w:cs="宋体" w:eastAsia="宋体" w:hint="default"/>
          <w:b/>
          <w:bCs/>
          <w:spacing w:val="3"/>
          <w:w w:val="95"/>
          <w:sz w:val="28"/>
          <w:szCs w:val="28"/>
        </w:rPr>
        <w:t>承诺，请投资者及相关人士对此保持足够的风险认识，理解计划、预测与承诺</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之间的差异。</w:t>
      </w:r>
      <w:r>
        <w:rPr>
          <w:rFonts w:ascii="宋体" w:hAnsi="宋体" w:cs="宋体" w:eastAsia="宋体" w:hint="default"/>
          <w:sz w:val="28"/>
          <w:szCs w:val="28"/>
        </w:rPr>
      </w:r>
    </w:p>
    <w:p>
      <w:pPr>
        <w:spacing w:line="398" w:lineRule="auto" w:before="158"/>
        <w:ind w:left="154" w:right="1132"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公司在本报告</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第四节经营情况讨论与分析</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之</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九、公司未来发展的展望</w:t>
      </w:r>
      <w:r>
        <w:rPr>
          <w:rFonts w:ascii="Times New Roman" w:hAnsi="Times New Roman" w:cs="Times New Roman" w:eastAsia="Times New Roman" w:hint="default"/>
          <w:b/>
          <w:bCs/>
          <w:spacing w:val="3"/>
          <w:w w:val="95"/>
          <w:sz w:val="28"/>
          <w:szCs w:val="28"/>
        </w:rPr>
        <w:t>”</w:t>
      </w:r>
      <w:r>
        <w:rPr>
          <w:rFonts w:ascii="Times New Roman" w:hAnsi="Times New Roman" w:cs="Times New Roman" w:eastAsia="Times New Roman" w:hint="default"/>
          <w:b/>
          <w:bCs/>
          <w:w w:val="99"/>
          <w:sz w:val="28"/>
          <w:szCs w:val="28"/>
        </w:rPr>
        <w:t> </w:t>
      </w:r>
      <w:r>
        <w:rPr>
          <w:rFonts w:ascii="宋体" w:hAnsi="宋体" w:cs="宋体" w:eastAsia="宋体" w:hint="default"/>
          <w:b/>
          <w:bCs/>
          <w:spacing w:val="3"/>
          <w:w w:val="95"/>
          <w:sz w:val="28"/>
          <w:szCs w:val="28"/>
        </w:rPr>
        <w:t>部分详细描述了公司未来经营中可能存在的风险及应对措施，敬请投资者关注</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相关内容。</w:t>
      </w:r>
      <w:r>
        <w:rPr>
          <w:rFonts w:ascii="宋体" w:hAnsi="宋体" w:cs="宋体" w:eastAsia="宋体" w:hint="default"/>
          <w:sz w:val="28"/>
          <w:szCs w:val="28"/>
        </w:rPr>
      </w:r>
    </w:p>
    <w:p>
      <w:pPr>
        <w:spacing w:before="172"/>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1019" w:header="787" w:top="1100" w:bottom="120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spacing w:line="460" w:lineRule="exact" w:before="0"/>
        <w:ind w:left="135" w:right="111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17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78</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t>86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t>87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0"/>
              </w:rPr>
              <w:t> </w:t>
            </w:r>
            <w:r>
              <w:rPr/>
              <w:t>备查文件目录</w:t>
            </w:r>
            <w:r>
              <w:rPr>
                <w:rFonts w:ascii="Times New Roman" w:hAnsi="Times New Roman" w:cs="Times New Roman" w:eastAsia="Times New Roman" w:hint="default"/>
              </w:rPr>
              <w:tab/>
              <w:t>220</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87" w:footer="1019" w:top="1100" w:bottom="1200" w:left="980" w:right="0"/>
        </w:sectPr>
      </w:pPr>
    </w:p>
    <w:p>
      <w:pPr>
        <w:spacing w:before="905"/>
        <w:ind w:left="135" w:right="111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深圳达实智能股份有限公司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达实信息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深圳达实信息技术有限公司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达实联欣</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上海达实联欣科技发展有限公司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久信医疗</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江苏达实久信医疗科技有限公司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达实租赁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深圳达实融资租赁有限公司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融智节能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融智节能环保（深圳）有限公司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雄安达实</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雄安达实智慧科技有限公司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达实投资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拉萨市达实投资发展有限公司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臻龙投资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上海臻龙投资管理合伙企业（有限合伙）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桃江达实</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湖南桃江达实智慧医养有限公司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达实物业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深圳达实物业服务有限公司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达实医疗</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深圳达实智慧医疗有限公司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达实科技（成都）</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达实智能科技（成都）有限公司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小鹿暖暖</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深圳市小鹿暖暖科技有限公司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淮南达实</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淮南达实智慧城市投资发展有限公司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成都聚雅</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成都聚雅医信科技有限公司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合肥达实信息</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合肥达实信息科技有限公司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员工持股计划</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创金合信</w:t>
            </w:r>
            <w:r>
              <w:rPr>
                <w:rFonts w:ascii="Times New Roman" w:hAnsi="Times New Roman" w:cs="Times New Roman" w:eastAsia="Times New Roman" w:hint="default"/>
                <w:sz w:val="18"/>
                <w:szCs w:val="18"/>
              </w:rPr>
              <w:t>-</w:t>
            </w:r>
            <w:r>
              <w:rPr>
                <w:rFonts w:ascii="宋体" w:hAnsi="宋体" w:cs="宋体" w:eastAsia="宋体" w:hint="default"/>
                <w:sz w:val="18"/>
                <w:szCs w:val="18"/>
              </w:rPr>
              <w:t>达实智能</w:t>
            </w:r>
            <w:r>
              <w:rPr>
                <w:rFonts w:ascii="Times New Roman" w:hAnsi="Times New Roman" w:cs="Times New Roman" w:eastAsia="Times New Roman" w:hint="default"/>
                <w:sz w:val="18"/>
                <w:szCs w:val="18"/>
              </w:rPr>
              <w:t>-</w:t>
            </w:r>
            <w:r>
              <w:rPr>
                <w:rFonts w:ascii="宋体" w:hAnsi="宋体" w:cs="宋体" w:eastAsia="宋体" w:hint="default"/>
                <w:sz w:val="18"/>
                <w:szCs w:val="18"/>
              </w:rPr>
              <w:t>员工持股计划</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号特定多客户资产管理计划</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87" w:footer="1019" w:top="1100" w:bottom="120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1176688"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1"/>
        <w:spacing w:line="240" w:lineRule="auto"/>
        <w:ind w:left="2644" w:right="0"/>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9"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达实智能</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002421</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深圳达实智能股份有限公司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达实智能</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SHENZHEN DAS INTELLITECH CO.,</w:t>
            </w:r>
            <w:r>
              <w:rPr>
                <w:rFonts w:ascii="Times New Roman"/>
                <w:spacing w:val="-2"/>
                <w:sz w:val="18"/>
              </w:rPr>
              <w:t> </w:t>
            </w:r>
            <w:r>
              <w:rPr>
                <w:rFonts w:ascii="Times New Roman"/>
                <w:spacing w:val="-5"/>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DAS</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刘磅</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深圳市南山区高新技术村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W1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座五楼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深圳市南山区高新技术产业园达实智能大厦</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http://www.chn-das.com/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das@chn-das.com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387"/>
        <w:gridCol w:w="3557"/>
        <w:gridCol w:w="3615"/>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5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李硕</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5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深圳市南山区高新技术产业园达实智能大厦</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深圳市南山区高新技术产业园达实智能大厦</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5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0755-26525166</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0755-26525166</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5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0755-26639599</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0755-26639599</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5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das@chn-das.com</w:t>
              </w:r>
            </w:hyperlink>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das@chn-das.com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87" w:footer="1019" w:top="1100" w:bottom="1200" w:left="980" w:right="0"/>
        </w:sectPr>
      </w:pPr>
    </w:p>
    <w:p>
      <w:pPr>
        <w:spacing w:line="240" w:lineRule="auto" w:before="8"/>
        <w:rPr>
          <w:rFonts w:ascii="宋体" w:hAnsi="宋体" w:cs="宋体" w:eastAsia="宋体" w:hint="default"/>
          <w:b/>
          <w:bCs/>
          <w:sz w:val="20"/>
          <w:szCs w:val="20"/>
        </w:rPr>
      </w:pPr>
    </w:p>
    <w:p>
      <w:pPr>
        <w:pStyle w:val="Heading2"/>
        <w:spacing w:line="240" w:lineRule="auto" w:before="26"/>
        <w:ind w:right="0"/>
        <w:jc w:val="left"/>
        <w:rPr>
          <w:b w:val="0"/>
          <w:bCs w:val="0"/>
        </w:rPr>
      </w:pPr>
      <w:bookmarkStart w:name="四、注册变更情况" w:id="7"/>
      <w:bookmarkEnd w:id="7"/>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914403006188861815</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其他有关资料" w:id="8"/>
      <w:bookmarkEnd w:id="8"/>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北京西直门外大街</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号中糖大厦</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潘忠民、蔡宏亮</w:t>
            </w:r>
          </w:p>
        </w:tc>
      </w:tr>
    </w:tbl>
    <w:p>
      <w:pPr>
        <w:pStyle w:val="BodyText"/>
        <w:spacing w:line="240" w:lineRule="auto" w:before="51"/>
        <w:ind w:right="0"/>
        <w:jc w:val="left"/>
      </w:pPr>
      <w:r>
        <w:rPr/>
        <w:t>公司聘请的报告期内履行持续督导职责的保荐机构</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六、主要会计数据和财务指标" w:id="9"/>
      <w:bookmarkEnd w:id="9"/>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2,527,415,275.10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2,572,487,726.02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2,457,015,465.82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216,769,784.07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311,825,825.86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275,495,429.54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220,049,335.02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301,781,901.48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257,377,655.51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-190,975,018.52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210,127,345.54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-190.89%</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-14,817,709.65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0.1137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0.1635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-30.46%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0.1453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0.1133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0.1620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0.1429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6,765,000,908.12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5,457,255,340.93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23.96%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4,830,628,787.43</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3,206,812,490.08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3,097,333,238.78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2,810,355,064.15</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8"/>
        <w:rPr>
          <w:rFonts w:ascii="宋体" w:hAnsi="宋体" w:cs="宋体" w:eastAsia="宋体" w:hint="default"/>
          <w:sz w:val="20"/>
          <w:szCs w:val="20"/>
        </w:rPr>
      </w:pPr>
    </w:p>
    <w:p>
      <w:pPr>
        <w:pStyle w:val="Heading2"/>
        <w:spacing w:line="240" w:lineRule="auto" w:before="26"/>
        <w:ind w:right="0"/>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84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3"/>
      <w:bookmarkEnd w:id="13"/>
      <w:r>
        <w:rPr>
          <w:b w:val="0"/>
          <w:bCs w:val="0"/>
        </w:rPr>
      </w: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378,011,914.72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665,099,980.29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743,695,886.80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740,607,493.29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35,772,575.55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60,892,916.04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59,172,450.53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60,931,841.95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31,021,966.67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60,044,228.80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72,245,527.13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56,737,612.42</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-257,203,015.84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-156,629,035.57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57,817,138.92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165,039,893.97</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非经常性损益项目及金额" w:id="14"/>
      <w:bookmarkEnd w:id="14"/>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-13,292,080.35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-276,706.98</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19,934,610.36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4"/>
              <w:jc w:val="left"/>
              <w:rPr>
                <w:rFonts w:ascii="宋体" w:hAnsi="宋体" w:cs="宋体" w:eastAsia="宋体" w:hint="default"/>
                <w:sz w:val="18"/>
                <w:szCs w:val="18"/>
              </w:rPr>
            </w:pPr>
            <w:r>
              <w:rPr>
                <w:rFonts w:ascii="宋体" w:hAnsi="宋体" w:cs="宋体" w:eastAsia="宋体" w:hint="default"/>
                <w:sz w:val="18"/>
                <w:szCs w:val="18"/>
              </w:rPr>
              <w:t>固定资产及长期股权 投资处置损益</w:t>
            </w: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16,369,783.92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10,692,100.36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14,614,168.17</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3" w:right="20"/>
              <w:jc w:val="left"/>
              <w:rPr>
                <w:rFonts w:ascii="Times New Roman" w:hAnsi="Times New Roman" w:cs="Times New Roman" w:eastAsia="Times New Roman" w:hint="default"/>
                <w:sz w:val="18"/>
                <w:szCs w:val="18"/>
              </w:rPr>
            </w:pPr>
            <w:r>
              <w:rPr>
                <w:rFonts w:ascii="宋体" w:hAnsi="宋体" w:cs="宋体" w:eastAsia="宋体" w:hint="default"/>
                <w:spacing w:val="-10"/>
                <w:w w:val="99"/>
                <w:sz w:val="18"/>
                <w:szCs w:val="18"/>
              </w:rPr>
              <w:t>参见</w:t>
            </w:r>
            <w:r>
              <w:rPr>
                <w:rFonts w:ascii="Times New Roman" w:hAnsi="Times New Roman" w:cs="Times New Roman" w:eastAsia="Times New Roman" w:hint="default"/>
                <w:spacing w:val="-10"/>
                <w:w w:val="99"/>
                <w:sz w:val="18"/>
                <w:szCs w:val="18"/>
              </w:rPr>
              <w:t>"</w:t>
            </w:r>
            <w:r>
              <w:rPr>
                <w:rFonts w:ascii="宋体" w:hAnsi="宋体" w:cs="宋体" w:eastAsia="宋体" w:hint="default"/>
                <w:spacing w:val="-10"/>
                <w:w w:val="99"/>
                <w:sz w:val="18"/>
                <w:szCs w:val="18"/>
              </w:rPr>
              <w:t>附注七、</w:t>
            </w:r>
            <w:r>
              <w:rPr>
                <w:rFonts w:ascii="Times New Roman" w:hAnsi="Times New Roman" w:cs="Times New Roman" w:eastAsia="Times New Roman" w:hint="default"/>
                <w:spacing w:val="-10"/>
                <w:w w:val="99"/>
                <w:sz w:val="18"/>
                <w:szCs w:val="18"/>
              </w:rPr>
              <w:t>42</w:t>
            </w:r>
            <w:r>
              <w:rPr>
                <w:rFonts w:ascii="Times New Roman" w:hAnsi="Times New Roman" w:cs="Times New Roman" w:eastAsia="Times New Roman" w:hint="default"/>
                <w:spacing w:val="2"/>
                <w:w w:val="99"/>
                <w:sz w:val="18"/>
                <w:szCs w:val="18"/>
              </w:rPr>
              <w:t> </w:t>
            </w:r>
            <w:r>
              <w:rPr>
                <w:rFonts w:ascii="宋体" w:hAnsi="宋体" w:cs="宋体" w:eastAsia="宋体" w:hint="default"/>
                <w:sz w:val="18"/>
                <w:szCs w:val="18"/>
              </w:rPr>
              <w:t>其他 收益</w:t>
            </w:r>
            <w:r>
              <w:rPr>
                <w:rFonts w:ascii="Times New Roman" w:hAnsi="Times New Roman" w:cs="Times New Roman" w:eastAsia="Times New Roman" w:hint="default"/>
                <w:sz w:val="18"/>
                <w:szCs w:val="18"/>
              </w:rPr>
              <w:t>"</w:t>
            </w:r>
          </w:p>
        </w:tc>
      </w:tr>
      <w:tr>
        <w:trPr>
          <w:trHeight w:val="161"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-1,327,659.56</w:t>
            </w:r>
          </w:p>
        </w:tc>
        <w:tc>
          <w:tcPr>
            <w:tcW w:w="1520" w:type="dxa"/>
            <w:vMerge w:val="restart"/>
            <w:tcBorders>
              <w:top w:val="single" w:sz="4" w:space="0" w:color="000000"/>
              <w:left w:val="single" w:sz="4" w:space="0" w:color="000000"/>
              <w:right w:val="single" w:sz="4" w:space="0" w:color="000000"/>
            </w:tcBorders>
          </w:tcPr>
          <w:p>
            <w:pPr/>
          </w:p>
        </w:tc>
        <w:tc>
          <w:tcPr>
            <w:tcW w:w="1522" w:type="dxa"/>
            <w:vMerge w:val="restart"/>
            <w:tcBorders>
              <w:top w:val="single" w:sz="4" w:space="0" w:color="000000"/>
              <w:left w:val="single" w:sz="4" w:space="0" w:color="000000"/>
              <w:right w:val="single" w:sz="4" w:space="0" w:color="000000"/>
            </w:tcBorders>
          </w:tcPr>
          <w:p>
            <w:pPr/>
          </w:p>
        </w:tc>
        <w:tc>
          <w:tcPr>
            <w:tcW w:w="1710" w:type="dxa"/>
            <w:vMerge w:val="restart"/>
            <w:tcBorders>
              <w:top w:val="single" w:sz="4" w:space="0" w:color="000000"/>
              <w:left w:val="single" w:sz="4" w:space="0" w:color="000000"/>
              <w:right w:val="single" w:sz="4" w:space="0" w:color="000000"/>
            </w:tcBorders>
          </w:tcPr>
          <w:p>
            <w:pPr>
              <w:pStyle w:val="TableParagraph"/>
              <w:spacing w:line="302"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pacing w:val="-10"/>
                <w:w w:val="99"/>
                <w:sz w:val="18"/>
                <w:szCs w:val="18"/>
              </w:rPr>
              <w:t>参见</w:t>
            </w:r>
            <w:r>
              <w:rPr>
                <w:rFonts w:ascii="Times New Roman" w:hAnsi="Times New Roman" w:cs="Times New Roman" w:eastAsia="Times New Roman" w:hint="default"/>
                <w:spacing w:val="-10"/>
                <w:w w:val="99"/>
                <w:sz w:val="18"/>
                <w:szCs w:val="18"/>
              </w:rPr>
              <w:t>"</w:t>
            </w:r>
            <w:r>
              <w:rPr>
                <w:rFonts w:ascii="宋体" w:hAnsi="宋体" w:cs="宋体" w:eastAsia="宋体" w:hint="default"/>
                <w:spacing w:val="-10"/>
                <w:w w:val="99"/>
                <w:sz w:val="18"/>
                <w:szCs w:val="18"/>
              </w:rPr>
              <w:t>附注七、</w:t>
            </w:r>
            <w:r>
              <w:rPr>
                <w:rFonts w:ascii="Times New Roman" w:hAnsi="Times New Roman" w:cs="Times New Roman" w:eastAsia="Times New Roman" w:hint="default"/>
                <w:spacing w:val="-10"/>
                <w:w w:val="99"/>
                <w:sz w:val="18"/>
                <w:szCs w:val="18"/>
              </w:rPr>
              <w:t>46</w:t>
            </w:r>
            <w:r>
              <w:rPr>
                <w:rFonts w:ascii="Times New Roman" w:hAnsi="Times New Roman" w:cs="Times New Roman" w:eastAsia="Times New Roman" w:hint="default"/>
                <w:spacing w:val="2"/>
                <w:w w:val="99"/>
                <w:sz w:val="18"/>
                <w:szCs w:val="18"/>
              </w:rPr>
              <w:t> </w:t>
            </w:r>
            <w:r>
              <w:rPr>
                <w:rFonts w:ascii="宋体" w:hAnsi="宋体" w:cs="宋体" w:eastAsia="宋体" w:hint="default"/>
                <w:sz w:val="18"/>
                <w:szCs w:val="18"/>
              </w:rPr>
              <w:t>营业 外支出</w:t>
            </w:r>
            <w:r>
              <w:rPr>
                <w:rFonts w:ascii="Times New Roman" w:hAnsi="Times New Roman" w:cs="Times New Roman" w:eastAsia="Times New Roman" w:hint="default"/>
                <w:sz w:val="18"/>
                <w:szCs w:val="18"/>
              </w:rPr>
              <w:t>"</w:t>
            </w:r>
          </w:p>
        </w:tc>
      </w:tr>
      <w:tr>
        <w:trPr>
          <w:trHeight w:val="392"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32" w:type="dxa"/>
            <w:vMerge/>
            <w:tcBorders>
              <w:left w:val="single" w:sz="10"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61"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10"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889,016.27</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42" w:hRule="exact"/>
        </w:trPr>
        <w:tc>
          <w:tcPr>
            <w:tcW w:w="3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vMerge w:val="restart"/>
            <w:tcBorders>
              <w:top w:val="single" w:sz="4" w:space="0" w:color="000000"/>
              <w:left w:val="single" w:sz="13" w:space="0" w:color="D2D2D2"/>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-2,771,209.31</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685" w:right="0"/>
              <w:jc w:val="left"/>
              <w:rPr>
                <w:rFonts w:ascii="Times New Roman" w:hAnsi="Times New Roman" w:cs="Times New Roman" w:eastAsia="Times New Roman" w:hint="default"/>
                <w:sz w:val="18"/>
                <w:szCs w:val="18"/>
              </w:rPr>
            </w:pPr>
            <w:r>
              <w:rPr>
                <w:rFonts w:ascii="Times New Roman"/>
                <w:sz w:val="18"/>
              </w:rPr>
              <w:t>478,711.53</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769" w:right="0"/>
              <w:jc w:val="left"/>
              <w:rPr>
                <w:rFonts w:ascii="Times New Roman" w:hAnsi="Times New Roman" w:cs="Times New Roman" w:eastAsia="Times New Roman" w:hint="default"/>
                <w:sz w:val="18"/>
                <w:szCs w:val="18"/>
              </w:rPr>
            </w:pPr>
            <w:r>
              <w:rPr>
                <w:rFonts w:ascii="Times New Roman"/>
                <w:sz w:val="18"/>
              </w:rPr>
              <w:t>94,147.35</w:t>
            </w:r>
          </w:p>
        </w:tc>
        <w:tc>
          <w:tcPr>
            <w:tcW w:w="1710" w:type="dxa"/>
            <w:vMerge w:val="restart"/>
            <w:tcBorders>
              <w:top w:val="single" w:sz="4" w:space="0" w:color="000000"/>
              <w:left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宋体" w:hAnsi="宋体" w:cs="宋体" w:eastAsia="宋体" w:hint="default"/>
                <w:spacing w:val="-10"/>
                <w:w w:val="99"/>
                <w:sz w:val="18"/>
                <w:szCs w:val="18"/>
              </w:rPr>
              <w:t>参见</w:t>
            </w:r>
            <w:r>
              <w:rPr>
                <w:rFonts w:ascii="Times New Roman" w:hAnsi="Times New Roman" w:cs="Times New Roman" w:eastAsia="Times New Roman" w:hint="default"/>
                <w:spacing w:val="-10"/>
                <w:w w:val="99"/>
                <w:sz w:val="18"/>
                <w:szCs w:val="18"/>
              </w:rPr>
              <w:t>"</w:t>
            </w:r>
            <w:r>
              <w:rPr>
                <w:rFonts w:ascii="宋体" w:hAnsi="宋体" w:cs="宋体" w:eastAsia="宋体" w:hint="default"/>
                <w:spacing w:val="-10"/>
                <w:w w:val="99"/>
                <w:sz w:val="18"/>
                <w:szCs w:val="18"/>
              </w:rPr>
              <w:t>附注七、</w:t>
            </w:r>
            <w:r>
              <w:rPr>
                <w:rFonts w:ascii="Times New Roman" w:hAnsi="Times New Roman" w:cs="Times New Roman" w:eastAsia="Times New Roman" w:hint="default"/>
                <w:spacing w:val="-10"/>
                <w:w w:val="99"/>
                <w:sz w:val="18"/>
                <w:szCs w:val="18"/>
              </w:rPr>
              <w:t>45</w:t>
            </w:r>
            <w:r>
              <w:rPr>
                <w:rFonts w:ascii="Times New Roman" w:hAnsi="Times New Roman" w:cs="Times New Roman" w:eastAsia="Times New Roman" w:hint="default"/>
                <w:spacing w:val="2"/>
                <w:w w:val="99"/>
                <w:sz w:val="18"/>
                <w:szCs w:val="18"/>
              </w:rPr>
              <w:t> </w:t>
            </w:r>
            <w:r>
              <w:rPr>
                <w:rFonts w:ascii="宋体" w:hAnsi="宋体" w:cs="宋体" w:eastAsia="宋体" w:hint="default"/>
                <w:sz w:val="18"/>
                <w:szCs w:val="18"/>
              </w:rPr>
              <w:t>营业 外收入及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营业外</w:t>
            </w:r>
          </w:p>
        </w:tc>
      </w:tr>
      <w:tr>
        <w:trPr>
          <w:trHeight w:val="391" w:hRule="exact"/>
        </w:trPr>
        <w:tc>
          <w:tcPr>
            <w:tcW w:w="32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vMerge/>
            <w:tcBorders>
              <w:left w:val="single" w:sz="13" w:space="0" w:color="D2D2D2"/>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42" w:hRule="exact"/>
        </w:trPr>
        <w:tc>
          <w:tcPr>
            <w:tcW w:w="3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vMerge/>
            <w:tcBorders>
              <w:left w:val="single" w:sz="13" w:space="0" w:color="D2D2D2"/>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36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支出</w:t>
            </w:r>
            <w:r>
              <w:rPr>
                <w:rFonts w:ascii="Times New Roman" w:hAnsi="Times New Roman" w:cs="Times New Roman" w:eastAsia="Times New Roman" w:hint="default"/>
                <w:sz w:val="18"/>
                <w:szCs w:val="18"/>
              </w:rPr>
              <w:t>"</w:t>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1,911,633.81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482,837.91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6,583,453.70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346,751.84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1,256,358.89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9,941,698.15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-3,279,550.95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10,043,924.38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18,117,774.03</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8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right="1113"/>
        <w:jc w:val="center"/>
        <w:rPr>
          <w:b w:val="0"/>
          <w:bCs w:val="0"/>
        </w:rPr>
      </w:pPr>
      <w:bookmarkStart w:name="第三节 公司业务概要" w:id="15"/>
      <w:bookmarkEnd w:id="15"/>
      <w:r>
        <w:rPr>
          <w:b w:val="0"/>
          <w:bCs w:val="0"/>
        </w:rPr>
      </w:r>
      <w:bookmarkStart w:name="_bookmark1"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left"/>
      </w:pPr>
      <w:r>
        <w:rPr/>
        <w:t>软件与信息技术服务业</w:t>
      </w:r>
    </w:p>
    <w:p>
      <w:pPr>
        <w:pStyle w:val="BodyText"/>
        <w:spacing w:line="240" w:lineRule="auto" w:before="116"/>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0"/>
        <w:rPr>
          <w:rFonts w:ascii="宋体" w:hAnsi="宋体" w:cs="宋体" w:eastAsia="宋体" w:hint="default"/>
          <w:sz w:val="13"/>
          <w:szCs w:val="13"/>
        </w:rPr>
      </w:pPr>
    </w:p>
    <w:p>
      <w:pPr>
        <w:pStyle w:val="BodyText"/>
        <w:spacing w:line="477" w:lineRule="auto"/>
        <w:ind w:left="574" w:right="1152" w:hanging="420"/>
        <w:jc w:val="left"/>
      </w:pPr>
      <w:r>
        <w:rPr>
          <w:rFonts w:ascii="宋体" w:hAnsi="宋体" w:cs="宋体" w:eastAsia="宋体" w:hint="default"/>
          <w:b/>
          <w:bCs/>
        </w:rPr>
        <w:t>（一）公司主要业务</w:t>
      </w:r>
      <w:r>
        <w:rPr>
          <w:rFonts w:ascii="宋体" w:hAnsi="宋体" w:cs="宋体" w:eastAsia="宋体" w:hint="default"/>
          <w:b/>
          <w:bCs/>
          <w:w w:val="99"/>
        </w:rPr>
        <w:t> </w:t>
      </w:r>
      <w:r>
        <w:rPr/>
        <w:t>公司致力于成为国内领先的城市级物联网和大数据建设运营服务商，基于自主创新的物联网平台、边缘和终端产品，</w:t>
      </w:r>
    </w:p>
    <w:p>
      <w:pPr>
        <w:pStyle w:val="BodyText"/>
        <w:spacing w:line="477" w:lineRule="auto" w:before="54"/>
        <w:ind w:right="1118"/>
        <w:jc w:val="left"/>
      </w:pPr>
      <w:r>
        <w:rPr>
          <w:spacing w:val="-2"/>
        </w:rPr>
        <w:t>以及大数据服务平台产品为核心，提供面向医院、公共建筑、商业建筑、住宅、工业园区、城市地铁等多场景的智能物联整</w:t>
      </w:r>
      <w:r>
        <w:rPr>
          <w:spacing w:val="-68"/>
        </w:rPr>
        <w:t> </w:t>
      </w:r>
      <w:r>
        <w:rPr>
          <w:spacing w:val="-68"/>
        </w:rPr>
      </w:r>
      <w:r>
        <w:rPr/>
        <w:t>体解决方案。</w:t>
      </w:r>
    </w:p>
    <w:p>
      <w:pPr>
        <w:pStyle w:val="BodyText"/>
        <w:spacing w:line="477" w:lineRule="auto" w:before="54"/>
        <w:ind w:right="1130" w:firstLine="420"/>
        <w:jc w:val="both"/>
      </w:pPr>
      <w:r>
        <w:rPr/>
        <w:t>依靠设立的国家博士后工作站为核心的技术、产品和解决方案研发中心，公司构建统一的物联网感知层、大数据集成 </w:t>
      </w:r>
      <w:r>
        <w:rPr>
          <w:spacing w:val="-2"/>
        </w:rPr>
        <w:t>层与创新应用层三层技术体系。物联网感知层，通过</w:t>
      </w:r>
      <w:r>
        <w:rPr>
          <w:rFonts w:ascii="宋体" w:hAnsi="宋体" w:cs="宋体" w:eastAsia="宋体" w:hint="default"/>
          <w:spacing w:val="-2"/>
        </w:rPr>
        <w:t>RFID</w:t>
      </w:r>
      <w:r>
        <w:rPr>
          <w:spacing w:val="-2"/>
        </w:rPr>
        <w:t>技术、云端人脸识别技术、车牌识别等视频识别技术、体感交互技</w:t>
      </w:r>
      <w:r>
        <w:rPr>
          <w:spacing w:val="-62"/>
        </w:rPr>
        <w:t> </w:t>
      </w:r>
      <w:r>
        <w:rPr>
          <w:spacing w:val="-62"/>
        </w:rPr>
      </w:r>
      <w:r>
        <w:rPr>
          <w:spacing w:val="-2"/>
        </w:rPr>
        <w:t>术、行为识别技术、移动支付技术等构建完善先进的物联网感知层。大数据集成层，基于实时大数据的智能管控技术的实时</w:t>
      </w:r>
      <w:r>
        <w:rPr>
          <w:spacing w:val="-66"/>
        </w:rPr>
        <w:t> </w:t>
      </w:r>
      <w:r>
        <w:rPr>
          <w:spacing w:val="-66"/>
        </w:rPr>
      </w:r>
      <w:r>
        <w:rPr>
          <w:spacing w:val="-2"/>
        </w:rPr>
        <w:t>数据库</w:t>
      </w:r>
      <w:r>
        <w:rPr>
          <w:rFonts w:ascii="宋体" w:hAnsi="宋体" w:cs="宋体" w:eastAsia="宋体" w:hint="default"/>
          <w:spacing w:val="-2"/>
        </w:rPr>
        <w:t>dasRdb</w:t>
      </w:r>
      <w:r>
        <w:rPr>
          <w:spacing w:val="-2"/>
        </w:rPr>
        <w:t>、智能建筑云管理平台</w:t>
      </w:r>
      <w:r>
        <w:rPr>
          <w:rFonts w:ascii="宋体" w:hAnsi="宋体" w:cs="宋体" w:eastAsia="宋体" w:hint="default"/>
          <w:spacing w:val="-2"/>
        </w:rPr>
        <w:t>IBMS</w:t>
      </w:r>
      <w:r>
        <w:rPr>
          <w:spacing w:val="-2"/>
        </w:rPr>
        <w:t>等技术，打造支持多数据源共享、交换与协同大数据集成平台。创新应用层，上述</w:t>
      </w:r>
      <w:r>
        <w:rPr>
          <w:spacing w:val="-57"/>
        </w:rPr>
        <w:t> </w:t>
      </w:r>
      <w:r>
        <w:rPr>
          <w:spacing w:val="-57"/>
        </w:rPr>
      </w:r>
      <w:r>
        <w:rPr>
          <w:spacing w:val="-2"/>
        </w:rPr>
        <w:t>统一的物联网感知层与大数据集成层，支撑创新应用层的智慧医疗、智慧建筑、智慧交通业务板块的创新应用。公司业务涵</w:t>
      </w:r>
      <w:r>
        <w:rPr>
          <w:spacing w:val="-66"/>
        </w:rPr>
        <w:t> </w:t>
      </w:r>
      <w:r>
        <w:rPr>
          <w:spacing w:val="-66"/>
        </w:rPr>
      </w:r>
      <w:r>
        <w:rPr>
          <w:spacing w:val="-2"/>
        </w:rPr>
        <w:t>盖建筑与城市基础设施的方方面面，形成集约化、多功能监测体系，构建物联网统一开放平台，实现感知设备统一接入、集</w:t>
      </w:r>
      <w:r>
        <w:rPr>
          <w:spacing w:val="-66"/>
        </w:rPr>
        <w:t> </w:t>
      </w:r>
      <w:r>
        <w:rPr>
          <w:spacing w:val="-66"/>
        </w:rPr>
      </w:r>
      <w:r>
        <w:rPr>
          <w:spacing w:val="-2"/>
        </w:rPr>
        <w:t>中管理、远程调控和数据共享、发布；以云计算、边缘计算，打造汇聚数据和统筹管理运营的智能城市信息管理中枢，为用</w:t>
      </w:r>
      <w:r>
        <w:rPr>
          <w:spacing w:val="-68"/>
        </w:rPr>
        <w:t> </w:t>
      </w:r>
      <w:r>
        <w:rPr>
          <w:spacing w:val="-68"/>
        </w:rPr>
      </w:r>
      <w:r>
        <w:rPr/>
        <w:t>户创建智慧、互联、共享、生态共建的环境。</w:t>
      </w:r>
    </w:p>
    <w:p>
      <w:pPr>
        <w:pStyle w:val="Heading6"/>
        <w:spacing w:line="240" w:lineRule="auto" w:before="53"/>
        <w:ind w:right="0"/>
        <w:jc w:val="left"/>
        <w:rPr>
          <w:b w:val="0"/>
          <w:bCs w:val="0"/>
        </w:rPr>
      </w:pPr>
      <w:r>
        <w:rPr>
          <w:rFonts w:ascii="宋体" w:hAnsi="宋体" w:cs="宋体" w:eastAsia="宋体" w:hint="default"/>
        </w:rPr>
        <w:t>1</w:t>
      </w:r>
      <w:r>
        <w:rPr/>
        <w:t>、</w:t>
      </w:r>
      <w:r>
        <w:rPr>
          <w:spacing w:val="56"/>
        </w:rPr>
        <w:t> </w:t>
      </w:r>
      <w:r>
        <w:rPr/>
        <w:t>智慧医疗</w:t>
      </w:r>
      <w:r>
        <w:rPr>
          <w:b w:val="0"/>
          <w:bCs w:val="0"/>
        </w:rPr>
      </w:r>
    </w:p>
    <w:p>
      <w:pPr>
        <w:spacing w:line="240" w:lineRule="auto" w:before="10"/>
        <w:rPr>
          <w:rFonts w:ascii="宋体" w:hAnsi="宋体" w:cs="宋体" w:eastAsia="宋体" w:hint="default"/>
          <w:b/>
          <w:bCs/>
          <w:sz w:val="17"/>
          <w:szCs w:val="17"/>
        </w:rPr>
      </w:pPr>
    </w:p>
    <w:p>
      <w:pPr>
        <w:pStyle w:val="BodyText"/>
        <w:spacing w:line="477" w:lineRule="auto"/>
        <w:ind w:left="574" w:right="1115"/>
        <w:jc w:val="left"/>
      </w:pPr>
      <w:r>
        <w:rPr>
          <w:rFonts w:ascii="宋体" w:hAnsi="宋体" w:cs="宋体" w:eastAsia="宋体" w:hint="default"/>
        </w:rPr>
        <w:t>1</w:t>
      </w:r>
      <w:r>
        <w:rPr/>
        <w:t>）智慧医院 </w:t>
      </w:r>
      <w:r>
        <w:rPr>
          <w:spacing w:val="-1"/>
        </w:rPr>
        <w:t>公司提供覆盖医院全范围全流程全场景的</w:t>
      </w:r>
      <w:r>
        <w:rPr>
          <w:rFonts w:ascii="宋体" w:hAnsi="宋体" w:cs="宋体" w:eastAsia="宋体" w:hint="default"/>
          <w:spacing w:val="-1"/>
        </w:rPr>
        <w:t>IOT</w:t>
      </w:r>
      <w:r>
        <w:rPr>
          <w:spacing w:val="-1"/>
        </w:rPr>
        <w:t>整体建设方案，对医院基础设施的智能化、手术室与及其临床信息化、以</w:t>
      </w:r>
    </w:p>
    <w:p>
      <w:pPr>
        <w:pStyle w:val="BodyText"/>
        <w:spacing w:line="477" w:lineRule="auto" w:before="54"/>
        <w:ind w:right="0"/>
        <w:jc w:val="left"/>
      </w:pPr>
      <w:r>
        <w:rPr/>
        <w:t>及医院管理信息化，实现了高度融合，致力于打造数字孪生的智慧医院。同时提供基于</w:t>
      </w:r>
      <w:r>
        <w:rPr>
          <w:rFonts w:ascii="宋体" w:hAnsi="宋体" w:cs="宋体" w:eastAsia="宋体" w:hint="default"/>
        </w:rPr>
        <w:t>IOT</w:t>
      </w:r>
      <w:r>
        <w:rPr/>
        <w:t>大数据的医院能源和后勤运营管 </w:t>
      </w:r>
      <w:r>
        <w:rPr>
          <w:spacing w:val="-4"/>
        </w:rPr>
        <w:t>理服务。从而实现医院的物与物、物与人以及人与人进行连接，形成医院经营管理、医院临床服务、患者监护的一体化服务。</w:t>
      </w:r>
      <w:r>
        <w:rPr>
          <w:spacing w:val="-44"/>
        </w:rPr>
        <w:t> </w:t>
      </w:r>
      <w:r>
        <w:rPr>
          <w:spacing w:val="-44"/>
        </w:rPr>
      </w:r>
      <w:r>
        <w:rPr/>
        <w:t>智慧医院总体框架如图</w:t>
      </w:r>
      <w:r>
        <w:rPr>
          <w:rFonts w:ascii="宋体" w:hAnsi="宋体" w:cs="宋体" w:eastAsia="宋体" w:hint="default"/>
        </w:rPr>
        <w:t>1</w:t>
      </w:r>
      <w:r>
        <w:rPr/>
        <w:t>所示：</w:t>
      </w:r>
    </w:p>
    <w:p>
      <w:pPr>
        <w:pStyle w:val="BodyText"/>
        <w:spacing w:line="477" w:lineRule="auto" w:before="54"/>
        <w:ind w:left="574" w:right="1152"/>
        <w:jc w:val="left"/>
      </w:pPr>
      <w:r>
        <w:rPr>
          <w:rFonts w:ascii="宋体" w:hAnsi="宋体" w:cs="宋体" w:eastAsia="宋体" w:hint="default"/>
        </w:rPr>
        <w:t>2</w:t>
      </w:r>
      <w:r>
        <w:rPr/>
        <w:t>）医疗大数据 提供城市级区域医疗卫生信息一体化集成解决方案，具体包括医疗卫生信息平台、互联网医院、远程医疗</w:t>
      </w:r>
      <w:r>
        <w:rPr>
          <w:rFonts w:ascii="宋体" w:hAnsi="宋体" w:cs="宋体" w:eastAsia="宋体" w:hint="default"/>
        </w:rPr>
        <w:t>(</w:t>
      </w:r>
      <w:r>
        <w:rPr/>
        <w:t>会诊</w:t>
      </w:r>
      <w:r>
        <w:rPr>
          <w:rFonts w:ascii="宋体" w:hAnsi="宋体" w:cs="宋体" w:eastAsia="宋体" w:hint="default"/>
        </w:rPr>
        <w:t>)</w:t>
      </w:r>
      <w:r>
        <w:rPr/>
        <w:t>系统</w:t>
      </w:r>
    </w:p>
    <w:p>
      <w:pPr>
        <w:pStyle w:val="BodyText"/>
        <w:spacing w:line="477" w:lineRule="auto" w:before="54"/>
        <w:ind w:right="0"/>
        <w:jc w:val="left"/>
      </w:pPr>
      <w:r>
        <w:rPr>
          <w:spacing w:val="-2"/>
        </w:rPr>
        <w:t>等，解决区域内医疗卫生机构信息化的互联互通、数据共享和医疗资源配置问题。实现电子病例、居民健康档案、处方、检</w:t>
      </w:r>
      <w:r>
        <w:rPr>
          <w:spacing w:val="-66"/>
        </w:rPr>
        <w:t> </w:t>
      </w:r>
      <w:r>
        <w:rPr>
          <w:spacing w:val="-66"/>
        </w:rPr>
      </w:r>
      <w:r>
        <w:rPr>
          <w:spacing w:val="-2"/>
        </w:rPr>
        <w:t>验、检查、用药等医疗数据互联互通信息共享，基于人口健康信息开发针对居民和第三方机构的大数据应用和增值服务。智</w:t>
      </w:r>
    </w:p>
    <w:p>
      <w:pPr>
        <w:spacing w:after="0" w:line="477" w:lineRule="auto"/>
        <w:jc w:val="left"/>
        <w:sectPr>
          <w:pgSz w:w="11910" w:h="16840"/>
          <w:pgMar w:header="787" w:footer="1019" w:top="1100" w:bottom="1200" w:left="980" w:right="0"/>
        </w:sectPr>
      </w:pPr>
    </w:p>
    <w:p>
      <w:pPr>
        <w:spacing w:line="240" w:lineRule="auto" w:before="10"/>
        <w:rPr>
          <w:rFonts w:ascii="宋体" w:hAnsi="宋体" w:cs="宋体" w:eastAsia="宋体" w:hint="default"/>
          <w:sz w:val="28"/>
          <w:szCs w:val="28"/>
        </w:rPr>
      </w:pPr>
    </w:p>
    <w:p>
      <w:pPr>
        <w:pStyle w:val="BodyText"/>
        <w:spacing w:line="240" w:lineRule="auto" w:before="44"/>
        <w:ind w:right="0"/>
        <w:jc w:val="left"/>
      </w:pPr>
      <w:r>
        <w:rPr/>
        <w:t>慧区域医疗总体框架如图</w:t>
      </w:r>
      <w:r>
        <w:rPr>
          <w:rFonts w:ascii="宋体" w:hAnsi="宋体" w:cs="宋体" w:eastAsia="宋体" w:hint="default"/>
        </w:rPr>
        <w:t>2</w:t>
      </w:r>
      <w:r>
        <w:rPr/>
        <w:t>所示：</w:t>
      </w:r>
    </w:p>
    <w:p>
      <w:pPr>
        <w:spacing w:line="240" w:lineRule="auto" w:before="9"/>
        <w:rPr>
          <w:rFonts w:ascii="宋体" w:hAnsi="宋体" w:cs="宋体" w:eastAsia="宋体" w:hint="default"/>
          <w:sz w:val="15"/>
          <w:szCs w:val="15"/>
        </w:rPr>
      </w:pPr>
    </w:p>
    <w:p>
      <w:pPr>
        <w:spacing w:line="4245" w:lineRule="exact"/>
        <w:ind w:left="788"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5313698" cy="26955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5313698" cy="2695575"/>
                    </a:xfrm>
                    <a:prstGeom prst="rect">
                      <a:avLst/>
                    </a:prstGeom>
                  </pic:spPr>
                </pic:pic>
              </a:graphicData>
            </a:graphic>
          </wp:inline>
        </w:drawing>
      </w:r>
      <w:r>
        <w:rPr>
          <w:rFonts w:ascii="宋体" w:hAnsi="宋体" w:cs="宋体" w:eastAsia="宋体" w:hint="default"/>
          <w:position w:val="-84"/>
          <w:sz w:val="20"/>
          <w:szCs w:val="20"/>
        </w:rPr>
      </w:r>
    </w:p>
    <w:p>
      <w:pPr>
        <w:pStyle w:val="BodyText"/>
        <w:spacing w:line="240" w:lineRule="auto" w:before="73"/>
        <w:ind w:left="135" w:right="1112"/>
        <w:jc w:val="center"/>
      </w:pPr>
      <w:r>
        <w:rPr/>
        <w:t>图</w:t>
      </w:r>
      <w:r>
        <w:rPr>
          <w:rFonts w:ascii="Times New Roman" w:hAnsi="Times New Roman" w:cs="Times New Roman" w:eastAsia="Times New Roman" w:hint="default"/>
        </w:rPr>
        <w:t>1.</w:t>
      </w:r>
      <w:r>
        <w:rPr>
          <w:rFonts w:ascii="Times New Roman" w:hAnsi="Times New Roman" w:cs="Times New Roman" w:eastAsia="Times New Roman" w:hint="default"/>
          <w:spacing w:val="43"/>
        </w:rPr>
        <w:t> </w:t>
      </w:r>
      <w:r>
        <w:rPr/>
        <w:t>智慧医院总体框架</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line="6555" w:lineRule="exact"/>
        <w:ind w:left="788" w:right="0" w:firstLine="0"/>
        <w:rPr>
          <w:rFonts w:ascii="宋体" w:hAnsi="宋体" w:cs="宋体" w:eastAsia="宋体" w:hint="default"/>
          <w:sz w:val="20"/>
          <w:szCs w:val="20"/>
        </w:rPr>
      </w:pPr>
      <w:r>
        <w:rPr>
          <w:rFonts w:ascii="宋体" w:hAnsi="宋体" w:cs="宋体" w:eastAsia="宋体" w:hint="default"/>
          <w:position w:val="-130"/>
          <w:sz w:val="20"/>
          <w:szCs w:val="20"/>
        </w:rPr>
        <w:drawing>
          <wp:inline distT="0" distB="0" distL="0" distR="0">
            <wp:extent cx="5314950" cy="4162425"/>
            <wp:effectExtent l="0" t="0" r="0" b="0"/>
            <wp:docPr id="5" name="image4.jpeg" descr=""/>
            <wp:cNvGraphicFramePr>
              <a:graphicFrameLocks noChangeAspect="1"/>
            </wp:cNvGraphicFramePr>
            <a:graphic>
              <a:graphicData uri="http://schemas.openxmlformats.org/drawingml/2006/picture">
                <pic:pic>
                  <pic:nvPicPr>
                    <pic:cNvPr id="6" name="image4.jpeg"/>
                    <pic:cNvPicPr/>
                  </pic:nvPicPr>
                  <pic:blipFill>
                    <a:blip r:embed="rId13" cstate="print"/>
                    <a:stretch>
                      <a:fillRect/>
                    </a:stretch>
                  </pic:blipFill>
                  <pic:spPr>
                    <a:xfrm>
                      <a:off x="0" y="0"/>
                      <a:ext cx="5314950" cy="4162425"/>
                    </a:xfrm>
                    <a:prstGeom prst="rect">
                      <a:avLst/>
                    </a:prstGeom>
                  </pic:spPr>
                </pic:pic>
              </a:graphicData>
            </a:graphic>
          </wp:inline>
        </w:drawing>
      </w:r>
      <w:r>
        <w:rPr>
          <w:rFonts w:ascii="宋体" w:hAnsi="宋体" w:cs="宋体" w:eastAsia="宋体" w:hint="default"/>
          <w:position w:val="-130"/>
          <w:sz w:val="20"/>
          <w:szCs w:val="20"/>
        </w:rPr>
      </w:r>
    </w:p>
    <w:p>
      <w:pPr>
        <w:spacing w:line="240" w:lineRule="auto" w:before="4"/>
        <w:rPr>
          <w:rFonts w:ascii="宋体" w:hAnsi="宋体" w:cs="宋体" w:eastAsia="宋体" w:hint="default"/>
          <w:sz w:val="9"/>
          <w:szCs w:val="9"/>
        </w:rPr>
      </w:pPr>
    </w:p>
    <w:p>
      <w:pPr>
        <w:pStyle w:val="BodyText"/>
        <w:spacing w:line="240" w:lineRule="auto" w:before="44"/>
        <w:ind w:left="135" w:right="1113"/>
        <w:jc w:val="center"/>
      </w:pPr>
      <w:r>
        <w:rPr/>
        <w:t>图</w:t>
      </w: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t>智慧区域医疗总体框架</w:t>
      </w:r>
    </w:p>
    <w:p>
      <w:pPr>
        <w:pStyle w:val="Heading6"/>
        <w:spacing w:line="240" w:lineRule="auto" w:before="141"/>
        <w:ind w:right="0"/>
        <w:jc w:val="left"/>
        <w:rPr>
          <w:b w:val="0"/>
          <w:bCs w:val="0"/>
        </w:rPr>
      </w:pPr>
      <w:r>
        <w:rPr>
          <w:rFonts w:ascii="Times New Roman" w:hAnsi="Times New Roman" w:cs="Times New Roman" w:eastAsia="Times New Roman" w:hint="default"/>
        </w:rPr>
        <w:t>2</w:t>
      </w:r>
      <w:r>
        <w:rPr/>
        <w:t>、</w:t>
      </w:r>
      <w:r>
        <w:rPr>
          <w:spacing w:val="57"/>
        </w:rPr>
        <w:t> </w:t>
      </w:r>
      <w:r>
        <w:rPr/>
        <w:t>智慧建筑</w:t>
      </w:r>
      <w:r>
        <w:rPr>
          <w:b w:val="0"/>
          <w:bCs w:val="0"/>
        </w:rPr>
      </w:r>
    </w:p>
    <w:p>
      <w:pPr>
        <w:spacing w:line="240" w:lineRule="auto" w:before="9"/>
        <w:rPr>
          <w:rFonts w:ascii="宋体" w:hAnsi="宋体" w:cs="宋体" w:eastAsia="宋体" w:hint="default"/>
          <w:b/>
          <w:bCs/>
          <w:sz w:val="16"/>
          <w:szCs w:val="16"/>
        </w:rPr>
      </w:pPr>
    </w:p>
    <w:p>
      <w:pPr>
        <w:pStyle w:val="BodyText"/>
        <w:spacing w:line="477" w:lineRule="auto"/>
        <w:ind w:right="1122" w:firstLine="420"/>
        <w:jc w:val="left"/>
      </w:pPr>
      <w:r>
        <w:rPr/>
        <w:t>智慧建筑的发展正在加速由本地部署的物联网向开放的云端延伸，成为“智慧城市”的有机整体。公司不仅提供本地 部署的</w:t>
      </w:r>
      <w:r>
        <w:rPr>
          <w:rFonts w:ascii="宋体" w:hAnsi="宋体" w:cs="宋体" w:eastAsia="宋体" w:hint="default"/>
        </w:rPr>
        <w:t>IOT</w:t>
      </w:r>
      <w:r>
        <w:rPr/>
        <w:t>解决方案，还创新提供基于私有云</w:t>
      </w:r>
      <w:r>
        <w:rPr>
          <w:rFonts w:ascii="宋体" w:hAnsi="宋体" w:cs="宋体" w:eastAsia="宋体" w:hint="default"/>
        </w:rPr>
        <w:t>IOT</w:t>
      </w:r>
      <w:r>
        <w:rPr/>
        <w:t>解决方案，为集团客户提供建设和运营服务；提供基于公有云的</w:t>
      </w:r>
      <w:r>
        <w:rPr>
          <w:rFonts w:ascii="宋体" w:hAnsi="宋体" w:cs="宋体" w:eastAsia="宋体" w:hint="default"/>
        </w:rPr>
        <w:t>IOT</w:t>
      </w:r>
      <w:r>
        <w:rPr/>
        <w:t>解决方</w:t>
      </w:r>
    </w:p>
    <w:p>
      <w:pPr>
        <w:spacing w:after="0" w:line="477" w:lineRule="auto"/>
        <w:jc w:val="left"/>
        <w:sectPr>
          <w:pgSz w:w="11910" w:h="16840"/>
          <w:pgMar w:header="787" w:footer="1019" w:top="1100" w:bottom="1200" w:left="980" w:right="0"/>
        </w:sectPr>
      </w:pPr>
    </w:p>
    <w:p>
      <w:pPr>
        <w:spacing w:line="240" w:lineRule="auto" w:before="10"/>
        <w:rPr>
          <w:rFonts w:ascii="宋体" w:hAnsi="宋体" w:cs="宋体" w:eastAsia="宋体" w:hint="default"/>
          <w:sz w:val="28"/>
          <w:szCs w:val="28"/>
        </w:rPr>
      </w:pPr>
    </w:p>
    <w:p>
      <w:pPr>
        <w:pStyle w:val="BodyText"/>
        <w:spacing w:line="477" w:lineRule="auto" w:before="44"/>
        <w:ind w:right="0"/>
        <w:jc w:val="left"/>
      </w:pPr>
      <w:r>
        <w:rPr/>
        <w:t>案，为中小客户提供服务。同时提供基于</w:t>
      </w:r>
      <w:r>
        <w:rPr>
          <w:rFonts w:ascii="宋体" w:hAnsi="宋体" w:cs="宋体" w:eastAsia="宋体" w:hint="default"/>
        </w:rPr>
        <w:t>IOT</w:t>
      </w:r>
      <w:r>
        <w:rPr/>
        <w:t>的建筑能源和设施运营管理服务。以人工智能与物联网为传统建筑赋能，公司 自主研发的</w:t>
      </w:r>
      <w:r>
        <w:rPr>
          <w:rFonts w:ascii="宋体" w:hAnsi="宋体" w:cs="宋体" w:eastAsia="宋体" w:hint="default"/>
        </w:rPr>
        <w:t>IndasIBMS</w:t>
      </w:r>
      <w:r>
        <w:rPr/>
        <w:t>（</w:t>
      </w:r>
      <w:r>
        <w:rPr>
          <w:rFonts w:ascii="宋体" w:hAnsi="宋体" w:cs="宋体" w:eastAsia="宋体" w:hint="default"/>
        </w:rPr>
        <w:t>Intelligent Building Management System</w:t>
      </w:r>
      <w:r>
        <w:rPr/>
        <w:t>）智能管理平台，实现了建筑智能化升级和高效运行管 理。作为一个相对封闭场景，建筑是人与设备互动频次最密集、获取海量数据的最佳场景。</w:t>
      </w:r>
      <w:r>
        <w:rPr>
          <w:rFonts w:ascii="宋体" w:hAnsi="宋体" w:cs="宋体" w:eastAsia="宋体" w:hint="default"/>
        </w:rPr>
        <w:t>IndasIBMS</w:t>
      </w:r>
      <w:r>
        <w:rPr/>
        <w:t>打通原本相互独立、 </w:t>
      </w:r>
      <w:r>
        <w:rPr>
          <w:spacing w:val="-2"/>
        </w:rPr>
        <w:t>封闭的多个子系统，结合移动互联网、物联网、云计算、大数据、人工智能、边缘计算、数字孪生等最新技术，集成了空调</w:t>
      </w:r>
      <w:r>
        <w:rPr>
          <w:spacing w:val="-67"/>
        </w:rPr>
        <w:t> </w:t>
      </w:r>
      <w:r>
        <w:rPr>
          <w:spacing w:val="-67"/>
        </w:rPr>
      </w:r>
      <w:r>
        <w:rPr>
          <w:spacing w:val="-4"/>
        </w:rPr>
        <w:t>通风、智能照明、视频监控、门禁、网络监控、能源监控等</w:t>
      </w:r>
      <w:r>
        <w:rPr>
          <w:rFonts w:ascii="宋体" w:hAnsi="宋体" w:cs="宋体" w:eastAsia="宋体" w:hint="default"/>
          <w:spacing w:val="-4"/>
        </w:rPr>
        <w:t>20</w:t>
      </w:r>
      <w:r>
        <w:rPr>
          <w:spacing w:val="-4"/>
        </w:rPr>
        <w:t>多个子系统，同时支持接入仿真模拟、能量表、流量计、空调、</w:t>
      </w:r>
      <w:r>
        <w:rPr>
          <w:spacing w:val="-45"/>
        </w:rPr>
        <w:t> </w:t>
      </w:r>
      <w:r>
        <w:rPr>
          <w:spacing w:val="-45"/>
        </w:rPr>
      </w:r>
      <w:r>
        <w:rPr>
          <w:rFonts w:ascii="宋体" w:hAnsi="宋体" w:cs="宋体" w:eastAsia="宋体" w:hint="default"/>
          <w:spacing w:val="-2"/>
        </w:rPr>
        <w:t>PLC</w:t>
      </w:r>
      <w:r>
        <w:rPr>
          <w:spacing w:val="-2"/>
        </w:rPr>
        <w:t>、楼控、太阳能等</w:t>
      </w:r>
      <w:r>
        <w:rPr>
          <w:rFonts w:ascii="宋体" w:hAnsi="宋体" w:cs="宋体" w:eastAsia="宋体" w:hint="default"/>
          <w:spacing w:val="-2"/>
        </w:rPr>
        <w:t>140</w:t>
      </w:r>
      <w:r>
        <w:rPr>
          <w:spacing w:val="-2"/>
        </w:rPr>
        <w:t>余项标准协议和厂家自定义协议实现自动的策略优化，完成楼宇运营、能源管理、设备维护及用户</w:t>
      </w:r>
      <w:r>
        <w:rPr>
          <w:spacing w:val="-60"/>
        </w:rPr>
        <w:t> </w:t>
      </w:r>
      <w:r>
        <w:rPr>
          <w:spacing w:val="-60"/>
        </w:rPr>
      </w:r>
      <w:r>
        <w:rPr/>
        <w:t>服务等，帮助建筑进化成为有感知、会思考的智慧生命体。</w:t>
      </w:r>
    </w:p>
    <w:p>
      <w:pPr>
        <w:spacing w:line="240" w:lineRule="auto" w:before="6"/>
        <w:rPr>
          <w:rFonts w:ascii="宋体" w:hAnsi="宋体" w:cs="宋体" w:eastAsia="宋体" w:hint="default"/>
          <w:sz w:val="5"/>
          <w:szCs w:val="5"/>
        </w:rPr>
      </w:pPr>
    </w:p>
    <w:p>
      <w:pPr>
        <w:spacing w:line="4155" w:lineRule="exact"/>
        <w:ind w:left="788" w:right="0" w:firstLine="0"/>
        <w:rPr>
          <w:rFonts w:ascii="宋体" w:hAnsi="宋体" w:cs="宋体" w:eastAsia="宋体" w:hint="default"/>
          <w:sz w:val="20"/>
          <w:szCs w:val="20"/>
        </w:rPr>
      </w:pPr>
      <w:r>
        <w:rPr>
          <w:rFonts w:ascii="宋体" w:hAnsi="宋体" w:cs="宋体" w:eastAsia="宋体" w:hint="default"/>
          <w:position w:val="-82"/>
          <w:sz w:val="20"/>
          <w:szCs w:val="20"/>
        </w:rPr>
        <w:drawing>
          <wp:inline distT="0" distB="0" distL="0" distR="0">
            <wp:extent cx="5314950" cy="2638425"/>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14" cstate="print"/>
                    <a:stretch>
                      <a:fillRect/>
                    </a:stretch>
                  </pic:blipFill>
                  <pic:spPr>
                    <a:xfrm>
                      <a:off x="0" y="0"/>
                      <a:ext cx="5314950" cy="2638425"/>
                    </a:xfrm>
                    <a:prstGeom prst="rect">
                      <a:avLst/>
                    </a:prstGeom>
                  </pic:spPr>
                </pic:pic>
              </a:graphicData>
            </a:graphic>
          </wp:inline>
        </w:drawing>
      </w:r>
      <w:r>
        <w:rPr>
          <w:rFonts w:ascii="宋体" w:hAnsi="宋体" w:cs="宋体" w:eastAsia="宋体" w:hint="default"/>
          <w:position w:val="-82"/>
          <w:sz w:val="20"/>
          <w:szCs w:val="20"/>
        </w:rPr>
      </w:r>
    </w:p>
    <w:p>
      <w:pPr>
        <w:spacing w:line="240" w:lineRule="auto" w:before="13"/>
        <w:rPr>
          <w:rFonts w:ascii="宋体" w:hAnsi="宋体" w:cs="宋体" w:eastAsia="宋体" w:hint="default"/>
          <w:sz w:val="15"/>
          <w:szCs w:val="15"/>
        </w:rPr>
      </w:pPr>
    </w:p>
    <w:p>
      <w:pPr>
        <w:spacing w:line="6034" w:lineRule="exact"/>
        <w:ind w:left="1206" w:right="0" w:firstLine="0"/>
        <w:rPr>
          <w:rFonts w:ascii="宋体" w:hAnsi="宋体" w:cs="宋体" w:eastAsia="宋体" w:hint="default"/>
          <w:sz w:val="20"/>
          <w:szCs w:val="20"/>
        </w:rPr>
      </w:pPr>
      <w:r>
        <w:rPr>
          <w:rFonts w:ascii="宋体" w:hAnsi="宋体" w:cs="宋体" w:eastAsia="宋体" w:hint="default"/>
          <w:position w:val="-120"/>
          <w:sz w:val="20"/>
          <w:szCs w:val="20"/>
        </w:rPr>
        <w:drawing>
          <wp:inline distT="0" distB="0" distL="0" distR="0">
            <wp:extent cx="4782901" cy="3831907"/>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5" cstate="print"/>
                    <a:stretch>
                      <a:fillRect/>
                    </a:stretch>
                  </pic:blipFill>
                  <pic:spPr>
                    <a:xfrm>
                      <a:off x="0" y="0"/>
                      <a:ext cx="4782901" cy="3831907"/>
                    </a:xfrm>
                    <a:prstGeom prst="rect">
                      <a:avLst/>
                    </a:prstGeom>
                  </pic:spPr>
                </pic:pic>
              </a:graphicData>
            </a:graphic>
          </wp:inline>
        </w:drawing>
      </w:r>
      <w:r>
        <w:rPr>
          <w:rFonts w:ascii="宋体" w:hAnsi="宋体" w:cs="宋体" w:eastAsia="宋体" w:hint="default"/>
          <w:position w:val="-120"/>
          <w:sz w:val="20"/>
          <w:szCs w:val="20"/>
        </w:rPr>
      </w:r>
    </w:p>
    <w:p>
      <w:pPr>
        <w:spacing w:after="0" w:line="6034" w:lineRule="exact"/>
        <w:rPr>
          <w:rFonts w:ascii="宋体" w:hAnsi="宋体" w:cs="宋体" w:eastAsia="宋体" w:hint="default"/>
          <w:sz w:val="20"/>
          <w:szCs w:val="20"/>
        </w:rPr>
        <w:sectPr>
          <w:pgSz w:w="11910" w:h="16840"/>
          <w:pgMar w:header="78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5"/>
          <w:szCs w:val="15"/>
        </w:rPr>
      </w:pPr>
    </w:p>
    <w:p>
      <w:pPr>
        <w:pStyle w:val="Heading6"/>
        <w:spacing w:line="240" w:lineRule="auto"/>
        <w:ind w:right="0"/>
        <w:jc w:val="left"/>
        <w:rPr>
          <w:b w:val="0"/>
          <w:bCs w:val="0"/>
        </w:rPr>
      </w:pPr>
      <w:r>
        <w:rPr>
          <w:rFonts w:ascii="Times New Roman" w:hAnsi="Times New Roman" w:cs="Times New Roman" w:eastAsia="Times New Roman" w:hint="default"/>
        </w:rPr>
        <w:t>3</w:t>
      </w:r>
      <w:r>
        <w:rPr/>
        <w:t>、</w:t>
      </w:r>
      <w:r>
        <w:rPr>
          <w:spacing w:val="57"/>
        </w:rPr>
        <w:t> </w:t>
      </w:r>
      <w:r>
        <w:rPr/>
        <w:t>智慧交通</w:t>
      </w:r>
      <w:r>
        <w:rPr>
          <w:b w:val="0"/>
          <w:bCs w:val="0"/>
        </w:rPr>
      </w:r>
    </w:p>
    <w:p>
      <w:pPr>
        <w:spacing w:line="240" w:lineRule="auto" w:before="9"/>
        <w:rPr>
          <w:rFonts w:ascii="宋体" w:hAnsi="宋体" w:cs="宋体" w:eastAsia="宋体" w:hint="default"/>
          <w:b/>
          <w:bCs/>
          <w:sz w:val="16"/>
          <w:szCs w:val="16"/>
        </w:rPr>
      </w:pPr>
    </w:p>
    <w:p>
      <w:pPr>
        <w:pStyle w:val="BodyText"/>
        <w:spacing w:line="477" w:lineRule="auto"/>
        <w:ind w:right="1115" w:firstLine="420"/>
        <w:jc w:val="left"/>
      </w:pPr>
      <w:r>
        <w:rPr>
          <w:spacing w:val="-1"/>
        </w:rPr>
        <w:t>公司智慧地铁业务，为地铁轨道交通提供包含地铁综合监控、自动售检票、安防、信息发布的</w:t>
      </w:r>
      <w:r>
        <w:rPr>
          <w:rFonts w:ascii="宋体" w:hAnsi="宋体" w:cs="宋体" w:eastAsia="宋体" w:hint="default"/>
          <w:spacing w:val="-1"/>
        </w:rPr>
        <w:t>IOT</w:t>
      </w:r>
      <w:r>
        <w:rPr>
          <w:spacing w:val="-1"/>
        </w:rPr>
        <w:t>解决方案，同时基于</w:t>
      </w:r>
      <w:r>
        <w:rPr/>
        <w:t> </w:t>
      </w:r>
      <w:r>
        <w:rPr>
          <w:rFonts w:ascii="宋体" w:hAnsi="宋体" w:cs="宋体" w:eastAsia="宋体" w:hint="default"/>
        </w:rPr>
        <w:t>IOT</w:t>
      </w:r>
      <w:r>
        <w:rPr/>
        <w:t>提供地铁运营大数据服务。为乘客提供安全、舒适、便捷的智能化出行环境。</w:t>
      </w:r>
    </w:p>
    <w:p>
      <w:pPr>
        <w:pStyle w:val="Heading6"/>
        <w:spacing w:line="240" w:lineRule="auto" w:before="54"/>
        <w:ind w:right="0"/>
        <w:jc w:val="left"/>
        <w:rPr>
          <w:b w:val="0"/>
          <w:bCs w:val="0"/>
        </w:rPr>
      </w:pPr>
      <w:r>
        <w:rPr/>
        <w:t>（二）行业发展与公司地位</w:t>
      </w:r>
      <w:r>
        <w:rPr>
          <w:b w:val="0"/>
          <w:bCs w:val="0"/>
        </w:rPr>
      </w:r>
    </w:p>
    <w:p>
      <w:pPr>
        <w:spacing w:line="240" w:lineRule="auto" w:before="10"/>
        <w:rPr>
          <w:rFonts w:ascii="宋体" w:hAnsi="宋体" w:cs="宋体" w:eastAsia="宋体" w:hint="default"/>
          <w:b/>
          <w:bCs/>
          <w:sz w:val="17"/>
          <w:szCs w:val="17"/>
        </w:rPr>
      </w:pPr>
    </w:p>
    <w:p>
      <w:pPr>
        <w:pStyle w:val="Heading6"/>
        <w:spacing w:line="240" w:lineRule="auto"/>
        <w:ind w:right="0"/>
        <w:jc w:val="left"/>
        <w:rPr>
          <w:b w:val="0"/>
          <w:bCs w:val="0"/>
        </w:rPr>
      </w:pPr>
      <w:r>
        <w:rPr>
          <w:rFonts w:ascii="Times New Roman" w:hAnsi="Times New Roman" w:cs="Times New Roman" w:eastAsia="Times New Roman" w:hint="default"/>
        </w:rPr>
        <w:t>1</w:t>
      </w:r>
      <w:r>
        <w:rPr/>
        <w:t>、智能物联</w:t>
      </w:r>
      <w:r>
        <w:rPr>
          <w:b w:val="0"/>
          <w:bCs w:val="0"/>
        </w:rPr>
      </w:r>
    </w:p>
    <w:p>
      <w:pPr>
        <w:spacing w:line="240" w:lineRule="auto" w:before="9"/>
        <w:rPr>
          <w:rFonts w:ascii="宋体" w:hAnsi="宋体" w:cs="宋体" w:eastAsia="宋体" w:hint="default"/>
          <w:b/>
          <w:bCs/>
          <w:sz w:val="16"/>
          <w:szCs w:val="16"/>
        </w:rPr>
      </w:pPr>
    </w:p>
    <w:p>
      <w:pPr>
        <w:pStyle w:val="Heading6"/>
        <w:spacing w:line="240" w:lineRule="auto"/>
        <w:ind w:right="0"/>
        <w:jc w:val="left"/>
        <w:rPr>
          <w:b w:val="0"/>
          <w:bCs w:val="0"/>
        </w:rPr>
      </w:pPr>
      <w:r>
        <w:rPr/>
        <w:t>（</w:t>
      </w:r>
      <w:r>
        <w:rPr>
          <w:rFonts w:ascii="Times New Roman" w:hAnsi="Times New Roman" w:cs="Times New Roman" w:eastAsia="Times New Roman" w:hint="default"/>
        </w:rPr>
        <w:t>1</w:t>
      </w:r>
      <w:r>
        <w:rPr/>
        <w:t>）智能物联行业现状</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right="0" w:firstLine="420"/>
        <w:jc w:val="left"/>
      </w:pPr>
      <w:r>
        <w:rPr/>
        <w:t>继</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期间国务院、工信部、发改委等纷纷出台物联网发展指导文件，</w:t>
      </w:r>
      <w:r>
        <w:rPr>
          <w:rFonts w:ascii="Times New Roman" w:hAnsi="Times New Roman" w:cs="Times New Roman" w:eastAsia="Times New Roman" w:hint="default"/>
        </w:rPr>
        <w:t>2017</w:t>
      </w:r>
      <w:r>
        <w:rPr>
          <w:rFonts w:ascii="Times New Roman" w:hAnsi="Times New Roman" w:cs="Times New Roman" w:eastAsia="Times New Roman" w:hint="default"/>
          <w:spacing w:val="26"/>
        </w:rPr>
        <w:t> </w:t>
      </w:r>
      <w:r>
        <w:rPr/>
        <w:t>年，工信部发布《物联网</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 划》明确指出我国物联网加速进入</w:t>
      </w:r>
      <w:r>
        <w:rPr>
          <w:rFonts w:ascii="Times New Roman" w:hAnsi="Times New Roman" w:cs="Times New Roman" w:eastAsia="Times New Roman" w:hint="default"/>
        </w:rPr>
        <w:t>“</w:t>
      </w:r>
      <w:r>
        <w:rPr/>
        <w:t>跨界融合、集成创新和规模化发展</w:t>
      </w:r>
      <w:r>
        <w:rPr>
          <w:rFonts w:ascii="Times New Roman" w:hAnsi="Times New Roman" w:cs="Times New Roman" w:eastAsia="Times New Roman" w:hint="default"/>
        </w:rPr>
        <w:t>”</w:t>
      </w:r>
      <w:r>
        <w:rPr/>
        <w:t>的新阶段，提出完善技术创新体系，构建完善标准体 </w:t>
      </w:r>
      <w:r>
        <w:rPr>
          <w:spacing w:val="-2"/>
        </w:rPr>
        <w:t>系，推动物联网规模应用，完善公共服务体系，提升安全保障能力等具体任务，为我国未来</w:t>
      </w:r>
      <w:r>
        <w:rPr>
          <w:rFonts w:ascii="Times New Roman" w:hAnsi="Times New Roman" w:cs="Times New Roman" w:eastAsia="Times New Roman" w:hint="default"/>
          <w:spacing w:val="-2"/>
        </w:rPr>
        <w:t>5</w:t>
      </w:r>
      <w:r>
        <w:rPr>
          <w:spacing w:val="-2"/>
        </w:rPr>
        <w:t>年物联网产业发展指明了方向。</w:t>
      </w:r>
      <w:r>
        <w:rPr>
          <w:spacing w:val="-64"/>
        </w:rPr>
        <w:t> </w:t>
      </w:r>
      <w:r>
        <w:rPr/>
        <w:t>中国物联网市场空间巨大，自</w:t>
      </w:r>
      <w:r>
        <w:rPr>
          <w:rFonts w:ascii="Times New Roman" w:hAnsi="Times New Roman" w:cs="Times New Roman" w:eastAsia="Times New Roman" w:hint="default"/>
        </w:rPr>
        <w:t>2012</w:t>
      </w:r>
      <w:r>
        <w:rPr/>
        <w:t>年开始发展稳步增长，</w:t>
      </w:r>
      <w:r>
        <w:rPr>
          <w:rFonts w:ascii="Times New Roman" w:hAnsi="Times New Roman" w:cs="Times New Roman" w:eastAsia="Times New Roman" w:hint="default"/>
        </w:rPr>
        <w:t>2017</w:t>
      </w:r>
      <w:r>
        <w:rPr/>
        <w:t>年我国物联网市场规模达到</w:t>
      </w:r>
      <w:r>
        <w:rPr>
          <w:rFonts w:ascii="Times New Roman" w:hAnsi="Times New Roman" w:cs="Times New Roman" w:eastAsia="Times New Roman" w:hint="default"/>
        </w:rPr>
        <w:t>1.15</w:t>
      </w:r>
      <w:r>
        <w:rPr/>
        <w:t>万亿元，而随着物联网被列为 国家重点发展的战略性新兴产业，预计到</w:t>
      </w:r>
      <w:r>
        <w:rPr>
          <w:rFonts w:ascii="Times New Roman" w:hAnsi="Times New Roman" w:cs="Times New Roman" w:eastAsia="Times New Roman" w:hint="default"/>
        </w:rPr>
        <w:t>2022</w:t>
      </w:r>
      <w:r>
        <w:rPr/>
        <w:t>年我国物联网市场规模将达到</w:t>
      </w:r>
      <w:r>
        <w:rPr>
          <w:rFonts w:ascii="Times New Roman" w:hAnsi="Times New Roman" w:cs="Times New Roman" w:eastAsia="Times New Roman" w:hint="default"/>
        </w:rPr>
        <w:t>7.2</w:t>
      </w:r>
      <w:r>
        <w:rPr/>
        <w:t>万亿元。</w:t>
      </w:r>
    </w:p>
    <w:p>
      <w:pPr>
        <w:pStyle w:val="BodyText"/>
        <w:spacing w:line="458" w:lineRule="auto" w:before="43"/>
        <w:ind w:right="1131" w:firstLine="42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年以来，国内物联网连接数实现爆发式增长，国内主要平台取得快速发展。但国内物联网平台的市场格局仍相对 </w:t>
      </w:r>
      <w:r>
        <w:rPr>
          <w:spacing w:val="-2"/>
        </w:rPr>
        <w:t>稳固，平台企业并未随着应用规模跃升而大幅增加。经过数年运营，部分平台厂商经营出现困境，开始探索新的商业模式和</w:t>
      </w:r>
      <w:r>
        <w:rPr>
          <w:spacing w:val="-66"/>
        </w:rPr>
        <w:t> </w:t>
      </w:r>
      <w:r>
        <w:rPr>
          <w:spacing w:val="-66"/>
        </w:rPr>
      </w:r>
      <w:r>
        <w:rPr/>
        <w:t>转型方式。大型企业除了不断强化自身平台功能外，还重点加强对边缘计算、</w:t>
      </w:r>
      <w:r>
        <w:rPr>
          <w:rFonts w:ascii="Times New Roman" w:hAnsi="Times New Roman" w:cs="Times New Roman" w:eastAsia="Times New Roman" w:hint="default"/>
        </w:rPr>
        <w:t>AI</w:t>
      </w:r>
      <w:r>
        <w:rPr>
          <w:rFonts w:ascii="Times New Roman" w:hAnsi="Times New Roman" w:cs="Times New Roman" w:eastAsia="Times New Roman" w:hint="default"/>
          <w:spacing w:val="25"/>
        </w:rPr>
        <w:t> </w:t>
      </w:r>
      <w:r>
        <w:rPr/>
        <w:t>等能力以及对工业、汽车、家居等垂直行 业的支持，如阿里云</w:t>
      </w:r>
      <w:r>
        <w:rPr>
          <w:rFonts w:ascii="Times New Roman" w:hAnsi="Times New Roman" w:cs="Times New Roman" w:eastAsia="Times New Roman" w:hint="default"/>
        </w:rPr>
        <w:t>IoT</w:t>
      </w:r>
      <w:r>
        <w:rPr>
          <w:rFonts w:ascii="Times New Roman" w:hAnsi="Times New Roman" w:cs="Times New Roman" w:eastAsia="Times New Roman" w:hint="default"/>
          <w:spacing w:val="-5"/>
        </w:rPr>
        <w:t> </w:t>
      </w:r>
      <w:r>
        <w:rPr>
          <w:rFonts w:ascii="Times New Roman" w:hAnsi="Times New Roman" w:cs="Times New Roman" w:eastAsia="Times New Roman" w:hint="default"/>
        </w:rPr>
        <w:t>Link</w:t>
      </w:r>
      <w:r>
        <w:rPr/>
        <w:t>平台、华为</w:t>
      </w:r>
      <w:r>
        <w:rPr>
          <w:rFonts w:ascii="Times New Roman" w:hAnsi="Times New Roman" w:cs="Times New Roman" w:eastAsia="Times New Roman" w:hint="default"/>
        </w:rPr>
        <w:t>Oceanconnect</w:t>
      </w:r>
      <w:r>
        <w:rPr/>
        <w:t>平台不断联合行业合作伙伴持续孵化多样化解决方案。</w:t>
      </w:r>
    </w:p>
    <w:p>
      <w:pPr>
        <w:spacing w:line="451" w:lineRule="auto" w:before="37"/>
        <w:ind w:left="574" w:right="1152" w:hanging="42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）智能物联的行业趋势</w:t>
      </w:r>
      <w:r>
        <w:rPr>
          <w:rFonts w:ascii="宋体" w:hAnsi="宋体" w:cs="宋体" w:eastAsia="宋体" w:hint="default"/>
          <w:b/>
          <w:bCs/>
          <w:w w:val="99"/>
          <w:sz w:val="18"/>
          <w:szCs w:val="18"/>
        </w:rPr>
        <w:t> </w:t>
      </w:r>
      <w:r>
        <w:rPr>
          <w:rFonts w:ascii="宋体" w:hAnsi="宋体" w:cs="宋体" w:eastAsia="宋体" w:hint="default"/>
          <w:sz w:val="18"/>
          <w:szCs w:val="18"/>
        </w:rPr>
        <w:t>随着国家战略部署对物联网发展提出新要求。作为国家落实创新驱动、培育发展新动能、建设制造强国和网络强国、</w:t>
      </w:r>
    </w:p>
    <w:p>
      <w:pPr>
        <w:pStyle w:val="BodyText"/>
        <w:spacing w:line="477" w:lineRule="auto" w:before="74"/>
        <w:ind w:left="574" w:right="1152" w:hanging="420"/>
        <w:jc w:val="left"/>
      </w:pPr>
      <w:r>
        <w:rPr/>
        <w:t>实现智慧社会、工业互联网、军民融合等一系列国家重大战略部署的重要举措，物联网的发展面临新机遇。 此外，应用需求升级也将为物联网带来新机遇。一是传统产业智能化升级将驱动物联网应用进一步深化。当前物联网</w:t>
      </w:r>
    </w:p>
    <w:p>
      <w:pPr>
        <w:pStyle w:val="BodyText"/>
        <w:spacing w:line="470" w:lineRule="auto" w:before="54"/>
        <w:ind w:right="1032"/>
        <w:jc w:val="left"/>
      </w:pPr>
      <w:r>
        <w:rPr/>
        <w:t>应用正在向工业研发、制造、管理、服务等业务全流程渗透，农业、交通、零售等行业物联网集成应用试点也在加速开展。 </w:t>
      </w:r>
      <w:r>
        <w:rPr>
          <w:spacing w:val="-2"/>
        </w:rPr>
        <w:t>二是消费物联网应用市场潜力将逐步释放。全屋智能、健康管理可穿戴设备、智能门锁、车载智能终端等消费领域市场保持</w:t>
      </w:r>
      <w:r>
        <w:rPr>
          <w:spacing w:val="-66"/>
        </w:rPr>
        <w:t> </w:t>
      </w:r>
      <w:r>
        <w:rPr>
          <w:spacing w:val="-66"/>
        </w:rPr>
      </w:r>
      <w:r>
        <w:rPr>
          <w:spacing w:val="-3"/>
        </w:rPr>
        <w:t>高速增长，共享经济蓬勃发展，</w:t>
      </w:r>
      <w:r>
        <w:rPr>
          <w:rFonts w:ascii="Times New Roman" w:hAnsi="Times New Roman" w:cs="Times New Roman" w:eastAsia="Times New Roman" w:hint="default"/>
          <w:spacing w:val="-3"/>
        </w:rPr>
        <w:t>“</w:t>
      </w:r>
      <w:r>
        <w:rPr>
          <w:spacing w:val="-3"/>
        </w:rPr>
        <w:t>双创</w:t>
      </w:r>
      <w:r>
        <w:rPr>
          <w:rFonts w:ascii="Times New Roman" w:hAnsi="Times New Roman" w:cs="Times New Roman" w:eastAsia="Times New Roman" w:hint="default"/>
          <w:spacing w:val="-3"/>
        </w:rPr>
        <w:t>”</w:t>
      </w:r>
      <w:r>
        <w:rPr>
          <w:spacing w:val="-3"/>
        </w:rPr>
        <w:t>新活力持续迸发。三是新型智慧城市全面落地实施将带动物联网规模应用和开环应用。</w:t>
      </w:r>
      <w:r>
        <w:rPr>
          <w:spacing w:val="-75"/>
        </w:rPr>
        <w:t> </w:t>
      </w:r>
      <w:r>
        <w:rPr>
          <w:spacing w:val="-75"/>
        </w:rPr>
      </w:r>
      <w:r>
        <w:rPr>
          <w:spacing w:val="-2"/>
        </w:rPr>
        <w:t>全国智慧城市由分批试点步入全面建设阶段，促使物联网从小范围局部性应用向较大范围规模化应用转变，从垂直应用和闭</w:t>
      </w:r>
      <w:r>
        <w:rPr>
          <w:spacing w:val="-64"/>
        </w:rPr>
        <w:t> </w:t>
      </w:r>
      <w:r>
        <w:rPr>
          <w:spacing w:val="-64"/>
        </w:rPr>
      </w:r>
      <w:r>
        <w:rPr/>
        <w:t>环应用向跨界融合、水平化和开环应用转变。</w:t>
      </w:r>
    </w:p>
    <w:p>
      <w:pPr>
        <w:spacing w:line="451" w:lineRule="auto" w:before="59"/>
        <w:ind w:left="574" w:right="1038" w:hanging="42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）新技术驱动与场景化应用是行业特征</w:t>
      </w:r>
      <w:r>
        <w:rPr>
          <w:rFonts w:ascii="宋体" w:hAnsi="宋体" w:cs="宋体" w:eastAsia="宋体" w:hint="default"/>
          <w:b/>
          <w:bCs/>
          <w:w w:val="99"/>
          <w:sz w:val="18"/>
          <w:szCs w:val="18"/>
        </w:rPr>
        <w:t> </w:t>
      </w:r>
      <w:r>
        <w:rPr>
          <w:rFonts w:ascii="宋体" w:hAnsi="宋体" w:cs="宋体" w:eastAsia="宋体" w:hint="default"/>
          <w:spacing w:val="-2"/>
          <w:sz w:val="18"/>
          <w:szCs w:val="18"/>
        </w:rPr>
        <w:t>新技术驱动是智能物联的基本特征。无线感知网络的成熟、</w:t>
      </w:r>
      <w:r>
        <w:rPr>
          <w:rFonts w:ascii="Times New Roman" w:hAnsi="Times New Roman" w:cs="Times New Roman" w:eastAsia="Times New Roman" w:hint="default"/>
          <w:spacing w:val="-2"/>
          <w:sz w:val="18"/>
          <w:szCs w:val="18"/>
        </w:rPr>
        <w:t>5G</w:t>
      </w:r>
      <w:r>
        <w:rPr>
          <w:rFonts w:ascii="宋体" w:hAnsi="宋体" w:cs="宋体" w:eastAsia="宋体" w:hint="default"/>
          <w:spacing w:val="-2"/>
          <w:sz w:val="18"/>
          <w:szCs w:val="18"/>
        </w:rPr>
        <w:t>商用、人工智能技术的演进，都快速推动了行业的发展。</w:t>
      </w:r>
    </w:p>
    <w:p>
      <w:pPr>
        <w:pStyle w:val="BodyText"/>
        <w:spacing w:line="451" w:lineRule="auto" w:before="44"/>
        <w:ind w:right="1122"/>
        <w:jc w:val="left"/>
      </w:pPr>
      <w:r>
        <w:rPr>
          <w:rFonts w:ascii="Times New Roman" w:hAnsi="Times New Roman" w:cs="Times New Roman" w:eastAsia="Times New Roman" w:hint="default"/>
        </w:rPr>
        <w:t>2019</w:t>
      </w:r>
      <w:r>
        <w:rPr/>
        <w:t>年，工信部开始颁发</w:t>
      </w:r>
      <w:r>
        <w:rPr>
          <w:rFonts w:ascii="Times New Roman" w:hAnsi="Times New Roman" w:cs="Times New Roman" w:eastAsia="Times New Roman" w:hint="default"/>
        </w:rPr>
        <w:t>5G</w:t>
      </w:r>
      <w:r>
        <w:rPr/>
        <w:t>商用牌照，未来，</w:t>
      </w:r>
      <w:r>
        <w:rPr>
          <w:rFonts w:ascii="Times New Roman" w:hAnsi="Times New Roman" w:cs="Times New Roman" w:eastAsia="Times New Roman" w:hint="default"/>
        </w:rPr>
        <w:t>80%</w:t>
      </w:r>
      <w:r>
        <w:rPr/>
        <w:t>的</w:t>
      </w:r>
      <w:r>
        <w:rPr>
          <w:rFonts w:ascii="Times New Roman" w:hAnsi="Times New Roman" w:cs="Times New Roman" w:eastAsia="Times New Roman" w:hint="default"/>
        </w:rPr>
        <w:t>5G</w:t>
      </w:r>
      <w:r>
        <w:rPr/>
        <w:t>设施应用于物联网，只有</w:t>
      </w:r>
      <w:r>
        <w:rPr>
          <w:rFonts w:ascii="Times New Roman" w:hAnsi="Times New Roman" w:cs="Times New Roman" w:eastAsia="Times New Roman" w:hint="default"/>
        </w:rPr>
        <w:t>20%</w:t>
      </w:r>
      <w:r>
        <w:rPr/>
        <w:t>用于人与人的通信。基于云、边、端 的架构，人工智能与物联网融合，是目前主流的整体架构。在医疗、建筑、基础设施等领域，开放的</w:t>
      </w:r>
      <w:r>
        <w:rPr>
          <w:rFonts w:ascii="Times New Roman" w:hAnsi="Times New Roman" w:cs="Times New Roman" w:eastAsia="Times New Roman" w:hint="default"/>
        </w:rPr>
        <w:t>5</w:t>
      </w:r>
      <w:r>
        <w:rPr/>
        <w:t>级结构平台正创造出 </w:t>
      </w:r>
      <w:r>
        <w:rPr>
          <w:spacing w:val="-2"/>
        </w:rPr>
        <w:t>全新的数字城市，实现全主体、全要素、全过程、全空间的信息化、数字化智能化管理。云端计算、终端计算、边缘计算是</w:t>
      </w:r>
    </w:p>
    <w:p>
      <w:pPr>
        <w:spacing w:after="0" w:line="451" w:lineRule="auto"/>
        <w:jc w:val="left"/>
        <w:sectPr>
          <w:pgSz w:w="11910" w:h="16840"/>
          <w:pgMar w:header="787" w:footer="1019" w:top="1100" w:bottom="1200" w:left="980" w:right="0"/>
        </w:sectPr>
      </w:pPr>
    </w:p>
    <w:p>
      <w:pPr>
        <w:spacing w:line="240" w:lineRule="auto" w:before="10"/>
        <w:rPr>
          <w:rFonts w:ascii="宋体" w:hAnsi="宋体" w:cs="宋体" w:eastAsia="宋体" w:hint="default"/>
          <w:sz w:val="28"/>
          <w:szCs w:val="28"/>
        </w:rPr>
      </w:pPr>
    </w:p>
    <w:p>
      <w:pPr>
        <w:pStyle w:val="BodyText"/>
        <w:spacing w:line="458" w:lineRule="auto" w:before="44"/>
        <w:ind w:right="1032"/>
        <w:jc w:val="left"/>
      </w:pPr>
      <w:r>
        <w:rPr/>
        <w:t>一个协同系统，人工智能与物联网的融合，依据用户场景、资源匹配、业务实时性进行动态调配，形成不同的应用方案。 </w:t>
      </w:r>
      <w:r>
        <w:rPr>
          <w:rFonts w:ascii="Times New Roman" w:hAnsi="Times New Roman" w:cs="Times New Roman" w:eastAsia="Times New Roman" w:hint="default"/>
        </w:rPr>
        <w:t>AI</w:t>
      </w:r>
      <w:r>
        <w:rPr/>
        <w:t>巨头纷纷向线下场景转身，人工智能对建筑、安防、医疗、交通灯传统产业赋能，驱动出一个千亿级的新兴市场，传统 产业的边界在模糊，</w:t>
      </w:r>
      <w:r>
        <w:rPr>
          <w:rFonts w:ascii="Times New Roman" w:hAnsi="Times New Roman" w:cs="Times New Roman" w:eastAsia="Times New Roman" w:hint="default"/>
        </w:rPr>
        <w:t>AI+IOT</w:t>
      </w:r>
      <w:r>
        <w:rPr/>
        <w:t>、</w:t>
      </w:r>
      <w:r>
        <w:rPr>
          <w:rFonts w:ascii="Times New Roman" w:hAnsi="Times New Roman" w:cs="Times New Roman" w:eastAsia="Times New Roman" w:hint="default"/>
        </w:rPr>
        <w:t>AI+BIGDATA</w:t>
      </w:r>
      <w:r>
        <w:rPr/>
        <w:t>是继互联网后的又一次技术革命，并将带来巨大的红利。通过人工智能驱动商 业智能，并赋予建筑、交通、医疗等传统产业</w:t>
      </w:r>
      <w:r>
        <w:rPr>
          <w:rFonts w:ascii="Times New Roman" w:hAnsi="Times New Roman" w:cs="Times New Roman" w:eastAsia="Times New Roman" w:hint="default"/>
        </w:rPr>
        <w:t>“</w:t>
      </w:r>
      <w:r>
        <w:rPr/>
        <w:t>生命</w:t>
      </w:r>
      <w:r>
        <w:rPr>
          <w:rFonts w:ascii="Times New Roman" w:hAnsi="Times New Roman" w:cs="Times New Roman" w:eastAsia="Times New Roman" w:hint="default"/>
        </w:rPr>
        <w:t>”</w:t>
      </w:r>
      <w:r>
        <w:rPr/>
        <w:t>，推动城市</w:t>
      </w:r>
      <w:r>
        <w:rPr>
          <w:rFonts w:ascii="Times New Roman" w:hAnsi="Times New Roman" w:cs="Times New Roman" w:eastAsia="Times New Roman" w:hint="default"/>
        </w:rPr>
        <w:t>“</w:t>
      </w:r>
      <w:r>
        <w:rPr/>
        <w:t>进化</w:t>
      </w:r>
      <w:r>
        <w:rPr>
          <w:rFonts w:ascii="Times New Roman" w:hAnsi="Times New Roman" w:cs="Times New Roman" w:eastAsia="Times New Roman" w:hint="default"/>
        </w:rPr>
        <w:t>”</w:t>
      </w:r>
      <w:r>
        <w:rPr/>
        <w:t>与新型城市化，基础设施的数字化需求迫在眉睫。以 </w:t>
      </w:r>
      <w:r>
        <w:rPr>
          <w:spacing w:val="-2"/>
        </w:rPr>
        <w:t>建筑为例，建筑是传统产业，但在新的技术趋势下，建筑是一个特殊的场景，边界清晰，场景中设备连接需求量很高，人的</w:t>
      </w:r>
      <w:r>
        <w:rPr>
          <w:spacing w:val="-68"/>
        </w:rPr>
        <w:t> </w:t>
      </w:r>
      <w:r>
        <w:rPr>
          <w:spacing w:val="-68"/>
        </w:rPr>
      </w:r>
      <w:r>
        <w:rPr/>
        <w:t>行为活动非常密集</w:t>
      </w:r>
      <w:r>
        <w:rPr>
          <w:rFonts w:ascii="Times New Roman" w:hAnsi="Times New Roman" w:cs="Times New Roman" w:eastAsia="Times New Roman" w:hint="default"/>
        </w:rPr>
        <w:t>;</w:t>
      </w:r>
      <w:r>
        <w:rPr/>
        <w:t>城市则抓住了人这个核心角色，城市物联网以人工智能作为智慧中枢，以物联设备为抓手，赋能城市要 素升级。依托场景，结合自身累积沉淀的行业经验优势不断落地，形成商业闭环，能够演变出全新的商业机会和商业模式。</w:t>
      </w:r>
    </w:p>
    <w:p>
      <w:pPr>
        <w:pStyle w:val="BodyText"/>
        <w:spacing w:line="451" w:lineRule="auto" w:before="68"/>
        <w:ind w:left="574" w:right="1152" w:hanging="420"/>
        <w:jc w:val="left"/>
      </w:pPr>
      <w:r>
        <w:rPr>
          <w:rFonts w:ascii="宋体" w:hAnsi="宋体" w:cs="宋体" w:eastAsia="宋体" w:hint="default"/>
          <w:b/>
          <w:bCs/>
        </w:rPr>
        <w:t>（</w:t>
      </w:r>
      <w:r>
        <w:rPr>
          <w:rFonts w:ascii="Times New Roman" w:hAnsi="Times New Roman" w:cs="Times New Roman" w:eastAsia="Times New Roman" w:hint="default"/>
          <w:b/>
          <w:bCs/>
        </w:rPr>
        <w:t>4</w:t>
      </w:r>
      <w:r>
        <w:rPr>
          <w:rFonts w:ascii="宋体" w:hAnsi="宋体" w:cs="宋体" w:eastAsia="宋体" w:hint="default"/>
          <w:b/>
          <w:bCs/>
        </w:rPr>
        <w:t>）达实智能的布局</w:t>
      </w:r>
      <w:r>
        <w:rPr>
          <w:rFonts w:ascii="宋体" w:hAnsi="宋体" w:cs="宋体" w:eastAsia="宋体" w:hint="default"/>
          <w:b/>
          <w:bCs/>
          <w:w w:val="99"/>
        </w:rPr>
        <w:t> </w:t>
      </w:r>
      <w:r>
        <w:rPr/>
        <w:t>达实智能目前有两大主要平台在医疗和建筑场景中实现了落地并进行了成熟应用。面向城市物联的智能云平台基于物</w:t>
      </w:r>
    </w:p>
    <w:p>
      <w:pPr>
        <w:pStyle w:val="BodyText"/>
        <w:spacing w:line="477" w:lineRule="auto" w:before="74"/>
        <w:ind w:right="1132"/>
        <w:jc w:val="both"/>
      </w:pPr>
      <w:r>
        <w:rPr>
          <w:spacing w:val="-2"/>
        </w:rPr>
        <w:t>联网技术，支持多维业务场景，包括智慧城市、智慧医疗、智慧建筑等领域，覆盖医院、社区、写字楼、停车场等场景，同</w:t>
      </w:r>
      <w:r>
        <w:rPr>
          <w:spacing w:val="-69"/>
        </w:rPr>
        <w:t> </w:t>
      </w:r>
      <w:r>
        <w:rPr>
          <w:spacing w:val="-69"/>
        </w:rPr>
      </w:r>
      <w:r>
        <w:rPr>
          <w:spacing w:val="-2"/>
        </w:rPr>
        <w:t>时具备设备设施、能源、建筑运行、人工、通行等多方面的管理，通过无线传感网络、云计算、大数据分析等信息化技术应</w:t>
      </w:r>
      <w:r>
        <w:rPr>
          <w:spacing w:val="-72"/>
        </w:rPr>
        <w:t> </w:t>
      </w:r>
      <w:r>
        <w:rPr>
          <w:spacing w:val="-72"/>
        </w:rPr>
      </w:r>
      <w:r>
        <w:rPr/>
        <w:t>用，解决海量数据实时采集、挖掘以及监控等问题，最终达到精细化管理。</w:t>
      </w:r>
    </w:p>
    <w:p>
      <w:pPr>
        <w:pStyle w:val="BodyText"/>
        <w:spacing w:line="458" w:lineRule="auto" w:before="54"/>
        <w:ind w:right="1032" w:firstLine="420"/>
        <w:jc w:val="left"/>
      </w:pPr>
      <w:r>
        <w:rPr/>
        <w:t>达实智能的</w:t>
      </w:r>
      <w:r>
        <w:rPr>
          <w:rFonts w:ascii="Times New Roman" w:hAnsi="Times New Roman" w:cs="Times New Roman" w:eastAsia="Times New Roman" w:hint="default"/>
        </w:rPr>
        <w:t>IBMS</w:t>
      </w:r>
      <w:r>
        <w:rPr/>
        <w:t>平台将传统建筑改造为可感知、能交互，并具备自我学习能力、不断进化的智能建筑，实现建筑与建 </w:t>
      </w:r>
      <w:r>
        <w:rPr>
          <w:spacing w:val="-4"/>
        </w:rPr>
        <w:t>筑之间的智慧连接，通过分布式云端架构和一站式数据集成，可以实时监测和反向控制，并对专业建筑进行大数据智能分析，</w:t>
      </w:r>
      <w:r>
        <w:rPr>
          <w:spacing w:val="-44"/>
        </w:rPr>
        <w:t> </w:t>
      </w:r>
      <w:r>
        <w:rPr>
          <w:spacing w:val="-44"/>
        </w:rPr>
      </w:r>
      <w:r>
        <w:rPr/>
        <w:t>达到建筑全生命周期的信息管理，在建筑方面落地的项目中，帮助客户节省人力</w:t>
      </w:r>
      <w:r>
        <w:rPr>
          <w:rFonts w:ascii="Times New Roman" w:hAnsi="Times New Roman" w:cs="Times New Roman" w:eastAsia="Times New Roman" w:hint="default"/>
        </w:rPr>
        <w:t>40%</w:t>
      </w:r>
      <w:r>
        <w:rPr/>
        <w:t>，降低能耗</w:t>
      </w:r>
      <w:r>
        <w:rPr>
          <w:rFonts w:ascii="Times New Roman" w:hAnsi="Times New Roman" w:cs="Times New Roman" w:eastAsia="Times New Roman" w:hint="default"/>
        </w:rPr>
        <w:t>30%</w:t>
      </w:r>
      <w:r>
        <w:rPr/>
        <w:t>，是建筑升级切实有效 的成熟方案。</w:t>
      </w:r>
    </w:p>
    <w:p>
      <w:pPr>
        <w:pStyle w:val="Heading6"/>
        <w:spacing w:line="240" w:lineRule="auto" w:before="68"/>
        <w:ind w:right="0"/>
        <w:jc w:val="left"/>
        <w:rPr>
          <w:b w:val="0"/>
          <w:bCs w:val="0"/>
        </w:rPr>
      </w:pPr>
      <w:r>
        <w:rPr>
          <w:rFonts w:ascii="Times New Roman" w:hAnsi="Times New Roman" w:cs="Times New Roman" w:eastAsia="Times New Roman" w:hint="default"/>
        </w:rPr>
        <w:t>2</w:t>
      </w:r>
      <w:r>
        <w:rPr/>
        <w:t>、智慧医疗</w:t>
      </w:r>
      <w:r>
        <w:rPr>
          <w:b w:val="0"/>
          <w:bCs w:val="0"/>
        </w:rPr>
      </w:r>
    </w:p>
    <w:p>
      <w:pPr>
        <w:spacing w:line="240" w:lineRule="auto" w:before="9"/>
        <w:rPr>
          <w:rFonts w:ascii="宋体" w:hAnsi="宋体" w:cs="宋体" w:eastAsia="宋体" w:hint="default"/>
          <w:b/>
          <w:bCs/>
          <w:sz w:val="16"/>
          <w:szCs w:val="16"/>
        </w:rPr>
      </w:pPr>
    </w:p>
    <w:p>
      <w:pPr>
        <w:pStyle w:val="BodyText"/>
        <w:spacing w:line="477" w:lineRule="auto"/>
        <w:ind w:right="1152" w:firstLine="420"/>
        <w:jc w:val="left"/>
      </w:pPr>
      <w:r>
        <w:rPr/>
        <w:t>目前智慧医疗由三部分组成，分别为智慧医院系统、区域卫生系统、以及家庭健康系统。达实智能目前的业务布局主 要涉及前两部分。</w:t>
      </w:r>
    </w:p>
    <w:p>
      <w:pPr>
        <w:pStyle w:val="BodyText"/>
        <w:spacing w:line="451" w:lineRule="auto" w:before="54"/>
        <w:ind w:left="574" w:right="1152" w:hanging="420"/>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）智慧医疗发展现状</w:t>
      </w:r>
      <w:r>
        <w:rPr>
          <w:rFonts w:ascii="宋体" w:hAnsi="宋体" w:cs="宋体" w:eastAsia="宋体" w:hint="default"/>
          <w:b/>
          <w:bCs/>
          <w:w w:val="99"/>
        </w:rPr>
        <w:t> </w:t>
      </w:r>
      <w:r>
        <w:rPr/>
        <w:t>国家政策扶持：随着我国社会老龄化趋势的加速，健康服务需求不断增长，自</w:t>
      </w:r>
      <w:r>
        <w:rPr>
          <w:rFonts w:ascii="Times New Roman" w:hAnsi="Times New Roman" w:cs="Times New Roman" w:eastAsia="Times New Roman" w:hint="default"/>
        </w:rPr>
        <w:t>2014</w:t>
      </w:r>
      <w:r>
        <w:rPr/>
        <w:t>年开始，中央及地方政府就围绕智</w:t>
      </w:r>
    </w:p>
    <w:p>
      <w:pPr>
        <w:pStyle w:val="BodyText"/>
        <w:spacing w:line="463" w:lineRule="auto" w:before="43"/>
        <w:ind w:right="1133"/>
        <w:jc w:val="both"/>
      </w:pPr>
      <w:r>
        <w:rPr>
          <w:spacing w:val="-2"/>
        </w:rPr>
        <w:t>慧医疗、医药行业，密集出台了一系列深化改革的政策，为智慧医疗的建设奠定了政策基础。在政策的助力下，国内医疗信</w:t>
      </w:r>
      <w:r>
        <w:rPr>
          <w:spacing w:val="-66"/>
        </w:rPr>
        <w:t> </w:t>
      </w:r>
      <w:r>
        <w:rPr>
          <w:spacing w:val="-66"/>
        </w:rPr>
      </w:r>
      <w:r>
        <w:rPr/>
        <w:t>息化解决方案市场规模达到</w:t>
      </w:r>
      <w:r>
        <w:rPr>
          <w:rFonts w:ascii="Times New Roman" w:hAnsi="Times New Roman" w:cs="Times New Roman" w:eastAsia="Times New Roman" w:hint="default"/>
        </w:rPr>
        <w:t>108.5</w:t>
      </w:r>
      <w:r>
        <w:rPr>
          <w:rFonts w:ascii="Times New Roman" w:hAnsi="Times New Roman" w:cs="Times New Roman" w:eastAsia="Times New Roman" w:hint="default"/>
          <w:spacing w:val="25"/>
        </w:rPr>
        <w:t> </w:t>
      </w:r>
      <w:r>
        <w:rPr/>
        <w:t>亿元，</w:t>
      </w:r>
      <w:r>
        <w:rPr>
          <w:rFonts w:ascii="Times New Roman" w:hAnsi="Times New Roman" w:cs="Times New Roman" w:eastAsia="Times New Roman" w:hint="default"/>
        </w:rPr>
        <w:t>2015</w:t>
      </w:r>
      <w:r>
        <w:rPr/>
        <w:t>年至</w:t>
      </w:r>
      <w:r>
        <w:rPr>
          <w:rFonts w:ascii="Times New Roman" w:hAnsi="Times New Roman" w:cs="Times New Roman" w:eastAsia="Times New Roman" w:hint="default"/>
        </w:rPr>
        <w:t>2018</w:t>
      </w:r>
      <w:r>
        <w:rPr/>
        <w:t>年的年复合增长率将达到</w:t>
      </w:r>
      <w:r>
        <w:rPr>
          <w:rFonts w:ascii="Times New Roman" w:hAnsi="Times New Roman" w:cs="Times New Roman" w:eastAsia="Times New Roman" w:hint="default"/>
        </w:rPr>
        <w:t>29.6%</w:t>
      </w:r>
      <w:r>
        <w:rPr/>
        <w:t>，到</w:t>
      </w:r>
      <w:r>
        <w:rPr>
          <w:rFonts w:ascii="Times New Roman" w:hAnsi="Times New Roman" w:cs="Times New Roman" w:eastAsia="Times New Roman" w:hint="default"/>
        </w:rPr>
        <w:t>2019</w:t>
      </w:r>
      <w:r>
        <w:rPr/>
        <w:t>年我国智慧医疗建设行业规 模将达</w:t>
      </w:r>
      <w:r>
        <w:rPr>
          <w:rFonts w:ascii="Times New Roman" w:hAnsi="Times New Roman" w:cs="Times New Roman" w:eastAsia="Times New Roman" w:hint="default"/>
        </w:rPr>
        <w:t>880</w:t>
      </w:r>
      <w:r>
        <w:rPr/>
        <w:t>亿元。</w:t>
      </w:r>
    </w:p>
    <w:p>
      <w:pPr>
        <w:pStyle w:val="BodyText"/>
        <w:spacing w:line="451" w:lineRule="auto" w:before="33"/>
        <w:ind w:right="0" w:firstLine="420"/>
        <w:jc w:val="left"/>
      </w:pPr>
      <w:r>
        <w:rPr/>
        <w:t>互联网企业入局：在智慧医疗广阔前景的吸引下，以 </w:t>
      </w:r>
      <w:r>
        <w:rPr>
          <w:rFonts w:ascii="Times New Roman" w:hAnsi="Times New Roman" w:cs="Times New Roman" w:eastAsia="Times New Roman" w:hint="default"/>
        </w:rPr>
        <w:t>BAT</w:t>
      </w:r>
      <w:r>
        <w:rPr>
          <w:rFonts w:ascii="Times New Roman" w:hAnsi="Times New Roman" w:cs="Times New Roman" w:eastAsia="Times New Roman" w:hint="default"/>
          <w:spacing w:val="9"/>
        </w:rPr>
        <w:t> </w:t>
      </w:r>
      <w:r>
        <w:rPr/>
        <w:t>为首的互联网企业纷纷对医疗行业展开布局，其中阿里巴 </w:t>
      </w:r>
      <w:r>
        <w:rPr>
          <w:spacing w:val="-2"/>
        </w:rPr>
        <w:t>巴创立了阿里健康和</w:t>
      </w:r>
      <w:r>
        <w:rPr>
          <w:rFonts w:ascii="Times New Roman" w:hAnsi="Times New Roman" w:cs="Times New Roman" w:eastAsia="Times New Roman" w:hint="default"/>
          <w:spacing w:val="-2"/>
        </w:rPr>
        <w:t>“</w:t>
      </w:r>
      <w:r>
        <w:rPr>
          <w:spacing w:val="-2"/>
        </w:rPr>
        <w:t>医疗云</w:t>
      </w:r>
      <w:r>
        <w:rPr>
          <w:rFonts w:ascii="Times New Roman" w:hAnsi="Times New Roman" w:cs="Times New Roman" w:eastAsia="Times New Roman" w:hint="default"/>
          <w:spacing w:val="-2"/>
        </w:rPr>
        <w:t>”</w:t>
      </w:r>
      <w:r>
        <w:rPr>
          <w:spacing w:val="-2"/>
        </w:rPr>
        <w:t>服务；腾讯、丁香园、众安保险三方合作打造的互联网医疗生态链已现雏形；诸多大型企业通</w:t>
      </w:r>
      <w:r>
        <w:rPr>
          <w:spacing w:val="-44"/>
        </w:rPr>
        <w:t> </w:t>
      </w:r>
      <w:r>
        <w:rPr>
          <w:spacing w:val="-44"/>
        </w:rPr>
      </w:r>
      <w:r>
        <w:rPr/>
        <w:t>过并购，整合医疗资源，布局智慧医疗产业链。</w:t>
      </w:r>
    </w:p>
    <w:p>
      <w:pPr>
        <w:pStyle w:val="BodyText"/>
        <w:spacing w:line="477" w:lineRule="auto" w:before="74"/>
        <w:ind w:right="1043" w:firstLine="420"/>
        <w:jc w:val="both"/>
      </w:pPr>
      <w:r>
        <w:rPr/>
        <w:t>目前，虽然我国智慧医疗建设发展，总体上呈现稳健上升的态势，但是医疗行业的智能化、信息化水平还不够高，医 </w:t>
      </w:r>
      <w:r>
        <w:rPr>
          <w:spacing w:val="-2"/>
        </w:rPr>
        <w:t>疗资源的整合和共享，难以得到充分的展现。如何通过机器、人工智能以及互联网的优势来帮助医生解决难题，成为当下智</w:t>
      </w:r>
      <w:r>
        <w:rPr>
          <w:spacing w:val="-65"/>
        </w:rPr>
        <w:t> </w:t>
      </w:r>
      <w:r>
        <w:rPr>
          <w:spacing w:val="-65"/>
        </w:rPr>
      </w:r>
      <w:r>
        <w:rPr>
          <w:spacing w:val="-4"/>
        </w:rPr>
        <w:t>慧医疗的建设难点。另一方面，数据是人工智能的重要支撑，但目前医疗数据在来源、计算、共享等方面还存在很大的欠缺。</w:t>
      </w:r>
    </w:p>
    <w:p>
      <w:pPr>
        <w:spacing w:after="0" w:line="477" w:lineRule="auto"/>
        <w:jc w:val="both"/>
        <w:sectPr>
          <w:pgSz w:w="11910" w:h="16840"/>
          <w:pgMar w:header="787" w:footer="1019" w:top="1100" w:bottom="1200" w:left="980" w:right="0"/>
        </w:sectPr>
      </w:pPr>
    </w:p>
    <w:p>
      <w:pPr>
        <w:spacing w:line="240" w:lineRule="auto" w:before="10"/>
        <w:rPr>
          <w:rFonts w:ascii="宋体" w:hAnsi="宋体" w:cs="宋体" w:eastAsia="宋体" w:hint="default"/>
          <w:sz w:val="28"/>
          <w:szCs w:val="28"/>
        </w:rPr>
      </w:pPr>
    </w:p>
    <w:p>
      <w:pPr>
        <w:pStyle w:val="BodyText"/>
        <w:spacing w:line="477" w:lineRule="auto" w:before="44"/>
        <w:ind w:right="0"/>
        <w:jc w:val="left"/>
      </w:pPr>
      <w:r>
        <w:rPr>
          <w:spacing w:val="-2"/>
        </w:rPr>
        <w:t>要解决这一问题，就需要一个可扩展的大数据平台，从源头上采集到能够包括各类疾病特征、病例、指标的数据，并对采集</w:t>
      </w:r>
      <w:r>
        <w:rPr>
          <w:spacing w:val="-66"/>
        </w:rPr>
        <w:t> </w:t>
      </w:r>
      <w:r>
        <w:rPr>
          <w:spacing w:val="-66"/>
        </w:rPr>
      </w:r>
      <w:r>
        <w:rPr>
          <w:spacing w:val="-4"/>
        </w:rPr>
        <w:t>到的数据进行有效清洗，最终按照需求生成数据结果。如何构建这一数据平台，也成为智慧医疗建设发展的难点之一。再者，</w:t>
      </w:r>
      <w:r>
        <w:rPr>
          <w:spacing w:val="-46"/>
        </w:rPr>
        <w:t> </w:t>
      </w:r>
      <w:r>
        <w:rPr>
          <w:spacing w:val="-46"/>
        </w:rPr>
      </w:r>
      <w:r>
        <w:rPr/>
        <w:t>如何进行数据使用和变现，让智慧医疗投入者获得收益进而催生其更大投入动力，也是智慧医疗建设发展的最大难点。</w:t>
      </w:r>
    </w:p>
    <w:p>
      <w:pPr>
        <w:pStyle w:val="BodyText"/>
        <w:spacing w:line="451" w:lineRule="auto" w:before="54"/>
        <w:ind w:left="574" w:right="1152" w:hanging="420"/>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）智慧医疗发展趋势</w:t>
      </w:r>
      <w:r>
        <w:rPr>
          <w:rFonts w:ascii="宋体" w:hAnsi="宋体" w:cs="宋体" w:eastAsia="宋体" w:hint="default"/>
          <w:b/>
          <w:bCs/>
          <w:w w:val="99"/>
        </w:rPr>
        <w:t> </w:t>
      </w:r>
      <w:r>
        <w:rPr/>
        <w:t>智慧医疗是智慧城市战略规划中一项重要的民生领域应用，也是民生经济带动下的产业升级和经济增长点，其建设应</w:t>
      </w:r>
    </w:p>
    <w:p>
      <w:pPr>
        <w:pStyle w:val="BodyText"/>
        <w:spacing w:line="477" w:lineRule="auto" w:before="74"/>
        <w:ind w:left="574" w:right="1152" w:hanging="420"/>
        <w:jc w:val="left"/>
      </w:pPr>
      <w:r>
        <w:rPr/>
        <w:t>用是大势所趋。近几年，国家政府各部门积极推动政策，推动智慧医疗的发展。 未来几年将是中国智慧医疗建设飞速发展的时期，在新医改方案的指导下，政府将会加大当地智慧医疗建设方面的投</w:t>
      </w:r>
    </w:p>
    <w:p>
      <w:pPr>
        <w:pStyle w:val="BodyText"/>
        <w:spacing w:line="477" w:lineRule="auto" w:before="54"/>
        <w:ind w:right="0"/>
        <w:jc w:val="left"/>
      </w:pPr>
      <w:r>
        <w:rPr>
          <w:spacing w:val="-4"/>
        </w:rPr>
        <w:t>入，将会有更多的医疗机构参与到信息化建设中，一些信息化建设较好的医疗机构也将致力于建设更为先进的医院管理系统，</w:t>
      </w:r>
      <w:r>
        <w:rPr>
          <w:spacing w:val="-44"/>
        </w:rPr>
        <w:t> </w:t>
      </w:r>
      <w:r>
        <w:rPr>
          <w:spacing w:val="-44"/>
        </w:rPr>
      </w:r>
      <w:r>
        <w:rPr/>
        <w:t>提升自身竞争力，给广大居民带来更好的医疗体验。</w:t>
      </w:r>
    </w:p>
    <w:p>
      <w:pPr>
        <w:pStyle w:val="BodyText"/>
        <w:spacing w:line="451" w:lineRule="auto" w:before="54"/>
        <w:ind w:left="574" w:right="1152" w:hanging="420"/>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）达实智能的布局</w:t>
      </w:r>
      <w:r>
        <w:rPr>
          <w:rFonts w:ascii="宋体" w:hAnsi="宋体" w:cs="宋体" w:eastAsia="宋体" w:hint="default"/>
          <w:b/>
          <w:bCs/>
          <w:w w:val="99"/>
        </w:rPr>
        <w:t> </w:t>
      </w:r>
      <w:r>
        <w:rPr/>
        <w:t>报告期内，公司充分利用智能化、信息化、集成化一体的优势，在淮南市重点打造了城市级区域医疗卫生信息一体化</w:t>
      </w:r>
    </w:p>
    <w:p>
      <w:pPr>
        <w:pStyle w:val="BodyText"/>
        <w:spacing w:line="477" w:lineRule="auto" w:before="74"/>
        <w:ind w:right="0"/>
        <w:jc w:val="left"/>
      </w:pPr>
      <w:r>
        <w:rPr>
          <w:spacing w:val="-2"/>
        </w:rPr>
        <w:t>平台，为下一步的市场拓展树立了标杆。在数字化手术室承建方面，达实久信在全国各地进行了该项目工作的承建，目前牢</w:t>
      </w:r>
      <w:r>
        <w:rPr>
          <w:spacing w:val="-66"/>
        </w:rPr>
        <w:t> </w:t>
      </w:r>
      <w:r>
        <w:rPr>
          <w:spacing w:val="-66"/>
        </w:rPr>
      </w:r>
      <w:r>
        <w:rPr/>
        <w:t>牢占据该行业的龙头地位。</w:t>
      </w:r>
    </w:p>
    <w:p>
      <w:pPr>
        <w:pStyle w:val="BodyText"/>
        <w:spacing w:line="477" w:lineRule="auto" w:before="54"/>
        <w:ind w:right="1131" w:firstLine="420"/>
        <w:jc w:val="both"/>
      </w:pPr>
      <w:r>
        <w:rPr/>
        <w:t>为支持公司智慧医疗业务的发展，公司收购了成都聚雅为智慧医疗业务保驾护航，重点研发区域医疗健康信息平台的 </w:t>
      </w:r>
      <w:r>
        <w:rPr>
          <w:spacing w:val="-2"/>
        </w:rPr>
        <w:t>相关产品，通过区域平台实现资源整合，打造多功能化的区域平台产品，从而扩展区域医疗的服务范围和服务深度。与此同</w:t>
      </w:r>
      <w:r>
        <w:rPr>
          <w:spacing w:val="-66"/>
        </w:rPr>
        <w:t> </w:t>
      </w:r>
      <w:r>
        <w:rPr>
          <w:spacing w:val="-66"/>
        </w:rPr>
      </w:r>
      <w:r>
        <w:rPr/>
        <w:t>时，公司也积极布局区域医疗平台的服务产品，进行多种盈利模式的探索，为后续业务拓展打下模板。</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5"/>
          <w:szCs w:val="25"/>
        </w:rPr>
      </w:pPr>
    </w:p>
    <w:p>
      <w:pPr>
        <w:pStyle w:val="BodyText"/>
        <w:spacing w:line="240" w:lineRule="auto" w:before="44"/>
        <w:ind w:left="0" w:right="1150"/>
        <w:jc w:val="right"/>
      </w:pPr>
      <w:r>
        <w:rPr/>
        <w:pict>
          <v:shape style="position:absolute;margin-left:57.029999pt;margin-top:-130.568253pt;width:478.6pt;height:150.3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月，公司转让持有的上海达实联欣科技发展有限公司</w:t>
                        </w:r>
                        <w:r>
                          <w:rPr>
                            <w:rFonts w:ascii="宋体" w:hAnsi="宋体" w:cs="宋体" w:eastAsia="宋体" w:hint="default"/>
                            <w:spacing w:val="-55"/>
                            <w:sz w:val="18"/>
                            <w:szCs w:val="18"/>
                          </w:rPr>
                          <w:t> </w:t>
                        </w:r>
                        <w:r>
                          <w:rPr>
                            <w:rFonts w:ascii="Times New Roman" w:hAnsi="Times New Roman" w:cs="Times New Roman" w:eastAsia="Times New Roman" w:hint="default"/>
                            <w:spacing w:val="-4"/>
                            <w:sz w:val="18"/>
                            <w:szCs w:val="18"/>
                          </w:rPr>
                          <w:t>34%</w:t>
                        </w:r>
                        <w:r>
                          <w:rPr>
                            <w:rFonts w:ascii="宋体" w:hAnsi="宋体" w:cs="宋体" w:eastAsia="宋体" w:hint="default"/>
                            <w:spacing w:val="-4"/>
                            <w:sz w:val="18"/>
                            <w:szCs w:val="18"/>
                          </w:rPr>
                          <w:t>股权，自股权转</w:t>
                        </w:r>
                        <w:r>
                          <w:rPr>
                            <w:rFonts w:ascii="宋体" w:hAnsi="宋体" w:cs="宋体" w:eastAsia="宋体" w:hint="default"/>
                            <w:sz w:val="18"/>
                            <w:szCs w:val="18"/>
                          </w:rPr>
                          <w:t> 让日开始，不再对上海达实联欣科技发展有限公司具有控制权。</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本期无重大变化。</w:t>
                        </w: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1"/>
                          <w:jc w:val="left"/>
                          <w:rPr>
                            <w:rFonts w:ascii="宋体" w:hAnsi="宋体" w:cs="宋体" w:eastAsia="宋体" w:hint="default"/>
                            <w:sz w:val="18"/>
                            <w:szCs w:val="18"/>
                          </w:rPr>
                        </w:pPr>
                        <w:r>
                          <w:rPr>
                            <w:rFonts w:ascii="宋体" w:hAnsi="宋体" w:cs="宋体" w:eastAsia="宋体" w:hint="default"/>
                            <w:sz w:val="18"/>
                            <w:szCs w:val="18"/>
                          </w:rPr>
                          <w:t>本期无形资产较上期增长</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46.21%</w:t>
                        </w:r>
                        <w:r>
                          <w:rPr>
                            <w:rFonts w:ascii="宋体" w:hAnsi="宋体" w:cs="宋体" w:eastAsia="宋体" w:hint="default"/>
                            <w:spacing w:val="-3"/>
                            <w:sz w:val="18"/>
                            <w:szCs w:val="18"/>
                          </w:rPr>
                          <w:t>，主要是本报告期母公司开发完成软件著作权、子</w:t>
                        </w:r>
                        <w:r>
                          <w:rPr>
                            <w:rFonts w:ascii="宋体" w:hAnsi="宋体" w:cs="宋体" w:eastAsia="宋体" w:hint="default"/>
                            <w:sz w:val="18"/>
                            <w:szCs w:val="18"/>
                          </w:rPr>
                          <w:t> 公司淮南达实项目收款权增加所致。</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本期在建工程较上期增长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78.45%</w:t>
                        </w:r>
                        <w:r>
                          <w:rPr>
                            <w:rFonts w:ascii="宋体" w:hAnsi="宋体" w:cs="宋体" w:eastAsia="宋体" w:hint="default"/>
                            <w:sz w:val="18"/>
                            <w:szCs w:val="18"/>
                          </w:rPr>
                          <w:t>，主要是达实大厦改扩建工程项目投入增加所致</w:t>
                        </w:r>
                      </w:p>
                    </w:tc>
                  </w:tr>
                </w:tbl>
                <w:p>
                  <w:pPr/>
                </w:p>
              </w:txbxContent>
            </v:textbox>
            <w10:wrap type="none"/>
          </v:shape>
        </w:pict>
      </w:r>
      <w:r>
        <w:rPr/>
        <w:t>。</w:t>
      </w:r>
    </w:p>
    <w:p>
      <w:pPr>
        <w:spacing w:line="240" w:lineRule="auto" w:before="13"/>
        <w:rPr>
          <w:rFonts w:ascii="宋体" w:hAnsi="宋体" w:cs="宋体" w:eastAsia="宋体" w:hint="default"/>
          <w:sz w:val="27"/>
          <w:szCs w:val="27"/>
        </w:rPr>
      </w:pPr>
    </w:p>
    <w:p>
      <w:pPr>
        <w:pStyle w:val="Heading4"/>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87" w:footer="1019" w:top="1100" w:bottom="1200" w:left="980" w:right="0"/>
        </w:sectPr>
      </w:pPr>
    </w:p>
    <w:p>
      <w:pPr>
        <w:spacing w:line="240" w:lineRule="auto" w:before="6"/>
        <w:rPr>
          <w:rFonts w:ascii="宋体" w:hAnsi="宋体" w:cs="宋体" w:eastAsia="宋体" w:hint="default"/>
          <w:sz w:val="20"/>
          <w:szCs w:val="20"/>
        </w:rPr>
      </w:pPr>
    </w:p>
    <w:p>
      <w:pPr>
        <w:pStyle w:val="Heading2"/>
        <w:spacing w:line="240" w:lineRule="auto" w:before="26"/>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9"/>
        <w:ind w:right="0"/>
        <w:jc w:val="left"/>
      </w:pPr>
      <w:r>
        <w:rPr/>
        <w:t>软件与信息技术服务业</w:t>
      </w:r>
    </w:p>
    <w:p>
      <w:pPr>
        <w:spacing w:line="240" w:lineRule="auto" w:before="10"/>
        <w:rPr>
          <w:rFonts w:ascii="宋体" w:hAnsi="宋体" w:cs="宋体" w:eastAsia="宋体" w:hint="default"/>
          <w:sz w:val="14"/>
          <w:szCs w:val="14"/>
        </w:rPr>
      </w:pPr>
    </w:p>
    <w:p>
      <w:pPr>
        <w:pStyle w:val="BodyText"/>
        <w:spacing w:line="451" w:lineRule="auto"/>
        <w:ind w:left="574" w:right="1172" w:hanging="420"/>
        <w:jc w:val="left"/>
      </w:pPr>
      <w:r>
        <w:rPr>
          <w:rFonts w:ascii="Times New Roman" w:hAnsi="Times New Roman" w:cs="Times New Roman" w:eastAsia="Times New Roman" w:hint="default"/>
          <w:b/>
          <w:bCs/>
        </w:rPr>
        <w:t>1</w:t>
      </w:r>
      <w:r>
        <w:rPr>
          <w:rFonts w:ascii="宋体" w:hAnsi="宋体" w:cs="宋体" w:eastAsia="宋体" w:hint="default"/>
          <w:b/>
          <w:bCs/>
        </w:rPr>
        <w:t>、卓越的品牌优势</w:t>
      </w:r>
      <w:r>
        <w:rPr>
          <w:rFonts w:ascii="宋体" w:hAnsi="宋体" w:cs="宋体" w:eastAsia="宋体" w:hint="default"/>
          <w:b/>
          <w:bCs/>
          <w:w w:val="99"/>
        </w:rPr>
        <w:t> </w:t>
      </w:r>
      <w:r>
        <w:rPr/>
        <w:t>公司自</w:t>
      </w:r>
      <w:r>
        <w:rPr>
          <w:rFonts w:ascii="Times New Roman" w:hAnsi="Times New Roman" w:cs="Times New Roman" w:eastAsia="Times New Roman" w:hint="default"/>
        </w:rPr>
        <w:t>1995</w:t>
      </w:r>
      <w:r>
        <w:rPr/>
        <w:t>年成立以来，一直坚持以</w:t>
      </w:r>
      <w:r>
        <w:rPr>
          <w:rFonts w:ascii="Times New Roman" w:hAnsi="Times New Roman" w:cs="Times New Roman" w:eastAsia="Times New Roman" w:hint="default"/>
        </w:rPr>
        <w:t>“</w:t>
      </w:r>
      <w:r>
        <w:rPr/>
        <w:t>让城市更智慧</w:t>
      </w:r>
      <w:r>
        <w:rPr>
          <w:rFonts w:ascii="Times New Roman" w:hAnsi="Times New Roman" w:cs="Times New Roman" w:eastAsia="Times New Roman" w:hint="default"/>
        </w:rPr>
        <w:t>”</w:t>
      </w:r>
      <w:r>
        <w:rPr/>
        <w:t>为经营宗旨，并结合国家政策及行业发展深度聚焦，目前已在智</w:t>
      </w:r>
    </w:p>
    <w:p>
      <w:pPr>
        <w:pStyle w:val="BodyText"/>
        <w:spacing w:line="451" w:lineRule="auto" w:before="43"/>
        <w:ind w:right="1087"/>
        <w:jc w:val="left"/>
      </w:pPr>
      <w:r>
        <w:rPr/>
        <w:t>慧医疗、智慧物联整体解决方案领域具有明显的品牌优势。公司已先后荣获</w:t>
      </w:r>
      <w:r>
        <w:rPr>
          <w:rFonts w:ascii="Times New Roman" w:hAnsi="Times New Roman" w:cs="Times New Roman" w:eastAsia="Times New Roman" w:hint="default"/>
        </w:rPr>
        <w:t>“</w:t>
      </w:r>
      <w:r>
        <w:rPr/>
        <w:t>国家级高新技术企业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博士后科研工作站</w:t>
      </w:r>
      <w:r>
        <w:rPr>
          <w:rFonts w:ascii="Times New Roman" w:hAnsi="Times New Roman" w:cs="Times New Roman" w:eastAsia="Times New Roman" w:hint="default"/>
        </w:rPr>
        <w:t>”</w:t>
      </w:r>
      <w:r>
        <w:rPr/>
        <w:t>、 </w:t>
      </w:r>
      <w:r>
        <w:rPr>
          <w:rFonts w:ascii="Times New Roman" w:hAnsi="Times New Roman" w:cs="Times New Roman" w:eastAsia="Times New Roman" w:hint="default"/>
        </w:rPr>
        <w:t>“</w:t>
      </w:r>
      <w:r>
        <w:rPr/>
        <w:t>广东省工程技术研究开发中心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深圳市工程技术研究开发中心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广东省、深圳市、南山区科普教育基地</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软件百强 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深圳市自主创新行业龙头企业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深圳知名品牌</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工信部、发改委、广东省节能技术服务单位</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深圳市民营领 </w:t>
      </w:r>
      <w:r>
        <w:rPr>
          <w:spacing w:val="-1"/>
        </w:rPr>
        <w:t>军骨干企业</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深圳市既有建筑节能改造示范企业</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“AAA</w:t>
      </w:r>
      <w:r>
        <w:rPr>
          <w:spacing w:val="-1"/>
        </w:rPr>
        <w:t>级信用企业</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南山区总部企业</w:t>
      </w:r>
      <w:r>
        <w:rPr>
          <w:rFonts w:ascii="Times New Roman" w:hAnsi="Times New Roman" w:cs="Times New Roman" w:eastAsia="Times New Roman" w:hint="default"/>
          <w:spacing w:val="-1"/>
        </w:rPr>
        <w:t>”</w:t>
      </w:r>
      <w:r>
        <w:rPr>
          <w:spacing w:val="-1"/>
        </w:rPr>
        <w:t>，连续十年获得</w:t>
      </w:r>
      <w:r>
        <w:rPr>
          <w:rFonts w:ascii="Times New Roman" w:hAnsi="Times New Roman" w:cs="Times New Roman" w:eastAsia="Times New Roman" w:hint="default"/>
          <w:spacing w:val="-1"/>
        </w:rPr>
        <w:t>“</w:t>
      </w:r>
      <w:r>
        <w:rPr>
          <w:spacing w:val="-1"/>
        </w:rPr>
        <w:t>广东守合同重</w:t>
      </w:r>
      <w:r>
        <w:rPr>
          <w:spacing w:val="-70"/>
        </w:rPr>
        <w:t> </w:t>
      </w:r>
      <w:r>
        <w:rPr>
          <w:spacing w:val="-70"/>
        </w:rPr>
      </w:r>
      <w:r>
        <w:rPr>
          <w:spacing w:val="-1"/>
        </w:rPr>
        <w:t>信用企业（</w:t>
      </w:r>
      <w:r>
        <w:rPr>
          <w:rFonts w:ascii="Times New Roman" w:hAnsi="Times New Roman" w:cs="Times New Roman" w:eastAsia="Times New Roman" w:hint="default"/>
          <w:spacing w:val="-1"/>
        </w:rPr>
        <w:t>2009-2018</w:t>
      </w:r>
      <w:r>
        <w:rPr>
          <w:spacing w:val="-1"/>
        </w:rPr>
        <w:t>年）</w:t>
      </w:r>
      <w:r>
        <w:rPr>
          <w:rFonts w:ascii="Times New Roman" w:hAnsi="Times New Roman" w:cs="Times New Roman" w:eastAsia="Times New Roman" w:hint="default"/>
          <w:spacing w:val="-1"/>
        </w:rPr>
        <w:t>”</w:t>
      </w:r>
      <w:r>
        <w:rPr>
          <w:spacing w:val="-1"/>
        </w:rPr>
        <w:t>等荣誉。经过二十余年的市场开拓，产品质量及服务获得客户的广泛认可，在行业内具有较强的</w:t>
      </w:r>
      <w:r>
        <w:rPr>
          <w:spacing w:val="-76"/>
        </w:rPr>
        <w:t> </w:t>
      </w:r>
      <w:r>
        <w:rPr>
          <w:spacing w:val="-76"/>
        </w:rPr>
      </w:r>
      <w:r>
        <w:rPr/>
        <w:t>品牌知名度和影响力，已构建自身的品牌竞争优势。</w:t>
      </w:r>
    </w:p>
    <w:p>
      <w:pPr>
        <w:pStyle w:val="BodyText"/>
        <w:spacing w:line="477" w:lineRule="auto" w:before="74"/>
        <w:ind w:right="1133" w:firstLine="420"/>
        <w:jc w:val="both"/>
      </w:pPr>
      <w:r>
        <w:rPr/>
        <w:t>公司在深圳和雄安设立了两个科普教育基地，运用公司自主研发的多项专利、技术与产品，形象展示了达实智能智慧 </w:t>
      </w:r>
      <w:r>
        <w:rPr>
          <w:spacing w:val="-2"/>
        </w:rPr>
        <w:t>城市建设的创新、发展成果，年接待客户逾千批次，并通过市场推广，持续提升公司形象，连续三年首席战略合作医院建设</w:t>
      </w:r>
      <w:r>
        <w:rPr>
          <w:spacing w:val="-66"/>
        </w:rPr>
        <w:t> </w:t>
      </w:r>
      <w:r>
        <w:rPr>
          <w:spacing w:val="-66"/>
        </w:rPr>
      </w:r>
      <w:r>
        <w:rPr/>
        <w:t>大会，多家权威媒体支持多渠道联动，品牌推广效果显著。</w:t>
      </w:r>
    </w:p>
    <w:p>
      <w:pPr>
        <w:pStyle w:val="BodyText"/>
        <w:spacing w:line="451" w:lineRule="auto" w:before="54"/>
        <w:ind w:left="574" w:right="1152" w:hanging="420"/>
        <w:jc w:val="left"/>
      </w:pPr>
      <w:r>
        <w:rPr>
          <w:rFonts w:ascii="Times New Roman" w:hAnsi="Times New Roman" w:cs="Times New Roman" w:eastAsia="Times New Roman" w:hint="default"/>
          <w:b/>
          <w:bCs/>
        </w:rPr>
        <w:t>2</w:t>
      </w:r>
      <w:r>
        <w:rPr>
          <w:rFonts w:ascii="宋体" w:hAnsi="宋体" w:cs="宋体" w:eastAsia="宋体" w:hint="default"/>
          <w:b/>
          <w:bCs/>
        </w:rPr>
        <w:t>、整体解决方案优势</w:t>
      </w:r>
      <w:r>
        <w:rPr>
          <w:rFonts w:ascii="宋体" w:hAnsi="宋体" w:cs="宋体" w:eastAsia="宋体" w:hint="default"/>
          <w:b/>
          <w:bCs/>
          <w:w w:val="99"/>
        </w:rPr>
        <w:t> </w:t>
      </w:r>
      <w:r>
        <w:rPr/>
        <w:t>公司在多年的市场服务中，积累了丰富的行业经验，致力于打造面向每个使用者的智慧建筑全生命周期解决方案，涵</w:t>
      </w:r>
    </w:p>
    <w:p>
      <w:pPr>
        <w:pStyle w:val="BodyText"/>
        <w:spacing w:line="477" w:lineRule="auto" w:before="74"/>
        <w:ind w:right="1130"/>
        <w:jc w:val="both"/>
      </w:pPr>
      <w:r>
        <w:rPr>
          <w:spacing w:val="-2"/>
        </w:rPr>
        <w:t>盖信息化应用系统、设备管理系统、公共安全系统、智能化集成系统等的方案设计、定制开发、系统集成、施工管理及后期</w:t>
      </w:r>
      <w:r>
        <w:rPr>
          <w:spacing w:val="-67"/>
        </w:rPr>
        <w:t> </w:t>
      </w:r>
      <w:r>
        <w:rPr>
          <w:spacing w:val="-67"/>
        </w:rPr>
      </w:r>
      <w:r>
        <w:rPr>
          <w:spacing w:val="-2"/>
        </w:rPr>
        <w:t>运营服务；可为城市医疗卫生体系提供一体化软件平台及大数据运营服务；可为城市轨道交通项目提供涵盖综合监控、自动</w:t>
      </w:r>
      <w:r>
        <w:rPr>
          <w:spacing w:val="-66"/>
        </w:rPr>
        <w:t> </w:t>
      </w:r>
      <w:r>
        <w:rPr>
          <w:spacing w:val="-66"/>
        </w:rPr>
      </w:r>
      <w:r>
        <w:rPr/>
        <w:t>售检票、综合安防、节能控制等系统的智能化及节能整体解决方案。</w:t>
      </w:r>
    </w:p>
    <w:p>
      <w:pPr>
        <w:pStyle w:val="Heading6"/>
        <w:spacing w:line="240" w:lineRule="auto" w:before="54"/>
        <w:ind w:right="0"/>
        <w:jc w:val="left"/>
        <w:rPr>
          <w:b w:val="0"/>
          <w:bCs w:val="0"/>
        </w:rPr>
      </w:pPr>
      <w:r>
        <w:rPr>
          <w:rFonts w:ascii="Times New Roman" w:hAnsi="Times New Roman" w:cs="Times New Roman" w:eastAsia="Times New Roman" w:hint="default"/>
        </w:rPr>
        <w:t>3</w:t>
      </w:r>
      <w:r>
        <w:rPr/>
        <w:t>、技术研发优势</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right="1141" w:firstLine="420"/>
        <w:jc w:val="both"/>
      </w:pPr>
      <w:r>
        <w:rPr/>
        <w:t>公司技术创新能力处于行业领先地位，依托设立在公司的国家博士后科研工作站，主导</w:t>
      </w:r>
      <w:r>
        <w:rPr>
          <w:rFonts w:ascii="Times New Roman" w:hAnsi="Times New Roman" w:cs="Times New Roman" w:eastAsia="Times New Roman" w:hint="default"/>
        </w:rPr>
        <w:t>5</w:t>
      </w:r>
      <w:r>
        <w:rPr/>
        <w:t>项国家标准，拥有</w:t>
      </w:r>
      <w:r>
        <w:rPr>
          <w:rFonts w:ascii="Times New Roman" w:hAnsi="Times New Roman" w:cs="Times New Roman" w:eastAsia="Times New Roman" w:hint="default"/>
        </w:rPr>
        <w:t>160</w:t>
      </w:r>
      <w:r>
        <w:rPr/>
        <w:t>项发明 专利、</w:t>
      </w:r>
      <w:r>
        <w:rPr>
          <w:rFonts w:ascii="Times New Roman" w:hAnsi="Times New Roman" w:cs="Times New Roman" w:eastAsia="Times New Roman" w:hint="default"/>
        </w:rPr>
        <w:t>87</w:t>
      </w:r>
      <w:r>
        <w:rPr/>
        <w:t>项实用新型专利和</w:t>
      </w:r>
      <w:r>
        <w:rPr>
          <w:rFonts w:ascii="Times New Roman" w:hAnsi="Times New Roman" w:cs="Times New Roman" w:eastAsia="Times New Roman" w:hint="default"/>
        </w:rPr>
        <w:t>163</w:t>
      </w:r>
      <w:r>
        <w:rPr/>
        <w:t>项软件著作权。拥有自主创新的智能终端产品和物联网、互联网及大数据平台产品。公司硕 士</w:t>
      </w:r>
      <w:r>
        <w:rPr>
          <w:rFonts w:ascii="Times New Roman" w:hAnsi="Times New Roman" w:cs="Times New Roman" w:eastAsia="Times New Roman" w:hint="default"/>
        </w:rPr>
        <w:t>/</w:t>
      </w:r>
      <w:r>
        <w:rPr/>
        <w:t>博士联合培养中心与国内</w:t>
      </w:r>
      <w:r>
        <w:rPr>
          <w:rFonts w:ascii="Times New Roman" w:hAnsi="Times New Roman" w:cs="Times New Roman" w:eastAsia="Times New Roman" w:hint="default"/>
        </w:rPr>
        <w:t>60</w:t>
      </w:r>
      <w:r>
        <w:rPr/>
        <w:t>余所著名高校建立了合作伙伴关系，目前已联合培养</w:t>
      </w:r>
      <w:r>
        <w:rPr>
          <w:rFonts w:ascii="Times New Roman" w:hAnsi="Times New Roman" w:cs="Times New Roman" w:eastAsia="Times New Roman" w:hint="default"/>
        </w:rPr>
        <w:t>10</w:t>
      </w:r>
      <w:r>
        <w:rPr/>
        <w:t>位博士后、</w:t>
      </w:r>
      <w:r>
        <w:rPr>
          <w:rFonts w:ascii="Times New Roman" w:hAnsi="Times New Roman" w:cs="Times New Roman" w:eastAsia="Times New Roman" w:hint="default"/>
        </w:rPr>
        <w:t>200</w:t>
      </w:r>
      <w:r>
        <w:rPr/>
        <w:t>余位硕士研究生。</w:t>
      </w:r>
    </w:p>
    <w:p>
      <w:pPr>
        <w:pStyle w:val="BodyText"/>
        <w:spacing w:line="451" w:lineRule="auto" w:before="43"/>
        <w:ind w:right="1079" w:firstLine="420"/>
        <w:jc w:val="both"/>
      </w:pPr>
      <w:r>
        <w:rPr/>
        <w:t>报告期内，公司取得</w:t>
      </w:r>
      <w:r>
        <w:rPr>
          <w:rFonts w:ascii="Times New Roman" w:hAnsi="Times New Roman" w:cs="Times New Roman" w:eastAsia="Times New Roman" w:hint="default"/>
        </w:rPr>
        <w:t>5</w:t>
      </w:r>
      <w:r>
        <w:rPr/>
        <w:t>项发明专利证书、</w:t>
      </w:r>
      <w:r>
        <w:rPr>
          <w:rFonts w:ascii="Times New Roman" w:hAnsi="Times New Roman" w:cs="Times New Roman" w:eastAsia="Times New Roman" w:hint="default"/>
        </w:rPr>
        <w:t>17</w:t>
      </w:r>
      <w:r>
        <w:rPr/>
        <w:t>项实用新型专利证书、</w:t>
      </w:r>
      <w:r>
        <w:rPr>
          <w:rFonts w:ascii="Times New Roman" w:hAnsi="Times New Roman" w:cs="Times New Roman" w:eastAsia="Times New Roman" w:hint="default"/>
        </w:rPr>
        <w:t>21</w:t>
      </w:r>
      <w:r>
        <w:rPr/>
        <w:t>项软件著作权，新申请</w:t>
      </w:r>
      <w:r>
        <w:rPr>
          <w:rFonts w:ascii="Times New Roman" w:hAnsi="Times New Roman" w:cs="Times New Roman" w:eastAsia="Times New Roman" w:hint="default"/>
        </w:rPr>
        <w:t>40</w:t>
      </w:r>
      <w:r>
        <w:rPr/>
        <w:t>项专利（其中发明</w:t>
      </w:r>
      <w:r>
        <w:rPr>
          <w:rFonts w:ascii="Times New Roman" w:hAnsi="Times New Roman" w:cs="Times New Roman" w:eastAsia="Times New Roman" w:hint="default"/>
        </w:rPr>
        <w:t>21</w:t>
      </w:r>
      <w:r>
        <w:rPr/>
        <w:t>项、 实用新型</w:t>
      </w:r>
      <w:r>
        <w:rPr>
          <w:rFonts w:ascii="Times New Roman" w:hAnsi="Times New Roman" w:cs="Times New Roman" w:eastAsia="Times New Roman" w:hint="default"/>
        </w:rPr>
        <w:t>18</w:t>
      </w:r>
      <w:r>
        <w:rPr/>
        <w:t>项、外观</w:t>
      </w:r>
      <w:r>
        <w:rPr>
          <w:rFonts w:ascii="Times New Roman" w:hAnsi="Times New Roman" w:cs="Times New Roman" w:eastAsia="Times New Roman" w:hint="default"/>
        </w:rPr>
        <w:t>1</w:t>
      </w:r>
      <w:r>
        <w:rPr/>
        <w:t>项），研发实力进一步增强。</w:t>
      </w:r>
    </w:p>
    <w:p>
      <w:pPr>
        <w:pStyle w:val="Heading6"/>
        <w:spacing w:line="240" w:lineRule="auto" w:before="43"/>
        <w:ind w:right="0"/>
        <w:jc w:val="left"/>
        <w:rPr>
          <w:b w:val="0"/>
          <w:bCs w:val="0"/>
        </w:rPr>
      </w:pPr>
      <w:r>
        <w:rPr>
          <w:rFonts w:ascii="Times New Roman" w:hAnsi="Times New Roman" w:cs="Times New Roman" w:eastAsia="Times New Roman" w:hint="default"/>
        </w:rPr>
        <w:t>4</w:t>
      </w:r>
      <w:r>
        <w:rPr/>
        <w:t>、企业文化优势</w:t>
      </w:r>
      <w:r>
        <w:rPr>
          <w:b w:val="0"/>
          <w:bCs w:val="0"/>
        </w:rPr>
      </w:r>
    </w:p>
    <w:p>
      <w:pPr>
        <w:spacing w:line="240" w:lineRule="auto" w:before="10"/>
        <w:rPr>
          <w:rFonts w:ascii="宋体" w:hAnsi="宋体" w:cs="宋体" w:eastAsia="宋体" w:hint="default"/>
          <w:b/>
          <w:bCs/>
          <w:sz w:val="16"/>
          <w:szCs w:val="16"/>
        </w:rPr>
      </w:pPr>
    </w:p>
    <w:p>
      <w:pPr>
        <w:pStyle w:val="BodyText"/>
        <w:spacing w:line="451" w:lineRule="auto"/>
        <w:ind w:right="0" w:firstLine="420"/>
        <w:jc w:val="left"/>
      </w:pPr>
      <w:r>
        <w:rPr>
          <w:spacing w:val="-1"/>
        </w:rPr>
        <w:t>公司始终坚持</w:t>
      </w:r>
      <w:r>
        <w:rPr>
          <w:rFonts w:ascii="Times New Roman" w:hAnsi="Times New Roman" w:cs="Times New Roman" w:eastAsia="Times New Roman" w:hint="default"/>
          <w:spacing w:val="-1"/>
        </w:rPr>
        <w:t>“</w:t>
      </w:r>
      <w:r>
        <w:rPr>
          <w:spacing w:val="-1"/>
        </w:rPr>
        <w:t>达则兼善天下，实则恒心如一</w:t>
      </w:r>
      <w:r>
        <w:rPr>
          <w:rFonts w:ascii="Times New Roman" w:hAnsi="Times New Roman" w:cs="Times New Roman" w:eastAsia="Times New Roman" w:hint="default"/>
          <w:spacing w:val="-1"/>
        </w:rPr>
        <w:t>”</w:t>
      </w:r>
      <w:r>
        <w:rPr>
          <w:spacing w:val="-1"/>
        </w:rPr>
        <w:t>的企业核心价值观，持续升级与公司战略及业务发展相匹配的企业文化，</w:t>
      </w:r>
      <w:r>
        <w:rPr/>
        <w:t> </w:t>
      </w:r>
      <w:r>
        <w:rPr>
          <w:rFonts w:ascii="Times New Roman" w:hAnsi="Times New Roman" w:cs="Times New Roman" w:eastAsia="Times New Roman" w:hint="default"/>
        </w:rPr>
        <w:t>2018</w:t>
      </w:r>
      <w:r>
        <w:rPr/>
        <w:t>年下半年，公司正式导入</w:t>
      </w:r>
      <w:r>
        <w:rPr>
          <w:rFonts w:ascii="Times New Roman" w:hAnsi="Times New Roman" w:cs="Times New Roman" w:eastAsia="Times New Roman" w:hint="default"/>
        </w:rPr>
        <w:t>“</w:t>
      </w:r>
      <w:r>
        <w:rPr/>
        <w:t>致良知</w:t>
      </w:r>
      <w:r>
        <w:rPr>
          <w:rFonts w:ascii="Times New Roman" w:hAnsi="Times New Roman" w:cs="Times New Roman" w:eastAsia="Times New Roman" w:hint="default"/>
        </w:rPr>
        <w:t>”</w:t>
      </w:r>
      <w:r>
        <w:rPr/>
        <w:t>文化，并安排管理层及员工参与了董事长班、战略</w:t>
      </w:r>
      <w:r>
        <w:rPr>
          <w:rFonts w:ascii="Times New Roman" w:hAnsi="Times New Roman" w:cs="Times New Roman" w:eastAsia="Times New Roman" w:hint="default"/>
        </w:rPr>
        <w:t>3.0</w:t>
      </w:r>
      <w:r>
        <w:rPr/>
        <w:t>项目班、太太班、雏鹰计划班 学习，取得明显成效，并通过集体智慧升级达实公司价值观，形成达实</w:t>
      </w:r>
      <w:r>
        <w:rPr>
          <w:rFonts w:ascii="Times New Roman" w:hAnsi="Times New Roman" w:cs="Times New Roman" w:eastAsia="Times New Roman" w:hint="default"/>
        </w:rPr>
        <w:t>3.0</w:t>
      </w:r>
      <w:r>
        <w:rPr/>
        <w:t>战略：</w:t>
      </w:r>
      <w:r>
        <w:rPr>
          <w:rFonts w:ascii="Times New Roman" w:hAnsi="Times New Roman" w:cs="Times New Roman" w:eastAsia="Times New Roman" w:hint="default"/>
        </w:rPr>
        <w:t>“</w:t>
      </w:r>
      <w:r>
        <w:rPr/>
        <w:t>达则兼善天下</w:t>
      </w:r>
      <w:r>
        <w:rPr>
          <w:rFonts w:ascii="Times New Roman" w:hAnsi="Times New Roman" w:cs="Times New Roman" w:eastAsia="Times New Roman" w:hint="default"/>
        </w:rPr>
        <w:t>——</w:t>
      </w:r>
      <w:r>
        <w:rPr/>
        <w:t>我们追求成功，不仅是</w:t>
      </w:r>
    </w:p>
    <w:p>
      <w:pPr>
        <w:spacing w:after="0" w:line="451" w:lineRule="auto"/>
        <w:jc w:val="left"/>
        <w:sectPr>
          <w:pgSz w:w="11910" w:h="16840"/>
          <w:pgMar w:header="787" w:footer="1019" w:top="1100" w:bottom="1200" w:left="980" w:right="0"/>
        </w:sectPr>
      </w:pPr>
    </w:p>
    <w:p>
      <w:pPr>
        <w:spacing w:line="240" w:lineRule="auto" w:before="10"/>
        <w:rPr>
          <w:rFonts w:ascii="宋体" w:hAnsi="宋体" w:cs="宋体" w:eastAsia="宋体" w:hint="default"/>
          <w:sz w:val="28"/>
          <w:szCs w:val="28"/>
        </w:rPr>
      </w:pPr>
    </w:p>
    <w:p>
      <w:pPr>
        <w:pStyle w:val="BodyText"/>
        <w:spacing w:line="451" w:lineRule="auto" w:before="44"/>
        <w:ind w:right="0"/>
        <w:jc w:val="left"/>
        <w:rPr>
          <w:rFonts w:ascii="Times New Roman" w:hAnsi="Times New Roman" w:cs="Times New Roman" w:eastAsia="Times New Roman" w:hint="default"/>
        </w:rPr>
      </w:pPr>
      <w:r>
        <w:rPr>
          <w:spacing w:val="-2"/>
        </w:rPr>
        <w:t>为了与客户分享，更是为了成就他人的成功、拥有幸福的人生；实则恒心如一</w:t>
      </w:r>
      <w:r>
        <w:rPr>
          <w:rFonts w:ascii="Times New Roman" w:hAnsi="Times New Roman" w:cs="Times New Roman" w:eastAsia="Times New Roman" w:hint="default"/>
          <w:spacing w:val="-2"/>
        </w:rPr>
        <w:t>——</w:t>
      </w:r>
      <w:r>
        <w:rPr>
          <w:spacing w:val="-2"/>
        </w:rPr>
        <w:t>我们务实做事，不仅是要艰苦奋斗，更要</w:t>
      </w:r>
      <w:r>
        <w:rPr>
          <w:spacing w:val="-66"/>
        </w:rPr>
        <w:t> </w:t>
      </w:r>
      <w:r>
        <w:rPr>
          <w:spacing w:val="-66"/>
        </w:rPr>
      </w:r>
      <w:r>
        <w:rPr/>
        <w:t>将客户装在心里，永远依道而行！</w:t>
      </w:r>
      <w:r>
        <w:rPr>
          <w:rFonts w:ascii="Times New Roman" w:hAnsi="Times New Roman" w:cs="Times New Roman" w:eastAsia="Times New Roman" w:hint="default"/>
        </w:rPr>
        <w:t>”</w:t>
      </w:r>
    </w:p>
    <w:p>
      <w:pPr>
        <w:spacing w:after="0" w:line="451" w:lineRule="auto"/>
        <w:jc w:val="left"/>
        <w:rPr>
          <w:rFonts w:ascii="Times New Roman" w:hAnsi="Times New Roman" w:cs="Times New Roman" w:eastAsia="Times New Roman" w:hint="default"/>
        </w:rPr>
        <w:sectPr>
          <w:pgSz w:w="11910" w:h="16840"/>
          <w:pgMar w:header="787" w:footer="1019" w:top="1100" w:bottom="12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8"/>
          <w:szCs w:val="28"/>
        </w:rPr>
      </w:pPr>
    </w:p>
    <w:p>
      <w:pPr>
        <w:pStyle w:val="Heading1"/>
        <w:spacing w:line="240" w:lineRule="auto"/>
        <w:ind w:left="2966" w:right="0"/>
        <w:jc w:val="left"/>
        <w:rPr>
          <w:b w:val="0"/>
          <w:bCs w:val="0"/>
        </w:rPr>
      </w:pPr>
      <w:bookmarkStart w:name="第四节 经营情况讨论与分析" w:id="22"/>
      <w:bookmarkEnd w:id="22"/>
      <w:r>
        <w:rPr>
          <w:b w:val="0"/>
          <w:bCs w:val="0"/>
        </w:rPr>
      </w:r>
      <w:bookmarkStart w:name="_bookmark2"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32"/>
          <w:szCs w:val="32"/>
        </w:rPr>
      </w:pPr>
    </w:p>
    <w:p>
      <w:pPr>
        <w:pStyle w:val="BodyText"/>
        <w:spacing w:line="451" w:lineRule="auto"/>
        <w:ind w:right="1067" w:firstLine="420"/>
        <w:jc w:val="left"/>
      </w:pPr>
      <w:r>
        <w:rPr>
          <w:rFonts w:ascii="Times New Roman" w:hAnsi="Times New Roman" w:cs="Times New Roman" w:eastAsia="Times New Roman" w:hint="default"/>
        </w:rPr>
        <w:t>2018</w:t>
      </w:r>
      <w:r>
        <w:rPr/>
        <w:t>年，国内经济经受了金融去杠杆和中美贸易争端的冲击，公司过去三年来坚持的技术</w:t>
      </w:r>
      <w:r>
        <w:rPr>
          <w:rFonts w:ascii="Times New Roman" w:hAnsi="Times New Roman" w:cs="Times New Roman" w:eastAsia="Times New Roman" w:hint="default"/>
        </w:rPr>
        <w:t>+</w:t>
      </w:r>
      <w:r>
        <w:rPr/>
        <w:t>金融发展策略受到了挑战， </w:t>
      </w:r>
      <w:r>
        <w:rPr>
          <w:spacing w:val="-2"/>
        </w:rPr>
        <w:t>净利润出现了上市</w:t>
      </w:r>
      <w:r>
        <w:rPr>
          <w:rFonts w:ascii="Times New Roman" w:hAnsi="Times New Roman" w:cs="Times New Roman" w:eastAsia="Times New Roman" w:hint="default"/>
          <w:spacing w:val="-2"/>
        </w:rPr>
        <w:t>9</w:t>
      </w:r>
      <w:r>
        <w:rPr>
          <w:spacing w:val="-2"/>
        </w:rPr>
        <w:t>年来的首次下滑，资产的周转效率降低。报告期内，公司实现营业收入</w:t>
      </w:r>
      <w:r>
        <w:rPr>
          <w:rFonts w:ascii="Times New Roman" w:hAnsi="Times New Roman" w:cs="Times New Roman" w:eastAsia="Times New Roman" w:hint="default"/>
          <w:spacing w:val="-2"/>
        </w:rPr>
        <w:t>252,741.53</w:t>
      </w:r>
      <w:r>
        <w:rPr>
          <w:spacing w:val="-2"/>
        </w:rPr>
        <w:t>万元，较上年同期减少</w:t>
      </w:r>
      <w:r>
        <w:rPr>
          <w:spacing w:val="-55"/>
        </w:rPr>
        <w:t> </w:t>
      </w:r>
      <w:r>
        <w:rPr>
          <w:spacing w:val="-55"/>
        </w:rPr>
      </w:r>
      <w:r>
        <w:rPr>
          <w:rFonts w:ascii="Times New Roman" w:hAnsi="Times New Roman" w:cs="Times New Roman" w:eastAsia="Times New Roman" w:hint="default"/>
          <w:spacing w:val="-2"/>
        </w:rPr>
        <w:t>1.75%</w:t>
      </w:r>
      <w:r>
        <w:rPr>
          <w:spacing w:val="-2"/>
        </w:rPr>
        <w:t>；实现归属于上市公司股东的净利润</w:t>
      </w:r>
      <w:r>
        <w:rPr>
          <w:rFonts w:ascii="Times New Roman" w:hAnsi="Times New Roman" w:cs="Times New Roman" w:eastAsia="Times New Roman" w:hint="default"/>
          <w:spacing w:val="-2"/>
        </w:rPr>
        <w:t>21,676.98</w:t>
      </w:r>
      <w:r>
        <w:rPr>
          <w:spacing w:val="-2"/>
        </w:rPr>
        <w:t>万元，较上年同期减少</w:t>
      </w:r>
      <w:r>
        <w:rPr>
          <w:rFonts w:ascii="Times New Roman" w:hAnsi="Times New Roman" w:cs="Times New Roman" w:eastAsia="Times New Roman" w:hint="default"/>
          <w:spacing w:val="-2"/>
        </w:rPr>
        <w:t>30.48%</w:t>
      </w:r>
      <w:r>
        <w:rPr>
          <w:spacing w:val="-2"/>
        </w:rPr>
        <w:t>，经营活动现金流</w:t>
      </w:r>
      <w:r>
        <w:rPr>
          <w:rFonts w:ascii="Times New Roman" w:hAnsi="Times New Roman" w:cs="Times New Roman" w:eastAsia="Times New Roman" w:hint="default"/>
          <w:spacing w:val="-2"/>
        </w:rPr>
        <w:t>-19,097.50</w:t>
      </w:r>
      <w:r>
        <w:rPr>
          <w:spacing w:val="-2"/>
        </w:rPr>
        <w:t>万元，较上年</w:t>
      </w:r>
      <w:r>
        <w:rPr>
          <w:spacing w:val="-41"/>
        </w:rPr>
        <w:t> </w:t>
      </w:r>
      <w:r>
        <w:rPr>
          <w:spacing w:val="-41"/>
        </w:rPr>
      </w:r>
      <w:r>
        <w:rPr/>
        <w:t>同期减少</w:t>
      </w:r>
      <w:r>
        <w:rPr>
          <w:rFonts w:ascii="Times New Roman" w:hAnsi="Times New Roman" w:cs="Times New Roman" w:eastAsia="Times New Roman" w:hint="default"/>
        </w:rPr>
        <w:t>190.89%</w:t>
      </w:r>
      <w:r>
        <w:rPr/>
        <w:t>。</w:t>
      </w:r>
    </w:p>
    <w:p>
      <w:pPr>
        <w:pStyle w:val="Heading6"/>
        <w:spacing w:line="240" w:lineRule="auto" w:before="43"/>
        <w:ind w:right="0"/>
        <w:jc w:val="left"/>
        <w:rPr>
          <w:b w:val="0"/>
          <w:bCs w:val="0"/>
        </w:rPr>
      </w:pPr>
      <w:r>
        <w:rPr>
          <w:rFonts w:ascii="Times New Roman" w:hAnsi="Times New Roman" w:cs="Times New Roman" w:eastAsia="Times New Roman" w:hint="default"/>
        </w:rPr>
        <w:t>1</w:t>
      </w:r>
      <w:r>
        <w:rPr/>
        <w:t>、技术与研发</w:t>
      </w:r>
      <w:r>
        <w:rPr>
          <w:b w:val="0"/>
          <w:bCs w:val="0"/>
        </w:rPr>
      </w:r>
    </w:p>
    <w:p>
      <w:pPr>
        <w:spacing w:line="240" w:lineRule="auto" w:before="9"/>
        <w:rPr>
          <w:rFonts w:ascii="宋体" w:hAnsi="宋体" w:cs="宋体" w:eastAsia="宋体" w:hint="default"/>
          <w:b/>
          <w:bCs/>
          <w:sz w:val="16"/>
          <w:szCs w:val="16"/>
        </w:rPr>
      </w:pPr>
    </w:p>
    <w:p>
      <w:pPr>
        <w:pStyle w:val="BodyText"/>
        <w:spacing w:line="458" w:lineRule="auto"/>
        <w:ind w:right="1040" w:firstLine="420"/>
        <w:jc w:val="left"/>
      </w:pPr>
      <w:r>
        <w:rPr/>
        <w:t>报告期内，公司持续加大研发投入，依托物联网、人工智能、云计算、边缘计算和无线组网等技术，围绕</w:t>
      </w:r>
      <w:r>
        <w:rPr>
          <w:rFonts w:ascii="Times New Roman" w:hAnsi="Times New Roman" w:cs="Times New Roman" w:eastAsia="Times New Roman" w:hint="default"/>
        </w:rPr>
        <w:t>AI+IOT</w:t>
      </w:r>
      <w:r>
        <w:rPr/>
        <w:t>、 </w:t>
      </w:r>
      <w:r>
        <w:rPr>
          <w:rFonts w:ascii="Times New Roman" w:hAnsi="Times New Roman" w:cs="Times New Roman" w:eastAsia="Times New Roman" w:hint="default"/>
        </w:rPr>
        <w:t>AI+BIGDATA</w:t>
      </w:r>
      <w:r>
        <w:rPr/>
        <w:t>产品线，打造医疗、建筑、交通等多维应用场景。云端，公司推出了基于边缘计算的智能物联平台，完善了 </w:t>
      </w:r>
      <w:r>
        <w:rPr>
          <w:rFonts w:ascii="Times New Roman" w:hAnsi="Times New Roman" w:cs="Times New Roman" w:eastAsia="Times New Roman" w:hint="default"/>
          <w:spacing w:val="-2"/>
        </w:rPr>
        <w:t>IBMS3.0</w:t>
      </w:r>
      <w:r>
        <w:rPr>
          <w:spacing w:val="-2"/>
        </w:rPr>
        <w:t>平台系统；边缘端，研发了</w:t>
      </w:r>
      <w:r>
        <w:rPr>
          <w:rFonts w:ascii="Times New Roman" w:hAnsi="Times New Roman" w:cs="Times New Roman" w:eastAsia="Times New Roman" w:hint="default"/>
          <w:spacing w:val="-2"/>
        </w:rPr>
        <w:t>DAS-IOT-K</w:t>
      </w:r>
      <w:r>
        <w:rPr>
          <w:spacing w:val="-2"/>
        </w:rPr>
        <w:t>系列边缘控制器；终端，推出了新一代的</w:t>
      </w:r>
      <w:r>
        <w:rPr>
          <w:rFonts w:ascii="Times New Roman" w:hAnsi="Times New Roman" w:cs="Times New Roman" w:eastAsia="Times New Roman" w:hint="default"/>
          <w:spacing w:val="-2"/>
        </w:rPr>
        <w:t>C3</w:t>
      </w:r>
      <w:r>
        <w:rPr>
          <w:spacing w:val="-2"/>
        </w:rPr>
        <w:t>无线物联网终端，业界首发推出</w:t>
      </w:r>
      <w:r>
        <w:rPr>
          <w:spacing w:val="-44"/>
        </w:rPr>
        <w:t> </w:t>
      </w:r>
      <w:r>
        <w:rPr>
          <w:spacing w:val="-44"/>
        </w:rPr>
      </w:r>
      <w:r>
        <w:rPr>
          <w:rFonts w:ascii="Times New Roman" w:hAnsi="Times New Roman" w:cs="Times New Roman" w:eastAsia="Times New Roman" w:hint="default"/>
          <w:spacing w:val="-2"/>
        </w:rPr>
        <w:t>LoRa</w:t>
      </w:r>
      <w:r>
        <w:rPr>
          <w:spacing w:val="-2"/>
        </w:rPr>
        <w:t>无线一体化办公</w:t>
      </w:r>
      <w:r>
        <w:rPr>
          <w:rFonts w:ascii="Times New Roman" w:hAnsi="Times New Roman" w:cs="Times New Roman" w:eastAsia="Times New Roman" w:hint="default"/>
          <w:spacing w:val="-2"/>
        </w:rPr>
        <w:t>/</w:t>
      </w:r>
      <w:r>
        <w:rPr>
          <w:spacing w:val="-2"/>
        </w:rPr>
        <w:t>公寓门锁。公司以新总部达实大厦为载体，做研发试验场，集成融合新兴技术，以</w:t>
      </w:r>
      <w:r>
        <w:rPr>
          <w:rFonts w:ascii="Times New Roman" w:hAnsi="Times New Roman" w:cs="Times New Roman" w:eastAsia="Times New Roman" w:hint="default"/>
          <w:spacing w:val="-2"/>
        </w:rPr>
        <w:t>“</w:t>
      </w:r>
      <w:r>
        <w:rPr>
          <w:spacing w:val="-2"/>
        </w:rPr>
        <w:t>未来建筑</w:t>
      </w:r>
      <w:r>
        <w:rPr>
          <w:rFonts w:ascii="Times New Roman" w:hAnsi="Times New Roman" w:cs="Times New Roman" w:eastAsia="Times New Roman" w:hint="default"/>
          <w:spacing w:val="-2"/>
        </w:rPr>
        <w:t>”</w:t>
      </w:r>
      <w:r>
        <w:rPr>
          <w:spacing w:val="-2"/>
        </w:rPr>
        <w:t>为主题，</w:t>
      </w:r>
      <w:r>
        <w:rPr>
          <w:spacing w:val="-39"/>
        </w:rPr>
        <w:t> </w:t>
      </w:r>
      <w:r>
        <w:rPr>
          <w:spacing w:val="-2"/>
        </w:rPr>
        <w:t>打造行业示范标杆；公司成立雄安新区首家工程研究中心（城市物联网智能管控工程研究中心），并正式获批列入河北省省</w:t>
      </w:r>
      <w:r>
        <w:rPr>
          <w:spacing w:val="-66"/>
        </w:rPr>
        <w:t> </w:t>
      </w:r>
      <w:r>
        <w:rPr>
          <w:spacing w:val="-66"/>
        </w:rPr>
      </w:r>
      <w:r>
        <w:rPr>
          <w:spacing w:val="-2"/>
        </w:rPr>
        <w:t>级工程研究中心筹备建设名单，成为入驻雄安新区的近百家高新企业中，获得筹建资格的两家企业之一；公司推出了新一代</w:t>
      </w:r>
      <w:r>
        <w:rPr>
          <w:spacing w:val="-66"/>
        </w:rPr>
        <w:t> </w:t>
      </w:r>
      <w:r>
        <w:rPr>
          <w:spacing w:val="-66"/>
        </w:rPr>
      </w:r>
      <w:r>
        <w:rPr>
          <w:spacing w:val="-3"/>
        </w:rPr>
        <w:t>的数字化手术室和围术期智慧管理系统，区域人口健康信息数据平台</w:t>
      </w:r>
      <w:r>
        <w:rPr>
          <w:rFonts w:ascii="Times New Roman" w:hAnsi="Times New Roman" w:cs="Times New Roman" w:eastAsia="Times New Roman" w:hint="default"/>
          <w:spacing w:val="-3"/>
        </w:rPr>
        <w:t>2.0</w:t>
      </w:r>
      <w:r>
        <w:rPr>
          <w:spacing w:val="-3"/>
        </w:rPr>
        <w:t>等多项智慧医疗产品，</w:t>
      </w:r>
      <w:r>
        <w:rPr>
          <w:rFonts w:ascii="Times New Roman" w:hAnsi="Times New Roman" w:cs="Times New Roman" w:eastAsia="Times New Roman" w:hint="default"/>
          <w:spacing w:val="-3"/>
        </w:rPr>
        <w:t>“</w:t>
      </w:r>
      <w:r>
        <w:rPr>
          <w:spacing w:val="-3"/>
        </w:rPr>
        <w:t>基于</w:t>
      </w:r>
      <w:r>
        <w:rPr>
          <w:rFonts w:ascii="Times New Roman" w:hAnsi="Times New Roman" w:cs="Times New Roman" w:eastAsia="Times New Roman" w:hint="default"/>
          <w:spacing w:val="-3"/>
        </w:rPr>
        <w:t>AI</w:t>
      </w:r>
      <w:r>
        <w:rPr>
          <w:spacing w:val="-3"/>
        </w:rPr>
        <w:t>的临床决策支持系统</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9"/>
        </w:rPr>
        <w:t> </w:t>
      </w:r>
      <w:r>
        <w:rPr/>
        <w:t>获</w:t>
      </w:r>
      <w:r>
        <w:rPr>
          <w:rFonts w:ascii="Times New Roman" w:hAnsi="Times New Roman" w:cs="Times New Roman" w:eastAsia="Times New Roman" w:hint="default"/>
        </w:rPr>
        <w:t>2018HIMSS</w:t>
      </w:r>
      <w:r>
        <w:rPr/>
        <w:t>大中华区年会大奖公司。参与编制《医院建筑运行维护技术标准》等四个标准，取得</w:t>
      </w:r>
      <w:r>
        <w:rPr>
          <w:rFonts w:ascii="Times New Roman" w:hAnsi="Times New Roman" w:cs="Times New Roman" w:eastAsia="Times New Roman" w:hint="default"/>
        </w:rPr>
        <w:t>5</w:t>
      </w:r>
      <w:r>
        <w:rPr/>
        <w:t>项发明专利证书、</w:t>
      </w:r>
      <w:r>
        <w:rPr>
          <w:rFonts w:ascii="Times New Roman" w:hAnsi="Times New Roman" w:cs="Times New Roman" w:eastAsia="Times New Roman" w:hint="default"/>
        </w:rPr>
        <w:t>17</w:t>
      </w:r>
      <w:r>
        <w:rPr/>
        <w:t>项 实用新型专利证书、</w:t>
      </w:r>
      <w:r>
        <w:rPr>
          <w:rFonts w:ascii="Times New Roman" w:hAnsi="Times New Roman" w:cs="Times New Roman" w:eastAsia="Times New Roman" w:hint="default"/>
        </w:rPr>
        <w:t>21</w:t>
      </w:r>
      <w:r>
        <w:rPr/>
        <w:t>项软件著作权，研发实力进一步加强。</w:t>
      </w:r>
    </w:p>
    <w:p>
      <w:pPr>
        <w:pStyle w:val="Heading6"/>
        <w:spacing w:line="240" w:lineRule="auto" w:before="37"/>
        <w:ind w:right="0"/>
        <w:jc w:val="left"/>
        <w:rPr>
          <w:b w:val="0"/>
          <w:bCs w:val="0"/>
        </w:rPr>
      </w:pPr>
      <w:r>
        <w:rPr>
          <w:rFonts w:ascii="Times New Roman" w:hAnsi="Times New Roman" w:cs="Times New Roman" w:eastAsia="Times New Roman" w:hint="default"/>
        </w:rPr>
        <w:t>2</w:t>
      </w:r>
      <w:r>
        <w:rPr/>
        <w:t>、业务拓展</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right="1132" w:firstLine="420"/>
        <w:jc w:val="both"/>
      </w:pPr>
      <w:r>
        <w:rPr>
          <w:rFonts w:ascii="Times New Roman" w:hAnsi="Times New Roman" w:cs="Times New Roman" w:eastAsia="Times New Roman" w:hint="default"/>
        </w:rPr>
        <w:t>2018</w:t>
      </w:r>
      <w:r>
        <w:rPr/>
        <w:t>年，公司顺应宏观经济与产业变革新环境，持续强化技术创新和市场开拓，在医疗、建筑、交通等重点行业的各 </w:t>
      </w:r>
      <w:r>
        <w:rPr>
          <w:spacing w:val="-1"/>
        </w:rPr>
        <w:t>条赛道上，公司基于</w:t>
      </w:r>
      <w:r>
        <w:rPr>
          <w:rFonts w:ascii="Times New Roman" w:hAnsi="Times New Roman" w:cs="Times New Roman" w:eastAsia="Times New Roman" w:hint="default"/>
          <w:spacing w:val="-1"/>
        </w:rPr>
        <w:t>AI</w:t>
      </w:r>
      <w:r>
        <w:rPr>
          <w:spacing w:val="-1"/>
        </w:rPr>
        <w:t>赋能的五级框架结构，发挥实际应用场景的数据驱动</w:t>
      </w:r>
      <w:r>
        <w:rPr>
          <w:rFonts w:ascii="Times New Roman" w:hAnsi="Times New Roman" w:cs="Times New Roman" w:eastAsia="Times New Roman" w:hint="default"/>
          <w:spacing w:val="-1"/>
        </w:rPr>
        <w:t>+</w:t>
      </w:r>
      <w:r>
        <w:rPr>
          <w:spacing w:val="-1"/>
        </w:rPr>
        <w:t>专家知识经验的不断学习的优势，落地应用规</w:t>
      </w:r>
      <w:r>
        <w:rPr>
          <w:spacing w:val="-52"/>
        </w:rPr>
        <w:t> </w:t>
      </w:r>
      <w:r>
        <w:rPr>
          <w:spacing w:val="-52"/>
        </w:rPr>
      </w:r>
      <w:r>
        <w:rPr/>
        <w:t>模持续扩大。以反思促进未来成长，加强主业聚焦，布局未来，订单（签约及中标待签约）金额为</w:t>
      </w:r>
      <w:r>
        <w:rPr>
          <w:rFonts w:ascii="Times New Roman" w:hAnsi="Times New Roman" w:cs="Times New Roman" w:eastAsia="Times New Roman" w:hint="default"/>
        </w:rPr>
        <w:t>40.97</w:t>
      </w:r>
      <w:r>
        <w:rPr/>
        <w:t>亿元，比上年同期 增长</w:t>
      </w:r>
      <w:r>
        <w:rPr>
          <w:rFonts w:ascii="Times New Roman" w:hAnsi="Times New Roman" w:cs="Times New Roman" w:eastAsia="Times New Roman" w:hint="default"/>
        </w:rPr>
        <w:t>30.59%</w:t>
      </w:r>
      <w:r>
        <w:rPr/>
        <w:t>。</w:t>
      </w:r>
    </w:p>
    <w:p>
      <w:pPr>
        <w:pStyle w:val="BodyText"/>
        <w:spacing w:line="460" w:lineRule="auto" w:before="43"/>
        <w:ind w:right="1130" w:firstLine="420"/>
        <w:jc w:val="both"/>
      </w:pPr>
      <w:r>
        <w:rPr/>
        <w:t>报告期内，公司智慧医疗业务保持健康增长。作为国内数字化手术室的绝对龙头，下属子公司久信医疗的市场份额继 续居于行业首位，物联网</w:t>
      </w:r>
      <w:r>
        <w:rPr>
          <w:rFonts w:ascii="Times New Roman" w:hAnsi="Times New Roman" w:cs="Times New Roman" w:eastAsia="Times New Roman" w:hint="default"/>
        </w:rPr>
        <w:t>+</w:t>
      </w:r>
      <w:r>
        <w:rPr/>
        <w:t>手术室战略深化，围绕</w:t>
      </w:r>
      <w:r>
        <w:rPr>
          <w:rFonts w:ascii="Times New Roman" w:hAnsi="Times New Roman" w:cs="Times New Roman" w:eastAsia="Times New Roman" w:hint="default"/>
        </w:rPr>
        <w:t>IOT</w:t>
      </w:r>
      <w:r>
        <w:rPr/>
        <w:t>与信息化推出多个新产品，智慧手术部的信息化订单创历史新高，平 </w:t>
      </w:r>
      <w:r>
        <w:rPr>
          <w:spacing w:val="-2"/>
        </w:rPr>
        <w:t>稳度过了业绩承诺期后的第一年并成功实现了管理层的年轻化。公司成功签约四川眉山中医院项目，单体合同金额</w:t>
      </w:r>
      <w:r>
        <w:rPr>
          <w:rFonts w:ascii="Times New Roman" w:hAnsi="Times New Roman" w:cs="Times New Roman" w:eastAsia="Times New Roman" w:hint="default"/>
          <w:spacing w:val="-2"/>
        </w:rPr>
        <w:t>19,392.38</w:t>
      </w:r>
      <w:r>
        <w:rPr>
          <w:rFonts w:ascii="Times New Roman" w:hAnsi="Times New Roman" w:cs="Times New Roman" w:eastAsia="Times New Roman" w:hint="default"/>
          <w:spacing w:val="-9"/>
        </w:rPr>
        <w:t> </w:t>
      </w:r>
      <w:r>
        <w:rPr>
          <w:spacing w:val="-2"/>
        </w:rPr>
        <w:t>万元，致力将其打造成为川渝地区最具影响力的智慧型三级甲等及省级精品重点中医院；成功签约地级市三甲医院项目</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8"/>
        </w:rPr>
        <w:t> </w:t>
      </w:r>
      <w:r>
        <w:rPr>
          <w:spacing w:val="-2"/>
        </w:rPr>
        <w:t>安徽淮南市山南医院项目，项目运营内容与前期淮南智慧城市民生领域建设（智慧医疗）项目相结合，将会形成淮南市健康</w:t>
      </w:r>
      <w:r>
        <w:rPr>
          <w:spacing w:val="-66"/>
        </w:rPr>
        <w:t> </w:t>
      </w:r>
      <w:r>
        <w:rPr>
          <w:spacing w:val="-66"/>
        </w:rPr>
      </w:r>
      <w:r>
        <w:rPr>
          <w:spacing w:val="-2"/>
        </w:rPr>
        <w:t>管理服务的封闭循环；签约遵义医学院第二附属医院二期项目，将信息化与智能化有机融合；签约吉林省第二人民医院新院</w:t>
      </w:r>
    </w:p>
    <w:p>
      <w:pPr>
        <w:spacing w:after="0" w:line="460" w:lineRule="auto"/>
        <w:jc w:val="both"/>
        <w:sectPr>
          <w:pgSz w:w="11910" w:h="16840"/>
          <w:pgMar w:header="787" w:footer="1019" w:top="1100" w:bottom="1200" w:left="980" w:right="0"/>
        </w:sectPr>
      </w:pPr>
    </w:p>
    <w:p>
      <w:pPr>
        <w:spacing w:line="240" w:lineRule="auto" w:before="10"/>
        <w:rPr>
          <w:rFonts w:ascii="宋体" w:hAnsi="宋体" w:cs="宋体" w:eastAsia="宋体" w:hint="default"/>
          <w:sz w:val="28"/>
          <w:szCs w:val="28"/>
        </w:rPr>
      </w:pPr>
    </w:p>
    <w:p>
      <w:pPr>
        <w:pStyle w:val="BodyText"/>
        <w:spacing w:line="477" w:lineRule="auto" w:before="44"/>
        <w:ind w:right="1118"/>
        <w:jc w:val="left"/>
      </w:pPr>
      <w:r>
        <w:rPr>
          <w:spacing w:val="-2"/>
        </w:rPr>
        <w:t>区项目的智能化项目，打造公司在东北地区首个落地的大型专科三级甲等智慧医院单体项目，有效拓展智慧医疗领域市场布</w:t>
      </w:r>
      <w:r>
        <w:rPr>
          <w:spacing w:val="-64"/>
        </w:rPr>
        <w:t> </w:t>
      </w:r>
      <w:r>
        <w:rPr>
          <w:spacing w:val="-64"/>
        </w:rPr>
      </w:r>
      <w:r>
        <w:rPr/>
        <w:t>局。</w:t>
      </w:r>
    </w:p>
    <w:p>
      <w:pPr>
        <w:pStyle w:val="BodyText"/>
        <w:spacing w:line="477" w:lineRule="auto" w:before="54"/>
        <w:ind w:right="0" w:firstLine="420"/>
        <w:jc w:val="left"/>
      </w:pPr>
      <w:r>
        <w:rPr>
          <w:spacing w:val="-2"/>
        </w:rPr>
        <w:t>报告期内，公司基于建筑、交通场景的业务拓展保持平稳，在不利的宏观环境下，秉承做精原则，选择优势细分行业，</w:t>
      </w:r>
      <w:r>
        <w:rPr/>
        <w:t> </w:t>
      </w:r>
      <w:r>
        <w:rPr>
          <w:spacing w:val="-2"/>
        </w:rPr>
        <w:t>与行业头部企业合作。轨道交通业务的签约创历史最好水平，智慧建筑业务连续中标北京银行、深圳农商行等金融类客户总</w:t>
      </w:r>
      <w:r>
        <w:rPr>
          <w:spacing w:val="-66"/>
        </w:rPr>
        <w:t> </w:t>
      </w:r>
      <w:r>
        <w:rPr>
          <w:spacing w:val="-66"/>
        </w:rPr>
      </w:r>
      <w:r>
        <w:rPr/>
        <w:t>部大厦智能化项目，梳理金融行业智能化解决方案，树立了金融智慧建筑样板。</w:t>
      </w:r>
    </w:p>
    <w:p>
      <w:pPr>
        <w:pStyle w:val="BodyText"/>
        <w:spacing w:line="451" w:lineRule="auto" w:before="54"/>
        <w:ind w:left="574" w:right="1124" w:hanging="420"/>
        <w:jc w:val="left"/>
      </w:pPr>
      <w:r>
        <w:rPr>
          <w:rFonts w:ascii="Times New Roman" w:hAnsi="Times New Roman" w:cs="Times New Roman" w:eastAsia="Times New Roman" w:hint="default"/>
          <w:b/>
          <w:bCs/>
        </w:rPr>
        <w:t>3</w:t>
      </w:r>
      <w:r>
        <w:rPr>
          <w:rFonts w:ascii="宋体" w:hAnsi="宋体" w:cs="宋体" w:eastAsia="宋体" w:hint="default"/>
          <w:b/>
          <w:bCs/>
        </w:rPr>
        <w:t>、持续深化区域布局</w:t>
      </w:r>
      <w:r>
        <w:rPr>
          <w:rFonts w:ascii="宋体" w:hAnsi="宋体" w:cs="宋体" w:eastAsia="宋体" w:hint="default"/>
          <w:b/>
          <w:bCs/>
          <w:w w:val="99"/>
        </w:rPr>
        <w:t> </w:t>
      </w:r>
      <w:r>
        <w:rPr>
          <w:spacing w:val="-1"/>
        </w:rPr>
        <w:t>报告期内，公司持续扎根雄安，深耕京津冀，承接并完成雄安第一标</w:t>
      </w:r>
      <w:r>
        <w:rPr>
          <w:rFonts w:ascii="Times New Roman" w:hAnsi="Times New Roman" w:cs="Times New Roman" w:eastAsia="Times New Roman" w:hint="default"/>
          <w:spacing w:val="-1"/>
        </w:rPr>
        <w:t>——</w:t>
      </w:r>
      <w:r>
        <w:rPr>
          <w:spacing w:val="-1"/>
        </w:rPr>
        <w:t>雄安市民服务中心智能化系统建设，打造</w:t>
      </w:r>
      <w:r>
        <w:rPr>
          <w:rFonts w:ascii="Times New Roman" w:hAnsi="Times New Roman" w:cs="Times New Roman" w:eastAsia="Times New Roman" w:hint="default"/>
          <w:spacing w:val="-1"/>
        </w:rPr>
        <w:t>“</w:t>
      </w:r>
      <w:r>
        <w:rPr>
          <w:spacing w:val="-1"/>
        </w:rPr>
        <w:t>最</w:t>
      </w:r>
    </w:p>
    <w:p>
      <w:pPr>
        <w:pStyle w:val="BodyText"/>
        <w:spacing w:line="468" w:lineRule="auto" w:before="43"/>
        <w:ind w:right="1052"/>
        <w:jc w:val="left"/>
        <w:rPr>
          <w:rFonts w:ascii="宋体" w:hAnsi="宋体" w:cs="宋体" w:eastAsia="宋体" w:hint="default"/>
        </w:rPr>
      </w:pPr>
      <w:r>
        <w:rPr/>
        <w:t>强大脑</w:t>
      </w:r>
      <w:r>
        <w:rPr>
          <w:rFonts w:ascii="Times New Roman" w:hAnsi="Times New Roman" w:cs="Times New Roman" w:eastAsia="Times New Roman" w:hint="default"/>
        </w:rPr>
        <w:t>”IBMS</w:t>
      </w:r>
      <w:r>
        <w:rPr/>
        <w:t>平台，树立六大创新亮点，为公司在京津冀地区打造一个具有全国示范效应的样板工程；同时依托深圳总部， </w:t>
      </w:r>
      <w:r>
        <w:rPr>
          <w:spacing w:val="-2"/>
        </w:rPr>
        <w:t>深耕粤港澳大湾区，与深圳市罗湖医院集团签订了《战略合作框架协议》，共同打造具有罗湖特色的新型医疗服务模式，与</w:t>
      </w:r>
      <w:r>
        <w:rPr>
          <w:spacing w:val="-66"/>
        </w:rPr>
        <w:t> </w:t>
      </w:r>
      <w:r>
        <w:rPr>
          <w:spacing w:val="-66"/>
        </w:rPr>
      </w:r>
      <w:r>
        <w:rPr/>
        <w:t>梅州市中医医联体签订了《基于大数据的梅州市中医医联体建设及运营项目合作协议》，推进梅州市中医药事业的发展。 </w:t>
      </w:r>
      <w:r>
        <w:rPr>
          <w:rFonts w:ascii="Times New Roman" w:hAnsi="Times New Roman" w:cs="Times New Roman" w:eastAsia="Times New Roman" w:hint="default"/>
          <w:b/>
          <w:bCs/>
        </w:rPr>
        <w:t>4</w:t>
      </w:r>
      <w:r>
        <w:rPr>
          <w:rFonts w:ascii="宋体" w:hAnsi="宋体" w:cs="宋体" w:eastAsia="宋体" w:hint="default"/>
          <w:b/>
          <w:bCs/>
        </w:rPr>
        <w:t>、市场营销</w:t>
      </w:r>
      <w:r>
        <w:rPr>
          <w:rFonts w:ascii="宋体" w:hAnsi="宋体" w:cs="宋体" w:eastAsia="宋体" w:hint="default"/>
        </w:rPr>
      </w:r>
    </w:p>
    <w:p>
      <w:pPr>
        <w:pStyle w:val="BodyText"/>
        <w:spacing w:line="465" w:lineRule="auto" w:before="29"/>
        <w:ind w:right="0" w:firstLine="420"/>
        <w:jc w:val="left"/>
        <w:rPr>
          <w:rFonts w:ascii="宋体" w:hAnsi="宋体" w:cs="宋体" w:eastAsia="宋体" w:hint="default"/>
        </w:rPr>
      </w:pPr>
      <w:r>
        <w:rPr/>
        <w:t>报告期内，公司结合整体业务布局与区域战略，深度拓展市场营销工作，提升品牌影响力。战略合作第十九届全国医 </w:t>
      </w:r>
      <w:r>
        <w:rPr>
          <w:spacing w:val="-2"/>
        </w:rPr>
        <w:t>院建设大会暨中国国际医院建设、装备及管理展览会，开展打造智慧医院展示区、定制达实专场论坛、参与主题发言、发布</w:t>
      </w:r>
      <w:r>
        <w:rPr>
          <w:spacing w:val="-66"/>
        </w:rPr>
        <w:t> </w:t>
      </w:r>
      <w:r>
        <w:rPr>
          <w:spacing w:val="-66"/>
        </w:rPr>
      </w:r>
      <w:r>
        <w:rPr>
          <w:spacing w:val="-2"/>
        </w:rPr>
        <w:t>新技术、接受媒体专访等一系列活动；以雄安达实智慧城市展厅为展示中心，持续接待来自全国各地的社会各界人士，获得</w:t>
      </w:r>
      <w:r>
        <w:rPr>
          <w:spacing w:val="-66"/>
        </w:rPr>
        <w:t> </w:t>
      </w:r>
      <w:r>
        <w:rPr>
          <w:spacing w:val="-66"/>
        </w:rPr>
      </w:r>
      <w:r>
        <w:rPr/>
        <w:t>各大媒体的广泛关注和争相采访报道，不断提升公司品牌影响力，全年共接待</w:t>
      </w:r>
      <w:r>
        <w:rPr>
          <w:rFonts w:ascii="Times New Roman" w:hAnsi="Times New Roman" w:cs="Times New Roman" w:eastAsia="Times New Roman" w:hint="default"/>
        </w:rPr>
        <w:t>612</w:t>
      </w:r>
      <w:r>
        <w:rPr/>
        <w:t>批客户，共计</w:t>
      </w:r>
      <w:r>
        <w:rPr>
          <w:rFonts w:ascii="Times New Roman" w:hAnsi="Times New Roman" w:cs="Times New Roman" w:eastAsia="Times New Roman" w:hint="default"/>
        </w:rPr>
        <w:t>5029</w:t>
      </w:r>
      <w:r>
        <w:rPr/>
        <w:t>人次；位于深圳总部的 </w:t>
      </w:r>
      <w:r>
        <w:rPr>
          <w:spacing w:val="-2"/>
        </w:rPr>
        <w:t>展厅，作为科普教育基地，协同公司新设总部大楼达实大厦样板展示中心同步升级，全年共接待</w:t>
      </w:r>
      <w:r>
        <w:rPr>
          <w:rFonts w:ascii="Times New Roman" w:hAnsi="Times New Roman" w:cs="Times New Roman" w:eastAsia="Times New Roman" w:hint="default"/>
          <w:spacing w:val="-2"/>
        </w:rPr>
        <w:t>563</w:t>
      </w:r>
      <w:r>
        <w:rPr>
          <w:spacing w:val="-2"/>
        </w:rPr>
        <w:t>批客户，共计</w:t>
      </w:r>
      <w:r>
        <w:rPr>
          <w:rFonts w:ascii="Times New Roman" w:hAnsi="Times New Roman" w:cs="Times New Roman" w:eastAsia="Times New Roman" w:hint="default"/>
          <w:spacing w:val="-2"/>
        </w:rPr>
        <w:t>7666</w:t>
      </w:r>
      <w:r>
        <w:rPr>
          <w:spacing w:val="-2"/>
        </w:rPr>
        <w:t>人次。</w:t>
      </w:r>
      <w:r>
        <w:rPr>
          <w:spacing w:val="-58"/>
        </w:rPr>
        <w:t> </w:t>
      </w:r>
      <w:r>
        <w:rPr>
          <w:rFonts w:ascii="Times New Roman" w:hAnsi="Times New Roman" w:cs="Times New Roman" w:eastAsia="Times New Roman" w:hint="default"/>
          <w:b/>
          <w:bCs/>
        </w:rPr>
        <w:t>5</w:t>
      </w:r>
      <w:r>
        <w:rPr>
          <w:rFonts w:ascii="宋体" w:hAnsi="宋体" w:cs="宋体" w:eastAsia="宋体" w:hint="default"/>
          <w:b/>
          <w:bCs/>
        </w:rPr>
        <w:t>、资产与业务整合</w:t>
      </w:r>
      <w:r>
        <w:rPr>
          <w:rFonts w:ascii="宋体" w:hAnsi="宋体" w:cs="宋体" w:eastAsia="宋体" w:hint="default"/>
        </w:rPr>
      </w:r>
    </w:p>
    <w:p>
      <w:pPr>
        <w:pStyle w:val="BodyText"/>
        <w:spacing w:line="470" w:lineRule="auto" w:before="31"/>
        <w:ind w:right="0" w:firstLine="420"/>
        <w:jc w:val="left"/>
      </w:pPr>
      <w:r>
        <w:rPr/>
        <w:t>报告期内，公司进行了系列资产与业务整合，集中优势资源，专注战略主航道。公司转让达实联欣</w:t>
      </w:r>
      <w:r>
        <w:rPr>
          <w:rFonts w:ascii="Times New Roman" w:hAnsi="Times New Roman" w:cs="Times New Roman" w:eastAsia="Times New Roman" w:hint="default"/>
        </w:rPr>
        <w:t>34%</w:t>
      </w:r>
      <w:r>
        <w:rPr/>
        <w:t>股份，新设立 </w:t>
      </w:r>
      <w:r>
        <w:rPr>
          <w:spacing w:val="-2"/>
        </w:rPr>
        <w:t>了深圳达实智慧医疗有限公司，以更好地将公司优势资源向智慧医疗倾斜；对达实信息进行业务与资产分立，分立后，形成</w:t>
      </w:r>
      <w:r>
        <w:rPr>
          <w:spacing w:val="-66"/>
        </w:rPr>
        <w:t> </w:t>
      </w:r>
      <w:r>
        <w:rPr>
          <w:spacing w:val="-66"/>
        </w:rPr>
      </w:r>
      <w:r>
        <w:rPr>
          <w:spacing w:val="-2"/>
        </w:rPr>
        <w:t>达实总部大厦的物业持有主体和物联网终端产品的经营主体两个公司，从而优化公司架构，发挥各业务模块专业化优势，并</w:t>
      </w:r>
      <w:r>
        <w:rPr>
          <w:spacing w:val="-66"/>
        </w:rPr>
        <w:t> </w:t>
      </w:r>
      <w:r>
        <w:rPr>
          <w:spacing w:val="-66"/>
        </w:rPr>
      </w:r>
      <w:r>
        <w:rPr>
          <w:spacing w:val="-4"/>
        </w:rPr>
        <w:t>为进一步的资本运作奠定基础；并购成都聚雅，依托其自主研发的全民健康数据中心集成平台产品，助力公司智慧医疗项目，</w:t>
      </w:r>
      <w:r>
        <w:rPr>
          <w:spacing w:val="-44"/>
        </w:rPr>
        <w:t> </w:t>
      </w:r>
      <w:r>
        <w:rPr>
          <w:spacing w:val="-44"/>
        </w:rPr>
      </w:r>
      <w:r>
        <w:rPr/>
        <w:t>深化公司在医疗信息化及大数据领域的研发水平。</w:t>
      </w:r>
    </w:p>
    <w:p>
      <w:pPr>
        <w:pStyle w:val="Heading6"/>
        <w:spacing w:line="240" w:lineRule="auto" w:before="59"/>
        <w:ind w:right="0"/>
        <w:jc w:val="left"/>
        <w:rPr>
          <w:b w:val="0"/>
          <w:bCs w:val="0"/>
        </w:rPr>
      </w:pPr>
      <w:r>
        <w:rPr>
          <w:rFonts w:ascii="Times New Roman" w:hAnsi="Times New Roman" w:cs="Times New Roman" w:eastAsia="Times New Roman" w:hint="default"/>
        </w:rPr>
        <w:t>6</w:t>
      </w:r>
      <w:r>
        <w:rPr/>
        <w:t>、风险管理</w:t>
      </w:r>
      <w:r>
        <w:rPr>
          <w:b w:val="0"/>
          <w:bCs w:val="0"/>
        </w:rPr>
      </w:r>
    </w:p>
    <w:p>
      <w:pPr>
        <w:spacing w:line="240" w:lineRule="auto" w:before="9"/>
        <w:rPr>
          <w:rFonts w:ascii="宋体" w:hAnsi="宋体" w:cs="宋体" w:eastAsia="宋体" w:hint="default"/>
          <w:b/>
          <w:bCs/>
          <w:sz w:val="16"/>
          <w:szCs w:val="16"/>
        </w:rPr>
      </w:pPr>
    </w:p>
    <w:p>
      <w:pPr>
        <w:pStyle w:val="BodyText"/>
        <w:spacing w:line="460" w:lineRule="auto"/>
        <w:ind w:right="1118" w:firstLine="420"/>
        <w:jc w:val="left"/>
      </w:pPr>
      <w:r>
        <w:rPr>
          <w:spacing w:val="-2"/>
        </w:rPr>
        <w:t>报告期内，受宏观经济去杠杆的冲击，以及</w:t>
      </w:r>
      <w:r>
        <w:rPr>
          <w:rFonts w:ascii="Times New Roman" w:hAnsi="Times New Roman" w:cs="Times New Roman" w:eastAsia="Times New Roman" w:hint="default"/>
          <w:spacing w:val="-2"/>
        </w:rPr>
        <w:t>PPP</w:t>
      </w:r>
      <w:r>
        <w:rPr>
          <w:spacing w:val="-2"/>
        </w:rPr>
        <w:t>行业政策的转向，公司的资产周转效率降低，公司下属的融资租赁子公</w:t>
      </w:r>
      <w:r>
        <w:rPr/>
        <w:t> 司出现了部分不良资产。对于已经签约的</w:t>
      </w:r>
      <w:r>
        <w:rPr>
          <w:rFonts w:ascii="Times New Roman" w:hAnsi="Times New Roman" w:cs="Times New Roman" w:eastAsia="Times New Roman" w:hint="default"/>
        </w:rPr>
        <w:t>3</w:t>
      </w:r>
      <w:r>
        <w:rPr/>
        <w:t>个医院</w:t>
      </w:r>
      <w:r>
        <w:rPr>
          <w:rFonts w:ascii="Times New Roman" w:hAnsi="Times New Roman" w:cs="Times New Roman" w:eastAsia="Times New Roman" w:hint="default"/>
        </w:rPr>
        <w:t>PPP</w:t>
      </w:r>
      <w:r>
        <w:rPr/>
        <w:t>项目，公司严格执行项目入库的标准，确保程序及项目符合国家的规 </w:t>
      </w:r>
      <w:r>
        <w:rPr>
          <w:spacing w:val="-2"/>
        </w:rPr>
        <w:t>范要求，同时项目融资先行，使已签约项目处于良性状态。对于融资租赁子公司出现的风险，及时采取管理、法律等手段去</w:t>
      </w:r>
      <w:r>
        <w:rPr>
          <w:spacing w:val="-66"/>
        </w:rPr>
        <w:t> </w:t>
      </w:r>
      <w:r>
        <w:rPr>
          <w:spacing w:val="-66"/>
        </w:rPr>
      </w:r>
      <w:r>
        <w:rPr>
          <w:spacing w:val="-1"/>
        </w:rPr>
        <w:t>加强租后管理，舒缓风险，并取得了一定的成效。鉴于宏观环境的改变，公司果断决策，实事求是，不再新增</w:t>
      </w:r>
      <w:r>
        <w:rPr>
          <w:rFonts w:ascii="Times New Roman" w:hAnsi="Times New Roman" w:cs="Times New Roman" w:eastAsia="Times New Roman" w:hint="default"/>
          <w:spacing w:val="-1"/>
        </w:rPr>
        <w:t>PPP</w:t>
      </w:r>
      <w:r>
        <w:rPr>
          <w:spacing w:val="-1"/>
        </w:rPr>
        <w:t>等资金投</w:t>
      </w:r>
      <w:r>
        <w:rPr>
          <w:spacing w:val="-61"/>
        </w:rPr>
        <w:t> </w:t>
      </w:r>
      <w:r>
        <w:rPr>
          <w:spacing w:val="-2"/>
        </w:rPr>
        <w:t>入巨大的业务，保障存量项目的良性运行，保障公司财务健康，控制负债率，优化经营活动现金流，回归技术创新驱动，练</w:t>
      </w:r>
      <w:r>
        <w:rPr>
          <w:spacing w:val="-67"/>
        </w:rPr>
        <w:t> </w:t>
      </w:r>
      <w:r>
        <w:rPr>
          <w:spacing w:val="-67"/>
        </w:rPr>
      </w:r>
      <w:r>
        <w:rPr/>
        <w:t>好内功。</w:t>
      </w:r>
    </w:p>
    <w:p>
      <w:pPr>
        <w:spacing w:after="0" w:line="460" w:lineRule="auto"/>
        <w:jc w:val="left"/>
        <w:sectPr>
          <w:pgSz w:w="11910" w:h="16840"/>
          <w:pgMar w:header="787" w:footer="1019" w:top="1100" w:bottom="1200" w:left="980" w:right="0"/>
        </w:sectPr>
      </w:pPr>
    </w:p>
    <w:p>
      <w:pPr>
        <w:spacing w:line="240" w:lineRule="auto" w:before="8"/>
        <w:rPr>
          <w:rFonts w:ascii="宋体" w:hAnsi="宋体" w:cs="宋体" w:eastAsia="宋体" w:hint="default"/>
          <w:sz w:val="20"/>
          <w:szCs w:val="20"/>
        </w:rPr>
      </w:pPr>
    </w:p>
    <w:p>
      <w:pPr>
        <w:pStyle w:val="Heading2"/>
        <w:spacing w:line="240" w:lineRule="auto" w:before="26"/>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8"/>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2,527,415,275.10</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2,572,487,726.02</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2,527,415,275.10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2,572,487,726.02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智慧建筑及节能</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1,281,342,766.30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1,414,044,485.59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54.97%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216,667,044.10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137,947,337.98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937,062,247.41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914,999,683.58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35.57%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92,343,217.29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105,496,218.87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4.10%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671,051,404.25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702,665,960.51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27.31%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776,855,545.49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970,267,549.40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37.72%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251,378,942.05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238,942,793.74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9.29%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140,028,381.23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63,963,810.57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2.49%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118.92%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143,793,062.83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156,673,081.39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501,502,133.98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354,648,702.04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13.79%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41.41%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42,805,805.27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85,325,828.37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-49.83%</w:t>
            </w:r>
          </w:p>
        </w:tc>
      </w:tr>
    </w:tbl>
    <w:p>
      <w:pPr>
        <w:pStyle w:val="BodyText"/>
        <w:spacing w:line="240" w:lineRule="auto" w:before="51"/>
        <w:ind w:right="0"/>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07"/>
        <w:gridCol w:w="1008"/>
        <w:gridCol w:w="1010"/>
        <w:gridCol w:w="1011"/>
        <w:gridCol w:w="1012"/>
        <w:gridCol w:w="1003"/>
        <w:gridCol w:w="1005"/>
        <w:gridCol w:w="1002"/>
        <w:gridCol w:w="1002"/>
      </w:tblGrid>
      <w:tr>
        <w:trPr>
          <w:trHeight w:val="206"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91" w:hRule="exact"/>
        </w:trPr>
        <w:tc>
          <w:tcPr>
            <w:tcW w:w="1507" w:type="dxa"/>
            <w:vMerge w:val="restart"/>
            <w:tcBorders>
              <w:top w:val="nil" w:sz="6" w:space="0" w:color="auto"/>
              <w:left w:val="single" w:sz="4" w:space="0" w:color="000000"/>
              <w:right w:val="single" w:sz="4" w:space="0" w:color="000000"/>
            </w:tcBorders>
            <w:shd w:val="clear" w:color="auto" w:fill="D2D2D2"/>
          </w:tcPr>
          <w:p>
            <w:pPr/>
          </w:p>
        </w:tc>
        <w:tc>
          <w:tcPr>
            <w:tcW w:w="4041" w:type="dxa"/>
            <w:gridSpan w:val="4"/>
            <w:vMerge/>
            <w:tcBorders>
              <w:left w:val="single" w:sz="4" w:space="0" w:color="000000"/>
              <w:bottom w:val="single" w:sz="4" w:space="0" w:color="000000"/>
              <w:right w:val="single" w:sz="4" w:space="0" w:color="000000"/>
            </w:tcBorders>
            <w:shd w:val="clear" w:color="auto" w:fill="D2D2D2"/>
          </w:tcPr>
          <w:p>
            <w:pPr/>
          </w:p>
        </w:tc>
        <w:tc>
          <w:tcPr>
            <w:tcW w:w="4012"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507"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2"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5"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378,011,914.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72</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665,099,980.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29</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743,695,886.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80</w:t>
            </w:r>
          </w:p>
        </w:tc>
        <w:tc>
          <w:tcPr>
            <w:tcW w:w="101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740,607,493.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29</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449,648,354.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41</w:t>
            </w:r>
          </w:p>
        </w:tc>
        <w:tc>
          <w:tcPr>
            <w:tcW w:w="100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705,626,403.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56</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642,397,616.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30</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774,815,351.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75</w:t>
            </w:r>
          </w:p>
        </w:tc>
      </w:tr>
      <w:tr>
        <w:trPr>
          <w:trHeight w:val="393" w:hRule="exact"/>
        </w:trPr>
        <w:tc>
          <w:tcPr>
            <w:tcW w:w="15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vMerge/>
            <w:tcBorders>
              <w:left w:val="single" w:sz="9" w:space="0" w:color="D2D2D2"/>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r>
      <w:tr>
        <w:trPr>
          <w:trHeight w:val="161"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9" w:space="0" w:color="D2D2D2"/>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2"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r>
      <w:tr>
        <w:trPr>
          <w:trHeight w:val="714" w:hRule="exact"/>
        </w:trPr>
        <w:tc>
          <w:tcPr>
            <w:tcW w:w="1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35,772,575.5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60,892,916.0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59,172,450.5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60,931,841.9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40,285,574.2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63,274,255.9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103,866,822.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89</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104,399,172.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11"/>
        <w:rPr>
          <w:rFonts w:ascii="宋体" w:hAnsi="宋体" w:cs="宋体" w:eastAsia="宋体" w:hint="default"/>
          <w:sz w:val="22"/>
          <w:szCs w:val="22"/>
        </w:rPr>
      </w:pPr>
    </w:p>
    <w:p>
      <w:pPr>
        <w:pStyle w:val="BodyText"/>
        <w:spacing w:line="357" w:lineRule="auto" w:before="44"/>
        <w:ind w:right="6612"/>
        <w:jc w:val="left"/>
      </w:pPr>
      <w:r>
        <w:rPr/>
        <w:t>说明经营季节性（或周期性）发生的原因及波动风险 公司经营不存在显著的季节性或周期性特征。</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87" w:footer="1019" w:top="1100" w:bottom="1200" w:left="980" w:right="0"/>
        </w:sectPr>
      </w:pPr>
    </w:p>
    <w:p>
      <w:pPr>
        <w:pStyle w:val="BodyText"/>
        <w:spacing w:line="348" w:lineRule="auto" w:before="44"/>
        <w:ind w:right="58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是</w:t>
      </w:r>
    </w:p>
    <w:p>
      <w:pPr>
        <w:pStyle w:val="BodyText"/>
        <w:spacing w:line="240" w:lineRule="auto" w:before="35"/>
        <w:ind w:right="5830"/>
        <w:jc w:val="left"/>
      </w:pPr>
      <w:r>
        <w:rPr/>
        <w:t>软件与信息技术服务业</w:t>
      </w:r>
    </w:p>
    <w:p>
      <w:pPr>
        <w:pStyle w:val="BodyText"/>
        <w:spacing w:line="240" w:lineRule="auto" w:before="117"/>
        <w:ind w:right="-18"/>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left="-32" w:right="0"/>
        <w:jc w:val="left"/>
      </w:pPr>
      <w:r>
        <w:rPr/>
        <w:t>单位：元</w:t>
      </w:r>
    </w:p>
    <w:p>
      <w:pPr>
        <w:spacing w:after="0" w:line="240" w:lineRule="auto"/>
        <w:jc w:val="left"/>
        <w:sectPr>
          <w:type w:val="continuous"/>
          <w:pgSz w:w="11910" w:h="16840"/>
          <w:pgMar w:top="1100" w:bottom="1200" w:left="980" w:right="0"/>
          <w:cols w:num="2" w:equalWidth="0">
            <w:col w:w="9065" w:space="40"/>
            <w:col w:w="1825"/>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2,527,415,275.10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1,719,623,943.94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-0.57%</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智慧建筑及节能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1,281,342,766.30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906,185,508.05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-11.06%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216,667,044.10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146,493,613.90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44.25%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937,062,247.41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625,087,507.69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6.80%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-2.74%</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671,051,404.25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428,479,953.37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0.68%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776,855,545.49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519,738,023.17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-23.94%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251,378,942.05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174,072,051.05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10.54%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501,502,133.98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367,500,547.91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70.22%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-12.40%</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843"/>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after="0" w:line="338" w:lineRule="auto"/>
        <w:jc w:val="left"/>
        <w:sectPr>
          <w:type w:val="continuous"/>
          <w:pgSz w:w="11910" w:h="16840"/>
          <w:pgMar w:top="1100" w:bottom="1200" w:left="980" w:right="0"/>
        </w:sectPr>
      </w:pPr>
    </w:p>
    <w:p>
      <w:pPr>
        <w:spacing w:line="240" w:lineRule="auto" w:before="11"/>
        <w:rPr>
          <w:rFonts w:ascii="宋体" w:hAnsi="宋体" w:cs="宋体" w:eastAsia="宋体" w:hint="default"/>
          <w:sz w:val="22"/>
          <w:szCs w:val="22"/>
        </w:rPr>
      </w:pPr>
    </w:p>
    <w:p>
      <w:pPr>
        <w:pStyle w:val="BodyText"/>
        <w:spacing w:line="240" w:lineRule="auto" w:before="44"/>
        <w:ind w:right="0"/>
        <w:jc w:val="left"/>
      </w:pPr>
      <w:r>
        <w:rPr/>
        <w:t>行业和产品分类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1,719,623,943.94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1,735,580,804.22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9" w:right="0"/>
              <w:jc w:val="left"/>
              <w:rPr>
                <w:rFonts w:ascii="Times New Roman" w:hAnsi="Times New Roman" w:cs="Times New Roman" w:eastAsia="Times New Roman" w:hint="default"/>
                <w:sz w:val="18"/>
                <w:szCs w:val="18"/>
              </w:rPr>
            </w:pPr>
            <w:r>
              <w:rPr>
                <w:rFonts w:ascii="Times New Roman"/>
                <w:sz w:val="18"/>
              </w:rPr>
              <w:t>-0.92%</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智慧建筑及节能</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906,185,508.05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1,018,860,655.92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智慧交通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146,493,613.90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101,558,641.07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625,087,507.69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585,308,777.65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41,857,314.30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29,852,729.58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13"/>
          <w:szCs w:val="13"/>
        </w:rPr>
      </w:pPr>
    </w:p>
    <w:p>
      <w:pPr>
        <w:pStyle w:val="BodyText"/>
        <w:spacing w:line="240" w:lineRule="auto"/>
        <w:ind w:right="0"/>
        <w:jc w:val="left"/>
      </w:pPr>
      <w:r>
        <w:rPr>
          <w:rFonts w:ascii="Times New Roman" w:hAnsi="Times New Roman" w:cs="Times New Roman" w:eastAsia="Times New Roman" w:hint="default"/>
        </w:rPr>
        <w:t>1</w:t>
      </w:r>
      <w:r>
        <w:rPr/>
        <w:t>、本期处置子公司</w:t>
      </w:r>
    </w:p>
    <w:p>
      <w:pPr>
        <w:spacing w:line="240" w:lineRule="auto" w:before="9"/>
        <w:rPr>
          <w:rFonts w:ascii="宋体" w:hAnsi="宋体" w:cs="宋体" w:eastAsia="宋体" w:hint="default"/>
          <w:sz w:val="16"/>
          <w:szCs w:val="16"/>
        </w:rPr>
      </w:pPr>
    </w:p>
    <w:p>
      <w:pPr>
        <w:pStyle w:val="BodyText"/>
        <w:spacing w:line="451" w:lineRule="auto"/>
        <w:ind w:right="0" w:firstLine="420"/>
        <w:jc w:val="left"/>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月，公司转让持有的上海达实联欣科技发展有限公司</w:t>
      </w:r>
      <w:r>
        <w:rPr>
          <w:rFonts w:ascii="Times New Roman" w:hAnsi="Times New Roman" w:cs="Times New Roman" w:eastAsia="Times New Roman" w:hint="default"/>
          <w:spacing w:val="-1"/>
        </w:rPr>
        <w:t>34%</w:t>
      </w:r>
      <w:r>
        <w:rPr>
          <w:spacing w:val="-1"/>
        </w:rPr>
        <w:t>股权，自股权转让日开始，不再对上海达实联欣科技</w:t>
      </w:r>
      <w:r>
        <w:rPr/>
        <w:t> 发展有限公司具有控制权。</w:t>
      </w:r>
    </w:p>
    <w:p>
      <w:pPr>
        <w:pStyle w:val="BodyText"/>
        <w:spacing w:line="240" w:lineRule="auto" w:before="74"/>
        <w:ind w:right="0"/>
        <w:jc w:val="left"/>
      </w:pPr>
      <w:r>
        <w:rPr>
          <w:rFonts w:ascii="Times New Roman" w:hAnsi="Times New Roman" w:cs="Times New Roman" w:eastAsia="Times New Roman" w:hint="default"/>
        </w:rPr>
        <w:t>2</w:t>
      </w:r>
      <w:r>
        <w:rPr/>
        <w:t>、本期新增子公司</w:t>
      </w:r>
    </w:p>
    <w:p>
      <w:pPr>
        <w:spacing w:line="240" w:lineRule="auto" w:before="12"/>
        <w:rPr>
          <w:rFonts w:ascii="宋体" w:hAnsi="宋体" w:cs="宋体" w:eastAsia="宋体" w:hint="default"/>
          <w:sz w:val="9"/>
          <w:szCs w:val="9"/>
        </w:rPr>
      </w:pPr>
    </w:p>
    <w:tbl>
      <w:tblPr>
        <w:tblW w:w="0" w:type="auto"/>
        <w:jc w:val="left"/>
        <w:tblInd w:w="137" w:type="dxa"/>
        <w:tblLayout w:type="fixed"/>
        <w:tblCellMar>
          <w:top w:w="0" w:type="dxa"/>
          <w:left w:w="0" w:type="dxa"/>
          <w:bottom w:w="0" w:type="dxa"/>
          <w:right w:w="0" w:type="dxa"/>
        </w:tblCellMar>
        <w:tblLook w:val="01E0"/>
      </w:tblPr>
      <w:tblGrid>
        <w:gridCol w:w="3279"/>
        <w:gridCol w:w="1188"/>
        <w:gridCol w:w="1421"/>
        <w:gridCol w:w="1420"/>
        <w:gridCol w:w="2351"/>
      </w:tblGrid>
      <w:tr>
        <w:trPr>
          <w:trHeight w:val="348" w:hRule="exact"/>
        </w:trPr>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子公司级次</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新增方式</w:t>
            </w:r>
          </w:p>
        </w:tc>
      </w:tr>
      <w:tr>
        <w:trPr>
          <w:trHeight w:val="347" w:hRule="exact"/>
        </w:trPr>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湖南桃江达实智慧医养有限公司</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货币出资</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2018-3-30</w:t>
            </w:r>
          </w:p>
        </w:tc>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7" w:hRule="exact"/>
        </w:trPr>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合肥达实信息科技有限公司</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货币出资</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2018-8-14</w:t>
            </w:r>
          </w:p>
        </w:tc>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7" w:hRule="exact"/>
        </w:trPr>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达实智能科技（成都）有限公司</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货币出资</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2018-2-01</w:t>
            </w:r>
          </w:p>
        </w:tc>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7" w:hRule="exact"/>
        </w:trPr>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深圳达实智慧医疗有限公司</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货币出资</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2018-1-23</w:t>
            </w:r>
          </w:p>
        </w:tc>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7" w:hRule="exact"/>
        </w:trPr>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云浮市济天企业管理有限公司</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三级子公司</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货币出资</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2018-12-20</w:t>
            </w:r>
          </w:p>
        </w:tc>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8" w:hRule="exact"/>
        </w:trPr>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成都聚雅医信科技有限公司</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现金收购</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2018-8-30</w:t>
            </w:r>
          </w:p>
        </w:tc>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47" w:hRule="exact"/>
        </w:trPr>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深圳市小鹿暖暖科技有限公司</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现金收购</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2018-3-19</w:t>
            </w:r>
          </w:p>
        </w:tc>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380,891,403.81</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15.07%</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中国建筑第八工程局有限公司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140,636,363.64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遵义医学院第二附属医院</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69,161,636.92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安徽省宿州市立医院</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62,100,737.10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中国建筑第五工程局有限公司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57,408,737.64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深圳市地铁集团有限公司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51,583,928.51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380,891,403.81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15.07%</w:t>
            </w:r>
          </w:p>
        </w:tc>
      </w:tr>
    </w:tbl>
    <w:p>
      <w:pPr>
        <w:pStyle w:val="BodyText"/>
        <w:spacing w:line="240" w:lineRule="auto" w:before="51"/>
        <w:ind w:right="0"/>
        <w:jc w:val="left"/>
      </w:pPr>
      <w:r>
        <w:rPr/>
        <w:t>主要客户其他情况说明</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95,198,265.61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广州江河幕墙系统工程有限公司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31,338,574.90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上海大华电器设备有限公司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19,886,443.19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上海三思电子工程有限公司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19,557,701.24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重庆信泛通智能科技有限公司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12,889,684.21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深圳华瑞德鑫电子科技有限公司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11,525,862.07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95,198,265.61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253,769,209.28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202,093,511.85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销售费用本报告期无重大变动。</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136,147,800.18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143,520,387.52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管理费用本报告期无重大变动。</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26,575,526.70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4,914,072.04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440.80%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财务费用本报告期增长较大主要原</w:t>
            </w:r>
          </w:p>
        </w:tc>
      </w:tr>
    </w:tbl>
    <w:p>
      <w:pPr>
        <w:spacing w:after="0" w:line="240" w:lineRule="auto"/>
        <w:jc w:val="left"/>
        <w:rPr>
          <w:rFonts w:ascii="宋体" w:hAnsi="宋体" w:cs="宋体" w:eastAsia="宋体"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67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83"/>
              <w:jc w:val="left"/>
              <w:rPr>
                <w:rFonts w:ascii="宋体" w:hAnsi="宋体" w:cs="宋体" w:eastAsia="宋体" w:hint="default"/>
                <w:sz w:val="18"/>
                <w:szCs w:val="18"/>
              </w:rPr>
            </w:pPr>
            <w:r>
              <w:rPr>
                <w:rFonts w:ascii="宋体" w:hAnsi="宋体" w:cs="宋体" w:eastAsia="宋体" w:hint="default"/>
                <w:sz w:val="18"/>
                <w:szCs w:val="18"/>
              </w:rPr>
              <w:t>因是本报告期母公司银行贷款利息 支出增加所致。</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47,573,406.42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67,055,041.33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-29.05%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研发费用本报告期无重大变动。</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32"/>
          <w:szCs w:val="32"/>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9"/>
          <w:szCs w:val="19"/>
        </w:rPr>
      </w:pPr>
    </w:p>
    <w:p>
      <w:pPr>
        <w:pStyle w:val="BodyText"/>
        <w:spacing w:line="451" w:lineRule="auto"/>
        <w:ind w:right="1132" w:firstLine="420"/>
        <w:jc w:val="both"/>
      </w:pPr>
      <w:r>
        <w:rPr>
          <w:spacing w:val="-1"/>
        </w:rPr>
        <w:t>报告期内，公司立足智能物联与智慧医疗，持续加大技术和产品的研发投入，取得</w:t>
      </w:r>
      <w:r>
        <w:rPr>
          <w:rFonts w:ascii="Times New Roman" w:hAnsi="Times New Roman" w:cs="Times New Roman" w:eastAsia="Times New Roman" w:hint="default"/>
          <w:spacing w:val="-1"/>
        </w:rPr>
        <w:t>5</w:t>
      </w:r>
      <w:r>
        <w:rPr>
          <w:spacing w:val="-1"/>
        </w:rPr>
        <w:t>项发明专利证书、</w:t>
      </w:r>
      <w:r>
        <w:rPr>
          <w:rFonts w:ascii="Times New Roman" w:hAnsi="Times New Roman" w:cs="Times New Roman" w:eastAsia="Times New Roman" w:hint="default"/>
          <w:spacing w:val="-1"/>
        </w:rPr>
        <w:t>17</w:t>
      </w:r>
      <w:r>
        <w:rPr>
          <w:spacing w:val="-1"/>
        </w:rPr>
        <w:t>项实用新型专</w:t>
      </w:r>
      <w:r>
        <w:rPr/>
        <w:t> 利证书、</w:t>
      </w:r>
      <w:r>
        <w:rPr>
          <w:rFonts w:ascii="Times New Roman" w:hAnsi="Times New Roman" w:cs="Times New Roman" w:eastAsia="Times New Roman" w:hint="default"/>
        </w:rPr>
        <w:t>21</w:t>
      </w:r>
      <w:r>
        <w:rPr/>
        <w:t>项软件著作权，新申请</w:t>
      </w:r>
      <w:r>
        <w:rPr>
          <w:rFonts w:ascii="Times New Roman" w:hAnsi="Times New Roman" w:cs="Times New Roman" w:eastAsia="Times New Roman" w:hint="default"/>
        </w:rPr>
        <w:t>40</w:t>
      </w:r>
      <w:r>
        <w:rPr/>
        <w:t>项专利（其中发明</w:t>
      </w:r>
      <w:r>
        <w:rPr>
          <w:rFonts w:ascii="Times New Roman" w:hAnsi="Times New Roman" w:cs="Times New Roman" w:eastAsia="Times New Roman" w:hint="default"/>
        </w:rPr>
        <w:t>21</w:t>
      </w:r>
      <w:r>
        <w:rPr/>
        <w:t>项、实用新型</w:t>
      </w:r>
      <w:r>
        <w:rPr>
          <w:rFonts w:ascii="Times New Roman" w:hAnsi="Times New Roman" w:cs="Times New Roman" w:eastAsia="Times New Roman" w:hint="default"/>
        </w:rPr>
        <w:t>18</w:t>
      </w:r>
      <w:r>
        <w:rPr/>
        <w:t>项、外观</w:t>
      </w:r>
      <w:r>
        <w:rPr>
          <w:rFonts w:ascii="Times New Roman" w:hAnsi="Times New Roman" w:cs="Times New Roman" w:eastAsia="Times New Roman" w:hint="default"/>
        </w:rPr>
        <w:t>1</w:t>
      </w:r>
      <w:r>
        <w:rPr/>
        <w:t>项），研发实力进一步增强。公司申报 的集中式空调能效管控技术工程实验室也顺利通过验收。</w:t>
      </w:r>
    </w:p>
    <w:p>
      <w:pPr>
        <w:pStyle w:val="BodyText"/>
        <w:spacing w:line="451" w:lineRule="auto" w:before="74"/>
        <w:ind w:right="1188" w:firstLine="420"/>
        <w:jc w:val="both"/>
      </w:pPr>
      <w:r>
        <w:rPr/>
        <w:t>公司不断迭代升级</w:t>
      </w:r>
      <w:r>
        <w:rPr>
          <w:rFonts w:ascii="Times New Roman" w:hAnsi="Times New Roman" w:cs="Times New Roman" w:eastAsia="Times New Roman" w:hint="default"/>
        </w:rPr>
        <w:t>IBMS</w:t>
      </w:r>
      <w:r>
        <w:rPr/>
        <w:t>系统，在满足用户基本管理需求的同时，更加注重高级功能需求的研发。目前，最新的</w:t>
      </w:r>
      <w:r>
        <w:rPr>
          <w:rFonts w:ascii="Times New Roman" w:hAnsi="Times New Roman" w:cs="Times New Roman" w:eastAsia="Times New Roman" w:hint="default"/>
        </w:rPr>
        <w:t>IBMS</w:t>
      </w:r>
      <w:r>
        <w:rPr>
          <w:rFonts w:ascii="Times New Roman" w:hAnsi="Times New Roman" w:cs="Times New Roman" w:eastAsia="Times New Roman" w:hint="default"/>
          <w:w w:val="99"/>
        </w:rPr>
        <w:t> </w:t>
      </w:r>
      <w:r>
        <w:rPr/>
        <w:t>系统采用数字孪生技术，构建虚拟</w:t>
      </w:r>
      <w:r>
        <w:rPr>
          <w:rFonts w:ascii="Times New Roman" w:hAnsi="Times New Roman" w:cs="Times New Roman" w:eastAsia="Times New Roman" w:hint="default"/>
        </w:rPr>
        <w:t>/</w:t>
      </w:r>
      <w:r>
        <w:rPr/>
        <w:t>现实建筑及建筑运管系统，推动建筑在生命周期中的运营与维护环节的技术变革。</w:t>
      </w:r>
    </w:p>
    <w:p>
      <w:pPr>
        <w:pStyle w:val="BodyText"/>
        <w:spacing w:line="468" w:lineRule="auto" w:before="43"/>
        <w:ind w:right="1132" w:firstLine="420"/>
        <w:jc w:val="both"/>
      </w:pPr>
      <w:r>
        <w:rPr>
          <w:spacing w:val="-1"/>
        </w:rPr>
        <w:t>公司针对当前物联网存在的数据传输带宽与快速响应等需求，开发了边缘控制器等相关设备，通过达实</w:t>
      </w:r>
      <w:r>
        <w:rPr>
          <w:rFonts w:ascii="Times New Roman" w:hAnsi="Times New Roman" w:cs="Times New Roman" w:eastAsia="Times New Roman" w:hint="default"/>
          <w:spacing w:val="-1"/>
        </w:rPr>
        <w:t>IBMS</w:t>
      </w:r>
      <w:r>
        <w:rPr>
          <w:spacing w:val="-1"/>
        </w:rPr>
        <w:t>系统利用</w:t>
      </w:r>
      <w:r>
        <w:rPr/>
        <w:t> </w:t>
      </w:r>
      <w:r>
        <w:rPr>
          <w:spacing w:val="-2"/>
        </w:rPr>
        <w:t>边缘控制器快速集成本地设备，作为本地节点快速响应本地事件，实现本地物端的智能联动，使云中心的业务能力下放到网</w:t>
      </w:r>
      <w:r>
        <w:rPr>
          <w:spacing w:val="-66"/>
        </w:rPr>
        <w:t> </w:t>
      </w:r>
      <w:r>
        <w:rPr>
          <w:spacing w:val="-66"/>
        </w:rPr>
      </w:r>
      <w:r>
        <w:rPr>
          <w:spacing w:val="-2"/>
        </w:rPr>
        <w:t>络边缘，离用户更近，满足不同阶段的数据承载需求，极大程度的缩短网络时延，提高数据处理效率，从而解决云中心难以</w:t>
      </w:r>
      <w:r>
        <w:rPr>
          <w:spacing w:val="-66"/>
        </w:rPr>
        <w:t> </w:t>
      </w:r>
      <w:r>
        <w:rPr>
          <w:spacing w:val="-66"/>
        </w:rPr>
      </w:r>
      <w:r>
        <w:rPr/>
        <w:t>满足的物联网、人工智能等重度应用爆发的关键需求。</w:t>
      </w:r>
    </w:p>
    <w:p>
      <w:pPr>
        <w:pStyle w:val="BodyText"/>
        <w:spacing w:line="240" w:lineRule="auto" w:before="102"/>
        <w:ind w:right="0"/>
        <w:jc w:val="left"/>
      </w:pPr>
      <w:r>
        <w:rPr/>
        <w:t>公司研发投入情况</w:t>
      </w:r>
    </w:p>
    <w:p>
      <w:pPr>
        <w:spacing w:line="240" w:lineRule="auto" w:before="0"/>
        <w:rPr>
          <w:rFonts w:ascii="宋体" w:hAnsi="宋体" w:cs="宋体" w:eastAsia="宋体" w:hint="default"/>
          <w:sz w:val="14"/>
          <w:szCs w:val="14"/>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123,496,636.87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105,083,506.09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55,997,277.27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18,025,156.29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210.66%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28.19%</w:t>
            </w:r>
          </w:p>
        </w:tc>
      </w:tr>
    </w:tbl>
    <w:p>
      <w:pPr>
        <w:pStyle w:val="BodyText"/>
        <w:spacing w:line="240" w:lineRule="auto" w:before="51"/>
        <w:ind w:right="0"/>
        <w:jc w:val="left"/>
      </w:pPr>
      <w:r>
        <w:rPr/>
        <w:t>研发投入总额占营业收入的比重较上年发生显著变化的原因</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240" w:lineRule="auto"/>
        <w:ind w:left="574" w:right="0"/>
        <w:jc w:val="left"/>
      </w:pPr>
      <w:r>
        <w:rPr/>
        <w:t>本报告期研发投入资本化率增加，主要是由于公司本期投入开发项目增加所致。</w:t>
      </w:r>
    </w:p>
    <w:p>
      <w:pPr>
        <w:spacing w:line="240" w:lineRule="auto" w:before="7"/>
        <w:rPr>
          <w:rFonts w:ascii="宋体" w:hAnsi="宋体" w:cs="宋体" w:eastAsia="宋体" w:hint="default"/>
          <w:sz w:val="11"/>
          <w:szCs w:val="11"/>
        </w:rPr>
      </w:pPr>
    </w:p>
    <w:p>
      <w:pPr>
        <w:pStyle w:val="BodyText"/>
        <w:spacing w:line="240" w:lineRule="auto" w:before="44"/>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1578"/>
        <w:gridCol w:w="4110"/>
        <w:gridCol w:w="1488"/>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5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4"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4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实施进度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中央空调模糊控制系统</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1" w:right="0"/>
              <w:jc w:val="left"/>
              <w:rPr>
                <w:rFonts w:ascii="Times New Roman" w:hAnsi="Times New Roman" w:cs="Times New Roman" w:eastAsia="Times New Roman" w:hint="default"/>
                <w:sz w:val="18"/>
                <w:szCs w:val="18"/>
              </w:rPr>
            </w:pPr>
            <w:r>
              <w:rPr>
                <w:rFonts w:ascii="Times New Roman"/>
                <w:sz w:val="18"/>
              </w:rPr>
              <w:t>3,254,136.88</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苏州轨道交通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号线工程计划建设模糊控制系统</w:t>
            </w:r>
            <w:r>
              <w:rPr>
                <w:rFonts w:ascii="宋体" w:hAnsi="宋体" w:cs="宋体" w:eastAsia="宋体" w:hint="default"/>
                <w:spacing w:val="-86"/>
                <w:sz w:val="18"/>
                <w:szCs w:val="18"/>
              </w:rPr>
              <w:t>，</w:t>
            </w:r>
            <w:r>
              <w:rPr>
                <w:rFonts w:ascii="宋体" w:hAnsi="宋体" w:cs="宋体" w:eastAsia="宋体" w:hint="default"/>
                <w:sz w:val="18"/>
                <w:szCs w:val="18"/>
              </w:rPr>
              <w:t>用</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r>
    </w:tbl>
    <w:p>
      <w:pPr>
        <w:spacing w:after="0" w:line="240" w:lineRule="auto"/>
        <w:jc w:val="left"/>
        <w:rPr>
          <w:rFonts w:ascii="宋体" w:hAnsi="宋体" w:cs="宋体" w:eastAsia="宋体" w:hint="default"/>
          <w:sz w:val="18"/>
          <w:szCs w:val="18"/>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r>
        <w:rPr/>
        <w:pict>
          <v:shape style="position:absolute;margin-left:400.834015pt;margin-top:266.719971pt;width:134.1pt;height:46.8pt;mso-position-horizontal-relative:page;mso-position-vertical-relative:page;z-index:-11766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工作互通互联、</w:t>
                  </w:r>
                </w:p>
              </w:txbxContent>
            </v:textbox>
            <w10:wrap type="none"/>
          </v:shape>
        </w:pict>
      </w:r>
      <w:r>
        <w:rPr/>
        <w:pict>
          <v:group style="position:absolute;margin-left:460.980011pt;margin-top:380.419983pt;width:73.95pt;height:39pt;mso-position-horizontal-relative:page;mso-position-vertical-relative:page;z-index:-1176592" coordorigin="9220,7608" coordsize="1479,780">
            <v:shape style="position:absolute;left:9220;top:7608;width:1479;height:780" coordorigin="9220,7608" coordsize="1479,780" path="m9220,8388l10698,8388,10698,7608,9220,7608,9220,8388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2392"/>
        <w:gridCol w:w="1578"/>
        <w:gridCol w:w="4110"/>
        <w:gridCol w:w="1488"/>
      </w:tblGrid>
      <w:tr>
        <w:trPr>
          <w:trHeight w:val="192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pacing w:val="-3"/>
                <w:sz w:val="18"/>
              </w:rPr>
              <w:t>HVAC-FCS1.0</w:t>
            </w:r>
          </w:p>
        </w:tc>
        <w:tc>
          <w:tcPr>
            <w:tcW w:w="1578" w:type="dxa"/>
            <w:tcBorders>
              <w:top w:val="single" w:sz="4" w:space="0" w:color="000000"/>
              <w:left w:val="single" w:sz="4" w:space="0" w:color="000000"/>
              <w:bottom w:val="single" w:sz="4" w:space="0" w:color="000000"/>
              <w:right w:val="single" w:sz="4" w:space="0" w:color="000000"/>
            </w:tcBorders>
          </w:tcPr>
          <w:p>
            <w:pP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19"/>
              <w:jc w:val="both"/>
              <w:rPr>
                <w:rFonts w:ascii="宋体" w:hAnsi="宋体" w:cs="宋体" w:eastAsia="宋体" w:hint="default"/>
                <w:sz w:val="18"/>
                <w:szCs w:val="18"/>
              </w:rPr>
            </w:pPr>
            <w:r>
              <w:rPr>
                <w:rFonts w:ascii="宋体" w:hAnsi="宋体" w:cs="宋体" w:eastAsia="宋体" w:hint="default"/>
                <w:spacing w:val="-4"/>
                <w:sz w:val="18"/>
                <w:szCs w:val="18"/>
              </w:rPr>
              <w:t>于监测、分析、控制地铁中央空调运行状况，实现节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能管理。模糊控制系统采集现场监测装置、多功能表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4"/>
                <w:w w:val="100"/>
                <w:sz w:val="18"/>
                <w:szCs w:val="18"/>
              </w:rPr>
              <w:t>的数据，并通过</w:t>
            </w:r>
            <w:r>
              <w:rPr>
                <w:rFonts w:ascii="Times New Roman" w:hAnsi="Times New Roman" w:cs="Times New Roman" w:eastAsia="Times New Roman" w:hint="default"/>
                <w:spacing w:val="-14"/>
                <w:w w:val="100"/>
                <w:sz w:val="18"/>
                <w:szCs w:val="18"/>
              </w:rPr>
              <w:t>“</w:t>
            </w:r>
            <w:r>
              <w:rPr>
                <w:rFonts w:ascii="宋体" w:hAnsi="宋体" w:cs="宋体" w:eastAsia="宋体" w:hint="default"/>
                <w:spacing w:val="-14"/>
                <w:w w:val="100"/>
                <w:sz w:val="18"/>
                <w:szCs w:val="18"/>
              </w:rPr>
              <w:t>分散控制（局部控制）、集中管理（全</w:t>
            </w:r>
            <w:r>
              <w:rPr>
                <w:rFonts w:ascii="宋体" w:hAnsi="宋体" w:cs="宋体" w:eastAsia="宋体" w:hint="default"/>
                <w:spacing w:val="-88"/>
                <w:w w:val="100"/>
                <w:sz w:val="18"/>
                <w:szCs w:val="18"/>
              </w:rPr>
              <w:t> </w:t>
            </w:r>
            <w:r>
              <w:rPr>
                <w:rFonts w:ascii="宋体" w:hAnsi="宋体" w:cs="宋体" w:eastAsia="宋体" w:hint="default"/>
                <w:spacing w:val="-88"/>
                <w:w w:val="100"/>
                <w:sz w:val="18"/>
                <w:szCs w:val="18"/>
              </w:rPr>
            </w:r>
            <w:r>
              <w:rPr>
                <w:rFonts w:ascii="宋体" w:hAnsi="宋体" w:cs="宋体" w:eastAsia="宋体" w:hint="default"/>
                <w:sz w:val="18"/>
                <w:szCs w:val="18"/>
              </w:rPr>
              <w:t>局控制）</w:t>
            </w:r>
            <w:r>
              <w:rPr>
                <w:rFonts w:ascii="Times New Roman" w:hAnsi="Times New Roman" w:cs="Times New Roman" w:eastAsia="Times New Roman" w:hint="default"/>
                <w:sz w:val="18"/>
                <w:szCs w:val="18"/>
              </w:rPr>
              <w:t>”</w:t>
            </w:r>
            <w:r>
              <w:rPr>
                <w:rFonts w:ascii="宋体" w:hAnsi="宋体" w:cs="宋体" w:eastAsia="宋体" w:hint="default"/>
                <w:sz w:val="18"/>
                <w:szCs w:val="18"/>
              </w:rPr>
              <w:t>的分级控制架构，实现空调水系统局部控 </w:t>
            </w:r>
            <w:r>
              <w:rPr>
                <w:rFonts w:ascii="宋体" w:hAnsi="宋体" w:cs="宋体" w:eastAsia="宋体" w:hint="default"/>
                <w:spacing w:val="-4"/>
                <w:sz w:val="18"/>
                <w:szCs w:val="18"/>
              </w:rPr>
              <w:t>制、风系统局部控制以及风水全局联动控制，提升系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统能效水平。</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97"/>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基于人工智能的深度节能运 维管理系统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AI-EM</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v1.0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7,826,831.50</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通过深圳市民中心节能改造完成后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年多来的节能 </w:t>
            </w:r>
            <w:r>
              <w:rPr>
                <w:rFonts w:ascii="宋体" w:hAnsi="宋体" w:cs="宋体" w:eastAsia="宋体" w:hint="default"/>
                <w:spacing w:val="-4"/>
                <w:sz w:val="18"/>
                <w:szCs w:val="18"/>
              </w:rPr>
              <w:t>节费效果的总结和分析，发掘可基于人工智能和数据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深度分析的节能和运维管理新技术和新方法，打造深</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圳大型公共建筑节能改造及全生命周期运行标杆项 </w:t>
            </w:r>
            <w:r>
              <w:rPr>
                <w:rFonts w:ascii="宋体" w:hAnsi="宋体" w:cs="宋体" w:eastAsia="宋体" w:hint="default"/>
                <w:spacing w:val="-4"/>
                <w:sz w:val="18"/>
                <w:szCs w:val="18"/>
              </w:rPr>
              <w:t>目，为雄安新区及其他地区新建建筑和既有建筑的智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能化及节能建设</w:t>
            </w:r>
            <w:r>
              <w:rPr>
                <w:rFonts w:ascii="Times New Roman" w:hAnsi="Times New Roman" w:cs="Times New Roman" w:eastAsia="Times New Roman" w:hint="default"/>
                <w:sz w:val="18"/>
                <w:szCs w:val="18"/>
              </w:rPr>
              <w:t>/</w:t>
            </w:r>
            <w:r>
              <w:rPr>
                <w:rFonts w:ascii="宋体" w:hAnsi="宋体" w:cs="宋体" w:eastAsia="宋体" w:hint="default"/>
                <w:sz w:val="18"/>
                <w:szCs w:val="18"/>
              </w:rPr>
              <w:t>改造发挥</w:t>
            </w:r>
            <w:r>
              <w:rPr>
                <w:rFonts w:ascii="Times New Roman" w:hAnsi="Times New Roman" w:cs="Times New Roman" w:eastAsia="Times New Roman" w:hint="default"/>
                <w:sz w:val="18"/>
                <w:szCs w:val="18"/>
              </w:rPr>
              <w:t>“</w:t>
            </w:r>
            <w:r>
              <w:rPr>
                <w:rFonts w:ascii="宋体" w:hAnsi="宋体" w:cs="宋体" w:eastAsia="宋体" w:hint="default"/>
                <w:sz w:val="18"/>
                <w:szCs w:val="18"/>
              </w:rPr>
              <w:t>示范性</w:t>
            </w:r>
            <w:r>
              <w:rPr>
                <w:rFonts w:ascii="Times New Roman" w:hAnsi="Times New Roman" w:cs="Times New Roman" w:eastAsia="Times New Roman" w:hint="default"/>
                <w:sz w:val="18"/>
                <w:szCs w:val="18"/>
              </w:rPr>
              <w:t>”</w:t>
            </w:r>
            <w:r>
              <w:rPr>
                <w:rFonts w:ascii="宋体" w:hAnsi="宋体" w:cs="宋体" w:eastAsia="宋体" w:hint="default"/>
                <w:sz w:val="18"/>
                <w:szCs w:val="18"/>
              </w:rPr>
              <w:t>作用。</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227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38" w:lineRule="auto"/>
              <w:ind w:left="22" w:right="92"/>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项目现场智慧管理系统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SCSS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V1.0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3,789,863.01</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4"/>
              <w:jc w:val="left"/>
              <w:rPr>
                <w:rFonts w:ascii="宋体" w:hAnsi="宋体" w:cs="宋体" w:eastAsia="宋体" w:hint="default"/>
                <w:sz w:val="18"/>
                <w:szCs w:val="18"/>
              </w:rPr>
            </w:pPr>
            <w:r>
              <w:rPr>
                <w:rFonts w:ascii="宋体" w:hAnsi="宋体" w:cs="宋体" w:eastAsia="宋体" w:hint="default"/>
                <w:sz w:val="18"/>
                <w:szCs w:val="18"/>
              </w:rPr>
              <w:t>智慧工地是建立在高度信息化基础上的一种支持对 </w:t>
            </w:r>
            <w:r>
              <w:rPr>
                <w:rFonts w:ascii="宋体" w:hAnsi="宋体" w:cs="宋体" w:eastAsia="宋体" w:hint="default"/>
                <w:spacing w:val="-6"/>
                <w:sz w:val="18"/>
                <w:szCs w:val="18"/>
              </w:rPr>
              <w:t>人和物全面感知、施工技术全面智能、</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信息协同共享、决策科学分析、风险智慧预控的新型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信息化手段，围绕人、机、料、法、环等关键要素，</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4"/>
                <w:sz w:val="18"/>
                <w:szCs w:val="18"/>
              </w:rPr>
              <w:t>可大大提升工程质量、施工安全，节约成本，提高施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工现场决策能力和管理效率，实现工地的数字化、精</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细化、智慧化。</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开发中</w:t>
            </w:r>
          </w:p>
          <w:p>
            <w:pPr>
              <w:pStyle w:val="TableParagraph"/>
              <w:spacing w:line="1340" w:lineRule="exact"/>
              <w:ind w:right="-3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6"/>
                <w:sz w:val="20"/>
                <w:szCs w:val="20"/>
              </w:rPr>
              <w:pict>
                <v:group style="width:73.95pt;height:67.05pt;mso-position-horizontal-relative:char;mso-position-vertical-relative:line" coordorigin="0,0" coordsize="1479,1341">
                  <v:group style="position:absolute;left:0;top:0;width:1479;height:936" coordorigin="0,0" coordsize="1479,936">
                    <v:shape style="position:absolute;left:0;top:0;width:1479;height:936" coordorigin="0,0" coordsize="1479,936" path="m0,936l1478,936,1478,0,0,0,0,936xe" filled="true" fillcolor="#ffffff" stroked="false">
                      <v:path arrowok="t"/>
                      <v:fill type="solid"/>
                    </v:shape>
                  </v:group>
                  <v:group style="position:absolute;left:12;top:936;width:2;height:393" coordorigin="12,936" coordsize="2,393">
                    <v:shape style="position:absolute;left:12;top:936;width:2;height:393" coordorigin="12,936" coordsize="0,393" path="m12,936l12,1328e" filled="false" stroked="true" strokeweight="1.2pt" strokecolor="#ffffff">
                      <v:path arrowok="t"/>
                    </v:shape>
                  </v:group>
                  <v:group style="position:absolute;left:24;top:936;width:1432;height:393" coordorigin="24,936" coordsize="1432,393">
                    <v:shape style="position:absolute;left:24;top:936;width:1432;height:393" coordorigin="24,936" coordsize="1432,393" path="m24,1328l1456,1328,1456,936,24,936,24,1328xe" filled="true" fillcolor="#ffffff" stroked="false">
                      <v:path arrowok="t"/>
                      <v:fill type="solid"/>
                    </v:shape>
                  </v:group>
                </v:group>
              </w:pict>
            </w:r>
            <w:r>
              <w:rPr>
                <w:rFonts w:ascii="Times New Roman" w:hAnsi="Times New Roman" w:cs="Times New Roman" w:eastAsia="Times New Roman" w:hint="default"/>
                <w:position w:val="-2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0"/>
                <w:szCs w:val="20"/>
              </w:rPr>
            </w:pPr>
          </w:p>
        </w:tc>
      </w:tr>
      <w:tr>
        <w:trPr>
          <w:trHeight w:val="196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97"/>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基于企业微信的运维管控系 统研发</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WECHAT-FM</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V1.0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7,859,530.42</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4"/>
                <w:sz w:val="18"/>
                <w:szCs w:val="18"/>
              </w:rPr>
              <w:t>微信企业号是微信为企业客户提供的移动服务，旨在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提供企业移动应用入口。它可以帮助企业建立员工 上下游供应链与企业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系统间的连接。利用企业 </w:t>
            </w:r>
            <w:r>
              <w:rPr>
                <w:rFonts w:ascii="宋体" w:hAnsi="宋体" w:cs="宋体" w:eastAsia="宋体" w:hint="default"/>
                <w:spacing w:val="-4"/>
                <w:sz w:val="18"/>
                <w:szCs w:val="18"/>
              </w:rPr>
              <w:t>号，企业或第三方服务商可以快速、低成本的实现高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质量的企业移动轻应用，实现生产、管理、协作、运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营的移动化。</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开发中</w:t>
            </w:r>
          </w:p>
        </w:tc>
      </w:tr>
      <w:tr>
        <w:trPr>
          <w:trHeight w:val="1650"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97"/>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智慧园区的综合管控应用平 台研发</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WITPARK </w:t>
            </w:r>
            <w:r>
              <w:rPr>
                <w:rFonts w:ascii="Times New Roman" w:hAnsi="Times New Roman" w:cs="Times New Roman" w:eastAsia="Times New Roman" w:hint="default"/>
                <w:sz w:val="18"/>
                <w:szCs w:val="18"/>
              </w:rPr>
              <w:t>V1.0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4,796,429.79</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智慧园区的综合管控应用平台的开发目标是帮助设 </w:t>
            </w:r>
            <w:r>
              <w:rPr>
                <w:rFonts w:ascii="宋体" w:hAnsi="宋体" w:cs="宋体" w:eastAsia="宋体" w:hint="default"/>
                <w:spacing w:val="-4"/>
                <w:sz w:val="18"/>
                <w:szCs w:val="18"/>
              </w:rPr>
              <w:t>立园区级智能化集成系统总控平台，对园区内各信息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通过物联网技术、云计算、云存储技术，为用户提供</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绿色、智慧、生态的园区环境。实现数据整合、运营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管控、移动物联、增值服务等功能。</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开发中</w:t>
            </w:r>
          </w:p>
        </w:tc>
      </w:tr>
      <w:tr>
        <w:trPr>
          <w:trHeight w:val="196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97"/>
              <w:jc w:val="left"/>
              <w:rPr>
                <w:rFonts w:ascii="Times New Roman" w:hAnsi="Times New Roman" w:cs="Times New Roman" w:eastAsia="Times New Roman" w:hint="default"/>
                <w:sz w:val="18"/>
                <w:szCs w:val="18"/>
              </w:rPr>
            </w:pPr>
            <w:r>
              <w:rPr>
                <w:rFonts w:ascii="宋体" w:hAnsi="宋体" w:cs="宋体" w:eastAsia="宋体" w:hint="default"/>
                <w:sz w:val="18"/>
                <w:szCs w:val="18"/>
              </w:rPr>
              <w:t>机场智慧行李分拣中心监控 平台研发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ABSS</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V1.0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7,222,455.55</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研发机场智慧行李分拣监控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SCADA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系统作为行李 处理系统的一个子系统。</w:t>
            </w:r>
            <w:r>
              <w:rPr>
                <w:rFonts w:ascii="Times New Roman" w:hAnsi="Times New Roman" w:cs="Times New Roman" w:eastAsia="Times New Roman" w:hint="default"/>
                <w:sz w:val="18"/>
                <w:szCs w:val="18"/>
              </w:rPr>
              <w:t>SCADA</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系统的主要功能是 </w:t>
            </w:r>
            <w:r>
              <w:rPr>
                <w:rFonts w:ascii="宋体" w:hAnsi="宋体" w:cs="宋体" w:eastAsia="宋体" w:hint="default"/>
                <w:spacing w:val="-4"/>
                <w:sz w:val="18"/>
                <w:szCs w:val="18"/>
              </w:rPr>
              <w:t>把行李处理系统的设备运行状态直观的显示出来，当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出现故障时及时提醒给操作员。本项目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SCADA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 </w:t>
            </w:r>
            <w:r>
              <w:rPr>
                <w:rFonts w:ascii="Times New Roman" w:hAnsi="Times New Roman" w:cs="Times New Roman" w:eastAsia="Times New Roman" w:hint="default"/>
                <w:sz w:val="18"/>
                <w:szCs w:val="18"/>
              </w:rPr>
              <w:t>HMI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采用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WinCC</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为软件开发平台，并采用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模式 进行配置，方便软件的后续维护及管理。</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192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21" w:lineRule="auto"/>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HIMSS/JCI</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认证的智慧医 院信息管理系统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HIS/EMR</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v1.0</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1,615,580.92</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9"/>
              <w:jc w:val="both"/>
              <w:rPr>
                <w:rFonts w:ascii="宋体" w:hAnsi="宋体" w:cs="宋体" w:eastAsia="宋体" w:hint="default"/>
                <w:sz w:val="18"/>
                <w:szCs w:val="18"/>
              </w:rPr>
            </w:pPr>
            <w:r>
              <w:rPr>
                <w:rFonts w:ascii="宋体" w:hAnsi="宋体" w:cs="宋体" w:eastAsia="宋体" w:hint="default"/>
                <w:spacing w:val="-1"/>
                <w:sz w:val="18"/>
                <w:szCs w:val="18"/>
              </w:rPr>
              <w:t>医疗管理信息系统（</w:t>
            </w:r>
            <w:r>
              <w:rPr>
                <w:rFonts w:ascii="Times New Roman" w:hAnsi="Times New Roman" w:cs="Times New Roman" w:eastAsia="Times New Roman" w:hint="default"/>
                <w:spacing w:val="-1"/>
                <w:sz w:val="18"/>
                <w:szCs w:val="18"/>
              </w:rPr>
              <w:t>HIS</w:t>
            </w:r>
            <w:r>
              <w:rPr>
                <w:rFonts w:ascii="宋体" w:hAnsi="宋体" w:cs="宋体" w:eastAsia="宋体" w:hint="default"/>
                <w:spacing w:val="-1"/>
                <w:sz w:val="18"/>
                <w:szCs w:val="18"/>
              </w:rPr>
              <w:t>）是以医院管理为目的，以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病人为中心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高效诊疗</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为服务理念，以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一卡通</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0"/>
                <w:sz w:val="18"/>
                <w:szCs w:val="18"/>
              </w:rPr>
              <w:t> </w:t>
            </w:r>
            <w:r>
              <w:rPr>
                <w:rFonts w:ascii="宋体" w:hAnsi="宋体" w:cs="宋体" w:eastAsia="宋体" w:hint="default"/>
                <w:spacing w:val="-4"/>
                <w:sz w:val="18"/>
                <w:szCs w:val="18"/>
              </w:rPr>
              <w:t>作为患者唯一标识，引入全自助、全预约、预支付等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的新型服务模型，提供高效率、高质量、流程化、标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准化与个性化的服务流程定制，全面提升医疗服务质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量和患者满意度，系统结合医学与管理信息，通过处</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r>
    </w:tbl>
    <w:p>
      <w:pPr>
        <w:spacing w:after="0" w:line="240" w:lineRule="auto"/>
        <w:jc w:val="left"/>
        <w:rPr>
          <w:rFonts w:ascii="宋体" w:hAnsi="宋体" w:cs="宋体" w:eastAsia="宋体" w:hint="default"/>
          <w:sz w:val="18"/>
          <w:szCs w:val="18"/>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r>
        <w:rPr/>
        <w:pict>
          <v:shape style="position:absolute;margin-left:391.834015pt;margin-top:72.47998pt;width:143.1pt;height:95.7pt;mso-position-horizontal-relative:page;mso-position-vertical-relative:page;z-index:-11765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5"/>
                    <w:ind w:left="0" w:right="0"/>
                    <w:jc w:val="left"/>
                  </w:pPr>
                  <w:r>
                    <w:rPr/>
                    <w:t>配合又相互制约、</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2392"/>
        <w:gridCol w:w="1578"/>
        <w:gridCol w:w="4110"/>
        <w:gridCol w:w="1488"/>
      </w:tblGrid>
      <w:tr>
        <w:trPr>
          <w:trHeight w:val="317" w:hRule="exact"/>
        </w:trPr>
        <w:tc>
          <w:tcPr>
            <w:tcW w:w="2392" w:type="dxa"/>
            <w:vMerge w:val="restart"/>
            <w:tcBorders>
              <w:top w:val="single" w:sz="4" w:space="0" w:color="000000"/>
              <w:left w:val="single" w:sz="4" w:space="0" w:color="000000"/>
              <w:right w:val="single" w:sz="4" w:space="0" w:color="000000"/>
            </w:tcBorders>
          </w:tcPr>
          <w:p>
            <w:pPr/>
          </w:p>
        </w:tc>
        <w:tc>
          <w:tcPr>
            <w:tcW w:w="1578" w:type="dxa"/>
            <w:vMerge w:val="restart"/>
            <w:tcBorders>
              <w:top w:val="single" w:sz="4" w:space="0" w:color="000000"/>
              <w:left w:val="single" w:sz="4" w:space="0" w:color="000000"/>
              <w:right w:val="single" w:sz="4" w:space="0" w:color="000000"/>
            </w:tcBorders>
          </w:tcPr>
          <w:p>
            <w:pPr/>
          </w:p>
        </w:tc>
        <w:tc>
          <w:tcPr>
            <w:tcW w:w="41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理收费、药品及物资等财务信息，将各系统数据动态</w:t>
            </w:r>
          </w:p>
        </w:tc>
        <w:tc>
          <w:tcPr>
            <w:tcW w:w="1488" w:type="dxa"/>
            <w:vMerge w:val="restart"/>
            <w:tcBorders>
              <w:top w:val="single" w:sz="4" w:space="0" w:color="000000"/>
              <w:left w:val="single" w:sz="4" w:space="0" w:color="000000"/>
              <w:right w:val="single" w:sz="4" w:space="0" w:color="000000"/>
            </w:tcBorders>
          </w:tcPr>
          <w:p>
            <w:pPr>
              <w:pStyle w:val="TableParagraph"/>
              <w:spacing w:line="191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7"/>
                <w:sz w:val="20"/>
                <w:szCs w:val="20"/>
              </w:rPr>
              <w:pict>
                <v:group style="width:73.95pt;height:95.7pt;mso-position-horizontal-relative:char;mso-position-vertical-relative:line" coordorigin="0,0" coordsize="1479,1914">
                  <v:group style="position:absolute;left:0;top:0;width:1479;height:1914" coordorigin="0,0" coordsize="1479,1914">
                    <v:shape style="position:absolute;left:0;top:0;width:1479;height:1914" coordorigin="0,0" coordsize="1479,1914" path="m0,1913l1478,1913,1478,0,0,0,0,1913xe" filled="true" fillcolor="#ffffff" stroked="false">
                      <v:path arrowok="t"/>
                      <v:fill type="solid"/>
                    </v:shape>
                  </v:group>
                </v:group>
              </w:pict>
            </w:r>
            <w:r>
              <w:rPr>
                <w:rFonts w:ascii="Times New Roman" w:hAnsi="Times New Roman" w:cs="Times New Roman" w:eastAsia="Times New Roman" w:hint="default"/>
                <w:position w:val="-37"/>
                <w:sz w:val="20"/>
                <w:szCs w:val="20"/>
              </w:rPr>
            </w:r>
          </w:p>
        </w:tc>
      </w:tr>
      <w:tr>
        <w:trPr>
          <w:trHeight w:val="312" w:hRule="exact"/>
        </w:trPr>
        <w:tc>
          <w:tcPr>
            <w:tcW w:w="2392" w:type="dxa"/>
            <w:vMerge/>
            <w:tcBorders>
              <w:left w:val="single" w:sz="4" w:space="0" w:color="000000"/>
              <w:right w:val="single" w:sz="4" w:space="0" w:color="000000"/>
            </w:tcBorders>
          </w:tcPr>
          <w:p>
            <w:pPr/>
          </w:p>
        </w:tc>
        <w:tc>
          <w:tcPr>
            <w:tcW w:w="1578" w:type="dxa"/>
            <w:vMerge/>
            <w:tcBorders>
              <w:left w:val="single" w:sz="4" w:space="0" w:color="000000"/>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相联</w:t>
            </w:r>
            <w:r>
              <w:rPr>
                <w:rFonts w:ascii="宋体" w:hAnsi="宋体" w:cs="宋体" w:eastAsia="宋体" w:hint="default"/>
                <w:spacing w:val="-88"/>
                <w:sz w:val="18"/>
                <w:szCs w:val="18"/>
              </w:rPr>
              <w:t>，</w:t>
            </w:r>
            <w:r>
              <w:rPr>
                <w:rFonts w:ascii="宋体" w:hAnsi="宋体" w:cs="宋体" w:eastAsia="宋体" w:hint="default"/>
                <w:sz w:val="18"/>
                <w:szCs w:val="18"/>
              </w:rPr>
              <w:t>保证各部门运转既相互协调、</w:t>
            </w:r>
          </w:p>
        </w:tc>
        <w:tc>
          <w:tcPr>
            <w:tcW w:w="1488" w:type="dxa"/>
            <w:vMerge/>
            <w:tcBorders>
              <w:left w:val="single" w:sz="4" w:space="0" w:color="000000"/>
              <w:right w:val="single" w:sz="4" w:space="0" w:color="000000"/>
            </w:tcBorders>
          </w:tcPr>
          <w:p>
            <w:pPr/>
          </w:p>
        </w:tc>
      </w:tr>
      <w:tr>
        <w:trPr>
          <w:trHeight w:val="312" w:hRule="exact"/>
        </w:trPr>
        <w:tc>
          <w:tcPr>
            <w:tcW w:w="2392" w:type="dxa"/>
            <w:vMerge/>
            <w:tcBorders>
              <w:left w:val="single" w:sz="4" w:space="0" w:color="000000"/>
              <w:right w:val="single" w:sz="4" w:space="0" w:color="000000"/>
            </w:tcBorders>
          </w:tcPr>
          <w:p>
            <w:pPr/>
          </w:p>
        </w:tc>
        <w:tc>
          <w:tcPr>
            <w:tcW w:w="1578" w:type="dxa"/>
            <w:vMerge/>
            <w:tcBorders>
              <w:left w:val="single" w:sz="4" w:space="0" w:color="000000"/>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控制，从而建立起一套合理、高效、科学的工作流程</w:t>
            </w:r>
          </w:p>
        </w:tc>
        <w:tc>
          <w:tcPr>
            <w:tcW w:w="1488" w:type="dxa"/>
            <w:vMerge/>
            <w:tcBorders>
              <w:left w:val="single" w:sz="4" w:space="0" w:color="000000"/>
              <w:right w:val="single" w:sz="4" w:space="0" w:color="000000"/>
            </w:tcBorders>
          </w:tcPr>
          <w:p>
            <w:pPr/>
          </w:p>
        </w:tc>
      </w:tr>
      <w:tr>
        <w:trPr>
          <w:trHeight w:val="317" w:hRule="exact"/>
        </w:trPr>
        <w:tc>
          <w:tcPr>
            <w:tcW w:w="2392" w:type="dxa"/>
            <w:vMerge/>
            <w:tcBorders>
              <w:left w:val="single" w:sz="4" w:space="0" w:color="000000"/>
              <w:right w:val="single" w:sz="4" w:space="0" w:color="000000"/>
            </w:tcBorders>
          </w:tcPr>
          <w:p>
            <w:pPr/>
          </w:p>
        </w:tc>
        <w:tc>
          <w:tcPr>
            <w:tcW w:w="1578" w:type="dxa"/>
            <w:vMerge/>
            <w:tcBorders>
              <w:left w:val="single" w:sz="4" w:space="0" w:color="000000"/>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制度。医疗管理信息系统（</w:t>
            </w:r>
            <w:r>
              <w:rPr>
                <w:rFonts w:ascii="Times New Roman" w:hAnsi="Times New Roman" w:cs="Times New Roman" w:eastAsia="Times New Roman" w:hint="default"/>
                <w:sz w:val="18"/>
                <w:szCs w:val="18"/>
              </w:rPr>
              <w:t>HIS</w:t>
            </w:r>
            <w:r>
              <w:rPr>
                <w:rFonts w:ascii="宋体" w:hAnsi="宋体" w:cs="宋体" w:eastAsia="宋体" w:hint="default"/>
                <w:sz w:val="18"/>
                <w:szCs w:val="18"/>
              </w:rPr>
              <w:t>）将支持医院的行政</w:t>
            </w:r>
          </w:p>
        </w:tc>
        <w:tc>
          <w:tcPr>
            <w:tcW w:w="1488" w:type="dxa"/>
            <w:vMerge/>
            <w:tcBorders>
              <w:left w:val="single" w:sz="4" w:space="0" w:color="000000"/>
              <w:right w:val="single" w:sz="4" w:space="0" w:color="000000"/>
            </w:tcBorders>
          </w:tcPr>
          <w:p>
            <w:pPr/>
          </w:p>
        </w:tc>
      </w:tr>
      <w:tr>
        <w:trPr>
          <w:trHeight w:val="308" w:hRule="exact"/>
        </w:trPr>
        <w:tc>
          <w:tcPr>
            <w:tcW w:w="2392" w:type="dxa"/>
            <w:vMerge/>
            <w:tcBorders>
              <w:left w:val="single" w:sz="4" w:space="0" w:color="000000"/>
              <w:right w:val="single" w:sz="4" w:space="0" w:color="000000"/>
            </w:tcBorders>
          </w:tcPr>
          <w:p>
            <w:pPr/>
          </w:p>
        </w:tc>
        <w:tc>
          <w:tcPr>
            <w:tcW w:w="1578" w:type="dxa"/>
            <w:vMerge/>
            <w:tcBorders>
              <w:left w:val="single" w:sz="4" w:space="0" w:color="000000"/>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管理与事务处理业务，辅助医院管理和决策，提高医</w:t>
            </w:r>
          </w:p>
        </w:tc>
        <w:tc>
          <w:tcPr>
            <w:tcW w:w="1488" w:type="dxa"/>
            <w:vMerge/>
            <w:tcBorders>
              <w:left w:val="single" w:sz="4" w:space="0" w:color="000000"/>
              <w:right w:val="single" w:sz="4" w:space="0" w:color="000000"/>
            </w:tcBorders>
          </w:tcPr>
          <w:p>
            <w:pPr/>
          </w:p>
        </w:tc>
      </w:tr>
      <w:tr>
        <w:trPr>
          <w:trHeight w:val="357" w:hRule="exact"/>
        </w:trPr>
        <w:tc>
          <w:tcPr>
            <w:tcW w:w="2392" w:type="dxa"/>
            <w:vMerge/>
            <w:tcBorders>
              <w:left w:val="single" w:sz="4" w:space="0" w:color="000000"/>
              <w:bottom w:val="single" w:sz="4" w:space="0" w:color="000000"/>
              <w:right w:val="single" w:sz="4" w:space="0" w:color="000000"/>
            </w:tcBorders>
          </w:tcPr>
          <w:p>
            <w:pPr/>
          </w:p>
        </w:tc>
        <w:tc>
          <w:tcPr>
            <w:tcW w:w="1578" w:type="dxa"/>
            <w:vMerge/>
            <w:tcBorders>
              <w:left w:val="single" w:sz="4" w:space="0" w:color="000000"/>
              <w:bottom w:val="single" w:sz="4" w:space="0" w:color="000000"/>
              <w:right w:val="single" w:sz="4" w:space="0" w:color="000000"/>
            </w:tcBorders>
          </w:tcPr>
          <w:p>
            <w:pPr/>
          </w:p>
        </w:tc>
        <w:tc>
          <w:tcPr>
            <w:tcW w:w="41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院的工作效率和运营效益。</w:t>
            </w:r>
          </w:p>
        </w:tc>
        <w:tc>
          <w:tcPr>
            <w:tcW w:w="1488" w:type="dxa"/>
            <w:vMerge/>
            <w:tcBorders>
              <w:left w:val="single" w:sz="4" w:space="0" w:color="000000"/>
              <w:bottom w:val="single" w:sz="4" w:space="0" w:color="000000"/>
              <w:right w:val="single" w:sz="4" w:space="0" w:color="000000"/>
            </w:tcBorders>
          </w:tcPr>
          <w:p>
            <w:pPr/>
          </w:p>
        </w:tc>
      </w:tr>
      <w:tr>
        <w:trPr>
          <w:trHeight w:val="357" w:hRule="exact"/>
        </w:trPr>
        <w:tc>
          <w:tcPr>
            <w:tcW w:w="2392" w:type="dxa"/>
            <w:tcBorders>
              <w:top w:val="single" w:sz="4" w:space="0" w:color="000000"/>
              <w:left w:val="single" w:sz="4" w:space="0" w:color="000000"/>
              <w:bottom w:val="nil" w:sz="6" w:space="0" w:color="auto"/>
              <w:right w:val="single" w:sz="4" w:space="0" w:color="000000"/>
            </w:tcBorders>
          </w:tcPr>
          <w:p>
            <w:pPr/>
          </w:p>
        </w:tc>
        <w:tc>
          <w:tcPr>
            <w:tcW w:w="1578" w:type="dxa"/>
            <w:tcBorders>
              <w:top w:val="single" w:sz="4" w:space="0" w:color="000000"/>
              <w:left w:val="single" w:sz="4" w:space="0" w:color="000000"/>
              <w:bottom w:val="nil" w:sz="6" w:space="0" w:color="auto"/>
              <w:right w:val="single" w:sz="4" w:space="0" w:color="000000"/>
            </w:tcBorders>
          </w:tcPr>
          <w:p>
            <w:pPr/>
          </w:p>
        </w:tc>
        <w:tc>
          <w:tcPr>
            <w:tcW w:w="41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通过医院信息集成平台来代替原来数量众多的点到</w:t>
            </w:r>
          </w:p>
        </w:tc>
        <w:tc>
          <w:tcPr>
            <w:tcW w:w="148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392" w:type="dxa"/>
            <w:tcBorders>
              <w:top w:val="nil" w:sz="6" w:space="0" w:color="auto"/>
              <w:left w:val="single" w:sz="4" w:space="0" w:color="000000"/>
              <w:bottom w:val="nil" w:sz="6" w:space="0" w:color="auto"/>
              <w:right w:val="single" w:sz="4" w:space="0" w:color="000000"/>
            </w:tcBorders>
          </w:tcPr>
          <w:p>
            <w:pPr/>
          </w:p>
        </w:tc>
        <w:tc>
          <w:tcPr>
            <w:tcW w:w="1578"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点数据接口</w:t>
            </w:r>
            <w:r>
              <w:rPr>
                <w:rFonts w:ascii="宋体" w:hAnsi="宋体" w:cs="宋体" w:eastAsia="宋体" w:hint="default"/>
                <w:spacing w:val="-86"/>
                <w:sz w:val="18"/>
                <w:szCs w:val="18"/>
              </w:rPr>
              <w:t>，</w:t>
            </w:r>
            <w:r>
              <w:rPr>
                <w:rFonts w:ascii="宋体" w:hAnsi="宋体" w:cs="宋体" w:eastAsia="宋体" w:hint="default"/>
                <w:sz w:val="18"/>
                <w:szCs w:val="18"/>
              </w:rPr>
              <w:t>为医院信息化建设提供统一的数据标准</w:t>
            </w:r>
          </w:p>
        </w:tc>
        <w:tc>
          <w:tcPr>
            <w:tcW w:w="14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578"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和接口标准</w:t>
            </w:r>
            <w:r>
              <w:rPr>
                <w:rFonts w:ascii="宋体" w:hAnsi="宋体" w:cs="宋体" w:eastAsia="宋体" w:hint="default"/>
                <w:spacing w:val="-86"/>
                <w:sz w:val="18"/>
                <w:szCs w:val="18"/>
              </w:rPr>
              <w:t>，</w:t>
            </w:r>
            <w:r>
              <w:rPr>
                <w:rFonts w:ascii="宋体" w:hAnsi="宋体" w:cs="宋体" w:eastAsia="宋体" w:hint="default"/>
                <w:sz w:val="18"/>
                <w:szCs w:val="18"/>
              </w:rPr>
              <w:t>实现医院不同业务系统与集成平台的有</w:t>
            </w:r>
          </w:p>
        </w:tc>
        <w:tc>
          <w:tcPr>
            <w:tcW w:w="1488" w:type="dxa"/>
            <w:tcBorders>
              <w:top w:val="nil" w:sz="6" w:space="0" w:color="auto"/>
              <w:left w:val="single" w:sz="4" w:space="0" w:color="000000"/>
              <w:bottom w:val="nil" w:sz="6" w:space="0" w:color="auto"/>
              <w:right w:val="single" w:sz="4" w:space="0" w:color="000000"/>
            </w:tcBorders>
          </w:tcPr>
          <w:p>
            <w:pPr/>
          </w:p>
        </w:tc>
      </w:tr>
      <w:tr>
        <w:trPr>
          <w:trHeight w:val="630"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97"/>
              <w:jc w:val="left"/>
              <w:rPr>
                <w:rFonts w:ascii="Times New Roman" w:hAnsi="Times New Roman" w:cs="Times New Roman" w:eastAsia="Times New Roman" w:hint="default"/>
                <w:sz w:val="18"/>
                <w:szCs w:val="18"/>
              </w:rPr>
            </w:pPr>
            <w:r>
              <w:rPr>
                <w:rFonts w:ascii="宋体" w:hAnsi="宋体" w:cs="宋体" w:eastAsia="宋体" w:hint="default"/>
                <w:sz w:val="18"/>
                <w:szCs w:val="18"/>
              </w:rPr>
              <w:t>达实智能医院信息集成平台 研发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HIP</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v1.0</w:t>
            </w:r>
          </w:p>
        </w:tc>
        <w:tc>
          <w:tcPr>
            <w:tcW w:w="1578"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1,361,458.39</w:t>
            </w: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
              <w:jc w:val="left"/>
              <w:rPr>
                <w:rFonts w:ascii="宋体" w:hAnsi="宋体" w:cs="宋体" w:eastAsia="宋体" w:hint="default"/>
                <w:sz w:val="18"/>
                <w:szCs w:val="18"/>
              </w:rPr>
            </w:pPr>
            <w:r>
              <w:rPr>
                <w:rFonts w:ascii="宋体" w:hAnsi="宋体" w:cs="宋体" w:eastAsia="宋体" w:hint="default"/>
                <w:spacing w:val="-4"/>
                <w:sz w:val="18"/>
                <w:szCs w:val="18"/>
              </w:rPr>
              <w:t>效集成与信息共享，实现临床信息一体化应用，提升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医护工作者工作效率及临床诊疗质量，建立临床文档</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11" w:hRule="exact"/>
        </w:trPr>
        <w:tc>
          <w:tcPr>
            <w:tcW w:w="2392" w:type="dxa"/>
            <w:tcBorders>
              <w:top w:val="nil" w:sz="6" w:space="0" w:color="auto"/>
              <w:left w:val="single" w:sz="4" w:space="0" w:color="000000"/>
              <w:bottom w:val="nil" w:sz="6" w:space="0" w:color="auto"/>
              <w:right w:val="single" w:sz="4" w:space="0" w:color="000000"/>
            </w:tcBorders>
          </w:tcPr>
          <w:p>
            <w:pPr/>
          </w:p>
        </w:tc>
        <w:tc>
          <w:tcPr>
            <w:tcW w:w="1578"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2"/>
                <w:sz w:val="18"/>
                <w:szCs w:val="18"/>
              </w:rPr>
              <w:t>库</w:t>
            </w:r>
            <w:r>
              <w:rPr>
                <w:rFonts w:ascii="宋体" w:hAnsi="宋体" w:cs="宋体" w:eastAsia="宋体" w:hint="default"/>
                <w:sz w:val="18"/>
                <w:szCs w:val="18"/>
              </w:rPr>
              <w:t>（</w:t>
            </w:r>
            <w:r>
              <w:rPr>
                <w:rFonts w:ascii="Times New Roman" w:hAnsi="Times New Roman" w:cs="Times New Roman" w:eastAsia="Times New Roman" w:hint="default"/>
                <w:sz w:val="18"/>
                <w:szCs w:val="18"/>
              </w:rPr>
              <w:t>CD</w:t>
            </w:r>
            <w:r>
              <w:rPr>
                <w:rFonts w:ascii="Times New Roman" w:hAnsi="Times New Roman" w:cs="Times New Roman" w:eastAsia="Times New Roman" w:hint="default"/>
                <w:spacing w:val="-1"/>
                <w:sz w:val="18"/>
                <w:szCs w:val="18"/>
              </w:rPr>
              <w:t>R</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推进高阶电子病历的应用水平评审</w:t>
            </w:r>
            <w:r>
              <w:rPr>
                <w:rFonts w:ascii="宋体" w:hAnsi="宋体" w:cs="宋体" w:eastAsia="宋体" w:hint="default"/>
                <w:spacing w:val="-2"/>
                <w:sz w:val="18"/>
                <w:szCs w:val="18"/>
              </w:rPr>
              <w:t>，</w:t>
            </w:r>
            <w:r>
              <w:rPr>
                <w:rFonts w:ascii="宋体" w:hAnsi="宋体" w:cs="宋体" w:eastAsia="宋体" w:hint="default"/>
                <w:sz w:val="18"/>
                <w:szCs w:val="18"/>
              </w:rPr>
              <w:t>建</w:t>
            </w:r>
          </w:p>
        </w:tc>
        <w:tc>
          <w:tcPr>
            <w:tcW w:w="1488"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392" w:type="dxa"/>
            <w:tcBorders>
              <w:top w:val="nil" w:sz="6" w:space="0" w:color="auto"/>
              <w:left w:val="single" w:sz="4" w:space="0" w:color="000000"/>
              <w:bottom w:val="nil" w:sz="6" w:space="0" w:color="auto"/>
              <w:right w:val="single" w:sz="4" w:space="0" w:color="000000"/>
            </w:tcBorders>
          </w:tcPr>
          <w:p>
            <w:pPr/>
          </w:p>
        </w:tc>
        <w:tc>
          <w:tcPr>
            <w:tcW w:w="1578"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立医院统一运营数据中心</w:t>
            </w:r>
            <w:r>
              <w:rPr>
                <w:rFonts w:ascii="宋体" w:hAnsi="宋体" w:cs="宋体" w:eastAsia="宋体" w:hint="default"/>
                <w:spacing w:val="-86"/>
                <w:sz w:val="18"/>
                <w:szCs w:val="18"/>
              </w:rPr>
              <w:t>，</w:t>
            </w:r>
            <w:r>
              <w:rPr>
                <w:rFonts w:ascii="宋体" w:hAnsi="宋体" w:cs="宋体" w:eastAsia="宋体" w:hint="default"/>
                <w:sz w:val="18"/>
                <w:szCs w:val="18"/>
              </w:rPr>
              <w:t>实现医院有效监管与科学</w:t>
            </w:r>
          </w:p>
        </w:tc>
        <w:tc>
          <w:tcPr>
            <w:tcW w:w="148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392" w:type="dxa"/>
            <w:tcBorders>
              <w:top w:val="nil" w:sz="6" w:space="0" w:color="auto"/>
              <w:left w:val="single" w:sz="4" w:space="0" w:color="000000"/>
              <w:bottom w:val="single" w:sz="4" w:space="0" w:color="000000"/>
              <w:right w:val="single" w:sz="4" w:space="0" w:color="000000"/>
            </w:tcBorders>
          </w:tcPr>
          <w:p>
            <w:pPr/>
          </w:p>
        </w:tc>
        <w:tc>
          <w:tcPr>
            <w:tcW w:w="1578" w:type="dxa"/>
            <w:tcBorders>
              <w:top w:val="nil" w:sz="6" w:space="0" w:color="auto"/>
              <w:left w:val="single" w:sz="4" w:space="0" w:color="000000"/>
              <w:bottom w:val="single" w:sz="4" w:space="0" w:color="000000"/>
              <w:right w:val="single" w:sz="4" w:space="0" w:color="000000"/>
            </w:tcBorders>
          </w:tcPr>
          <w:p>
            <w:pPr/>
          </w:p>
        </w:tc>
        <w:tc>
          <w:tcPr>
            <w:tcW w:w="41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决策，逐步推进智慧医院建设的战略目标。</w:t>
            </w:r>
          </w:p>
        </w:tc>
        <w:tc>
          <w:tcPr>
            <w:tcW w:w="148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2392" w:type="dxa"/>
            <w:tcBorders>
              <w:top w:val="single" w:sz="4" w:space="0" w:color="000000"/>
              <w:left w:val="single" w:sz="4" w:space="0" w:color="000000"/>
              <w:bottom w:val="nil" w:sz="6" w:space="0" w:color="auto"/>
              <w:right w:val="single" w:sz="4" w:space="0" w:color="000000"/>
            </w:tcBorders>
          </w:tcPr>
          <w:p>
            <w:pPr/>
          </w:p>
        </w:tc>
        <w:tc>
          <w:tcPr>
            <w:tcW w:w="1578" w:type="dxa"/>
            <w:tcBorders>
              <w:top w:val="single" w:sz="4" w:space="0" w:color="000000"/>
              <w:left w:val="single" w:sz="4" w:space="0" w:color="000000"/>
              <w:bottom w:val="nil" w:sz="6" w:space="0" w:color="auto"/>
              <w:right w:val="single" w:sz="4" w:space="0" w:color="000000"/>
            </w:tcBorders>
          </w:tcPr>
          <w:p>
            <w:pPr/>
          </w:p>
        </w:tc>
        <w:tc>
          <w:tcPr>
            <w:tcW w:w="41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临床决策支持系统是透过规则引擎（</w:t>
            </w:r>
            <w:r>
              <w:rPr>
                <w:rFonts w:ascii="Times New Roman" w:hAnsi="Times New Roman" w:cs="Times New Roman" w:eastAsia="Times New Roman" w:hint="default"/>
                <w:sz w:val="18"/>
                <w:szCs w:val="18"/>
              </w:rPr>
              <w:t>rule engine</w:t>
            </w:r>
            <w:r>
              <w:rPr>
                <w:rFonts w:ascii="宋体" w:hAnsi="宋体" w:cs="宋体" w:eastAsia="宋体" w:hint="default"/>
                <w:sz w:val="18"/>
                <w:szCs w:val="18"/>
              </w:rPr>
              <w:t>）及</w:t>
            </w:r>
          </w:p>
        </w:tc>
        <w:tc>
          <w:tcPr>
            <w:tcW w:w="148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392" w:type="dxa"/>
            <w:tcBorders>
              <w:top w:val="nil" w:sz="6" w:space="0" w:color="auto"/>
              <w:left w:val="single" w:sz="4" w:space="0" w:color="000000"/>
              <w:bottom w:val="nil" w:sz="6" w:space="0" w:color="auto"/>
              <w:right w:val="single" w:sz="4" w:space="0" w:color="000000"/>
            </w:tcBorders>
          </w:tcPr>
          <w:p>
            <w:pPr/>
          </w:p>
        </w:tc>
        <w:tc>
          <w:tcPr>
            <w:tcW w:w="1578"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规则流（</w:t>
            </w:r>
            <w:r>
              <w:rPr>
                <w:rFonts w:ascii="Times New Roman" w:hAnsi="Times New Roman" w:cs="Times New Roman" w:eastAsia="Times New Roman" w:hint="default"/>
                <w:sz w:val="18"/>
                <w:szCs w:val="18"/>
              </w:rPr>
              <w:t>rule flow</w:t>
            </w:r>
            <w:r>
              <w:rPr>
                <w:rFonts w:ascii="宋体" w:hAnsi="宋体" w:cs="宋体" w:eastAsia="宋体" w:hint="default"/>
                <w:sz w:val="18"/>
                <w:szCs w:val="18"/>
              </w:rPr>
              <w:t>）</w:t>
            </w:r>
            <w:r>
              <w:rPr>
                <w:rFonts w:ascii="宋体" w:hAnsi="宋体" w:cs="宋体" w:eastAsia="宋体" w:hint="default"/>
                <w:spacing w:val="-3"/>
                <w:sz w:val="18"/>
                <w:szCs w:val="18"/>
              </w:rPr>
              <w:t> </w:t>
            </w:r>
            <w:r>
              <w:rPr>
                <w:rFonts w:ascii="宋体" w:hAnsi="宋体" w:cs="宋体" w:eastAsia="宋体" w:hint="default"/>
                <w:sz w:val="18"/>
                <w:szCs w:val="18"/>
              </w:rPr>
              <w:t>作为基础的核心，提供一个技</w:t>
            </w:r>
          </w:p>
        </w:tc>
        <w:tc>
          <w:tcPr>
            <w:tcW w:w="148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392" w:type="dxa"/>
            <w:tcBorders>
              <w:top w:val="nil" w:sz="6" w:space="0" w:color="auto"/>
              <w:left w:val="single" w:sz="4" w:space="0" w:color="000000"/>
              <w:bottom w:val="nil" w:sz="6" w:space="0" w:color="auto"/>
              <w:right w:val="single" w:sz="4" w:space="0" w:color="000000"/>
            </w:tcBorders>
          </w:tcPr>
          <w:p>
            <w:pPr/>
          </w:p>
        </w:tc>
        <w:tc>
          <w:tcPr>
            <w:tcW w:w="1578"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术框架</w:t>
            </w:r>
            <w:r>
              <w:rPr>
                <w:rFonts w:ascii="宋体" w:hAnsi="宋体" w:cs="宋体" w:eastAsia="宋体" w:hint="default"/>
                <w:spacing w:val="-86"/>
                <w:sz w:val="18"/>
                <w:szCs w:val="18"/>
              </w:rPr>
              <w:t>，</w:t>
            </w:r>
            <w:r>
              <w:rPr>
                <w:rFonts w:ascii="宋体" w:hAnsi="宋体" w:cs="宋体" w:eastAsia="宋体" w:hint="default"/>
                <w:sz w:val="18"/>
                <w:szCs w:val="18"/>
              </w:rPr>
              <w:t>满足业务逻辑的多变性及数据知识点的不断</w:t>
            </w:r>
          </w:p>
        </w:tc>
        <w:tc>
          <w:tcPr>
            <w:tcW w:w="148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97"/>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基于医疗大数据的智能辅助 诊疗系统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CDSS v1.0</w:t>
            </w:r>
          </w:p>
        </w:tc>
        <w:tc>
          <w:tcPr>
            <w:tcW w:w="15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pacing w:val="-1"/>
                <w:sz w:val="18"/>
              </w:rPr>
              <w:t>1,274,447.85</w:t>
            </w: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
              <w:jc w:val="both"/>
              <w:rPr>
                <w:rFonts w:ascii="宋体" w:hAnsi="宋体" w:cs="宋体" w:eastAsia="宋体" w:hint="default"/>
                <w:sz w:val="18"/>
                <w:szCs w:val="18"/>
              </w:rPr>
            </w:pPr>
            <w:r>
              <w:rPr>
                <w:rFonts w:ascii="宋体" w:hAnsi="宋体" w:cs="宋体" w:eastAsia="宋体" w:hint="default"/>
                <w:spacing w:val="-4"/>
                <w:sz w:val="18"/>
                <w:szCs w:val="18"/>
              </w:rPr>
              <w:t>补充；具体的知识来源采用现有权威的临床指南的数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据资料，以及现有信息系统中历史数据资料，整理后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导入到医院知识体系，形成一套自给自足的临床决策</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开发中</w:t>
            </w:r>
          </w:p>
        </w:tc>
      </w:tr>
      <w:tr>
        <w:trPr>
          <w:trHeight w:val="317" w:hRule="exact"/>
        </w:trPr>
        <w:tc>
          <w:tcPr>
            <w:tcW w:w="2392" w:type="dxa"/>
            <w:tcBorders>
              <w:top w:val="nil" w:sz="6" w:space="0" w:color="auto"/>
              <w:left w:val="single" w:sz="4" w:space="0" w:color="000000"/>
              <w:bottom w:val="nil" w:sz="6" w:space="0" w:color="auto"/>
              <w:right w:val="single" w:sz="4" w:space="0" w:color="000000"/>
            </w:tcBorders>
          </w:tcPr>
          <w:p>
            <w:pPr/>
          </w:p>
        </w:tc>
        <w:tc>
          <w:tcPr>
            <w:tcW w:w="1578"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支持体系。临床决策支持</w:t>
            </w:r>
            <w:r>
              <w:rPr>
                <w:rFonts w:ascii="Times New Roman" w:hAnsi="Times New Roman" w:cs="Times New Roman" w:eastAsia="Times New Roman" w:hint="default"/>
                <w:sz w:val="18"/>
                <w:szCs w:val="18"/>
              </w:rPr>
              <w:t>/</w:t>
            </w:r>
            <w:r>
              <w:rPr>
                <w:rFonts w:ascii="宋体" w:hAnsi="宋体" w:cs="宋体" w:eastAsia="宋体" w:hint="default"/>
                <w:sz w:val="18"/>
                <w:szCs w:val="18"/>
              </w:rPr>
              <w:t>规则引擎</w:t>
            </w:r>
            <w:r>
              <w:rPr>
                <w:rFonts w:ascii="Times New Roman" w:hAnsi="Times New Roman" w:cs="Times New Roman" w:eastAsia="Times New Roman" w:hint="default"/>
                <w:sz w:val="18"/>
                <w:szCs w:val="18"/>
              </w:rPr>
              <w:t>(CDS)</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对冲突检</w:t>
            </w:r>
          </w:p>
        </w:tc>
        <w:tc>
          <w:tcPr>
            <w:tcW w:w="1488"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392" w:type="dxa"/>
            <w:tcBorders>
              <w:top w:val="nil" w:sz="6" w:space="0" w:color="auto"/>
              <w:left w:val="single" w:sz="4" w:space="0" w:color="000000"/>
              <w:bottom w:val="nil" w:sz="6" w:space="0" w:color="auto"/>
              <w:right w:val="single" w:sz="4" w:space="0" w:color="000000"/>
            </w:tcBorders>
          </w:tcPr>
          <w:p>
            <w:pPr/>
          </w:p>
        </w:tc>
        <w:tc>
          <w:tcPr>
            <w:tcW w:w="1578"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测，实现医嘱录入时的错误检查，依据循证医学，能</w:t>
            </w:r>
          </w:p>
        </w:tc>
        <w:tc>
          <w:tcPr>
            <w:tcW w:w="148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392" w:type="dxa"/>
            <w:tcBorders>
              <w:top w:val="nil" w:sz="6" w:space="0" w:color="auto"/>
              <w:left w:val="single" w:sz="4" w:space="0" w:color="000000"/>
              <w:bottom w:val="single" w:sz="4" w:space="0" w:color="000000"/>
              <w:right w:val="single" w:sz="4" w:space="0" w:color="000000"/>
            </w:tcBorders>
          </w:tcPr>
          <w:p>
            <w:pPr/>
          </w:p>
        </w:tc>
        <w:tc>
          <w:tcPr>
            <w:tcW w:w="1578" w:type="dxa"/>
            <w:tcBorders>
              <w:top w:val="nil" w:sz="6" w:space="0" w:color="auto"/>
              <w:left w:val="single" w:sz="4" w:space="0" w:color="000000"/>
              <w:bottom w:val="single" w:sz="4" w:space="0" w:color="000000"/>
              <w:right w:val="single" w:sz="4" w:space="0" w:color="000000"/>
            </w:tcBorders>
          </w:tcPr>
          <w:p>
            <w:pPr/>
          </w:p>
        </w:tc>
        <w:tc>
          <w:tcPr>
            <w:tcW w:w="41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够提供变异性及依循性</w:t>
            </w:r>
          </w:p>
        </w:tc>
        <w:tc>
          <w:tcPr>
            <w:tcW w:w="148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2392" w:type="dxa"/>
            <w:tcBorders>
              <w:top w:val="single" w:sz="4" w:space="0" w:color="000000"/>
              <w:left w:val="single" w:sz="4" w:space="0" w:color="000000"/>
              <w:bottom w:val="nil" w:sz="6" w:space="0" w:color="auto"/>
              <w:right w:val="single" w:sz="4" w:space="0" w:color="000000"/>
            </w:tcBorders>
          </w:tcPr>
          <w:p>
            <w:pPr/>
          </w:p>
        </w:tc>
        <w:tc>
          <w:tcPr>
            <w:tcW w:w="1578" w:type="dxa"/>
            <w:tcBorders>
              <w:top w:val="single" w:sz="4" w:space="0" w:color="000000"/>
              <w:left w:val="single" w:sz="4" w:space="0" w:color="000000"/>
              <w:bottom w:val="nil" w:sz="6" w:space="0" w:color="auto"/>
              <w:right w:val="single" w:sz="4" w:space="0" w:color="000000"/>
            </w:tcBorders>
          </w:tcPr>
          <w:p>
            <w:pPr/>
          </w:p>
        </w:tc>
        <w:tc>
          <w:tcPr>
            <w:tcW w:w="41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采用目前主流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工具，且遵循以下的技术架构：数</w:t>
            </w:r>
          </w:p>
        </w:tc>
        <w:tc>
          <w:tcPr>
            <w:tcW w:w="148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392" w:type="dxa"/>
            <w:tcBorders>
              <w:top w:val="nil" w:sz="6" w:space="0" w:color="auto"/>
              <w:left w:val="single" w:sz="4" w:space="0" w:color="000000"/>
              <w:bottom w:val="nil" w:sz="6" w:space="0" w:color="auto"/>
              <w:right w:val="single" w:sz="4" w:space="0" w:color="000000"/>
            </w:tcBorders>
          </w:tcPr>
          <w:p>
            <w:pPr/>
          </w:p>
        </w:tc>
        <w:tc>
          <w:tcPr>
            <w:tcW w:w="1578"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据提取、数据建模及数据分析展现等三大部分；</w:t>
            </w:r>
            <w:r>
              <w:rPr>
                <w:rFonts w:ascii="Times New Roman" w:hAnsi="Times New Roman" w:cs="Times New Roman" w:eastAsia="Times New Roman" w:hint="default"/>
                <w:sz w:val="18"/>
                <w:szCs w:val="18"/>
              </w:rPr>
              <w:t>BI</w:t>
            </w:r>
          </w:p>
        </w:tc>
        <w:tc>
          <w:tcPr>
            <w:tcW w:w="148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392" w:type="dxa"/>
            <w:tcBorders>
              <w:top w:val="nil" w:sz="6" w:space="0" w:color="auto"/>
              <w:left w:val="single" w:sz="4" w:space="0" w:color="000000"/>
              <w:bottom w:val="nil" w:sz="6" w:space="0" w:color="auto"/>
              <w:right w:val="single" w:sz="4" w:space="0" w:color="000000"/>
            </w:tcBorders>
          </w:tcPr>
          <w:p>
            <w:pPr/>
          </w:p>
        </w:tc>
        <w:tc>
          <w:tcPr>
            <w:tcW w:w="1578"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数据的提取与数据建模主要由信息技术人员负责</w:t>
            </w:r>
            <w:r>
              <w:rPr>
                <w:rFonts w:ascii="宋体" w:hAnsi="宋体" w:cs="宋体" w:eastAsia="宋体" w:hint="default"/>
                <w:spacing w:val="-86"/>
                <w:sz w:val="18"/>
                <w:szCs w:val="18"/>
              </w:rPr>
              <w:t>，</w:t>
            </w:r>
            <w:r>
              <w:rPr>
                <w:rFonts w:ascii="宋体" w:hAnsi="宋体" w:cs="宋体" w:eastAsia="宋体" w:hint="default"/>
                <w:sz w:val="18"/>
                <w:szCs w:val="18"/>
              </w:rPr>
              <w:t>数</w:t>
            </w:r>
          </w:p>
        </w:tc>
        <w:tc>
          <w:tcPr>
            <w:tcW w:w="148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392" w:type="dxa"/>
            <w:tcBorders>
              <w:top w:val="nil" w:sz="6" w:space="0" w:color="auto"/>
              <w:left w:val="single" w:sz="4" w:space="0" w:color="000000"/>
              <w:bottom w:val="nil" w:sz="6" w:space="0" w:color="auto"/>
              <w:right w:val="single" w:sz="4" w:space="0" w:color="000000"/>
            </w:tcBorders>
          </w:tcPr>
          <w:p>
            <w:pPr/>
          </w:p>
        </w:tc>
        <w:tc>
          <w:tcPr>
            <w:tcW w:w="1578"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据分析与展现则是提供</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工具由临床业务人员自助</w:t>
            </w:r>
          </w:p>
        </w:tc>
        <w:tc>
          <w:tcPr>
            <w:tcW w:w="1488"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197"/>
              <w:jc w:val="left"/>
              <w:rPr>
                <w:rFonts w:ascii="Times New Roman" w:hAnsi="Times New Roman" w:cs="Times New Roman" w:eastAsia="Times New Roman" w:hint="default"/>
                <w:sz w:val="18"/>
                <w:szCs w:val="18"/>
              </w:rPr>
            </w:pPr>
            <w:r>
              <w:rPr>
                <w:rFonts w:ascii="宋体" w:hAnsi="宋体" w:cs="宋体" w:eastAsia="宋体" w:hint="default"/>
                <w:sz w:val="18"/>
                <w:szCs w:val="18"/>
              </w:rPr>
              <w:t>达实智能医院运营管理辅助 决策支持系统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BI v1.0</w:t>
            </w:r>
          </w:p>
        </w:tc>
        <w:tc>
          <w:tcPr>
            <w:tcW w:w="157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1,993,187.39</w:t>
            </w: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1"/>
              <w:jc w:val="left"/>
              <w:rPr>
                <w:rFonts w:ascii="宋体" w:hAnsi="宋体" w:cs="宋体" w:eastAsia="宋体" w:hint="default"/>
                <w:sz w:val="18"/>
                <w:szCs w:val="18"/>
              </w:rPr>
            </w:pPr>
            <w:r>
              <w:rPr>
                <w:rFonts w:ascii="宋体" w:hAnsi="宋体" w:cs="宋体" w:eastAsia="宋体" w:hint="default"/>
                <w:spacing w:val="-4"/>
                <w:sz w:val="18"/>
                <w:szCs w:val="18"/>
              </w:rPr>
              <w:t>式完成应用与信息发布。根据医院管理的需要建立多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维数据分析模型</w:t>
            </w:r>
            <w:r>
              <w:rPr>
                <w:rFonts w:ascii="Times New Roman" w:hAnsi="Times New Roman" w:cs="Times New Roman" w:eastAsia="Times New Roman" w:hint="default"/>
                <w:sz w:val="18"/>
                <w:szCs w:val="18"/>
              </w:rPr>
              <w:t>,</w:t>
            </w:r>
            <w:r>
              <w:rPr>
                <w:rFonts w:ascii="宋体" w:hAnsi="宋体" w:cs="宋体" w:eastAsia="宋体" w:hint="default"/>
                <w:sz w:val="18"/>
                <w:szCs w:val="18"/>
              </w:rPr>
              <w:t>从不同角度、不同层面对信息数据</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开发中</w:t>
            </w:r>
          </w:p>
        </w:tc>
      </w:tr>
      <w:tr>
        <w:trPr>
          <w:trHeight w:val="306" w:hRule="exact"/>
        </w:trPr>
        <w:tc>
          <w:tcPr>
            <w:tcW w:w="2392" w:type="dxa"/>
            <w:tcBorders>
              <w:top w:val="nil" w:sz="6" w:space="0" w:color="auto"/>
              <w:left w:val="single" w:sz="4" w:space="0" w:color="000000"/>
              <w:bottom w:val="nil" w:sz="6" w:space="0" w:color="auto"/>
              <w:right w:val="single" w:sz="4" w:space="0" w:color="000000"/>
            </w:tcBorders>
          </w:tcPr>
          <w:p>
            <w:pPr/>
          </w:p>
        </w:tc>
        <w:tc>
          <w:tcPr>
            <w:tcW w:w="1578"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进行分析。分析模型架构由维度和量值组成，维度代</w:t>
            </w:r>
          </w:p>
        </w:tc>
        <w:tc>
          <w:tcPr>
            <w:tcW w:w="148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392" w:type="dxa"/>
            <w:tcBorders>
              <w:top w:val="nil" w:sz="6" w:space="0" w:color="auto"/>
              <w:left w:val="single" w:sz="4" w:space="0" w:color="000000"/>
              <w:bottom w:val="nil" w:sz="6" w:space="0" w:color="auto"/>
              <w:right w:val="single" w:sz="4" w:space="0" w:color="000000"/>
            </w:tcBorders>
          </w:tcPr>
          <w:p>
            <w:pPr/>
          </w:p>
        </w:tc>
        <w:tc>
          <w:tcPr>
            <w:tcW w:w="1578"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表数据分析的不同角度</w:t>
            </w:r>
            <w:r>
              <w:rPr>
                <w:rFonts w:ascii="Times New Roman" w:hAnsi="Times New Roman" w:cs="Times New Roman" w:eastAsia="Times New Roman" w:hint="default"/>
                <w:sz w:val="18"/>
                <w:szCs w:val="18"/>
              </w:rPr>
              <w:t>,</w:t>
            </w:r>
            <w:r>
              <w:rPr>
                <w:rFonts w:ascii="宋体" w:hAnsi="宋体" w:cs="宋体" w:eastAsia="宋体" w:hint="default"/>
                <w:sz w:val="18"/>
                <w:szCs w:val="18"/>
              </w:rPr>
              <w:t>量值是数值资料。不同维度</w:t>
            </w:r>
          </w:p>
        </w:tc>
        <w:tc>
          <w:tcPr>
            <w:tcW w:w="1488"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2392" w:type="dxa"/>
            <w:tcBorders>
              <w:top w:val="nil" w:sz="6" w:space="0" w:color="auto"/>
              <w:left w:val="single" w:sz="4" w:space="0" w:color="000000"/>
              <w:bottom w:val="nil" w:sz="6" w:space="0" w:color="auto"/>
              <w:right w:val="single" w:sz="4" w:space="0" w:color="000000"/>
            </w:tcBorders>
          </w:tcPr>
          <w:p>
            <w:pPr/>
          </w:p>
        </w:tc>
        <w:tc>
          <w:tcPr>
            <w:tcW w:w="1578"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进行排列组合，交叉分析，能够挖掘出深藏于数据背</w:t>
            </w:r>
          </w:p>
        </w:tc>
        <w:tc>
          <w:tcPr>
            <w:tcW w:w="148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2392" w:type="dxa"/>
            <w:tcBorders>
              <w:top w:val="nil" w:sz="6" w:space="0" w:color="auto"/>
              <w:left w:val="single" w:sz="4" w:space="0" w:color="000000"/>
              <w:bottom w:val="single" w:sz="4" w:space="0" w:color="000000"/>
              <w:right w:val="single" w:sz="4" w:space="0" w:color="000000"/>
            </w:tcBorders>
          </w:tcPr>
          <w:p>
            <w:pPr/>
          </w:p>
        </w:tc>
        <w:tc>
          <w:tcPr>
            <w:tcW w:w="1578" w:type="dxa"/>
            <w:tcBorders>
              <w:top w:val="nil" w:sz="6" w:space="0" w:color="auto"/>
              <w:left w:val="single" w:sz="4" w:space="0" w:color="000000"/>
              <w:bottom w:val="single" w:sz="4" w:space="0" w:color="000000"/>
              <w:right w:val="single" w:sz="4" w:space="0" w:color="000000"/>
            </w:tcBorders>
          </w:tcPr>
          <w:p>
            <w:pPr/>
          </w:p>
        </w:tc>
        <w:tc>
          <w:tcPr>
            <w:tcW w:w="41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后的信息。</w:t>
            </w:r>
          </w:p>
        </w:tc>
        <w:tc>
          <w:tcPr>
            <w:tcW w:w="1488"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392" w:type="dxa"/>
            <w:tcBorders>
              <w:top w:val="single" w:sz="4" w:space="0" w:color="000000"/>
              <w:left w:val="single" w:sz="4" w:space="0" w:color="000000"/>
              <w:bottom w:val="nil" w:sz="6" w:space="0" w:color="auto"/>
              <w:right w:val="single" w:sz="4" w:space="0" w:color="000000"/>
            </w:tcBorders>
          </w:tcPr>
          <w:p>
            <w:pPr/>
          </w:p>
        </w:tc>
        <w:tc>
          <w:tcPr>
            <w:tcW w:w="1578" w:type="dxa"/>
            <w:tcBorders>
              <w:top w:val="single" w:sz="4" w:space="0" w:color="000000"/>
              <w:left w:val="single" w:sz="4" w:space="0" w:color="000000"/>
              <w:bottom w:val="nil" w:sz="6" w:space="0" w:color="auto"/>
              <w:right w:val="single" w:sz="4" w:space="0" w:color="000000"/>
            </w:tcBorders>
          </w:tcPr>
          <w:p>
            <w:pPr/>
          </w:p>
        </w:tc>
        <w:tc>
          <w:tcPr>
            <w:tcW w:w="41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移动诊疗平台使信息的传递和交流冲破了时间和空</w:t>
            </w:r>
          </w:p>
        </w:tc>
        <w:tc>
          <w:tcPr>
            <w:tcW w:w="148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392" w:type="dxa"/>
            <w:tcBorders>
              <w:top w:val="nil" w:sz="6" w:space="0" w:color="auto"/>
              <w:left w:val="single" w:sz="4" w:space="0" w:color="000000"/>
              <w:bottom w:val="nil" w:sz="6" w:space="0" w:color="auto"/>
              <w:right w:val="single" w:sz="4" w:space="0" w:color="000000"/>
            </w:tcBorders>
          </w:tcPr>
          <w:p>
            <w:pPr/>
          </w:p>
        </w:tc>
        <w:tc>
          <w:tcPr>
            <w:tcW w:w="1578"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间的限制，不仅实现对患者服务的快捷化、准确化和</w:t>
            </w:r>
          </w:p>
        </w:tc>
        <w:tc>
          <w:tcPr>
            <w:tcW w:w="148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578"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多样化，还大大提升了医院服务质量，使医患互动更</w:t>
            </w:r>
          </w:p>
        </w:tc>
        <w:tc>
          <w:tcPr>
            <w:tcW w:w="1488" w:type="dxa"/>
            <w:tcBorders>
              <w:top w:val="nil" w:sz="6" w:space="0" w:color="auto"/>
              <w:left w:val="single" w:sz="4" w:space="0" w:color="000000"/>
              <w:bottom w:val="nil" w:sz="6" w:space="0" w:color="auto"/>
              <w:right w:val="single" w:sz="4" w:space="0" w:color="000000"/>
            </w:tcBorders>
          </w:tcPr>
          <w:p>
            <w:pPr/>
          </w:p>
        </w:tc>
      </w:tr>
      <w:tr>
        <w:trPr>
          <w:trHeight w:val="628"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基于健康云的移动诊疗平台</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v1.0</w:t>
            </w:r>
          </w:p>
        </w:tc>
        <w:tc>
          <w:tcPr>
            <w:tcW w:w="1578"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1,927,157.74</w:t>
            </w: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
              <w:jc w:val="left"/>
              <w:rPr>
                <w:rFonts w:ascii="宋体" w:hAnsi="宋体" w:cs="宋体" w:eastAsia="宋体" w:hint="default"/>
                <w:sz w:val="18"/>
                <w:szCs w:val="18"/>
              </w:rPr>
            </w:pPr>
            <w:r>
              <w:rPr>
                <w:rFonts w:ascii="宋体" w:hAnsi="宋体" w:cs="宋体" w:eastAsia="宋体" w:hint="default"/>
                <w:spacing w:val="-4"/>
                <w:sz w:val="18"/>
                <w:szCs w:val="18"/>
              </w:rPr>
              <w:t>加便捷，对促进医患关系的和谐发展有着非常重要的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作用。移动诊疗平台负责电子病历数据、电子健康档</w:t>
            </w:r>
          </w:p>
        </w:tc>
        <w:tc>
          <w:tcPr>
            <w:tcW w:w="148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开发中</w:t>
            </w:r>
          </w:p>
        </w:tc>
      </w:tr>
      <w:tr>
        <w:trPr>
          <w:trHeight w:val="308" w:hRule="exact"/>
        </w:trPr>
        <w:tc>
          <w:tcPr>
            <w:tcW w:w="2392" w:type="dxa"/>
            <w:tcBorders>
              <w:top w:val="nil" w:sz="6" w:space="0" w:color="auto"/>
              <w:left w:val="single" w:sz="4" w:space="0" w:color="000000"/>
              <w:bottom w:val="nil" w:sz="6" w:space="0" w:color="auto"/>
              <w:right w:val="single" w:sz="4" w:space="0" w:color="000000"/>
            </w:tcBorders>
          </w:tcPr>
          <w:p>
            <w:pPr/>
          </w:p>
        </w:tc>
        <w:tc>
          <w:tcPr>
            <w:tcW w:w="1578"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4"/>
                <w:sz w:val="18"/>
                <w:szCs w:val="18"/>
              </w:rPr>
              <w:t>案数据、影像数据、远程医疗数据整合，实现远程单</w:t>
            </w:r>
          </w:p>
        </w:tc>
        <w:tc>
          <w:tcPr>
            <w:tcW w:w="148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392" w:type="dxa"/>
            <w:tcBorders>
              <w:top w:val="nil" w:sz="6" w:space="0" w:color="auto"/>
              <w:left w:val="single" w:sz="4" w:space="0" w:color="000000"/>
              <w:bottom w:val="nil" w:sz="6" w:space="0" w:color="auto"/>
              <w:right w:val="single" w:sz="4" w:space="0" w:color="000000"/>
            </w:tcBorders>
          </w:tcPr>
          <w:p>
            <w:pPr/>
          </w:p>
        </w:tc>
        <w:tc>
          <w:tcPr>
            <w:tcW w:w="1578" w:type="dxa"/>
            <w:tcBorders>
              <w:top w:val="nil" w:sz="6" w:space="0" w:color="auto"/>
              <w:left w:val="single" w:sz="4" w:space="0" w:color="000000"/>
              <w:bottom w:val="nil" w:sz="6" w:space="0" w:color="auto"/>
              <w:right w:val="single" w:sz="4" w:space="0" w:color="000000"/>
            </w:tcBorders>
          </w:tcPr>
          <w:p>
            <w:pPr/>
          </w:p>
        </w:tc>
        <w:tc>
          <w:tcPr>
            <w:tcW w:w="411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学科会诊</w:t>
            </w:r>
            <w:r>
              <w:rPr>
                <w:rFonts w:ascii="Times New Roman" w:hAnsi="Times New Roman" w:cs="Times New Roman" w:eastAsia="Times New Roman" w:hint="default"/>
                <w:sz w:val="18"/>
                <w:szCs w:val="18"/>
              </w:rPr>
              <w:t>;</w:t>
            </w:r>
            <w:r>
              <w:rPr>
                <w:rFonts w:ascii="宋体" w:hAnsi="宋体" w:cs="宋体" w:eastAsia="宋体" w:hint="default"/>
                <w:sz w:val="18"/>
                <w:szCs w:val="18"/>
              </w:rPr>
              <w:t>远程多学科会诊</w:t>
            </w:r>
            <w:r>
              <w:rPr>
                <w:rFonts w:ascii="Times New Roman" w:hAnsi="Times New Roman" w:cs="Times New Roman" w:eastAsia="Times New Roman" w:hint="default"/>
                <w:sz w:val="18"/>
                <w:szCs w:val="18"/>
              </w:rPr>
              <w:t>;</w:t>
            </w:r>
            <w:r>
              <w:rPr>
                <w:rFonts w:ascii="宋体" w:hAnsi="宋体" w:cs="宋体" w:eastAsia="宋体" w:hint="default"/>
                <w:sz w:val="18"/>
                <w:szCs w:val="18"/>
              </w:rPr>
              <w:t>同步远程病理会诊</w:t>
            </w:r>
            <w:r>
              <w:rPr>
                <w:rFonts w:ascii="Times New Roman" w:hAnsi="Times New Roman" w:cs="Times New Roman" w:eastAsia="Times New Roman" w:hint="default"/>
                <w:sz w:val="18"/>
                <w:szCs w:val="18"/>
              </w:rPr>
              <w:t>;</w:t>
            </w:r>
            <w:r>
              <w:rPr>
                <w:rFonts w:ascii="宋体" w:hAnsi="宋体" w:cs="宋体" w:eastAsia="宋体" w:hint="default"/>
                <w:sz w:val="18"/>
                <w:szCs w:val="18"/>
              </w:rPr>
              <w:t>远程</w:t>
            </w:r>
          </w:p>
        </w:tc>
        <w:tc>
          <w:tcPr>
            <w:tcW w:w="1488"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2392" w:type="dxa"/>
            <w:tcBorders>
              <w:top w:val="nil" w:sz="6" w:space="0" w:color="auto"/>
              <w:left w:val="single" w:sz="4" w:space="0" w:color="000000"/>
              <w:bottom w:val="single" w:sz="4" w:space="0" w:color="000000"/>
              <w:right w:val="single" w:sz="4" w:space="0" w:color="000000"/>
            </w:tcBorders>
          </w:tcPr>
          <w:p>
            <w:pPr/>
          </w:p>
        </w:tc>
        <w:tc>
          <w:tcPr>
            <w:tcW w:w="1578" w:type="dxa"/>
            <w:tcBorders>
              <w:top w:val="nil" w:sz="6" w:space="0" w:color="auto"/>
              <w:left w:val="single" w:sz="4" w:space="0" w:color="000000"/>
              <w:bottom w:val="single" w:sz="4" w:space="0" w:color="000000"/>
              <w:right w:val="single" w:sz="4" w:space="0" w:color="000000"/>
            </w:tcBorders>
          </w:tcPr>
          <w:p>
            <w:pPr/>
          </w:p>
        </w:tc>
        <w:tc>
          <w:tcPr>
            <w:tcW w:w="41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心电会诊等服务。</w:t>
            </w:r>
          </w:p>
        </w:tc>
        <w:tc>
          <w:tcPr>
            <w:tcW w:w="1488"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基于物联网大数据的智慧能 源监控系统关键技术研发</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1,219,553.46</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1"/>
              <w:jc w:val="left"/>
              <w:rPr>
                <w:rFonts w:ascii="宋体" w:hAnsi="宋体" w:cs="宋体" w:eastAsia="宋体" w:hint="default"/>
                <w:sz w:val="18"/>
                <w:szCs w:val="18"/>
              </w:rPr>
            </w:pPr>
            <w:r>
              <w:rPr>
                <w:rFonts w:ascii="宋体" w:hAnsi="宋体" w:cs="宋体" w:eastAsia="宋体" w:hint="default"/>
                <w:sz w:val="18"/>
                <w:szCs w:val="18"/>
              </w:rPr>
              <w:t>本项目的通过建立基于物联网大数据的智慧能源监 </w:t>
            </w:r>
            <w:r>
              <w:rPr>
                <w:rFonts w:ascii="宋体" w:hAnsi="宋体" w:cs="宋体" w:eastAsia="宋体" w:hint="default"/>
                <w:spacing w:val="-4"/>
                <w:sz w:val="18"/>
                <w:szCs w:val="18"/>
              </w:rPr>
              <w:t>控系统，全面、准确、实时地掌握建筑耗能信息，以</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开发中</w:t>
            </w:r>
          </w:p>
        </w:tc>
      </w:tr>
    </w:tbl>
    <w:p>
      <w:pPr>
        <w:spacing w:after="0" w:line="240" w:lineRule="auto"/>
        <w:jc w:val="left"/>
        <w:rPr>
          <w:rFonts w:ascii="宋体" w:hAnsi="宋体" w:cs="宋体" w:eastAsia="宋体" w:hint="default"/>
          <w:sz w:val="18"/>
          <w:szCs w:val="18"/>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1578"/>
        <w:gridCol w:w="4110"/>
        <w:gridCol w:w="1488"/>
      </w:tblGrid>
      <w:tr>
        <w:trPr>
          <w:trHeight w:val="674"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
              <w:jc w:val="left"/>
              <w:rPr>
                <w:rFonts w:ascii="宋体" w:hAnsi="宋体" w:cs="宋体" w:eastAsia="宋体" w:hint="default"/>
                <w:sz w:val="18"/>
                <w:szCs w:val="18"/>
              </w:rPr>
            </w:pPr>
            <w:r>
              <w:rPr>
                <w:rFonts w:ascii="宋体" w:hAnsi="宋体" w:cs="宋体" w:eastAsia="宋体" w:hint="default"/>
                <w:spacing w:val="-4"/>
                <w:sz w:val="18"/>
                <w:szCs w:val="18"/>
              </w:rPr>
              <w:t>评估建筑能耗现状，确定节能潜力和方向，定制具体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节能方案，以及实施有效的节能措施。</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毒麻药精准管理系统</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242,728.77</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
              <w:jc w:val="both"/>
              <w:rPr>
                <w:rFonts w:ascii="宋体" w:hAnsi="宋体" w:cs="宋体" w:eastAsia="宋体" w:hint="default"/>
                <w:sz w:val="18"/>
                <w:szCs w:val="18"/>
              </w:rPr>
            </w:pPr>
            <w:r>
              <w:rPr>
                <w:rFonts w:ascii="宋体" w:hAnsi="宋体" w:cs="宋体" w:eastAsia="宋体" w:hint="default"/>
                <w:spacing w:val="-4"/>
                <w:sz w:val="18"/>
                <w:szCs w:val="18"/>
              </w:rPr>
              <w:t>实现手术室药品的信息化管理，通过智能化系统将手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术室原有的粗放的人工管理提升到信息化、智能化管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理水平。管理人员行为，通过不同的权限限定人员对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药品的操作。对药品的发放、使用、回收、销毁等过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程进行监控，并与患者进行关联。对毒麻药药品的使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用过程进行追溯，防止出现管理事故。</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1650"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手术部智能监控平台</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90,930.03</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通过手术部智能环境管理系统将医院内各间手术室 </w:t>
            </w:r>
            <w:r>
              <w:rPr>
                <w:rFonts w:ascii="宋体" w:hAnsi="宋体" w:cs="宋体" w:eastAsia="宋体" w:hint="default"/>
                <w:spacing w:val="-4"/>
                <w:sz w:val="18"/>
                <w:szCs w:val="18"/>
              </w:rPr>
              <w:t>的环境数据、空调机组数据和能耗数据采集到中心服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务器，并且可以在手术室、护士站、移动端、中央控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制室、乃至我方的展示间内，方便、直观地管理所有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手术室的运行状况。</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4K</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高清一体化手术室</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1,871,015.10</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能够通过手术室集成控制系统将手术室内各个音视 频采集设备控制起来，实现同一时间内对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HIS</w:t>
            </w:r>
            <w:r>
              <w:rPr>
                <w:rFonts w:ascii="宋体" w:hAnsi="宋体" w:cs="宋体" w:eastAsia="宋体" w:hint="default"/>
                <w:sz w:val="18"/>
                <w:szCs w:val="18"/>
              </w:rPr>
              <w:t>、 </w:t>
            </w:r>
            <w:r>
              <w:rPr>
                <w:rFonts w:ascii="Times New Roman" w:hAnsi="Times New Roman" w:cs="Times New Roman" w:eastAsia="Times New Roman" w:hint="default"/>
                <w:spacing w:val="-4"/>
                <w:sz w:val="18"/>
                <w:szCs w:val="18"/>
              </w:rPr>
              <w:t>PACKS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等多个系统数据的超清视觉效果呈现。</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196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手术部资产定位管理系统</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1,628,189.15</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4"/>
                <w:sz w:val="18"/>
                <w:szCs w:val="18"/>
              </w:rPr>
              <w:t>该系统采用云计算技术，通过云计算的设计可以把大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量的数据处理工作通过多台服务器共同来完成，避免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了单台服务器处理所有的数据带来的运算压力。对于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资产设备的引进、查找、智能化清点、安全监管的目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的，完成了固定资产生命周期和使用状态的全程跟踪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与安全保护，有效解决固定资产的管理难题。</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196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0" w:lineRule="auto"/>
              <w:ind w:left="22" w:right="2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LORA</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技术的无线门禁系 统</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958,442.83</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LoRa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是</w:t>
            </w:r>
            <w:r>
              <w:rPr>
                <w:rFonts w:ascii="宋体" w:hAnsi="宋体" w:cs="宋体" w:eastAsia="宋体" w:hint="default"/>
                <w:spacing w:val="-63"/>
                <w:sz w:val="18"/>
                <w:szCs w:val="18"/>
              </w:rPr>
              <w:t> </w:t>
            </w:r>
            <w:r>
              <w:rPr>
                <w:rFonts w:ascii="Times New Roman" w:hAnsi="Times New Roman" w:cs="Times New Roman" w:eastAsia="Times New Roman" w:hint="default"/>
                <w:spacing w:val="-5"/>
                <w:w w:val="99"/>
                <w:sz w:val="18"/>
                <w:szCs w:val="18"/>
              </w:rPr>
              <w:t>LPWAN</w:t>
            </w:r>
            <w:r>
              <w:rPr>
                <w:rFonts w:ascii="Times New Roman" w:hAnsi="Times New Roman" w:cs="Times New Roman" w:eastAsia="Times New Roman" w:hint="default"/>
                <w:spacing w:val="-19"/>
                <w:w w:val="99"/>
                <w:sz w:val="18"/>
                <w:szCs w:val="18"/>
              </w:rPr>
              <w:t> </w:t>
            </w:r>
            <w:r>
              <w:rPr>
                <w:rFonts w:ascii="宋体" w:hAnsi="宋体" w:cs="宋体" w:eastAsia="宋体" w:hint="default"/>
                <w:spacing w:val="-8"/>
                <w:sz w:val="18"/>
                <w:szCs w:val="18"/>
              </w:rPr>
              <w:t>通信技术中的一种，是美国</w:t>
            </w:r>
            <w:r>
              <w:rPr>
                <w:rFonts w:ascii="宋体" w:hAnsi="宋体" w:cs="宋体" w:eastAsia="宋体" w:hint="default"/>
                <w:spacing w:val="-63"/>
                <w:sz w:val="18"/>
                <w:szCs w:val="18"/>
              </w:rPr>
              <w:t> </w:t>
            </w:r>
            <w:r>
              <w:rPr>
                <w:rFonts w:ascii="Times New Roman" w:hAnsi="Times New Roman" w:cs="Times New Roman" w:eastAsia="Times New Roman" w:hint="default"/>
                <w:spacing w:val="-1"/>
                <w:sz w:val="18"/>
                <w:szCs w:val="18"/>
              </w:rPr>
              <w:t>Semtech</w:t>
            </w:r>
            <w:r>
              <w:rPr>
                <w:rFonts w:ascii="Times New Roman" w:hAnsi="Times New Roman" w:cs="Times New Roman" w:eastAsia="Times New Roman" w:hint="default"/>
                <w:sz w:val="18"/>
                <w:szCs w:val="18"/>
              </w:rPr>
              <w:t> </w:t>
            </w:r>
            <w:r>
              <w:rPr>
                <w:rFonts w:ascii="宋体" w:hAnsi="宋体" w:cs="宋体" w:eastAsia="宋体" w:hint="default"/>
                <w:sz w:val="18"/>
                <w:szCs w:val="18"/>
              </w:rPr>
              <w:t>公司采用和推广的一种基于扩频技术的超远距离无 </w:t>
            </w:r>
            <w:r>
              <w:rPr>
                <w:rFonts w:ascii="宋体" w:hAnsi="宋体" w:cs="宋体" w:eastAsia="宋体" w:hint="default"/>
                <w:spacing w:val="-4"/>
                <w:sz w:val="18"/>
                <w:szCs w:val="18"/>
              </w:rPr>
              <w:t>线传输方案。这一方案改变了以往关于传输距离与功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耗的折衷考虑方式，为用户提供一种简单的能实现远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距离、长电池寿命、大容量的系统，进而扩展传感网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络。</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开发中</w:t>
            </w:r>
          </w:p>
        </w:tc>
      </w:tr>
      <w:tr>
        <w:trPr>
          <w:trHeight w:val="289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8"/>
              <w:ind w:left="22" w:right="37"/>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NB-IOT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技术的互联网门</w:t>
            </w:r>
            <w:r>
              <w:rPr>
                <w:rFonts w:ascii="宋体" w:hAnsi="宋体" w:cs="宋体" w:eastAsia="宋体" w:hint="default"/>
                <w:w w:val="99"/>
                <w:sz w:val="18"/>
                <w:szCs w:val="18"/>
              </w:rPr>
              <w:t> </w:t>
            </w:r>
            <w:r>
              <w:rPr>
                <w:rFonts w:ascii="宋体" w:hAnsi="宋体" w:cs="宋体" w:eastAsia="宋体" w:hint="default"/>
                <w:sz w:val="18"/>
                <w:szCs w:val="18"/>
              </w:rPr>
              <w:t>禁系统</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1,078,789.90</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
              <w:jc w:val="both"/>
              <w:rPr>
                <w:rFonts w:ascii="宋体" w:hAnsi="宋体" w:cs="宋体" w:eastAsia="宋体" w:hint="default"/>
                <w:sz w:val="18"/>
                <w:szCs w:val="18"/>
              </w:rPr>
            </w:pPr>
            <w:r>
              <w:rPr>
                <w:rFonts w:ascii="宋体" w:hAnsi="宋体" w:cs="宋体" w:eastAsia="宋体" w:hint="default"/>
                <w:spacing w:val="-4"/>
                <w:sz w:val="18"/>
                <w:szCs w:val="18"/>
              </w:rPr>
              <w:t>互联网智能门禁系统是新型现代化安全管理系统，它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集微机自动识别技术和现代安全管理措施为一体，涉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及电子，机械，光学，计算机技术，通讯技术，生物</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技术等诸多新技术。它是解决重要部门出入口实现安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全防范管理的有效措施，广泛适用于各行各业。在数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字技术网络技术飞速发展的今天，</w:t>
            </w:r>
            <w:r>
              <w:rPr>
                <w:rFonts w:ascii="宋体" w:hAnsi="宋体" w:cs="宋体" w:eastAsia="宋体" w:hint="default"/>
                <w:spacing w:val="-1"/>
                <w:sz w:val="18"/>
                <w:szCs w:val="18"/>
              </w:rPr>
              <w:t> </w:t>
            </w:r>
            <w:r>
              <w:rPr>
                <w:rFonts w:ascii="宋体" w:hAnsi="宋体" w:cs="宋体" w:eastAsia="宋体" w:hint="default"/>
                <w:sz w:val="18"/>
                <w:szCs w:val="18"/>
              </w:rPr>
              <w:t>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NB-IOT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w:t>
            </w:r>
            <w:r>
              <w:rPr>
                <w:rFonts w:ascii="宋体" w:hAnsi="宋体" w:cs="宋体" w:eastAsia="宋体" w:hint="default"/>
                <w:w w:val="99"/>
                <w:sz w:val="18"/>
                <w:szCs w:val="18"/>
              </w:rPr>
              <w:t> </w:t>
            </w:r>
            <w:r>
              <w:rPr>
                <w:rFonts w:ascii="宋体" w:hAnsi="宋体" w:cs="宋体" w:eastAsia="宋体" w:hint="default"/>
                <w:spacing w:val="-4"/>
                <w:w w:val="99"/>
                <w:sz w:val="18"/>
                <w:szCs w:val="18"/>
              </w:rPr>
              <w:t>术的互联网门禁系统具有大连接、广覆盖和广域网的</w:t>
            </w:r>
            <w:r>
              <w:rPr>
                <w:rFonts w:ascii="宋体" w:hAnsi="宋体" w:cs="宋体" w:eastAsia="宋体" w:hint="default"/>
                <w:spacing w:val="-84"/>
                <w:w w:val="99"/>
                <w:sz w:val="18"/>
                <w:szCs w:val="18"/>
              </w:rPr>
              <w:t> </w:t>
            </w:r>
            <w:r>
              <w:rPr>
                <w:rFonts w:ascii="宋体" w:hAnsi="宋体" w:cs="宋体" w:eastAsia="宋体" w:hint="default"/>
                <w:spacing w:val="-84"/>
                <w:w w:val="99"/>
                <w:sz w:val="18"/>
                <w:szCs w:val="18"/>
              </w:rPr>
            </w:r>
            <w:r>
              <w:rPr>
                <w:rFonts w:ascii="宋体" w:hAnsi="宋体" w:cs="宋体" w:eastAsia="宋体" w:hint="default"/>
                <w:spacing w:val="-4"/>
                <w:sz w:val="18"/>
                <w:szCs w:val="18"/>
              </w:rPr>
              <w:t>特性，能快速覆盖各种环境，能快速建立一套完整的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门禁系统。</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开发中</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访客一体机系统管理软件</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178,959.45</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
              <w:jc w:val="both"/>
              <w:rPr>
                <w:rFonts w:ascii="宋体" w:hAnsi="宋体" w:cs="宋体" w:eastAsia="宋体" w:hint="default"/>
                <w:sz w:val="18"/>
                <w:szCs w:val="18"/>
              </w:rPr>
            </w:pPr>
            <w:r>
              <w:rPr>
                <w:rFonts w:ascii="宋体" w:hAnsi="宋体" w:cs="宋体" w:eastAsia="宋体" w:hint="default"/>
                <w:spacing w:val="-4"/>
                <w:sz w:val="18"/>
                <w:szCs w:val="18"/>
              </w:rPr>
              <w:t>访客一体机管理系统是一个集智能卡、信息安全、软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件、网络及机械为一体的智能化管理系统。通过在大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楼内部设置通道闸机，配合出入口控制系统，对进入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大楼的外部来访人员进行出入管理的自动化系统。</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开发中</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人脸识别管理系统</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5,291,323.54</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本系统采用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C#.NET </w:t>
            </w:r>
            <w:r>
              <w:rPr>
                <w:rFonts w:ascii="宋体" w:hAnsi="宋体" w:cs="宋体" w:eastAsia="宋体" w:hint="default"/>
                <w:sz w:val="18"/>
                <w:szCs w:val="18"/>
              </w:rPr>
              <w:t>语言为主进行开发，支持</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开发中</w:t>
            </w:r>
          </w:p>
        </w:tc>
      </w:tr>
    </w:tbl>
    <w:p>
      <w:pPr>
        <w:spacing w:after="0" w:line="240" w:lineRule="auto"/>
        <w:jc w:val="left"/>
        <w:rPr>
          <w:rFonts w:ascii="宋体" w:hAnsi="宋体" w:cs="宋体" w:eastAsia="宋体" w:hint="default"/>
          <w:sz w:val="18"/>
          <w:szCs w:val="18"/>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r>
        <w:rPr/>
        <w:pict>
          <v:shape style="position:absolute;margin-left:454.859985pt;margin-top:168.61998pt;width:80.05pt;height:46.8pt;mso-position-horizontal-relative:page;mso-position-vertical-relative:page;z-index:-11764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2"/>
                      <w:szCs w:val="22"/>
                    </w:rPr>
                  </w:pPr>
                </w:p>
                <w:p>
                  <w:pPr>
                    <w:pStyle w:val="BodyText"/>
                    <w:spacing w:line="240" w:lineRule="auto"/>
                    <w:ind w:left="0" w:right="0"/>
                    <w:jc w:val="left"/>
                  </w:pPr>
                  <w:r>
                    <w:rPr/>
                    <w:t>）</w:t>
                  </w:r>
                </w:p>
              </w:txbxContent>
            </v:textbox>
            <w10:wrap type="none"/>
          </v:shape>
        </w:pict>
      </w:r>
      <w:r>
        <w:rPr/>
        <w:pict>
          <v:shape style="position:absolute;margin-left:400.770996pt;margin-top:462.939972pt;width:134.15pt;height:62.4pt;mso-position-horizontal-relative:page;mso-position-vertical-relative:page;z-index:-11764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冷却塔和阀门）</w:t>
                  </w:r>
                </w:p>
              </w:txbxContent>
            </v:textbox>
            <w10:wrap type="none"/>
          </v:shape>
        </w:pict>
      </w:r>
      <w:r>
        <w:rPr/>
        <w:pict>
          <v:group style="position:absolute;margin-left:460.980011pt;margin-top:348.73999pt;width:73.95pt;height:90.95pt;mso-position-horizontal-relative:page;mso-position-vertical-relative:page;z-index:-1176424" coordorigin="9220,6975" coordsize="1479,1819">
            <v:group style="position:absolute;left:9220;top:6975;width:1479;height:936" coordorigin="9220,6975" coordsize="1479,936">
              <v:shape style="position:absolute;left:9220;top:6975;width:1479;height:936" coordorigin="9220,6975" coordsize="1479,936" path="m9220,7911l10698,7911,10698,6975,9220,6975,9220,7911xe" filled="true" fillcolor="#ffffff" stroked="false">
                <v:path arrowok="t"/>
                <v:fill type="solid"/>
              </v:shape>
            </v:group>
            <v:group style="position:absolute;left:9220;top:7920;width:1479;height:468" coordorigin="9220,7920" coordsize="1479,468">
              <v:shape style="position:absolute;left:9220;top:7920;width:1479;height:468" coordorigin="9220,7920" coordsize="1479,468" path="m9220,8388l10698,8388,10698,7920,9220,7920,9220,8388xe" filled="true" fillcolor="#ffffff" stroked="false">
                <v:path arrowok="t"/>
                <v:fill type="solid"/>
              </v:shape>
            </v:group>
            <v:group style="position:absolute;left:9232;top:8388;width:2;height:393" coordorigin="9232,8388" coordsize="2,393">
              <v:shape style="position:absolute;left:9232;top:8388;width:2;height:393" coordorigin="9232,8388" coordsize="0,393" path="m9232,8388l9232,8781e" filled="false" stroked="true" strokeweight="1.2pt" strokecolor="#ffffff">
                <v:path arrowok="t"/>
              </v:shape>
            </v:group>
            <v:group style="position:absolute;left:9244;top:8388;width:1432;height:393" coordorigin="9244,8388" coordsize="1432,393">
              <v:shape style="position:absolute;left:9244;top:8388;width:1432;height:393" coordorigin="9244,8388" coordsize="1432,393" path="m9244,8781l10675,8781,10675,8388,9244,8388,9244,8781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392"/>
        <w:gridCol w:w="1578"/>
        <w:gridCol w:w="4110"/>
        <w:gridCol w:w="1488"/>
      </w:tblGrid>
      <w:tr>
        <w:trPr>
          <w:trHeight w:val="1923"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SqlServer</w:t>
            </w:r>
            <w:r>
              <w:rPr>
                <w:rFonts w:ascii="宋体" w:hAnsi="宋体" w:cs="宋体" w:eastAsia="宋体" w:hint="default"/>
                <w:sz w:val="18"/>
                <w:szCs w:val="18"/>
              </w:rPr>
              <w:t>、</w:t>
            </w:r>
            <w:r>
              <w:rPr>
                <w:rFonts w:ascii="Times New Roman" w:hAnsi="Times New Roman" w:cs="Times New Roman" w:eastAsia="Times New Roman" w:hint="default"/>
                <w:sz w:val="18"/>
                <w:szCs w:val="18"/>
              </w:rPr>
              <w:t>Oracle</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等多种数据库，利用多层分布式系</w:t>
            </w:r>
            <w:r>
              <w:rPr>
                <w:rFonts w:ascii="宋体" w:hAnsi="宋体" w:cs="宋体" w:eastAsia="宋体" w:hint="default"/>
                <w:w w:val="99"/>
                <w:sz w:val="18"/>
                <w:szCs w:val="18"/>
              </w:rPr>
              <w:t> </w:t>
            </w:r>
            <w:r>
              <w:rPr>
                <w:rFonts w:ascii="宋体" w:hAnsi="宋体" w:cs="宋体" w:eastAsia="宋体" w:hint="default"/>
                <w:sz w:val="18"/>
                <w:szCs w:val="18"/>
              </w:rPr>
              <w:t>统满足系统的可伸缩性。系统由</w:t>
            </w:r>
            <w:r>
              <w:rPr>
                <w:rFonts w:ascii="宋体" w:hAnsi="宋体" w:cs="宋体" w:eastAsia="宋体" w:hint="default"/>
                <w:spacing w:val="-1"/>
                <w:sz w:val="18"/>
                <w:szCs w:val="18"/>
              </w:rPr>
              <w:t> </w:t>
            </w:r>
            <w:r>
              <w:rPr>
                <w:rFonts w:ascii="宋体" w:hAnsi="宋体" w:cs="宋体" w:eastAsia="宋体" w:hint="default"/>
                <w:sz w:val="18"/>
                <w:szCs w:val="18"/>
              </w:rPr>
              <w:t>数据持久层、设备</w:t>
            </w:r>
            <w:r>
              <w:rPr>
                <w:rFonts w:ascii="宋体" w:hAnsi="宋体" w:cs="宋体" w:eastAsia="宋体" w:hint="default"/>
                <w:w w:val="99"/>
                <w:sz w:val="18"/>
                <w:szCs w:val="18"/>
              </w:rPr>
              <w:t> </w:t>
            </w:r>
            <w:r>
              <w:rPr>
                <w:rFonts w:ascii="宋体" w:hAnsi="宋体" w:cs="宋体" w:eastAsia="宋体" w:hint="default"/>
                <w:spacing w:val="-4"/>
                <w:sz w:val="18"/>
                <w:szCs w:val="18"/>
              </w:rPr>
              <w:t>通讯层、终端系统层、应用服务层、系统管理层、移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动管理端 六个部分组成。利用</w:t>
            </w:r>
            <w:r>
              <w:rPr>
                <w:rFonts w:ascii="Times New Roman" w:hAnsi="Times New Roman" w:cs="Times New Roman" w:eastAsia="Times New Roman" w:hint="default"/>
                <w:sz w:val="18"/>
                <w:szCs w:val="18"/>
              </w:rPr>
              <w:t>.NET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平台的消息机</w:t>
            </w:r>
            <w:r>
              <w:rPr>
                <w:rFonts w:ascii="宋体" w:hAnsi="宋体" w:cs="宋体" w:eastAsia="宋体" w:hint="default"/>
                <w:w w:val="99"/>
                <w:sz w:val="18"/>
                <w:szCs w:val="18"/>
              </w:rPr>
              <w:t> </w:t>
            </w:r>
            <w:r>
              <w:rPr>
                <w:rFonts w:ascii="宋体" w:hAnsi="宋体" w:cs="宋体" w:eastAsia="宋体" w:hint="default"/>
                <w:spacing w:val="-4"/>
                <w:sz w:val="18"/>
                <w:szCs w:val="18"/>
              </w:rPr>
              <w:t>制，实现各个子系统间的紧密协作，实现了统一运行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与分散运行的完美结合。</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智慧园区综合管理平台</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130,539.19</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对智慧园区内部各专业系统进行业务集成，构建弱电</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w w:val="99"/>
                <w:sz w:val="18"/>
                <w:szCs w:val="18"/>
              </w:rPr>
              <w:t>集成管理平台（</w:t>
            </w:r>
            <w:r>
              <w:rPr>
                <w:rFonts w:ascii="Times New Roman" w:hAnsi="Times New Roman" w:cs="Times New Roman" w:eastAsia="Times New Roman" w:hint="default"/>
                <w:spacing w:val="-8"/>
                <w:w w:val="99"/>
                <w:sz w:val="18"/>
                <w:szCs w:val="18"/>
              </w:rPr>
              <w:t>BMS</w:t>
            </w:r>
            <w:r>
              <w:rPr>
                <w:rFonts w:ascii="宋体" w:hAnsi="宋体" w:cs="宋体" w:eastAsia="宋体" w:hint="default"/>
                <w:spacing w:val="-8"/>
                <w:w w:val="99"/>
                <w:sz w:val="18"/>
                <w:szCs w:val="18"/>
              </w:rPr>
              <w:t>）、运维管理平台（</w:t>
            </w:r>
            <w:r>
              <w:rPr>
                <w:rFonts w:ascii="Times New Roman" w:hAnsi="Times New Roman" w:cs="Times New Roman" w:eastAsia="Times New Roman" w:hint="default"/>
                <w:spacing w:val="-8"/>
                <w:w w:val="99"/>
                <w:sz w:val="18"/>
                <w:szCs w:val="18"/>
              </w:rPr>
              <w:t>PMS</w:t>
            </w:r>
            <w:r>
              <w:rPr>
                <w:rFonts w:ascii="宋体" w:hAnsi="宋体" w:cs="宋体" w:eastAsia="宋体" w:hint="default"/>
                <w:spacing w:val="-8"/>
                <w:w w:val="99"/>
                <w:sz w:val="18"/>
                <w:szCs w:val="18"/>
              </w:rPr>
              <w:t>）、公</w:t>
            </w:r>
            <w:r>
              <w:rPr>
                <w:rFonts w:ascii="宋体" w:hAnsi="宋体" w:cs="宋体" w:eastAsia="宋体" w:hint="default"/>
                <w:spacing w:val="-71"/>
                <w:w w:val="99"/>
                <w:sz w:val="18"/>
                <w:szCs w:val="18"/>
              </w:rPr>
              <w:t> </w:t>
            </w:r>
            <w:r>
              <w:rPr>
                <w:rFonts w:ascii="宋体" w:hAnsi="宋体" w:cs="宋体" w:eastAsia="宋体" w:hint="default"/>
                <w:spacing w:val="-71"/>
                <w:w w:val="99"/>
                <w:sz w:val="18"/>
                <w:szCs w:val="18"/>
              </w:rPr>
            </w:r>
            <w:r>
              <w:rPr>
                <w:rFonts w:ascii="宋体" w:hAnsi="宋体" w:cs="宋体" w:eastAsia="宋体" w:hint="default"/>
                <w:spacing w:val="-8"/>
                <w:w w:val="99"/>
                <w:sz w:val="18"/>
                <w:szCs w:val="18"/>
              </w:rPr>
              <w:t>共安全集成系统（</w:t>
            </w:r>
            <w:r>
              <w:rPr>
                <w:rFonts w:ascii="Times New Roman" w:hAnsi="Times New Roman" w:cs="Times New Roman" w:eastAsia="Times New Roman" w:hint="default"/>
                <w:spacing w:val="-8"/>
                <w:w w:val="99"/>
                <w:sz w:val="18"/>
                <w:szCs w:val="18"/>
              </w:rPr>
              <w:t>SMS</w:t>
            </w:r>
            <w:r>
              <w:rPr>
                <w:rFonts w:ascii="宋体" w:hAnsi="宋体" w:cs="宋体" w:eastAsia="宋体" w:hint="default"/>
                <w:spacing w:val="-8"/>
                <w:w w:val="99"/>
                <w:sz w:val="18"/>
                <w:szCs w:val="18"/>
              </w:rPr>
              <w:t>）、能源管理分析系统（</w:t>
            </w:r>
            <w:r>
              <w:rPr>
                <w:rFonts w:ascii="Times New Roman" w:hAnsi="Times New Roman" w:cs="Times New Roman" w:eastAsia="Times New Roman" w:hint="default"/>
                <w:spacing w:val="-8"/>
                <w:w w:val="99"/>
                <w:sz w:val="18"/>
                <w:szCs w:val="18"/>
              </w:rPr>
              <w:t>EMS</w:t>
            </w:r>
            <w:r>
              <w:rPr>
                <w:rFonts w:ascii="Times New Roman" w:hAnsi="Times New Roman" w:cs="Times New Roman" w:eastAsia="Times New Roman" w:hint="default"/>
                <w:spacing w:val="-35"/>
                <w:w w:val="99"/>
                <w:sz w:val="18"/>
                <w:szCs w:val="18"/>
              </w:rPr>
              <w:t> </w:t>
            </w:r>
            <w:r>
              <w:rPr>
                <w:rFonts w:ascii="宋体" w:hAnsi="宋体" w:cs="宋体" w:eastAsia="宋体" w:hint="default"/>
                <w:spacing w:val="-4"/>
                <w:sz w:val="18"/>
                <w:szCs w:val="18"/>
              </w:rPr>
              <w:t>四大核心子系统，实现园区内及时、互动、整合的信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息感知、传递和处理，打造智慧、低碳的</w:t>
            </w:r>
            <w:r>
              <w:rPr>
                <w:rFonts w:ascii="Times New Roman" w:hAnsi="Times New Roman" w:cs="Times New Roman" w:eastAsia="Times New Roman" w:hint="default"/>
                <w:sz w:val="18"/>
                <w:szCs w:val="18"/>
              </w:rPr>
              <w:t>“</w:t>
            </w:r>
            <w:r>
              <w:rPr>
                <w:rFonts w:ascii="宋体" w:hAnsi="宋体" w:cs="宋体" w:eastAsia="宋体" w:hint="default"/>
                <w:sz w:val="18"/>
                <w:szCs w:val="18"/>
              </w:rPr>
              <w:t>建筑生命 体</w:t>
            </w:r>
            <w:r>
              <w:rPr>
                <w:rFonts w:ascii="Times New Roman" w:hAnsi="Times New Roman" w:cs="Times New Roman" w:eastAsia="Times New Roman" w:hint="default"/>
                <w:sz w:val="18"/>
                <w:szCs w:val="18"/>
              </w:rPr>
              <w:t>”</w:t>
            </w:r>
            <w:r>
              <w:rPr>
                <w:rFonts w:ascii="宋体" w:hAnsi="宋体" w:cs="宋体" w:eastAsia="宋体" w:hint="default"/>
                <w:sz w:val="18"/>
                <w:szCs w:val="18"/>
              </w:rPr>
              <w:t>，提供</w:t>
            </w:r>
            <w:r>
              <w:rPr>
                <w:rFonts w:ascii="Times New Roman" w:hAnsi="Times New Roman" w:cs="Times New Roman" w:eastAsia="Times New Roman" w:hint="default"/>
                <w:sz w:val="18"/>
                <w:szCs w:val="18"/>
              </w:rPr>
              <w:t>“</w:t>
            </w:r>
            <w:r>
              <w:rPr>
                <w:rFonts w:ascii="宋体" w:hAnsi="宋体" w:cs="宋体" w:eastAsia="宋体" w:hint="default"/>
                <w:sz w:val="18"/>
                <w:szCs w:val="18"/>
              </w:rPr>
              <w:t>安全、稳定、绿色、节能</w:t>
            </w:r>
            <w:r>
              <w:rPr>
                <w:rFonts w:ascii="Times New Roman" w:hAnsi="Times New Roman" w:cs="Times New Roman" w:eastAsia="Times New Roman" w:hint="default"/>
                <w:sz w:val="18"/>
                <w:szCs w:val="18"/>
              </w:rPr>
              <w:t>”</w:t>
            </w:r>
            <w:r>
              <w:rPr>
                <w:rFonts w:ascii="宋体" w:hAnsi="宋体" w:cs="宋体" w:eastAsia="宋体" w:hint="default"/>
                <w:sz w:val="18"/>
                <w:szCs w:val="18"/>
              </w:rPr>
              <w:t>的园区工作生 活环境。</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93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pict>
                <v:group style="width:73.95pt;height:46.8pt;mso-position-horizontal-relative:char;mso-position-vertical-relative:line" coordorigin="0,0" coordsize="1479,936">
                  <v:group style="position:absolute;left:0;top:0;width:1479;height:936" coordorigin="0,0" coordsize="1479,936">
                    <v:shape style="position:absolute;left:0;top:0;width:1479;height:936" coordorigin="0,0" coordsize="1479,936" path="m0,936l1478,936,1478,0,0,0,0,936xe" filled="true" fillcolor="#ffffff" stroked="false">
                      <v:path arrowok="t"/>
                      <v:fill type="solid"/>
                    </v:shape>
                  </v:group>
                </v:group>
              </w:pict>
            </w:r>
            <w:r>
              <w:rPr>
                <w:rFonts w:ascii="Times New Roman" w:hAnsi="Times New Roman" w:cs="Times New Roman" w:eastAsia="Times New Roman" w:hint="default"/>
                <w:position w:val="-18"/>
                <w:sz w:val="20"/>
                <w:szCs w:val="20"/>
              </w:rPr>
            </w:r>
          </w:p>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已完成</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tc>
      </w:tr>
      <w:tr>
        <w:trPr>
          <w:trHeight w:val="227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SBYIBMS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集成控制系统</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97,517.11</w:t>
            </w:r>
          </w:p>
        </w:tc>
        <w:tc>
          <w:tcPr>
            <w:tcW w:w="4110" w:type="dxa"/>
            <w:tcBorders>
              <w:top w:val="single" w:sz="4" w:space="0" w:color="000000"/>
              <w:left w:val="single" w:sz="4" w:space="0" w:color="000000"/>
              <w:bottom w:val="single" w:sz="4" w:space="0" w:color="000000"/>
              <w:right w:val="single" w:sz="10" w:space="0" w:color="FFFFFF"/>
            </w:tcBorders>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为保定深圳高新技术科技创新产业园设计一套智能 </w:t>
            </w:r>
            <w:r>
              <w:rPr>
                <w:rFonts w:ascii="宋体" w:hAnsi="宋体" w:cs="宋体" w:eastAsia="宋体" w:hint="default"/>
                <w:spacing w:val="-4"/>
                <w:sz w:val="18"/>
                <w:szCs w:val="18"/>
              </w:rPr>
              <w:t>化系统集成管理平台系统，在应用层上对深保产业园</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各个智能子系统及应用子系统进行信息集成与数据 集成的平台，以</w:t>
            </w:r>
            <w:r>
              <w:rPr>
                <w:rFonts w:ascii="Times New Roman" w:hAnsi="Times New Roman" w:cs="Times New Roman" w:eastAsia="Times New Roman" w:hint="default"/>
                <w:sz w:val="18"/>
                <w:szCs w:val="18"/>
              </w:rPr>
              <w:t>“</w:t>
            </w:r>
            <w:r>
              <w:rPr>
                <w:rFonts w:ascii="宋体" w:hAnsi="宋体" w:cs="宋体" w:eastAsia="宋体" w:hint="default"/>
                <w:sz w:val="18"/>
                <w:szCs w:val="18"/>
              </w:rPr>
              <w:t>分散控制、集中管理</w:t>
            </w:r>
            <w:r>
              <w:rPr>
                <w:rFonts w:ascii="Times New Roman" w:hAnsi="Times New Roman" w:cs="Times New Roman" w:eastAsia="Times New Roman" w:hint="default"/>
                <w:sz w:val="18"/>
                <w:szCs w:val="18"/>
              </w:rPr>
              <w:t>”</w:t>
            </w:r>
            <w:r>
              <w:rPr>
                <w:rFonts w:ascii="宋体" w:hAnsi="宋体" w:cs="宋体" w:eastAsia="宋体" w:hint="default"/>
                <w:sz w:val="18"/>
                <w:szCs w:val="18"/>
              </w:rPr>
              <w:t>为指导思想， </w:t>
            </w:r>
            <w:r>
              <w:rPr>
                <w:rFonts w:ascii="宋体" w:hAnsi="宋体" w:cs="宋体" w:eastAsia="宋体" w:hint="default"/>
                <w:spacing w:val="-4"/>
                <w:sz w:val="18"/>
                <w:szCs w:val="18"/>
              </w:rPr>
              <w:t>要实现信息资源的共享与管理、提高工作效率，及时</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对全局事件做出反应和处理，提供一个高效、便利 可靠的管理手段。</w:t>
            </w:r>
          </w:p>
        </w:tc>
        <w:tc>
          <w:tcPr>
            <w:tcW w:w="1488"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16" w:right="0"/>
              <w:jc w:val="left"/>
              <w:rPr>
                <w:rFonts w:ascii="宋体" w:hAnsi="宋体" w:cs="宋体" w:eastAsia="宋体" w:hint="default"/>
                <w:sz w:val="18"/>
                <w:szCs w:val="18"/>
              </w:rPr>
            </w:pPr>
            <w:r>
              <w:rPr>
                <w:rFonts w:ascii="宋体" w:hAnsi="宋体" w:cs="宋体" w:eastAsia="宋体" w:hint="default"/>
                <w:sz w:val="18"/>
                <w:szCs w:val="18"/>
              </w:rPr>
              <w:t>已完成</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地铁节能控制集中管理平台</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143,459.98</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
              <w:jc w:val="left"/>
              <w:rPr>
                <w:rFonts w:ascii="宋体" w:hAnsi="宋体" w:cs="宋体" w:eastAsia="宋体" w:hint="default"/>
                <w:sz w:val="18"/>
                <w:szCs w:val="18"/>
              </w:rPr>
            </w:pPr>
            <w:r>
              <w:rPr>
                <w:rFonts w:ascii="宋体" w:hAnsi="宋体" w:cs="宋体" w:eastAsia="宋体" w:hint="default"/>
                <w:spacing w:val="-4"/>
                <w:sz w:val="18"/>
                <w:szCs w:val="18"/>
              </w:rPr>
              <w:t>实现空调末端、空调机组、冷热源设备的最佳匹配和</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协调运行，可保障空调系统在绝大多数负荷条件下 </w:t>
            </w:r>
            <w:r>
              <w:rPr>
                <w:rFonts w:ascii="宋体" w:hAnsi="宋体" w:cs="宋体" w:eastAsia="宋体" w:hint="default"/>
                <w:spacing w:val="-4"/>
                <w:sz w:val="18"/>
                <w:szCs w:val="18"/>
              </w:rPr>
              <w:t>都能高效率地运行，最大限度地降低地铁能耗系统的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能耗。</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6" w:lineRule="exact" w:before="155"/>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289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97"/>
              <w:jc w:val="left"/>
              <w:rPr>
                <w:rFonts w:ascii="宋体" w:hAnsi="宋体" w:cs="宋体" w:eastAsia="宋体" w:hint="default"/>
                <w:sz w:val="18"/>
                <w:szCs w:val="18"/>
              </w:rPr>
            </w:pPr>
            <w:r>
              <w:rPr>
                <w:rFonts w:ascii="宋体" w:hAnsi="宋体" w:cs="宋体" w:eastAsia="宋体" w:hint="default"/>
                <w:sz w:val="18"/>
                <w:szCs w:val="18"/>
              </w:rPr>
              <w:t>中央空调节能控制系统群控 软件</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38,269.37</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该节能控制系统群控软件通过多台中央空调冷机和 </w:t>
            </w:r>
            <w:r>
              <w:rPr>
                <w:rFonts w:ascii="宋体" w:hAnsi="宋体" w:cs="宋体" w:eastAsia="宋体" w:hint="default"/>
                <w:spacing w:val="-7"/>
                <w:sz w:val="18"/>
                <w:szCs w:val="18"/>
              </w:rPr>
              <w:t>外围设备（包括冷冻水泵、冷却水泵、</w:t>
            </w:r>
            <w:r>
              <w:rPr>
                <w:rFonts w:ascii="宋体" w:hAnsi="宋体" w:cs="宋体" w:eastAsia="宋体" w:hint="default"/>
                <w:sz w:val="18"/>
                <w:szCs w:val="18"/>
              </w:rPr>
              <w:t> </w:t>
            </w:r>
            <w:r>
              <w:rPr>
                <w:rFonts w:ascii="宋体" w:hAnsi="宋体" w:cs="宋体" w:eastAsia="宋体" w:hint="default"/>
                <w:spacing w:val="-4"/>
                <w:sz w:val="18"/>
                <w:szCs w:val="18"/>
              </w:rPr>
              <w:t>的自动化控制达到节能、精确控制和操作维护方便的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功效；系统通过通讯技术采集和控制各类输入信号 </w:t>
            </w:r>
            <w:r>
              <w:rPr>
                <w:rFonts w:ascii="宋体" w:hAnsi="宋体" w:cs="宋体" w:eastAsia="宋体" w:hint="default"/>
                <w:spacing w:val="-4"/>
                <w:sz w:val="18"/>
                <w:szCs w:val="18"/>
              </w:rPr>
              <w:t>实现多台冷水机组的远程管理控制，同时把外围辅助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设备的联锁控制也纳入管理，只需简单的初始化系统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设置便可以真正做到无人值守的全自动优化启停控 </w:t>
            </w:r>
            <w:r>
              <w:rPr>
                <w:rFonts w:ascii="宋体" w:hAnsi="宋体" w:cs="宋体" w:eastAsia="宋体" w:hint="default"/>
                <w:spacing w:val="-4"/>
                <w:sz w:val="18"/>
                <w:szCs w:val="18"/>
              </w:rPr>
              <w:t>制，系统日志详细记录了每个动作执行的情况，方便</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追溯系统异常情况的原因。</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2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已完成</w:t>
            </w:r>
          </w:p>
          <w:p>
            <w:pPr>
              <w:pStyle w:val="TableParagraph"/>
              <w:spacing w:line="124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pict>
                <v:group style="width:73.95pt;height:62.4pt;mso-position-horizontal-relative:char;mso-position-vertical-relative:line" coordorigin="0,0" coordsize="1479,1248">
                  <v:group style="position:absolute;left:0;top:0;width:1479;height:1248" coordorigin="0,0" coordsize="1479,1248">
                    <v:shape style="position:absolute;left:0;top:0;width:1479;height:1248" coordorigin="0,0" coordsize="1479,1248" path="m0,1248l1478,1248,1478,0,0,0,0,1248xe" filled="true" fillcolor="#ffffff" stroked="false">
                      <v:path arrowok="t"/>
                      <v:fill type="solid"/>
                    </v:shape>
                  </v:group>
                </v:group>
              </w:pict>
            </w:r>
            <w:r>
              <w:rPr>
                <w:rFonts w:ascii="Times New Roman" w:hAnsi="Times New Roman" w:cs="Times New Roman" w:eastAsia="Times New Roman" w:hint="default"/>
                <w:position w:val="-2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智慧社区综合管理平台</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39,204.69</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
              <w:jc w:val="both"/>
              <w:rPr>
                <w:rFonts w:ascii="宋体" w:hAnsi="宋体" w:cs="宋体" w:eastAsia="宋体" w:hint="default"/>
                <w:sz w:val="18"/>
                <w:szCs w:val="18"/>
              </w:rPr>
            </w:pPr>
            <w:r>
              <w:rPr>
                <w:rFonts w:ascii="宋体" w:hAnsi="宋体" w:cs="宋体" w:eastAsia="宋体" w:hint="default"/>
                <w:spacing w:val="-4"/>
                <w:sz w:val="18"/>
                <w:szCs w:val="18"/>
              </w:rPr>
              <w:t>建立智慧社区指挥中心，有效地整合各种资源，通过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分层建设，研发一个可靠性高、实用性强的智慧社区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综合管理平台平台。改平台可成长、可扩充，可对接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未来智慧城市系统框架，能更好地为社区服务。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建筑楼宇自控管理系统</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33,809.23</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
              <w:jc w:val="both"/>
              <w:rPr>
                <w:rFonts w:ascii="宋体" w:hAnsi="宋体" w:cs="宋体" w:eastAsia="宋体" w:hint="default"/>
                <w:sz w:val="18"/>
                <w:szCs w:val="18"/>
              </w:rPr>
            </w:pPr>
            <w:r>
              <w:rPr>
                <w:rFonts w:ascii="宋体" w:hAnsi="宋体" w:cs="宋体" w:eastAsia="宋体" w:hint="default"/>
                <w:spacing w:val="-4"/>
                <w:sz w:val="18"/>
                <w:szCs w:val="18"/>
              </w:rPr>
              <w:t>实现了五个方面的功能集成，即所有子系统信息的集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成和综合管理，对所有子系统的集中监视和控制，全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局事件的管理，流程自动化管理。最终实现集中监视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控制与综合管理的功能。</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建筑综合安防管理系统</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12,808.94</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4"/>
                <w:sz w:val="18"/>
                <w:szCs w:val="18"/>
              </w:rPr>
              <w:t>建立了一套完整、高效的建筑综合安防管理系统，可</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已完成</w:t>
            </w:r>
          </w:p>
        </w:tc>
      </w:tr>
    </w:tbl>
    <w:p>
      <w:pPr>
        <w:spacing w:after="0" w:line="240" w:lineRule="auto"/>
        <w:jc w:val="left"/>
        <w:rPr>
          <w:rFonts w:ascii="宋体" w:hAnsi="宋体" w:cs="宋体" w:eastAsia="宋体" w:hint="default"/>
          <w:sz w:val="18"/>
          <w:szCs w:val="18"/>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1578"/>
        <w:gridCol w:w="4110"/>
        <w:gridCol w:w="1488"/>
      </w:tblGrid>
      <w:tr>
        <w:trPr>
          <w:trHeight w:val="986"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1578" w:type="dxa"/>
            <w:tcBorders>
              <w:top w:val="single" w:sz="4" w:space="0" w:color="000000"/>
              <w:left w:val="single" w:sz="4" w:space="0" w:color="000000"/>
              <w:bottom w:val="single" w:sz="4" w:space="0" w:color="000000"/>
              <w:right w:val="single" w:sz="4" w:space="0" w:color="000000"/>
            </w:tcBorders>
          </w:tcPr>
          <w:p>
            <w:pP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
              <w:jc w:val="both"/>
              <w:rPr>
                <w:rFonts w:ascii="宋体" w:hAnsi="宋体" w:cs="宋体" w:eastAsia="宋体" w:hint="default"/>
                <w:sz w:val="18"/>
                <w:szCs w:val="18"/>
              </w:rPr>
            </w:pPr>
            <w:r>
              <w:rPr>
                <w:rFonts w:ascii="宋体" w:hAnsi="宋体" w:cs="宋体" w:eastAsia="宋体" w:hint="default"/>
                <w:spacing w:val="-4"/>
                <w:sz w:val="18"/>
                <w:szCs w:val="18"/>
              </w:rPr>
              <w:t>以保障建筑的有序管理，在有突发事件出现时及时提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供信息，利于迅速准确掌握事件发生的全过程，能够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得到及时处理。</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物联网边缘计算系统</w:t>
            </w:r>
          </w:p>
        </w:tc>
        <w:tc>
          <w:tcPr>
            <w:tcW w:w="1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825" w:right="0"/>
              <w:jc w:val="left"/>
              <w:rPr>
                <w:rFonts w:ascii="Times New Roman" w:hAnsi="Times New Roman" w:cs="Times New Roman" w:eastAsia="Times New Roman" w:hint="default"/>
                <w:sz w:val="18"/>
                <w:szCs w:val="18"/>
              </w:rPr>
            </w:pPr>
            <w:r>
              <w:rPr>
                <w:rFonts w:ascii="Times New Roman"/>
                <w:sz w:val="18"/>
              </w:rPr>
              <w:t>20,657.09</w:t>
            </w:r>
          </w:p>
        </w:tc>
        <w:tc>
          <w:tcPr>
            <w:tcW w:w="41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
              <w:jc w:val="both"/>
              <w:rPr>
                <w:rFonts w:ascii="宋体" w:hAnsi="宋体" w:cs="宋体" w:eastAsia="宋体" w:hint="default"/>
                <w:sz w:val="18"/>
                <w:szCs w:val="18"/>
              </w:rPr>
            </w:pPr>
            <w:r>
              <w:rPr>
                <w:rFonts w:ascii="宋体" w:hAnsi="宋体" w:cs="宋体" w:eastAsia="宋体" w:hint="default"/>
                <w:spacing w:val="-4"/>
                <w:sz w:val="18"/>
                <w:szCs w:val="18"/>
              </w:rPr>
              <w:t>利用边缘网关快速集成本地设备，利用边缘网关作为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本地节点快速响应本地事件。实现本地物端的智能联</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动，实现室内室外一体化的智能控制，使云中心的业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务能力下放到网络边缘，离用户更近，满足不同阶段</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的数据承载需求，极大程度的缩短网络时延，提高数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据处理效率，从而解决云中心难以满足的物联网、人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工智能等重度应用爆发的关键需求。</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4" w:right="0"/>
              <w:jc w:val="left"/>
              <w:rPr>
                <w:rFonts w:ascii="宋体" w:hAnsi="宋体" w:cs="宋体" w:eastAsia="宋体" w:hint="default"/>
                <w:sz w:val="18"/>
                <w:szCs w:val="18"/>
              </w:rPr>
            </w:pPr>
            <w:r>
              <w:rPr>
                <w:rFonts w:ascii="宋体" w:hAnsi="宋体" w:cs="宋体" w:eastAsia="宋体" w:hint="default"/>
                <w:sz w:val="18"/>
                <w:szCs w:val="18"/>
              </w:rPr>
              <w:t>开发中</w:t>
            </w:r>
          </w:p>
        </w:tc>
      </w:tr>
    </w:tbl>
    <w:p>
      <w:pPr>
        <w:pStyle w:val="BodyText"/>
        <w:spacing w:line="451" w:lineRule="auto" w:before="88"/>
        <w:ind w:left="574" w:right="1152"/>
        <w:jc w:val="left"/>
      </w:pPr>
      <w:r>
        <w:rPr/>
        <w:t>研发投入资本化的依据：详见第十一节财务报告之五、重要会计政策及会计估计之</w:t>
      </w:r>
      <w:r>
        <w:rPr>
          <w:rFonts w:ascii="Times New Roman" w:hAnsi="Times New Roman" w:cs="Times New Roman" w:eastAsia="Times New Roman" w:hint="default"/>
        </w:rPr>
        <w:t>21</w:t>
      </w:r>
      <w:r>
        <w:rPr/>
        <w:t>、无形资产。 相关内部控制的内容和执行情况：公司高度重视研发工作，以市场为导向，根据发展战略和技术进步要求，严格规范</w:t>
      </w:r>
    </w:p>
    <w:p>
      <w:pPr>
        <w:pStyle w:val="BodyText"/>
        <w:spacing w:line="240" w:lineRule="auto" w:before="74"/>
        <w:ind w:right="0"/>
        <w:jc w:val="left"/>
      </w:pPr>
      <w:r>
        <w:rPr>
          <w:spacing w:val="-4"/>
        </w:rPr>
        <w:t>研发业务关键控制环节，有效降低研发风险、保证研发质量，提高了研发工作的效率和效益，不断提高公司的自主创新能力。</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4"/>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29"/>
        <w:gridCol w:w="2244"/>
        <w:gridCol w:w="2392"/>
        <w:gridCol w:w="2392"/>
      </w:tblGrid>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2,143,725,603.53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2,419,976,662.35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-11.42%</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2,334,700,622.05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2,209,849,316.81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5.65%</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-190,975,018.52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210,127,345.54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-190.89%</w:t>
            </w:r>
            <w:r>
              <w:rPr>
                <w:rFonts w:ascii="Times New Roman"/>
                <w:sz w:val="18"/>
              </w:rPr>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906,912,544.31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824,309,891.58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10.02%</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1,557,074,967.12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980,796,975.60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58.76%</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-650,162,422.81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-156,487,084.02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-315.47%</w:t>
            </w:r>
            <w:r>
              <w:rPr>
                <w:rFonts w:ascii="Times New Roman"/>
                <w:sz w:val="18"/>
              </w:rPr>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1,525,950,059.52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728,528,000.01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109.46%</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527,507,986.78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626,979,338.01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-15.87%</w:t>
            </w:r>
          </w:p>
        </w:tc>
      </w:tr>
      <w:tr>
        <w:trPr>
          <w:trHeight w:val="402"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998,442,072.74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101,548,662.00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883.22%</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157,507,159.55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154,905,420.23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w:t>
            </w:r>
          </w:p>
        </w:tc>
      </w:tr>
    </w:tbl>
    <w:p>
      <w:pPr>
        <w:pStyle w:val="BodyText"/>
        <w:spacing w:line="240" w:lineRule="auto" w:before="51"/>
        <w:ind w:right="0"/>
        <w:jc w:val="left"/>
      </w:pPr>
      <w:r>
        <w:rPr/>
        <w:t>相关数据同比发生重大变动的主要影响因素说明</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451" w:lineRule="auto"/>
        <w:ind w:right="1137" w:firstLine="420"/>
        <w:jc w:val="left"/>
      </w:pPr>
      <w:r>
        <w:rPr>
          <w:rFonts w:ascii="Times New Roman" w:hAnsi="Times New Roman" w:cs="Times New Roman" w:eastAsia="Times New Roman" w:hint="default"/>
        </w:rPr>
        <w:t>1</w:t>
      </w:r>
      <w:r>
        <w:rPr/>
        <w:t>、经营活动产生的现金流量净额较上期下降</w:t>
      </w:r>
      <w:r>
        <w:rPr>
          <w:rFonts w:ascii="Times New Roman" w:hAnsi="Times New Roman" w:cs="Times New Roman" w:eastAsia="Times New Roman" w:hint="default"/>
        </w:rPr>
        <w:t>190.89%</w:t>
      </w:r>
      <w:r>
        <w:rPr/>
        <w:t>，主要原因是合同金额较大的分期收款项目处于实施投入阶段， 尚未形成现金流入。</w:t>
      </w:r>
    </w:p>
    <w:p>
      <w:pPr>
        <w:pStyle w:val="BodyText"/>
        <w:spacing w:line="451" w:lineRule="auto" w:before="74"/>
        <w:ind w:right="1137" w:firstLine="420"/>
        <w:jc w:val="left"/>
      </w:pPr>
      <w:r>
        <w:rPr>
          <w:rFonts w:ascii="Times New Roman" w:hAnsi="Times New Roman" w:cs="Times New Roman" w:eastAsia="Times New Roman" w:hint="default"/>
        </w:rPr>
        <w:t>2</w:t>
      </w:r>
      <w:r>
        <w:rPr/>
        <w:t>、投资活动产生的现金流量净额较上期下降</w:t>
      </w:r>
      <w:r>
        <w:rPr>
          <w:rFonts w:ascii="Times New Roman" w:hAnsi="Times New Roman" w:cs="Times New Roman" w:eastAsia="Times New Roman" w:hint="default"/>
        </w:rPr>
        <w:t>315.47%</w:t>
      </w:r>
      <w:r>
        <w:rPr/>
        <w:t>，主要原因是子公司达实租赁收回融资租赁及保理款减少、达实 信息支付达实大厦改扩建项目相关款项增加所致。</w:t>
      </w:r>
    </w:p>
    <w:p>
      <w:pPr>
        <w:pStyle w:val="BodyText"/>
        <w:spacing w:line="451" w:lineRule="auto" w:before="74"/>
        <w:ind w:right="1137" w:firstLine="420"/>
        <w:jc w:val="left"/>
      </w:pPr>
      <w:r>
        <w:rPr>
          <w:rFonts w:ascii="Times New Roman" w:hAnsi="Times New Roman" w:cs="Times New Roman" w:eastAsia="Times New Roman" w:hint="default"/>
        </w:rPr>
        <w:t>3</w:t>
      </w:r>
      <w:r>
        <w:rPr/>
        <w:t>、筹资活动产生的现金流量净额较上期增加</w:t>
      </w:r>
      <w:r>
        <w:rPr>
          <w:rFonts w:ascii="Times New Roman" w:hAnsi="Times New Roman" w:cs="Times New Roman" w:eastAsia="Times New Roman" w:hint="default"/>
        </w:rPr>
        <w:t>883.22%</w:t>
      </w:r>
      <w:r>
        <w:rPr/>
        <w:t>，主要原因是报告期内母公司在金融政策不稳定环境下以及大项 目经营周期长的特点，适当释放贷款额度保证流动性风险及子公司达实信息达实大厦改扩建项目新增长期银行借款增加所</w:t>
      </w:r>
    </w:p>
    <w:p>
      <w:pPr>
        <w:spacing w:after="0" w:line="451" w:lineRule="auto"/>
        <w:jc w:val="left"/>
        <w:sectPr>
          <w:pgSz w:w="11910" w:h="16840"/>
          <w:pgMar w:header="787" w:footer="1019" w:top="1100" w:bottom="1200" w:left="980" w:right="0"/>
        </w:sectPr>
      </w:pPr>
    </w:p>
    <w:p>
      <w:pPr>
        <w:spacing w:line="240" w:lineRule="auto" w:before="10"/>
        <w:rPr>
          <w:rFonts w:ascii="宋体" w:hAnsi="宋体" w:cs="宋体" w:eastAsia="宋体" w:hint="default"/>
          <w:sz w:val="28"/>
          <w:szCs w:val="28"/>
        </w:rPr>
      </w:pPr>
    </w:p>
    <w:p>
      <w:pPr>
        <w:pStyle w:val="BodyText"/>
        <w:spacing w:line="518" w:lineRule="auto" w:before="44"/>
        <w:ind w:right="4272"/>
        <w:jc w:val="left"/>
      </w:pPr>
      <w:r>
        <w:rPr/>
        <w:t>致。 报告期内公司经营活动产生的现金净流量与本年度净利润存在重大差异的原因说明</w:t>
      </w:r>
    </w:p>
    <w:p>
      <w:pPr>
        <w:pStyle w:val="BodyText"/>
        <w:spacing w:line="236" w:lineRule="exact"/>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463" w:lineRule="auto"/>
        <w:ind w:right="1052" w:firstLine="420"/>
        <w:jc w:val="left"/>
      </w:pPr>
      <w:r>
        <w:rPr/>
        <w:t>主要原因是本报告期跨年度长周期的大项目占比加大，工期及结算周期拉长，投入及回收分跨不同年度，加上银根紧 缩去杠杆，产业链抽水后拖欠现象普遍，达实智能作为连续十年获得</w:t>
      </w:r>
      <w:r>
        <w:rPr>
          <w:rFonts w:ascii="Times New Roman" w:hAnsi="Times New Roman" w:cs="Times New Roman" w:eastAsia="Times New Roman" w:hint="default"/>
        </w:rPr>
        <w:t>“</w:t>
      </w:r>
      <w:r>
        <w:rPr/>
        <w:t>广东守合同重信用企业</w:t>
      </w:r>
      <w:r>
        <w:rPr>
          <w:rFonts w:ascii="Times New Roman" w:hAnsi="Times New Roman" w:cs="Times New Roman" w:eastAsia="Times New Roman" w:hint="default"/>
        </w:rPr>
        <w:t>”</w:t>
      </w:r>
      <w:r>
        <w:rPr/>
        <w:t>荣誉的企业，尊重契约精神， 履行社会责任，严格按合同条款付款，采购付现比较高。</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三、非主营业务分析" w:id="39"/>
      <w:bookmarkEnd w:id="39"/>
      <w:r>
        <w:rPr>
          <w:b w:val="0"/>
          <w:bCs w:val="0"/>
        </w:rPr>
      </w:r>
      <w:r>
        <w:rPr/>
        <w:t>三、非主营业务分析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资产及负债状况分析" w:id="40"/>
      <w:bookmarkEnd w:id="40"/>
      <w:r>
        <w:rPr>
          <w:b w:val="0"/>
          <w:bCs w:val="0"/>
        </w:rPr>
      </w:r>
      <w:r>
        <w:rPr/>
        <w:t>四、资产及负债状况分析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ind w:left="0" w:right="1042"/>
        <w:jc w:val="right"/>
      </w:pPr>
      <w:r>
        <w:rPr/>
        <w:pict>
          <v:shape style="position:absolute;margin-left:57.029999pt;margin-top:-266.468262pt;width:483.55pt;height:284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65"/>
                    <w:gridCol w:w="1418"/>
                    <w:gridCol w:w="850"/>
                    <w:gridCol w:w="1419"/>
                    <w:gridCol w:w="850"/>
                    <w:gridCol w:w="709"/>
                    <w:gridCol w:w="3146"/>
                  </w:tblGrid>
                  <w:tr>
                    <w:trPr>
                      <w:trHeight w:val="205" w:hRule="exact"/>
                    </w:trPr>
                    <w:tc>
                      <w:tcPr>
                        <w:tcW w:w="1265" w:type="dxa"/>
                        <w:vMerge w:val="restart"/>
                        <w:tcBorders>
                          <w:top w:val="single" w:sz="4" w:space="0" w:color="000000"/>
                          <w:left w:val="single" w:sz="4" w:space="0" w:color="000000"/>
                          <w:right w:val="single" w:sz="4" w:space="0" w:color="000000"/>
                        </w:tcBorders>
                        <w:shd w:val="clear" w:color="auto" w:fill="D2D2D2"/>
                      </w:tcPr>
                      <w:p>
                        <w:pPr/>
                      </w:p>
                    </w:tc>
                    <w:tc>
                      <w:tcPr>
                        <w:tcW w:w="22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7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7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46" w:type="dxa"/>
                        <w:vMerge w:val="restart"/>
                        <w:tcBorders>
                          <w:top w:val="single" w:sz="4" w:space="0" w:color="000000"/>
                          <w:left w:val="single" w:sz="4" w:space="0" w:color="000000"/>
                          <w:right w:val="single" w:sz="4" w:space="0" w:color="000000"/>
                        </w:tcBorders>
                        <w:shd w:val="clear" w:color="auto" w:fill="D2D2D2"/>
                      </w:tcPr>
                      <w:p>
                        <w:pPr/>
                      </w:p>
                    </w:tc>
                  </w:tr>
                  <w:tr>
                    <w:trPr>
                      <w:trHeight w:val="176" w:hRule="exact"/>
                    </w:trPr>
                    <w:tc>
                      <w:tcPr>
                        <w:tcW w:w="1265" w:type="dxa"/>
                        <w:vMerge/>
                        <w:tcBorders>
                          <w:left w:val="single" w:sz="4" w:space="0" w:color="000000"/>
                          <w:bottom w:val="nil" w:sz="6" w:space="0" w:color="auto"/>
                          <w:right w:val="single" w:sz="4" w:space="0" w:color="000000"/>
                        </w:tcBorders>
                        <w:shd w:val="clear" w:color="auto" w:fill="D2D2D2"/>
                      </w:tcPr>
                      <w:p>
                        <w:pPr/>
                      </w:p>
                    </w:tc>
                    <w:tc>
                      <w:tcPr>
                        <w:tcW w:w="2268" w:type="dxa"/>
                        <w:gridSpan w:val="2"/>
                        <w:vMerge/>
                        <w:tcBorders>
                          <w:left w:val="single" w:sz="4" w:space="0" w:color="000000"/>
                          <w:bottom w:val="single" w:sz="4" w:space="0" w:color="000000"/>
                          <w:right w:val="single" w:sz="4" w:space="0" w:color="000000"/>
                        </w:tcBorders>
                        <w:shd w:val="clear" w:color="auto" w:fill="D2D2D2"/>
                      </w:tcPr>
                      <w:p>
                        <w:pPr/>
                      </w:p>
                    </w:tc>
                    <w:tc>
                      <w:tcPr>
                        <w:tcW w:w="2268" w:type="dxa"/>
                        <w:gridSpan w:val="2"/>
                        <w:vMerge/>
                        <w:tcBorders>
                          <w:left w:val="single" w:sz="4" w:space="0" w:color="000000"/>
                          <w:bottom w:val="single" w:sz="4" w:space="0" w:color="000000"/>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60" w:right="77" w:hanging="180"/>
                          <w:jc w:val="left"/>
                          <w:rPr>
                            <w:rFonts w:ascii="宋体" w:hAnsi="宋体" w:cs="宋体" w:eastAsia="宋体" w:hint="default"/>
                            <w:sz w:val="18"/>
                            <w:szCs w:val="18"/>
                          </w:rPr>
                        </w:pPr>
                        <w:r>
                          <w:rPr>
                            <w:rFonts w:ascii="宋体" w:hAnsi="宋体" w:cs="宋体" w:eastAsia="宋体" w:hint="default"/>
                            <w:sz w:val="18"/>
                            <w:szCs w:val="18"/>
                          </w:rPr>
                          <w:t>比重增 减</w:t>
                        </w:r>
                      </w:p>
                    </w:tc>
                    <w:tc>
                      <w:tcPr>
                        <w:tcW w:w="3146" w:type="dxa"/>
                        <w:vMerge/>
                        <w:tcBorders>
                          <w:left w:val="single" w:sz="4" w:space="0" w:color="000000"/>
                          <w:bottom w:val="nil" w:sz="6" w:space="0" w:color="auto"/>
                          <w:right w:val="single" w:sz="4" w:space="0" w:color="000000"/>
                        </w:tcBorders>
                        <w:shd w:val="clear" w:color="auto" w:fill="D2D2D2"/>
                      </w:tcPr>
                      <w:p>
                        <w:pPr/>
                      </w:p>
                    </w:tc>
                  </w:tr>
                  <w:tr>
                    <w:trPr>
                      <w:trHeight w:val="181" w:hRule="exact"/>
                    </w:trPr>
                    <w:tc>
                      <w:tcPr>
                        <w:tcW w:w="1265" w:type="dxa"/>
                        <w:vMerge w:val="restart"/>
                        <w:tcBorders>
                          <w:top w:val="nil" w:sz="6" w:space="0" w:color="auto"/>
                          <w:left w:val="single" w:sz="4" w:space="0" w:color="000000"/>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239"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240"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09" w:type="dxa"/>
                        <w:vMerge/>
                        <w:tcBorders>
                          <w:left w:val="single" w:sz="4" w:space="0" w:color="000000"/>
                          <w:right w:val="single" w:sz="4" w:space="0" w:color="000000"/>
                        </w:tcBorders>
                        <w:shd w:val="clear" w:color="auto" w:fill="D2D2D2"/>
                      </w:tcPr>
                      <w:p>
                        <w:pPr/>
                      </w:p>
                    </w:tc>
                    <w:tc>
                      <w:tcPr>
                        <w:tcW w:w="31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1027"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265" w:type="dxa"/>
                        <w:vMerge/>
                        <w:tcBorders>
                          <w:left w:val="single" w:sz="4" w:space="0" w:color="000000"/>
                          <w:bottom w:val="nil" w:sz="6" w:space="0" w:color="auto"/>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3146"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265" w:type="dxa"/>
                        <w:vMerge w:val="restart"/>
                        <w:tcBorders>
                          <w:top w:val="nil" w:sz="6" w:space="0" w:color="auto"/>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3146" w:type="dxa"/>
                        <w:vMerge w:val="restart"/>
                        <w:tcBorders>
                          <w:top w:val="nil" w:sz="6" w:space="0" w:color="auto"/>
                          <w:left w:val="single" w:sz="4" w:space="0" w:color="000000"/>
                          <w:right w:val="single" w:sz="4" w:space="0" w:color="000000"/>
                        </w:tcBorders>
                        <w:shd w:val="clear" w:color="auto" w:fill="D2D2D2"/>
                      </w:tcPr>
                      <w:p>
                        <w:pPr/>
                      </w:p>
                    </w:tc>
                  </w:tr>
                  <w:tr>
                    <w:trPr>
                      <w:trHeight w:val="173" w:hRule="exact"/>
                    </w:trPr>
                    <w:tc>
                      <w:tcPr>
                        <w:tcW w:w="1265"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4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892,377,916.11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710,989,421.21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c>
                      <w:tcPr>
                        <w:tcW w:w="31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2,138,980,416.13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1,758,638,160.79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-0.61%</w:t>
                        </w:r>
                      </w:p>
                    </w:tc>
                    <w:tc>
                      <w:tcPr>
                        <w:tcW w:w="31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332,054,359.62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286,340,219.90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-0.34%</w:t>
                        </w:r>
                      </w:p>
                    </w:tc>
                    <w:tc>
                      <w:tcPr>
                        <w:tcW w:w="31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44,627,022.66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66,115,847.38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c>
                      <w:tcPr>
                        <w:tcW w:w="31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29,455,567.84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28,798,842.88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-0.09%</w:t>
                        </w:r>
                      </w:p>
                    </w:tc>
                    <w:tc>
                      <w:tcPr>
                        <w:tcW w:w="314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162,304,668.60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166,620,641.28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-0.65%</w:t>
                        </w:r>
                      </w:p>
                    </w:tc>
                    <w:tc>
                      <w:tcPr>
                        <w:tcW w:w="3146"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686,874,782.19</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10.15%</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384,916,055.78</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7.05%</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3.10%</w:t>
                        </w:r>
                      </w:p>
                    </w:tc>
                    <w:tc>
                      <w:tcPr>
                        <w:tcW w:w="3146"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50"/>
                          <w:jc w:val="left"/>
                          <w:rPr>
                            <w:rFonts w:ascii="宋体" w:hAnsi="宋体" w:cs="宋体" w:eastAsia="宋体" w:hint="default"/>
                            <w:sz w:val="18"/>
                            <w:szCs w:val="18"/>
                          </w:rPr>
                        </w:pPr>
                        <w:r>
                          <w:rPr>
                            <w:rFonts w:ascii="宋体" w:hAnsi="宋体" w:cs="宋体" w:eastAsia="宋体" w:hint="default"/>
                            <w:sz w:val="18"/>
                            <w:szCs w:val="18"/>
                          </w:rPr>
                          <w:t>主要原因是本报告期达实大厦改扩建工 程项目投入增加所致。</w:t>
                        </w:r>
                      </w:p>
                    </w:tc>
                  </w:tr>
                  <w:tr>
                    <w:trPr>
                      <w:trHeight w:val="392"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18" w:type="dxa"/>
                        <w:vMerge/>
                        <w:tcBorders>
                          <w:left w:val="single" w:sz="9"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146" w:type="dxa"/>
                        <w:vMerge/>
                        <w:tcBorders>
                          <w:left w:val="single" w:sz="4" w:space="0" w:color="000000"/>
                          <w:right w:val="single" w:sz="4" w:space="0" w:color="000000"/>
                        </w:tcBorders>
                      </w:tcPr>
                      <w:p>
                        <w:pPr/>
                      </w:p>
                    </w:tc>
                  </w:tr>
                  <w:tr>
                    <w:trPr>
                      <w:trHeight w:val="161"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3146" w:type="dxa"/>
                        <w:vMerge/>
                        <w:tcBorders>
                          <w:left w:val="single" w:sz="4" w:space="0" w:color="000000"/>
                          <w:bottom w:val="single" w:sz="4" w:space="0" w:color="000000"/>
                          <w:right w:val="single" w:sz="4" w:space="0" w:color="000000"/>
                        </w:tcBorders>
                      </w:tcPr>
                      <w:p>
                        <w:pPr/>
                      </w:p>
                    </w:tc>
                  </w:tr>
                  <w:tr>
                    <w:trPr>
                      <w:trHeight w:val="161"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844,127,043.58</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12.48%</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368,490,150.22</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6.75%</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5.73%</w:t>
                        </w:r>
                      </w:p>
                    </w:tc>
                    <w:tc>
                      <w:tcPr>
                        <w:tcW w:w="3146"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主要原因是本报告期内母公司和子公司 久信医疗银行借款增加所致。</w:t>
                        </w:r>
                      </w:p>
                    </w:tc>
                  </w:tr>
                  <w:tr>
                    <w:trPr>
                      <w:trHeight w:val="392"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8" w:type="dxa"/>
                        <w:vMerge/>
                        <w:tcBorders>
                          <w:left w:val="single" w:sz="9"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146" w:type="dxa"/>
                        <w:vMerge/>
                        <w:tcBorders>
                          <w:left w:val="single" w:sz="4" w:space="0" w:color="000000"/>
                          <w:right w:val="single" w:sz="4" w:space="0" w:color="000000"/>
                        </w:tcBorders>
                      </w:tcPr>
                      <w:p>
                        <w:pPr/>
                      </w:p>
                    </w:tc>
                  </w:tr>
                  <w:tr>
                    <w:trPr>
                      <w:trHeight w:val="161"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3146" w:type="dxa"/>
                        <w:vMerge/>
                        <w:tcBorders>
                          <w:left w:val="single" w:sz="4" w:space="0" w:color="000000"/>
                          <w:bottom w:val="single" w:sz="4" w:space="0" w:color="000000"/>
                          <w:right w:val="single" w:sz="4" w:space="0" w:color="000000"/>
                        </w:tcBorders>
                      </w:tcPr>
                      <w:p>
                        <w:pPr/>
                      </w:p>
                    </w:tc>
                  </w:tr>
                  <w:tr>
                    <w:trPr>
                      <w:trHeight w:val="161" w:hRule="exact"/>
                    </w:trPr>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860,943,033.42</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12.73%</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233,163,273.86</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4.27%</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2" w:right="0"/>
                          <w:jc w:val="left"/>
                          <w:rPr>
                            <w:rFonts w:ascii="Times New Roman" w:hAnsi="Times New Roman" w:cs="Times New Roman" w:eastAsia="Times New Roman" w:hint="default"/>
                            <w:sz w:val="18"/>
                            <w:szCs w:val="18"/>
                          </w:rPr>
                        </w:pPr>
                        <w:r>
                          <w:rPr>
                            <w:rFonts w:ascii="Times New Roman"/>
                            <w:sz w:val="18"/>
                          </w:rPr>
                          <w:t>8.46%</w:t>
                        </w:r>
                      </w:p>
                    </w:tc>
                    <w:tc>
                      <w:tcPr>
                        <w:tcW w:w="3146"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主要原因是本报告期内母公司和子公司 </w:t>
                        </w:r>
                        <w:r>
                          <w:rPr>
                            <w:rFonts w:ascii="宋体" w:hAnsi="宋体" w:cs="宋体" w:eastAsia="宋体" w:hint="default"/>
                            <w:spacing w:val="-4"/>
                            <w:sz w:val="18"/>
                            <w:szCs w:val="18"/>
                          </w:rPr>
                          <w:t>达实信息、淮南达实银行借款增加所致</w:t>
                        </w:r>
                      </w:p>
                    </w:tc>
                  </w:tr>
                  <w:tr>
                    <w:trPr>
                      <w:trHeight w:val="391" w:hRule="exact"/>
                    </w:trPr>
                    <w:tc>
                      <w:tcPr>
                        <w:tcW w:w="12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418" w:type="dxa"/>
                        <w:vMerge/>
                        <w:tcBorders>
                          <w:left w:val="single" w:sz="9"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1419"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3146" w:type="dxa"/>
                        <w:vMerge/>
                        <w:tcBorders>
                          <w:left w:val="single" w:sz="4" w:space="0" w:color="000000"/>
                          <w:right w:val="single" w:sz="4" w:space="0" w:color="000000"/>
                        </w:tcBorders>
                      </w:tcPr>
                      <w:p>
                        <w:pPr/>
                      </w:p>
                    </w:tc>
                  </w:tr>
                  <w:tr>
                    <w:trPr>
                      <w:trHeight w:val="162" w:hRule="exact"/>
                    </w:trPr>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3146"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13"/>
        <w:rPr>
          <w:rFonts w:ascii="宋体" w:hAnsi="宋体" w:cs="宋体" w:eastAsia="宋体" w:hint="default"/>
          <w:sz w:val="27"/>
          <w:szCs w:val="27"/>
        </w:rPr>
      </w:pPr>
    </w:p>
    <w:p>
      <w:pPr>
        <w:pStyle w:val="Heading4"/>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87" w:footer="1019" w:top="1100" w:bottom="1200" w:left="980" w:right="0"/>
        </w:sectPr>
      </w:pPr>
    </w:p>
    <w:p>
      <w:pPr>
        <w:spacing w:line="240" w:lineRule="auto" w:before="7"/>
        <w:rPr>
          <w:rFonts w:ascii="宋体" w:hAnsi="宋体" w:cs="宋体" w:eastAsia="宋体" w:hint="default"/>
          <w:sz w:val="21"/>
          <w:szCs w:val="21"/>
        </w:rPr>
      </w:pPr>
    </w:p>
    <w:p>
      <w:pPr>
        <w:pStyle w:val="Heading4"/>
        <w:spacing w:line="240" w:lineRule="auto" w:before="35"/>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spacing w:val="-1"/>
        </w:rPr>
        <w:t>单位：元</w:t>
      </w:r>
    </w:p>
    <w:p>
      <w:pPr>
        <w:spacing w:line="240" w:lineRule="auto" w:before="0"/>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3004"/>
        <w:gridCol w:w="1906"/>
        <w:gridCol w:w="4749"/>
      </w:tblGrid>
      <w:tr>
        <w:trPr>
          <w:trHeight w:val="342" w:hRule="exact"/>
        </w:trPr>
        <w:tc>
          <w:tcPr>
            <w:tcW w:w="3004" w:type="dxa"/>
            <w:tcBorders>
              <w:top w:val="single" w:sz="4" w:space="0" w:color="000000"/>
              <w:left w:val="single" w:sz="4" w:space="0" w:color="000000"/>
              <w:bottom w:val="single" w:sz="4" w:space="0" w:color="000000"/>
              <w:right w:val="single" w:sz="4" w:space="0" w:color="000000"/>
            </w:tcBorders>
          </w:tcPr>
          <w:p>
            <w:pPr>
              <w:pStyle w:val="TableParagraph"/>
              <w:tabs>
                <w:tab w:pos="397"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07" w:right="0"/>
              <w:jc w:val="left"/>
              <w:rPr>
                <w:rFonts w:ascii="宋体" w:hAnsi="宋体" w:cs="宋体" w:eastAsia="宋体" w:hint="default"/>
                <w:sz w:val="18"/>
                <w:szCs w:val="18"/>
              </w:rPr>
            </w:pPr>
            <w:r>
              <w:rPr>
                <w:rFonts w:ascii="宋体" w:hAnsi="宋体" w:cs="宋体" w:eastAsia="宋体" w:hint="default"/>
                <w:sz w:val="18"/>
                <w:szCs w:val="18"/>
              </w:rPr>
              <w:t>年末账面价值</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654" w:hRule="exact"/>
        </w:trPr>
        <w:tc>
          <w:tcPr>
            <w:tcW w:w="3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8"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61"/>
              <w:jc w:val="right"/>
              <w:rPr>
                <w:rFonts w:ascii="Times New Roman" w:hAnsi="Times New Roman" w:cs="Times New Roman" w:eastAsia="Times New Roman" w:hint="default"/>
                <w:sz w:val="18"/>
                <w:szCs w:val="18"/>
              </w:rPr>
            </w:pPr>
            <w:r>
              <w:rPr>
                <w:rFonts w:ascii="Times New Roman"/>
                <w:spacing w:val="-1"/>
                <w:sz w:val="18"/>
              </w:rPr>
              <w:t>72,315,119.27</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1424" w:right="207" w:hanging="1215"/>
              <w:jc w:val="left"/>
              <w:rPr>
                <w:rFonts w:ascii="宋体" w:hAnsi="宋体" w:cs="宋体" w:eastAsia="宋体" w:hint="default"/>
                <w:sz w:val="18"/>
                <w:szCs w:val="18"/>
              </w:rPr>
            </w:pPr>
            <w:r>
              <w:rPr>
                <w:rFonts w:ascii="宋体" w:hAnsi="宋体" w:cs="宋体" w:eastAsia="宋体" w:hint="default"/>
                <w:sz w:val="18"/>
                <w:szCs w:val="18"/>
              </w:rPr>
              <w:t>保函及票据保证金、定期存款质押贷款、银行存款冻结 参见附注七、</w:t>
            </w:r>
            <w:r>
              <w:rPr>
                <w:rFonts w:ascii="Times New Roman" w:hAnsi="Times New Roman" w:cs="Times New Roman" w:eastAsia="Times New Roman" w:hint="default"/>
                <w:sz w:val="18"/>
                <w:szCs w:val="18"/>
              </w:rPr>
              <w:t>1</w:t>
            </w:r>
            <w:r>
              <w:rPr>
                <w:rFonts w:ascii="宋体" w:hAnsi="宋体" w:cs="宋体" w:eastAsia="宋体" w:hint="default"/>
                <w:sz w:val="18"/>
                <w:szCs w:val="18"/>
              </w:rPr>
              <w:t>货币资金</w:t>
            </w:r>
          </w:p>
        </w:tc>
      </w:tr>
      <w:tr>
        <w:trPr>
          <w:trHeight w:val="342" w:hRule="exact"/>
        </w:trPr>
        <w:tc>
          <w:tcPr>
            <w:tcW w:w="3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61"/>
              <w:jc w:val="right"/>
              <w:rPr>
                <w:rFonts w:ascii="Times New Roman" w:hAnsi="Times New Roman" w:cs="Times New Roman" w:eastAsia="Times New Roman" w:hint="default"/>
                <w:sz w:val="18"/>
                <w:szCs w:val="18"/>
              </w:rPr>
            </w:pPr>
            <w:r>
              <w:rPr>
                <w:rFonts w:ascii="Times New Roman"/>
                <w:spacing w:val="-1"/>
                <w:sz w:val="18"/>
              </w:rPr>
              <w:t>43,000,000.00</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有追索权的票据贴现</w:t>
            </w:r>
          </w:p>
        </w:tc>
      </w:tr>
      <w:tr>
        <w:trPr>
          <w:trHeight w:val="342" w:hRule="exact"/>
        </w:trPr>
        <w:tc>
          <w:tcPr>
            <w:tcW w:w="3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8"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61"/>
              <w:jc w:val="right"/>
              <w:rPr>
                <w:rFonts w:ascii="Times New Roman" w:hAnsi="Times New Roman" w:cs="Times New Roman" w:eastAsia="Times New Roman" w:hint="default"/>
                <w:sz w:val="18"/>
                <w:szCs w:val="18"/>
              </w:rPr>
            </w:pPr>
            <w:r>
              <w:rPr>
                <w:rFonts w:ascii="Times New Roman"/>
                <w:spacing w:val="-1"/>
                <w:sz w:val="18"/>
              </w:rPr>
              <w:t>33,412,906.11</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抵押贷款</w:t>
            </w:r>
          </w:p>
        </w:tc>
      </w:tr>
      <w:tr>
        <w:trPr>
          <w:trHeight w:val="342" w:hRule="exact"/>
        </w:trPr>
        <w:tc>
          <w:tcPr>
            <w:tcW w:w="3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8"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61"/>
              <w:jc w:val="right"/>
              <w:rPr>
                <w:rFonts w:ascii="Times New Roman" w:hAnsi="Times New Roman" w:cs="Times New Roman" w:eastAsia="Times New Roman" w:hint="default"/>
                <w:sz w:val="18"/>
                <w:szCs w:val="18"/>
              </w:rPr>
            </w:pPr>
            <w:r>
              <w:rPr>
                <w:rFonts w:ascii="Times New Roman"/>
                <w:spacing w:val="-1"/>
                <w:sz w:val="18"/>
              </w:rPr>
              <w:t>44,172,966.54</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抵押贷款</w:t>
            </w:r>
          </w:p>
        </w:tc>
      </w:tr>
      <w:tr>
        <w:trPr>
          <w:trHeight w:val="342" w:hRule="exact"/>
        </w:trPr>
        <w:tc>
          <w:tcPr>
            <w:tcW w:w="3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8"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61"/>
              <w:jc w:val="right"/>
              <w:rPr>
                <w:rFonts w:ascii="Times New Roman" w:hAnsi="Times New Roman" w:cs="Times New Roman" w:eastAsia="Times New Roman" w:hint="default"/>
                <w:sz w:val="18"/>
                <w:szCs w:val="18"/>
              </w:rPr>
            </w:pPr>
            <w:r>
              <w:rPr>
                <w:rFonts w:ascii="Times New Roman"/>
                <w:spacing w:val="-1"/>
                <w:sz w:val="18"/>
              </w:rPr>
              <w:t>629,362,388.84</w:t>
            </w:r>
          </w:p>
        </w:tc>
        <w:tc>
          <w:tcPr>
            <w:tcW w:w="4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抵押贷款</w:t>
            </w:r>
          </w:p>
        </w:tc>
      </w:tr>
      <w:tr>
        <w:trPr>
          <w:trHeight w:val="342" w:hRule="exact"/>
        </w:trPr>
        <w:tc>
          <w:tcPr>
            <w:tcW w:w="3004" w:type="dxa"/>
            <w:tcBorders>
              <w:top w:val="single" w:sz="4" w:space="0" w:color="000000"/>
              <w:left w:val="single" w:sz="4" w:space="0" w:color="000000"/>
              <w:bottom w:val="single" w:sz="4" w:space="0" w:color="000000"/>
              <w:right w:val="single" w:sz="4" w:space="0" w:color="000000"/>
            </w:tcBorders>
          </w:tcPr>
          <w:p>
            <w:pPr>
              <w:pStyle w:val="TableParagraph"/>
              <w:tabs>
                <w:tab w:pos="543" w:val="left" w:leader="none"/>
              </w:tabs>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61"/>
              <w:jc w:val="right"/>
              <w:rPr>
                <w:rFonts w:ascii="Times New Roman" w:hAnsi="Times New Roman" w:cs="Times New Roman" w:eastAsia="Times New Roman" w:hint="default"/>
                <w:sz w:val="18"/>
                <w:szCs w:val="18"/>
              </w:rPr>
            </w:pPr>
            <w:r>
              <w:rPr>
                <w:rFonts w:ascii="Times New Roman"/>
                <w:spacing w:val="-1"/>
                <w:sz w:val="18"/>
              </w:rPr>
              <w:t>822,263,380.76</w:t>
            </w:r>
          </w:p>
        </w:tc>
        <w:tc>
          <w:tcPr>
            <w:tcW w:w="47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433,231,700.00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7" w:right="0"/>
              <w:jc w:val="left"/>
              <w:rPr>
                <w:rFonts w:ascii="Times New Roman" w:hAnsi="Times New Roman" w:cs="Times New Roman" w:eastAsia="Times New Roman" w:hint="default"/>
                <w:sz w:val="18"/>
                <w:szCs w:val="18"/>
              </w:rPr>
            </w:pPr>
            <w:r>
              <w:rPr>
                <w:rFonts w:ascii="Times New Roman"/>
                <w:sz w:val="18"/>
              </w:rPr>
              <w:t>1,450,000,000.00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-70.12%</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2274"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51"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30" w:right="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7"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6"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7" w:right="34"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2"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13" w:right="3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 w:right="109"/>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111" w:right="10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70" w:right="70"/>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4"/>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58" w:right="5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171"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22" w:right="81"/>
              <w:jc w:val="both"/>
              <w:rPr>
                <w:rFonts w:ascii="宋体" w:hAnsi="宋体" w:cs="宋体" w:eastAsia="宋体" w:hint="default"/>
                <w:sz w:val="18"/>
                <w:szCs w:val="18"/>
              </w:rPr>
            </w:pPr>
            <w:r>
              <w:rPr>
                <w:rFonts w:ascii="宋体" w:hAnsi="宋体" w:cs="宋体" w:eastAsia="宋体" w:hint="default"/>
                <w:sz w:val="18"/>
                <w:szCs w:val="18"/>
              </w:rPr>
              <w:t>湖南桃 江达实 智慧医 养有限 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医疗和 健康养 生项目 投资、 建设、 运营； 医养一 体化健 康服务 经营；</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178,23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1,700.0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90.00%</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22" w:right="43"/>
              <w:jc w:val="both"/>
              <w:rPr>
                <w:rFonts w:ascii="宋体" w:hAnsi="宋体" w:cs="宋体" w:eastAsia="宋体" w:hint="default"/>
                <w:sz w:val="18"/>
                <w:szCs w:val="18"/>
              </w:rPr>
            </w:pPr>
            <w:r>
              <w:rPr>
                <w:rFonts w:ascii="宋体" w:hAnsi="宋体" w:cs="宋体" w:eastAsia="宋体" w:hint="default"/>
                <w:sz w:val="18"/>
                <w:szCs w:val="18"/>
              </w:rPr>
              <w:t>桃江县 城市建 设开发 有限责 任公司</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2033</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22" w:right="26"/>
              <w:jc w:val="left"/>
              <w:rPr>
                <w:rFonts w:ascii="宋体" w:hAnsi="宋体" w:cs="宋体" w:eastAsia="宋体" w:hint="default"/>
                <w:sz w:val="18"/>
                <w:szCs w:val="18"/>
              </w:rPr>
            </w:pPr>
            <w:r>
              <w:rPr>
                <w:rFonts w:ascii="宋体" w:hAnsi="宋体" w:cs="宋体" w:eastAsia="宋体" w:hint="default"/>
                <w:sz w:val="18"/>
                <w:szCs w:val="18"/>
              </w:rPr>
              <w:t>已实 际投 入资 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《关于 投资设 立控股 子公司 的公 </w:t>
            </w:r>
            <w:r>
              <w:rPr>
                <w:rFonts w:ascii="宋体" w:hAnsi="宋体" w:cs="宋体" w:eastAsia="宋体" w:hint="default"/>
                <w:spacing w:val="-27"/>
                <w:sz w:val="18"/>
                <w:szCs w:val="18"/>
              </w:rPr>
              <w:t>告》（公</w:t>
            </w:r>
            <w:r>
              <w:rPr>
                <w:rFonts w:ascii="宋体" w:hAnsi="宋体" w:cs="宋体" w:eastAsia="宋体" w:hint="default"/>
                <w:sz w:val="18"/>
                <w:szCs w:val="18"/>
              </w:rPr>
              <w:t> 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2018-04</w:t>
            </w:r>
          </w:p>
          <w:p>
            <w:pPr>
              <w:pStyle w:val="TableParagraph"/>
              <w:spacing w:line="240" w:lineRule="auto" w:before="6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pacing w:val="-90"/>
                <w:sz w:val="18"/>
                <w:szCs w:val="18"/>
              </w:rPr>
              <w:t>）</w:t>
            </w:r>
            <w:r>
              <w:rPr>
                <w:rFonts w:ascii="宋体" w:hAnsi="宋体" w:cs="宋体" w:eastAsia="宋体" w:hint="default"/>
                <w:sz w:val="18"/>
                <w:szCs w:val="18"/>
              </w:rPr>
              <w:t>，刊</w:t>
            </w:r>
          </w:p>
        </w:tc>
      </w:tr>
    </w:tbl>
    <w:p>
      <w:pPr>
        <w:spacing w:after="0" w:line="240" w:lineRule="auto"/>
        <w:jc w:val="left"/>
        <w:rPr>
          <w:rFonts w:ascii="宋体" w:hAnsi="宋体" w:cs="宋体" w:eastAsia="宋体" w:hint="default"/>
          <w:sz w:val="18"/>
          <w:szCs w:val="18"/>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2547"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医疗养 生服 务；健 康养生 管理及 咨询服 务。</w:t>
            </w: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登于</w:t>
            </w:r>
          </w:p>
          <w:p>
            <w:pPr>
              <w:pStyle w:val="TableParagraph"/>
              <w:spacing w:line="316" w:lineRule="auto" w:before="76"/>
              <w:ind w:left="22" w:right="5"/>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9" w:lineRule="auto" w:before="19"/>
              <w:ind w:left="22" w:right="95"/>
              <w:jc w:val="left"/>
              <w:rPr>
                <w:rFonts w:ascii="宋体" w:hAnsi="宋体" w:cs="宋体" w:eastAsia="宋体" w:hint="default"/>
                <w:sz w:val="18"/>
                <w:szCs w:val="18"/>
              </w:rPr>
            </w:pPr>
            <w:r>
              <w:rPr>
                <w:rFonts w:ascii="宋体" w:hAnsi="宋体" w:cs="宋体" w:eastAsia="宋体" w:hint="default"/>
                <w:sz w:val="18"/>
                <w:szCs w:val="18"/>
              </w:rPr>
              <w:t>《中国 证券 报》及 巨潮资 讯网。</w:t>
            </w:r>
          </w:p>
        </w:tc>
      </w:tr>
      <w:tr>
        <w:trPr>
          <w:trHeight w:val="11283"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9" w:lineRule="auto"/>
              <w:ind w:left="22" w:right="81"/>
              <w:jc w:val="both"/>
              <w:rPr>
                <w:rFonts w:ascii="宋体" w:hAnsi="宋体" w:cs="宋体" w:eastAsia="宋体" w:hint="default"/>
                <w:sz w:val="18"/>
                <w:szCs w:val="18"/>
              </w:rPr>
            </w:pPr>
            <w:r>
              <w:rPr>
                <w:rFonts w:ascii="宋体" w:hAnsi="宋体" w:cs="宋体" w:eastAsia="宋体" w:hint="default"/>
                <w:sz w:val="18"/>
                <w:szCs w:val="18"/>
              </w:rPr>
              <w:t>合肥达 实信息 科技有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互联 网、云 计算机 软件研 发与平 台服 务；物 联网系 统研发 与应用 服务； 智慧医 疗信息 系统研 发与集 成服 务；医 疗大数 据开发 与应用 服务； 医疗项 目投 资；智 能交通 含轨道 交通信 号监控 系统开 发、技 术咨 询、设 计、产 品销售 与集成 服务；</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6"/>
              <w:ind w:left="94"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61"/>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2048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9" w:lineRule="auto"/>
              <w:ind w:left="22" w:right="26"/>
              <w:jc w:val="left"/>
              <w:rPr>
                <w:rFonts w:ascii="宋体" w:hAnsi="宋体" w:cs="宋体" w:eastAsia="宋体" w:hint="default"/>
                <w:sz w:val="18"/>
                <w:szCs w:val="18"/>
              </w:rPr>
            </w:pPr>
            <w:r>
              <w:rPr>
                <w:rFonts w:ascii="宋体" w:hAnsi="宋体" w:cs="宋体" w:eastAsia="宋体" w:hint="default"/>
                <w:sz w:val="18"/>
                <w:szCs w:val="18"/>
              </w:rPr>
              <w:t>已实 际投 入资 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46" w:right="0"/>
              <w:jc w:val="lef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345" w:right="0"/>
              <w:jc w:val="lef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8"/>
              <w:ind w:left="22" w:right="23"/>
              <w:jc w:val="left"/>
              <w:rPr>
                <w:rFonts w:ascii="宋体" w:hAnsi="宋体" w:cs="宋体" w:eastAsia="宋体" w:hint="default"/>
                <w:sz w:val="18"/>
                <w:szCs w:val="18"/>
              </w:rPr>
            </w:pPr>
            <w:r>
              <w:rPr>
                <w:rFonts w:ascii="宋体" w:hAnsi="宋体" w:cs="宋体" w:eastAsia="宋体" w:hint="default"/>
                <w:sz w:val="18"/>
                <w:szCs w:val="18"/>
              </w:rPr>
              <w:t>《关于 投资设 立全资 子公司 的公 </w:t>
            </w:r>
            <w:r>
              <w:rPr>
                <w:rFonts w:ascii="宋体" w:hAnsi="宋体" w:cs="宋体" w:eastAsia="宋体" w:hint="default"/>
                <w:spacing w:val="-27"/>
                <w:sz w:val="18"/>
                <w:szCs w:val="18"/>
              </w:rPr>
              <w:t>告》（公</w:t>
            </w:r>
            <w:r>
              <w:rPr>
                <w:rFonts w:ascii="宋体" w:hAnsi="宋体" w:cs="宋体" w:eastAsia="宋体" w:hint="default"/>
                <w:sz w:val="18"/>
                <w:szCs w:val="18"/>
              </w:rPr>
              <w:t> 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2018-07</w:t>
            </w:r>
          </w:p>
          <w:p>
            <w:pPr>
              <w:pStyle w:val="TableParagraph"/>
              <w:spacing w:line="300" w:lineRule="auto" w:before="65"/>
              <w:ind w:left="22" w:right="95"/>
              <w:jc w:val="left"/>
              <w:rPr>
                <w:rFonts w:ascii="宋体" w:hAnsi="宋体" w:cs="宋体" w:eastAsia="宋体" w:hint="default"/>
                <w:sz w:val="18"/>
                <w:szCs w:val="18"/>
              </w:rPr>
            </w:pPr>
            <w:r>
              <w:rPr>
                <w:rFonts w:ascii="Times New Roman" w:hAnsi="Times New Roman" w:cs="Times New Roman" w:eastAsia="Times New Roman" w:hint="default"/>
                <w:spacing w:val="-23"/>
                <w:sz w:val="18"/>
                <w:szCs w:val="18"/>
              </w:rPr>
              <w:t>9</w:t>
            </w:r>
            <w:r>
              <w:rPr>
                <w:rFonts w:ascii="宋体" w:hAnsi="宋体" w:cs="宋体" w:eastAsia="宋体" w:hint="default"/>
                <w:spacing w:val="-23"/>
                <w:sz w:val="18"/>
                <w:szCs w:val="18"/>
              </w:rPr>
              <w:t>），刊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登于</w:t>
            </w:r>
          </w:p>
          <w:p>
            <w:pPr>
              <w:pStyle w:val="TableParagraph"/>
              <w:spacing w:line="316" w:lineRule="auto" w:before="31"/>
              <w:ind w:left="22" w:right="5"/>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9" w:lineRule="auto" w:before="19"/>
              <w:ind w:left="22" w:right="95"/>
              <w:jc w:val="left"/>
              <w:rPr>
                <w:rFonts w:ascii="宋体" w:hAnsi="宋体" w:cs="宋体" w:eastAsia="宋体" w:hint="default"/>
                <w:sz w:val="18"/>
                <w:szCs w:val="18"/>
              </w:rPr>
            </w:pPr>
            <w:r>
              <w:rPr>
                <w:rFonts w:ascii="宋体" w:hAnsi="宋体" w:cs="宋体" w:eastAsia="宋体" w:hint="default"/>
                <w:sz w:val="18"/>
                <w:szCs w:val="18"/>
              </w:rPr>
              <w:t>《中国 证券 报》及 巨潮资 讯网。</w:t>
            </w:r>
          </w:p>
        </w:tc>
      </w:tr>
    </w:tbl>
    <w:p>
      <w:pPr>
        <w:spacing w:after="0" w:line="319" w:lineRule="auto"/>
        <w:jc w:val="left"/>
        <w:rPr>
          <w:rFonts w:ascii="宋体" w:hAnsi="宋体" w:cs="宋体" w:eastAsia="宋体" w:hint="default"/>
          <w:sz w:val="18"/>
          <w:szCs w:val="18"/>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12219"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智能建 筑系统 开发与 集成、 技术咨 询、设 计；机 电总包 服务； 智能 卡、智 能管 控、安 防监 控、终 端设备 与软件 的研 发、销 售及应 用服 务；能 源监测 与节能 服务； 合同能 源管理 服务； 新能源 技术开 发和咨 询设计 服务； 售电业 务；电 网项目 投资建 设服 务。</w:t>
            </w: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611" w:hRule="exact"/>
        </w:trPr>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81"/>
              <w:jc w:val="both"/>
              <w:rPr>
                <w:rFonts w:ascii="宋体" w:hAnsi="宋体" w:cs="宋体" w:eastAsia="宋体" w:hint="default"/>
                <w:sz w:val="18"/>
                <w:szCs w:val="18"/>
              </w:rPr>
            </w:pPr>
            <w:r>
              <w:rPr>
                <w:rFonts w:ascii="宋体" w:hAnsi="宋体" w:cs="宋体" w:eastAsia="宋体" w:hint="default"/>
                <w:sz w:val="18"/>
                <w:szCs w:val="18"/>
              </w:rPr>
              <w:t>深圳达 实智慧 医疗有 限公司</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互联网 医疗服 务、互 联网、 云计算</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26"/>
              <w:jc w:val="left"/>
              <w:rPr>
                <w:rFonts w:ascii="宋体" w:hAnsi="宋体" w:cs="宋体" w:eastAsia="宋体" w:hint="default"/>
                <w:sz w:val="18"/>
                <w:szCs w:val="18"/>
              </w:rPr>
            </w:pPr>
            <w:r>
              <w:rPr>
                <w:rFonts w:ascii="宋体" w:hAnsi="宋体" w:cs="宋体" w:eastAsia="宋体" w:hint="default"/>
                <w:sz w:val="18"/>
                <w:szCs w:val="18"/>
              </w:rPr>
              <w:t>已实 际投 入资 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《关于 深圳大 鹏新区 全资子 公司完</w:t>
            </w:r>
          </w:p>
        </w:tc>
      </w:tr>
    </w:tbl>
    <w:p>
      <w:pPr>
        <w:spacing w:after="0" w:line="316" w:lineRule="auto"/>
        <w:jc w:val="both"/>
        <w:rPr>
          <w:rFonts w:ascii="宋体" w:hAnsi="宋体" w:cs="宋体" w:eastAsia="宋体" w:hint="default"/>
          <w:sz w:val="18"/>
          <w:szCs w:val="18"/>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13740"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软件与 平台服 务；物 联网系 统研发 与应用 服务； 智慧医 疗信息 系统研 发与集 成服 务；医 疗大数 据开发 与应用 服务； 医疗专 业系统 咨询、 设计、 集成服 务；医 疗大数 据与人 工智能 开发和 生产</w:t>
            </w:r>
          </w:p>
          <w:p>
            <w:pPr>
              <w:pStyle w:val="TableParagraph"/>
              <w:spacing w:line="316" w:lineRule="auto" w:before="19"/>
              <w:ind w:left="22" w:right="20"/>
              <w:jc w:val="left"/>
              <w:rPr>
                <w:rFonts w:ascii="宋体" w:hAnsi="宋体" w:cs="宋体" w:eastAsia="宋体" w:hint="default"/>
                <w:sz w:val="18"/>
                <w:szCs w:val="18"/>
              </w:rPr>
            </w:pPr>
            <w:r>
              <w:rPr>
                <w:rFonts w:ascii="宋体" w:hAnsi="宋体" w:cs="宋体" w:eastAsia="宋体" w:hint="default"/>
                <w:sz w:val="18"/>
                <w:szCs w:val="18"/>
              </w:rPr>
              <w:t>（不含 限制项 </w:t>
            </w:r>
            <w:r>
              <w:rPr>
                <w:rFonts w:ascii="宋体" w:hAnsi="宋体" w:cs="宋体" w:eastAsia="宋体" w:hint="default"/>
                <w:spacing w:val="-31"/>
                <w:sz w:val="18"/>
                <w:szCs w:val="18"/>
              </w:rPr>
              <w:t>目）；城</w:t>
            </w:r>
            <w:r>
              <w:rPr>
                <w:rFonts w:ascii="宋体" w:hAnsi="宋体" w:cs="宋体" w:eastAsia="宋体" w:hint="default"/>
                <w:sz w:val="18"/>
                <w:szCs w:val="18"/>
              </w:rPr>
              <w:t> 市智慧 医疗创 新研 究；智 慧医院 建设和 运营管 理；智 慧医疗 展览和 体验； 能源监 测与节</w:t>
            </w: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95"/>
              <w:jc w:val="both"/>
              <w:rPr>
                <w:rFonts w:ascii="宋体" w:hAnsi="宋体" w:cs="宋体" w:eastAsia="宋体" w:hint="default"/>
                <w:sz w:val="18"/>
                <w:szCs w:val="18"/>
              </w:rPr>
            </w:pPr>
            <w:r>
              <w:rPr>
                <w:rFonts w:ascii="宋体" w:hAnsi="宋体" w:cs="宋体" w:eastAsia="宋体" w:hint="default"/>
                <w:sz w:val="18"/>
                <w:szCs w:val="18"/>
              </w:rPr>
              <w:t>成工商 注册的 公告》</w:t>
            </w:r>
          </w:p>
          <w:p>
            <w:pPr>
              <w:pStyle w:val="TableParagraph"/>
              <w:spacing w:line="338" w:lineRule="auto" w:before="19"/>
              <w:ind w:left="22" w:right="35"/>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2018-00</w:t>
            </w:r>
          </w:p>
          <w:p>
            <w:pPr>
              <w:pStyle w:val="TableParagraph"/>
              <w:spacing w:line="233"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pacing w:val="-90"/>
                <w:sz w:val="18"/>
                <w:szCs w:val="18"/>
              </w:rPr>
              <w:t>）</w:t>
            </w:r>
            <w:r>
              <w:rPr>
                <w:rFonts w:ascii="宋体" w:hAnsi="宋体" w:cs="宋体" w:eastAsia="宋体" w:hint="default"/>
                <w:sz w:val="18"/>
                <w:szCs w:val="18"/>
              </w:rPr>
              <w:t>，刊</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登于</w:t>
            </w:r>
          </w:p>
          <w:p>
            <w:pPr>
              <w:pStyle w:val="TableParagraph"/>
              <w:spacing w:line="316" w:lineRule="auto" w:before="76"/>
              <w:ind w:left="22" w:right="5"/>
              <w:jc w:val="both"/>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23"/>
                <w:sz w:val="18"/>
                <w:szCs w:val="18"/>
              </w:rPr>
              <w:t>时报》、</w:t>
            </w:r>
          </w:p>
          <w:p>
            <w:pPr>
              <w:pStyle w:val="TableParagraph"/>
              <w:spacing w:line="319" w:lineRule="auto" w:before="19"/>
              <w:ind w:left="22" w:right="95"/>
              <w:jc w:val="left"/>
              <w:rPr>
                <w:rFonts w:ascii="宋体" w:hAnsi="宋体" w:cs="宋体" w:eastAsia="宋体" w:hint="default"/>
                <w:sz w:val="18"/>
                <w:szCs w:val="18"/>
              </w:rPr>
            </w:pPr>
            <w:r>
              <w:rPr>
                <w:rFonts w:ascii="宋体" w:hAnsi="宋体" w:cs="宋体" w:eastAsia="宋体" w:hint="default"/>
                <w:sz w:val="18"/>
                <w:szCs w:val="18"/>
              </w:rPr>
              <w:t>《中国 证券 报》及 巨潮资 讯网。</w:t>
            </w:r>
          </w:p>
        </w:tc>
      </w:tr>
    </w:tbl>
    <w:p>
      <w:pPr>
        <w:spacing w:after="0" w:line="319" w:lineRule="auto"/>
        <w:jc w:val="left"/>
        <w:rPr>
          <w:rFonts w:ascii="宋体" w:hAnsi="宋体" w:cs="宋体" w:eastAsia="宋体" w:hint="default"/>
          <w:sz w:val="18"/>
          <w:szCs w:val="18"/>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3"/>
        <w:gridCol w:w="690"/>
        <w:gridCol w:w="690"/>
        <w:gridCol w:w="668"/>
      </w:tblGrid>
      <w:tr>
        <w:trPr>
          <w:trHeight w:val="3171"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能服 务；合 同能源 管理服 务；新 能源技 术开发 和咨询 设计服 务。</w:t>
            </w: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3"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368,23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1,700.0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6" w:right="0"/>
              <w:jc w:val="left"/>
              <w:rPr>
                <w:rFonts w:ascii="Times New Roman" w:hAnsi="Times New Roman" w:cs="Times New Roman" w:eastAsia="Times New Roman" w:hint="default"/>
                <w:sz w:val="18"/>
                <w:szCs w:val="18"/>
              </w:rPr>
            </w:pPr>
            <w:r>
              <w:rPr>
                <w:rFonts w:ascii="Times New Roman"/>
                <w:sz w:val="18"/>
              </w:rPr>
              <w:t>0.00</w:t>
            </w:r>
          </w:p>
        </w:tc>
        <w:tc>
          <w:tcPr>
            <w:tcW w:w="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0.00</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650"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3" w:right="91"/>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3"/>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3"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539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159"/>
              <w:jc w:val="both"/>
              <w:rPr>
                <w:rFonts w:ascii="宋体" w:hAnsi="宋体" w:cs="宋体" w:eastAsia="宋体" w:hint="default"/>
                <w:sz w:val="18"/>
                <w:szCs w:val="18"/>
              </w:rPr>
            </w:pPr>
            <w:r>
              <w:rPr>
                <w:rFonts w:ascii="宋体" w:hAnsi="宋体" w:cs="宋体" w:eastAsia="宋体" w:hint="default"/>
                <w:sz w:val="18"/>
                <w:szCs w:val="18"/>
              </w:rPr>
              <w:t>达实智 能大厦 改扩建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290,870,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050.77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629,362,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388.84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自有资 </w:t>
            </w:r>
            <w:r>
              <w:rPr>
                <w:rFonts w:ascii="宋体" w:hAnsi="宋体" w:cs="宋体" w:eastAsia="宋体" w:hint="default"/>
                <w:spacing w:val="-10"/>
                <w:sz w:val="18"/>
                <w:szCs w:val="18"/>
              </w:rPr>
              <w:t>金、金融</w:t>
            </w:r>
            <w:r>
              <w:rPr>
                <w:rFonts w:ascii="宋体" w:hAnsi="宋体" w:cs="宋体" w:eastAsia="宋体" w:hint="default"/>
                <w:sz w:val="18"/>
                <w:szCs w:val="18"/>
              </w:rPr>
              <w:t> 机构贷 款</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90.00%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正常进 行中</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《关于 全资子 公司物 业改扩 建追加 投资的 公告》</w:t>
            </w:r>
          </w:p>
          <w:p>
            <w:pPr>
              <w:pStyle w:val="TableParagraph"/>
              <w:spacing w:line="338" w:lineRule="auto" w:before="19"/>
              <w:ind w:left="22" w:right="101"/>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2016-03</w:t>
            </w:r>
          </w:p>
          <w:p>
            <w:pPr>
              <w:pStyle w:val="TableParagraph"/>
              <w:spacing w:line="233" w:lineRule="exact"/>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pacing w:val="-90"/>
                <w:sz w:val="18"/>
                <w:szCs w:val="18"/>
              </w:rPr>
              <w:t>）</w:t>
            </w:r>
            <w:r>
              <w:rPr>
                <w:rFonts w:ascii="宋体" w:hAnsi="宋体" w:cs="宋体" w:eastAsia="宋体" w:hint="default"/>
                <w:spacing w:val="-40"/>
                <w:sz w:val="18"/>
                <w:szCs w:val="18"/>
              </w:rPr>
              <w:t>，</w:t>
            </w:r>
            <w:r>
              <w:rPr>
                <w:rFonts w:ascii="宋体" w:hAnsi="宋体" w:cs="宋体" w:eastAsia="宋体" w:hint="default"/>
                <w:sz w:val="18"/>
                <w:szCs w:val="18"/>
              </w:rPr>
              <w:t>刊登</w:t>
            </w:r>
          </w:p>
          <w:p>
            <w:pPr>
              <w:pStyle w:val="TableParagraph"/>
              <w:spacing w:line="316" w:lineRule="auto" w:before="63"/>
              <w:ind w:left="22" w:right="20"/>
              <w:jc w:val="left"/>
              <w:rPr>
                <w:rFonts w:ascii="宋体" w:hAnsi="宋体" w:cs="宋体" w:eastAsia="宋体" w:hint="default"/>
                <w:sz w:val="18"/>
                <w:szCs w:val="18"/>
              </w:rPr>
            </w:pPr>
            <w:r>
              <w:rPr>
                <w:rFonts w:ascii="宋体" w:hAnsi="宋体" w:cs="宋体" w:eastAsia="宋体" w:hint="default"/>
                <w:spacing w:val="-10"/>
                <w:sz w:val="18"/>
                <w:szCs w:val="18"/>
              </w:rPr>
              <w:t>于《证券</w:t>
            </w:r>
            <w:r>
              <w:rPr>
                <w:rFonts w:ascii="宋体" w:hAnsi="宋体" w:cs="宋体" w:eastAsia="宋体" w:hint="default"/>
                <w:sz w:val="18"/>
                <w:szCs w:val="18"/>
              </w:rPr>
              <w:t> </w:t>
            </w:r>
            <w:r>
              <w:rPr>
                <w:rFonts w:ascii="宋体" w:hAnsi="宋体" w:cs="宋体" w:eastAsia="宋体" w:hint="default"/>
                <w:spacing w:val="-23"/>
                <w:sz w:val="18"/>
                <w:szCs w:val="18"/>
              </w:rPr>
              <w:t>时报》、</w:t>
            </w:r>
          </w:p>
          <w:p>
            <w:pPr>
              <w:pStyle w:val="TableParagraph"/>
              <w:spacing w:line="319" w:lineRule="auto" w:before="19"/>
              <w:ind w:left="22" w:right="-17"/>
              <w:jc w:val="left"/>
              <w:rPr>
                <w:rFonts w:ascii="宋体" w:hAnsi="宋体" w:cs="宋体" w:eastAsia="宋体" w:hint="default"/>
                <w:sz w:val="18"/>
                <w:szCs w:val="18"/>
              </w:rPr>
            </w:pPr>
            <w:r>
              <w:rPr>
                <w:rFonts w:ascii="宋体" w:hAnsi="宋体" w:cs="宋体" w:eastAsia="宋体" w:hint="default"/>
                <w:sz w:val="18"/>
                <w:szCs w:val="18"/>
              </w:rPr>
              <w:t>《中国 证券报》 及巨潮 资讯网。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290,870,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050.77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629,362,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388.84</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8"/>
        <w:rPr>
          <w:rFonts w:ascii="宋体" w:hAnsi="宋体" w:cs="宋体" w:eastAsia="宋体" w:hint="default"/>
          <w:sz w:val="21"/>
          <w:szCs w:val="21"/>
        </w:rPr>
      </w:pPr>
    </w:p>
    <w:p>
      <w:pPr>
        <w:pStyle w:val="Heading4"/>
        <w:spacing w:line="240" w:lineRule="auto" w:before="35"/>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240" w:lineRule="auto"/>
        <w:ind w:left="574" w:right="0"/>
        <w:jc w:val="left"/>
      </w:pPr>
      <w:r>
        <w:rPr/>
        <w:t>公司报告期无募集资金使用情况。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pStyle w:val="Heading2"/>
        <w:spacing w:line="240" w:lineRule="auto"/>
        <w:ind w:right="0"/>
        <w:jc w:val="left"/>
        <w:rPr>
          <w:b w:val="0"/>
          <w:bCs w:val="0"/>
        </w:rPr>
      </w:pPr>
      <w:bookmarkStart w:name="六、重大资产和股权出售" w:id="50"/>
      <w:bookmarkEnd w:id="50"/>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1"/>
      <w:bookmarkEnd w:id="51"/>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240" w:lineRule="auto"/>
        <w:ind w:left="574" w:right="0"/>
        <w:jc w:val="left"/>
      </w:pPr>
      <w:r>
        <w:rPr/>
        <w:t>公司报告期未出售重大资产。</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4"/>
        <w:spacing w:line="240" w:lineRule="auto"/>
        <w:ind w:right="0"/>
        <w:jc w:val="left"/>
        <w:rPr>
          <w:b w:val="0"/>
          <w:bCs w:val="0"/>
        </w:rPr>
      </w:pPr>
      <w:bookmarkStart w:name="2、出售重大股权情况" w:id="52"/>
      <w:bookmarkEnd w:id="52"/>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3834"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66"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795"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臻龙投 资</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316" w:lineRule="auto"/>
              <w:ind w:left="22" w:right="48"/>
              <w:jc w:val="left"/>
              <w:rPr>
                <w:rFonts w:ascii="Times New Roman" w:hAnsi="Times New Roman" w:cs="Times New Roman" w:eastAsia="Times New Roman" w:hint="default"/>
                <w:sz w:val="18"/>
                <w:szCs w:val="18"/>
              </w:rPr>
            </w:pPr>
            <w:r>
              <w:rPr>
                <w:rFonts w:ascii="宋体" w:hAnsi="宋体" w:cs="宋体" w:eastAsia="宋体" w:hint="default"/>
                <w:sz w:val="18"/>
                <w:szCs w:val="18"/>
              </w:rPr>
              <w:t>达实联 欣 </w:t>
            </w:r>
            <w:r>
              <w:rPr>
                <w:rFonts w:ascii="Times New Roman" w:hAnsi="Times New Roman" w:cs="Times New Roman" w:eastAsia="Times New Roman" w:hint="default"/>
                <w:sz w:val="18"/>
                <w:szCs w:val="18"/>
              </w:rPr>
              <w:t>34%</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55" w:right="0"/>
              <w:jc w:val="left"/>
              <w:rPr>
                <w:rFonts w:ascii="Times New Roman" w:hAnsi="Times New Roman" w:cs="Times New Roman" w:eastAsia="Times New Roman" w:hint="default"/>
                <w:sz w:val="18"/>
                <w:szCs w:val="18"/>
              </w:rPr>
            </w:pPr>
            <w:r>
              <w:rPr>
                <w:rFonts w:ascii="Times New Roman"/>
                <w:sz w:val="18"/>
              </w:rPr>
              <w:t>12,240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57" w:right="0"/>
              <w:jc w:val="left"/>
              <w:rPr>
                <w:rFonts w:ascii="Times New Roman" w:hAnsi="Times New Roman" w:cs="Times New Roman" w:eastAsia="Times New Roman" w:hint="default"/>
                <w:sz w:val="18"/>
                <w:szCs w:val="18"/>
              </w:rPr>
            </w:pPr>
            <w:r>
              <w:rPr>
                <w:rFonts w:ascii="Times New Roman"/>
                <w:sz w:val="18"/>
              </w:rPr>
              <w:t>523.95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2" w:right="108"/>
              <w:jc w:val="both"/>
              <w:rPr>
                <w:rFonts w:ascii="宋体" w:hAnsi="宋体" w:cs="宋体" w:eastAsia="宋体" w:hint="default"/>
                <w:sz w:val="18"/>
                <w:szCs w:val="18"/>
              </w:rPr>
            </w:pPr>
            <w:r>
              <w:rPr>
                <w:rFonts w:ascii="宋体" w:hAnsi="宋体" w:cs="宋体" w:eastAsia="宋体" w:hint="default"/>
                <w:sz w:val="18"/>
                <w:szCs w:val="18"/>
              </w:rPr>
              <w:t>有利于 进一步 优化公 司战略 布局以 及整体 资源配 置</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25" w:right="0"/>
              <w:jc w:val="left"/>
              <w:rPr>
                <w:rFonts w:ascii="Times New Roman" w:hAnsi="Times New Roman" w:cs="Times New Roman" w:eastAsia="Times New Roman" w:hint="default"/>
                <w:sz w:val="18"/>
                <w:szCs w:val="18"/>
              </w:rPr>
            </w:pPr>
            <w:r>
              <w:rPr>
                <w:rFonts w:ascii="Times New Roman"/>
                <w:sz w:val="18"/>
              </w:rPr>
              <w:t>-7.74%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结合达 实联欣 的经审 计后的 财务数 据和经 营情 况，经 交易各 方商议 定价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48"/>
              <w:jc w:val="left"/>
              <w:rPr>
                <w:rFonts w:ascii="宋体" w:hAnsi="宋体" w:cs="宋体" w:eastAsia="宋体" w:hint="default"/>
                <w:sz w:val="18"/>
                <w:szCs w:val="18"/>
              </w:rPr>
            </w:pPr>
            <w:r>
              <w:rPr>
                <w:rFonts w:ascii="宋体" w:hAnsi="宋体" w:cs="宋体" w:eastAsia="宋体" w:hint="default"/>
                <w:sz w:val="18"/>
                <w:szCs w:val="18"/>
              </w:rPr>
              <w:t>持有本 公司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 股份的 贾虹女 士为臻 龙投资 的执行 事务合 伙人</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如期实 施</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《关于 转让子 公司股 权暨关 联交易 的公 </w:t>
            </w:r>
            <w:r>
              <w:rPr>
                <w:rFonts w:ascii="宋体" w:hAnsi="宋体" w:cs="宋体" w:eastAsia="宋体" w:hint="default"/>
                <w:spacing w:val="-24"/>
                <w:sz w:val="18"/>
                <w:szCs w:val="18"/>
              </w:rPr>
              <w:t>告》（公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告编 号：</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2018-04</w:t>
            </w:r>
          </w:p>
          <w:p>
            <w:pPr>
              <w:pStyle w:val="TableParagraph"/>
              <w:spacing w:line="300" w:lineRule="auto" w:before="65"/>
              <w:ind w:left="22" w:right="108"/>
              <w:jc w:val="left"/>
              <w:rPr>
                <w:rFonts w:ascii="宋体" w:hAnsi="宋体" w:cs="宋体" w:eastAsia="宋体" w:hint="default"/>
                <w:sz w:val="18"/>
                <w:szCs w:val="18"/>
              </w:rPr>
            </w:pPr>
            <w:r>
              <w:rPr>
                <w:rFonts w:ascii="Times New Roman" w:hAnsi="Times New Roman" w:cs="Times New Roman" w:eastAsia="Times New Roman" w:hint="default"/>
                <w:spacing w:val="-23"/>
                <w:sz w:val="18"/>
                <w:szCs w:val="18"/>
              </w:rPr>
              <w:t>5</w:t>
            </w:r>
            <w:r>
              <w:rPr>
                <w:rFonts w:ascii="宋体" w:hAnsi="宋体" w:cs="宋体" w:eastAsia="宋体" w:hint="default"/>
                <w:spacing w:val="-23"/>
                <w:sz w:val="18"/>
                <w:szCs w:val="18"/>
              </w:rPr>
              <w:t>），刊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登于</w:t>
            </w:r>
          </w:p>
        </w:tc>
      </w:tr>
    </w:tbl>
    <w:p>
      <w:pPr>
        <w:spacing w:after="0" w:line="300" w:lineRule="auto"/>
        <w:jc w:val="left"/>
        <w:rPr>
          <w:rFonts w:ascii="宋体" w:hAnsi="宋体" w:cs="宋体" w:eastAsia="宋体"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317" w:hRule="exact"/>
        </w:trPr>
        <w:tc>
          <w:tcPr>
            <w:tcW w:w="686"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w:t>
            </w: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时报</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证券</w:t>
            </w:r>
          </w:p>
        </w:tc>
      </w:tr>
      <w:tr>
        <w:trPr>
          <w:trHeight w:val="312"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报》及</w:t>
            </w:r>
          </w:p>
        </w:tc>
      </w:tr>
      <w:tr>
        <w:trPr>
          <w:trHeight w:val="313" w:hRule="exact"/>
        </w:trPr>
        <w:tc>
          <w:tcPr>
            <w:tcW w:w="686"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巨潮资</w:t>
            </w:r>
          </w:p>
        </w:tc>
      </w:tr>
      <w:tr>
        <w:trPr>
          <w:trHeight w:val="357" w:hRule="exact"/>
        </w:trPr>
        <w:tc>
          <w:tcPr>
            <w:tcW w:w="686"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讯网。</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七、主要控股参股公司分析" w:id="53"/>
      <w:bookmarkEnd w:id="53"/>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87" w:footer="1019" w:top="1100" w:bottom="1200" w:left="980" w:right="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100" w:bottom="120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51"/>
        <w:gridCol w:w="851"/>
        <w:gridCol w:w="1028"/>
        <w:gridCol w:w="956"/>
        <w:gridCol w:w="1316"/>
        <w:gridCol w:w="1182"/>
        <w:gridCol w:w="1181"/>
        <w:gridCol w:w="1151"/>
        <w:gridCol w:w="1151"/>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5"/>
              <w:jc w:val="center"/>
              <w:rPr>
                <w:rFonts w:ascii="宋体" w:hAnsi="宋体" w:cs="宋体" w:eastAsia="宋体" w:hint="default"/>
                <w:sz w:val="18"/>
                <w:szCs w:val="18"/>
              </w:rPr>
            </w:pPr>
            <w:r>
              <w:rPr>
                <w:rFonts w:ascii="宋体" w:hAnsi="宋体" w:cs="宋体" w:eastAsia="宋体" w:hint="default"/>
                <w:sz w:val="18"/>
                <w:szCs w:val="18"/>
              </w:rPr>
              <w:t>久信医疗</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数字化手术 与洁净手术 室</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1,158,625,321.83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525,043,958.84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807,514,281.71</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93,348,675.80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80,796,528.37</w:t>
            </w:r>
          </w:p>
        </w:tc>
      </w:tr>
      <w:tr>
        <w:trPr>
          <w:trHeight w:val="1026"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75"/>
              <w:jc w:val="center"/>
              <w:rPr>
                <w:rFonts w:ascii="宋体" w:hAnsi="宋体" w:cs="宋体" w:eastAsia="宋体" w:hint="default"/>
                <w:sz w:val="18"/>
                <w:szCs w:val="18"/>
              </w:rPr>
            </w:pPr>
            <w:r>
              <w:rPr>
                <w:rFonts w:ascii="宋体" w:hAnsi="宋体" w:cs="宋体" w:eastAsia="宋体" w:hint="default"/>
                <w:sz w:val="18"/>
                <w:szCs w:val="18"/>
              </w:rPr>
              <w:t>达实信息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身份识别与 出入口控制 产品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1,117,142,636.44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378,187,535.41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138,634,081.32</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11,472,257.83</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10,170,292.68</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5"/>
              <w:jc w:val="center"/>
              <w:rPr>
                <w:rFonts w:ascii="宋体" w:hAnsi="宋体" w:cs="宋体" w:eastAsia="宋体" w:hint="default"/>
                <w:sz w:val="18"/>
                <w:szCs w:val="18"/>
              </w:rPr>
            </w:pPr>
            <w:r>
              <w:rPr>
                <w:rFonts w:ascii="宋体" w:hAnsi="宋体" w:cs="宋体" w:eastAsia="宋体" w:hint="default"/>
                <w:sz w:val="18"/>
                <w:szCs w:val="18"/>
              </w:rPr>
              <w:t>达实租赁</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684,176,479.24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269,777,712.81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41,172,101.50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-32,406,434.69</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-22,979,352.40</w:t>
            </w:r>
          </w:p>
        </w:tc>
      </w:tr>
    </w:tbl>
    <w:p>
      <w:pPr>
        <w:pStyle w:val="BodyText"/>
        <w:spacing w:line="240" w:lineRule="auto" w:before="51"/>
        <w:ind w:right="0"/>
        <w:jc w:val="left"/>
      </w:pPr>
      <w:r>
        <w:rPr/>
        <w:t>报告期内取得和处置子公司的情况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240" w:lineRule="auto" w:before="44"/>
        <w:ind w:left="0" w:right="1139"/>
        <w:jc w:val="right"/>
      </w:pPr>
      <w:r>
        <w:rPr/>
        <w:pict>
          <v:shape style="position:absolute;margin-left:56.459999pt;margin-top:-36.518280pt;width:479.25pt;height:297.3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258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桃江达实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有助于加强公司在湖南地区的综合业务 开拓能力，通过应用先进的移动互联网 大数据与人工智能技术，建设以临床医 疗为核心、以患者服务为导向的新一代 智慧医疗信息平台，对公司全面实施智 慧医疗建设和运营服务的发展战略、扩 大公司区域影响力、实现公司的全国化 扩张具有一定的促进作用。</w:t>
                        </w:r>
                      </w:p>
                    </w:tc>
                  </w:tr>
                  <w:tr>
                    <w:trPr>
                      <w:trHeight w:val="133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达实医疗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是公司实现业务拓展、产业升级的重要 布署，聚焦医疗大数据、人工智能等先 进技术服务于新经济、新医疗，实现公 司的可持续增长。</w:t>
                        </w:r>
                      </w:p>
                    </w:tc>
                  </w:tr>
                  <w:tr>
                    <w:trPr>
                      <w:trHeight w:val="1611"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达实科技（成都）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有助于加强公司在四川地区的综合业务 开拓能力，公司将发挥在轨道交通领域 的技术及运营服务优势，结合先进的移 动互联网、大数据、物联网与人工智能 等技术，拓展公司业务范围，增强公司</w:t>
                        </w:r>
                      </w:p>
                    </w:tc>
                  </w:tr>
                </w:tbl>
                <w:p>
                  <w:pPr/>
                </w:p>
              </w:txbxContent>
            </v:textbox>
            <w10:wrap type="none"/>
          </v:shape>
        </w:pict>
      </w:r>
      <w:r>
        <w:rPr/>
        <w:t>、</w:t>
      </w:r>
    </w:p>
    <w:p>
      <w:pPr>
        <w:spacing w:after="0" w:line="240" w:lineRule="auto"/>
        <w:jc w:val="right"/>
        <w:sectPr>
          <w:type w:val="continuous"/>
          <w:pgSz w:w="11910" w:h="16840"/>
          <w:pgMar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362" w:hRule="exact"/>
        </w:trPr>
        <w:tc>
          <w:tcPr>
            <w:tcW w:w="3189"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整体实力。</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小鹿暖暖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对公司整体经营业绩无重大影响</w:t>
            </w:r>
          </w:p>
        </w:tc>
      </w:tr>
      <w:tr>
        <w:trPr>
          <w:trHeight w:val="1026"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合肥达实信息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新设立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公司将借此发展契机，在合肥高新区建 设智慧医疗研发中心，并将安徽及华东 区域项目纳入子公司管理及运营。</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达实联欣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宋体" w:hAnsi="宋体" w:cs="宋体" w:eastAsia="宋体" w:hint="default"/>
                <w:sz w:val="18"/>
                <w:szCs w:val="18"/>
              </w:rPr>
              <w:t>股权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有利于进一步优化公司战略布局以及整 体资源配置</w:t>
            </w:r>
          </w:p>
        </w:tc>
      </w:tr>
      <w:tr>
        <w:trPr>
          <w:trHeight w:val="133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成都聚雅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依托自主研发的全民健康数据中心集成 平台产品，助力公司智慧医疗项目，深 化公司在医疗信息化及大数据领域的研 发水平</w:t>
            </w:r>
          </w:p>
        </w:tc>
      </w:tr>
    </w:tbl>
    <w:p>
      <w:pPr>
        <w:pStyle w:val="BodyText"/>
        <w:spacing w:line="240" w:lineRule="auto" w:before="51"/>
        <w:ind w:right="0"/>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八、公司控制的结构化主体情况" w:id="54"/>
      <w:bookmarkEnd w:id="54"/>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九、公司未来发展的展望" w:id="55"/>
      <w:bookmarkEnd w:id="55"/>
      <w:r>
        <w:rPr>
          <w:b w:val="0"/>
          <w:bCs w:val="0"/>
        </w:rPr>
      </w:r>
      <w:r>
        <w:rPr/>
        <w:t>九、公司未来发展的展望</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right="1112"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月中央经济工作会议提出，加快</w:t>
      </w:r>
      <w:r>
        <w:rPr>
          <w:rFonts w:ascii="Times New Roman" w:hAnsi="Times New Roman" w:cs="Times New Roman" w:eastAsia="Times New Roman" w:hint="default"/>
        </w:rPr>
        <w:t>5G</w:t>
      </w:r>
      <w:r>
        <w:rPr/>
        <w:t>商用步伐，加强物联网、人工智能、工业互联网等新型基础设施建设，加 快新一代技术的推广和应用，给公司带来光明的发展机遇。</w:t>
      </w:r>
    </w:p>
    <w:p>
      <w:pPr>
        <w:pStyle w:val="Heading6"/>
        <w:spacing w:line="240" w:lineRule="auto" w:before="74"/>
        <w:ind w:right="0"/>
        <w:jc w:val="left"/>
        <w:rPr>
          <w:b w:val="0"/>
          <w:bCs w:val="0"/>
        </w:rPr>
      </w:pPr>
      <w:r>
        <w:rPr/>
        <w:t>（一）</w:t>
      </w:r>
      <w:r>
        <w:rPr>
          <w:rFonts w:ascii="Times New Roman" w:hAnsi="Times New Roman" w:cs="Times New Roman" w:eastAsia="Times New Roman" w:hint="default"/>
        </w:rPr>
        <w:t>2019</w:t>
      </w:r>
      <w:r>
        <w:rPr/>
        <w:t>年经营计划</w:t>
      </w:r>
      <w:r>
        <w:rPr>
          <w:b w:val="0"/>
          <w:bCs w:val="0"/>
        </w:rPr>
      </w:r>
    </w:p>
    <w:p>
      <w:pPr>
        <w:spacing w:line="240" w:lineRule="auto" w:before="9"/>
        <w:rPr>
          <w:rFonts w:ascii="宋体" w:hAnsi="宋体" w:cs="宋体" w:eastAsia="宋体" w:hint="default"/>
          <w:b/>
          <w:bCs/>
          <w:sz w:val="16"/>
          <w:szCs w:val="16"/>
        </w:rPr>
      </w:pPr>
    </w:p>
    <w:p>
      <w:pPr>
        <w:pStyle w:val="BodyText"/>
        <w:spacing w:line="463" w:lineRule="auto"/>
        <w:ind w:right="1132" w:firstLine="420"/>
        <w:jc w:val="both"/>
      </w:pPr>
      <w:r>
        <w:rPr/>
        <w:t>公司专注于城市级智能物联平台，以人工智能</w:t>
      </w:r>
      <w:r>
        <w:rPr>
          <w:rFonts w:ascii="Times New Roman" w:hAnsi="Times New Roman" w:cs="Times New Roman" w:eastAsia="Times New Roman" w:hint="default"/>
        </w:rPr>
        <w:t>(AI)</w:t>
      </w:r>
      <w:r>
        <w:rPr/>
        <w:t>、物联网（</w:t>
      </w:r>
      <w:r>
        <w:rPr>
          <w:rFonts w:ascii="Times New Roman" w:hAnsi="Times New Roman" w:cs="Times New Roman" w:eastAsia="Times New Roman" w:hint="default"/>
        </w:rPr>
        <w:t>IOT</w:t>
      </w:r>
      <w:r>
        <w:rPr/>
        <w:t>）、云计算、大数据（</w:t>
      </w:r>
      <w:r>
        <w:rPr>
          <w:rFonts w:ascii="Times New Roman" w:hAnsi="Times New Roman" w:cs="Times New Roman" w:eastAsia="Times New Roman" w:hint="default"/>
        </w:rPr>
        <w:t>BIG</w:t>
      </w:r>
      <w:r>
        <w:rPr>
          <w:rFonts w:ascii="Times New Roman" w:hAnsi="Times New Roman" w:cs="Times New Roman" w:eastAsia="Times New Roman" w:hint="default"/>
          <w:spacing w:val="-2"/>
        </w:rPr>
        <w:t> </w:t>
      </w:r>
      <w:r>
        <w:rPr>
          <w:rFonts w:ascii="Times New Roman" w:hAnsi="Times New Roman" w:cs="Times New Roman" w:eastAsia="Times New Roman" w:hint="default"/>
        </w:rPr>
        <w:t>DATA</w:t>
      </w:r>
      <w:r>
        <w:rPr/>
        <w:t>）等应用技术为核 </w:t>
      </w:r>
      <w:r>
        <w:rPr>
          <w:spacing w:val="-2"/>
        </w:rPr>
        <w:t>心，提供面向医院、公共建筑、商业建筑、住宅、工业园区、城市地铁等多场景的智能物联整体解决方案，解决全要素、全</w:t>
      </w:r>
      <w:r>
        <w:rPr>
          <w:spacing w:val="-66"/>
        </w:rPr>
        <w:t> </w:t>
      </w:r>
      <w:r>
        <w:rPr>
          <w:spacing w:val="-66"/>
        </w:rPr>
      </w:r>
      <w:r>
        <w:rPr/>
        <w:t>过程、全空间的数字化、信息化、智能化。</w:t>
      </w:r>
    </w:p>
    <w:p>
      <w:pPr>
        <w:pStyle w:val="BodyText"/>
        <w:spacing w:line="240" w:lineRule="auto" w:before="65"/>
        <w:ind w:left="574" w:right="0"/>
        <w:jc w:val="left"/>
      </w:pPr>
      <w:r>
        <w:rPr/>
        <w:t>在</w:t>
      </w:r>
      <w:r>
        <w:rPr>
          <w:rFonts w:ascii="Times New Roman" w:hAnsi="Times New Roman" w:cs="Times New Roman" w:eastAsia="Times New Roman" w:hint="default"/>
        </w:rPr>
        <w:t>2019</w:t>
      </w:r>
      <w:r>
        <w:rPr/>
        <w:t>年，公司将通过以下计划增强公司的核心竞争力，实现健康持续发展：</w:t>
      </w:r>
    </w:p>
    <w:p>
      <w:pPr>
        <w:spacing w:line="240" w:lineRule="auto" w:before="9"/>
        <w:rPr>
          <w:rFonts w:ascii="宋体" w:hAnsi="宋体" w:cs="宋体" w:eastAsia="宋体" w:hint="default"/>
          <w:sz w:val="16"/>
          <w:szCs w:val="16"/>
        </w:rPr>
      </w:pPr>
    </w:p>
    <w:p>
      <w:pPr>
        <w:pStyle w:val="Heading6"/>
        <w:spacing w:line="240" w:lineRule="auto"/>
        <w:ind w:right="0"/>
        <w:jc w:val="left"/>
        <w:rPr>
          <w:b w:val="0"/>
          <w:bCs w:val="0"/>
        </w:rPr>
      </w:pPr>
      <w:r>
        <w:rPr>
          <w:rFonts w:ascii="Times New Roman" w:hAnsi="Times New Roman" w:cs="Times New Roman" w:eastAsia="Times New Roman" w:hint="default"/>
        </w:rPr>
        <w:t>1</w:t>
      </w:r>
      <w:r>
        <w:rPr/>
        <w:t>、创新驱动</w:t>
      </w:r>
      <w:r>
        <w:rPr>
          <w:b w:val="0"/>
          <w:bCs w:val="0"/>
        </w:rPr>
      </w:r>
    </w:p>
    <w:p>
      <w:pPr>
        <w:spacing w:line="240" w:lineRule="auto" w:before="9"/>
        <w:rPr>
          <w:rFonts w:ascii="宋体" w:hAnsi="宋体" w:cs="宋体" w:eastAsia="宋体" w:hint="default"/>
          <w:b/>
          <w:bCs/>
          <w:sz w:val="16"/>
          <w:szCs w:val="16"/>
        </w:rPr>
      </w:pPr>
    </w:p>
    <w:p>
      <w:pPr>
        <w:pStyle w:val="BodyText"/>
        <w:spacing w:line="240" w:lineRule="auto"/>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2019</w:t>
      </w:r>
      <w:r>
        <w:rPr/>
        <w:t>年，公司一方面在核心技术层面加强投入，另一方面积极打造多维应用场景的规模应用，继续坚持</w:t>
      </w:r>
      <w:r>
        <w:rPr>
          <w:rFonts w:ascii="Times New Roman" w:hAnsi="Times New Roman" w:cs="Times New Roman" w:eastAsia="Times New Roman" w:hint="default"/>
        </w:rPr>
        <w:t>“</w:t>
      </w:r>
      <w:r>
        <w:rPr/>
        <w:t>创新</w:t>
      </w:r>
      <w:r>
        <w:rPr>
          <w:rFonts w:ascii="Times New Roman" w:hAnsi="Times New Roman" w:cs="Times New Roman" w:eastAsia="Times New Roman" w:hint="default"/>
        </w:rPr>
        <w:t>+</w:t>
      </w:r>
      <w:r>
        <w:rPr/>
        <w:t>服务</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9"/>
          <w:szCs w:val="19"/>
        </w:rPr>
      </w:pPr>
    </w:p>
    <w:p>
      <w:pPr>
        <w:pStyle w:val="BodyText"/>
        <w:spacing w:line="477" w:lineRule="auto"/>
        <w:ind w:left="574" w:right="1152" w:hanging="420"/>
        <w:jc w:val="left"/>
      </w:pPr>
      <w:r>
        <w:rPr/>
        <w:t>的业务发展战略，以人工智能、云计算整合前端与后端，构建持续闭环迭代的生态体系，为医疗、建筑行业赋能。 紧跟国内外技术发展趋势，在组织、人才、激励上，营造有利于技术创新的环境和氛围，突出研发部分的基础支撑作</w:t>
      </w:r>
    </w:p>
    <w:p>
      <w:pPr>
        <w:pStyle w:val="BodyText"/>
        <w:spacing w:line="477" w:lineRule="auto" w:before="54"/>
        <w:ind w:right="0"/>
        <w:jc w:val="left"/>
      </w:pPr>
      <w:r>
        <w:rPr>
          <w:spacing w:val="-2"/>
        </w:rPr>
        <w:t>用。切实把握客户需求，提升影响公司发展的前瞻性技术、关键技术的研发力度和新产品的开发，积极争取技术新突破，从</w:t>
      </w:r>
      <w:r>
        <w:rPr>
          <w:spacing w:val="-66"/>
        </w:rPr>
        <w:t> </w:t>
      </w:r>
      <w:r>
        <w:rPr>
          <w:spacing w:val="-66"/>
        </w:rPr>
      </w:r>
      <w:r>
        <w:rPr/>
        <w:t>而带动公司核心竞争力不断提升。</w:t>
      </w:r>
    </w:p>
    <w:p>
      <w:pPr>
        <w:pStyle w:val="Heading6"/>
        <w:spacing w:line="240" w:lineRule="auto" w:before="54"/>
        <w:ind w:right="0"/>
        <w:jc w:val="left"/>
        <w:rPr>
          <w:b w:val="0"/>
          <w:bCs w:val="0"/>
        </w:rPr>
      </w:pPr>
      <w:r>
        <w:rPr>
          <w:rFonts w:ascii="Times New Roman" w:hAnsi="Times New Roman" w:cs="Times New Roman" w:eastAsia="Times New Roman" w:hint="default"/>
        </w:rPr>
        <w:t>2</w:t>
      </w:r>
      <w:r>
        <w:rPr/>
        <w:t>、业务发展策略</w:t>
      </w:r>
      <w:r>
        <w:rPr>
          <w:b w:val="0"/>
          <w:bCs w:val="0"/>
        </w:rPr>
      </w:r>
    </w:p>
    <w:p>
      <w:pPr>
        <w:spacing w:line="240" w:lineRule="auto" w:before="9"/>
        <w:rPr>
          <w:rFonts w:ascii="宋体" w:hAnsi="宋体" w:cs="宋体" w:eastAsia="宋体" w:hint="default"/>
          <w:b/>
          <w:bCs/>
          <w:sz w:val="16"/>
          <w:szCs w:val="16"/>
        </w:rPr>
      </w:pPr>
    </w:p>
    <w:p>
      <w:pPr>
        <w:pStyle w:val="BodyText"/>
        <w:spacing w:line="240" w:lineRule="auto"/>
        <w:ind w:left="574" w:right="0"/>
        <w:jc w:val="left"/>
      </w:pPr>
      <w:r>
        <w:rPr/>
        <w:t>坚持聚焦战略，以用户为中心的企业文化，专注智能物联主航道，把技术创新与模式创新结合，重点关注：</w:t>
      </w:r>
    </w:p>
    <w:p>
      <w:pPr>
        <w:spacing w:line="240" w:lineRule="auto" w:before="10"/>
        <w:rPr>
          <w:rFonts w:ascii="宋体" w:hAnsi="宋体" w:cs="宋体" w:eastAsia="宋体" w:hint="default"/>
          <w:sz w:val="17"/>
          <w:szCs w:val="17"/>
        </w:rPr>
      </w:pPr>
    </w:p>
    <w:p>
      <w:pPr>
        <w:pStyle w:val="BodyText"/>
        <w:spacing w:line="240" w:lineRule="auto"/>
        <w:ind w:left="574" w:right="0"/>
        <w:jc w:val="left"/>
      </w:pPr>
      <w:r>
        <w:rPr>
          <w:rFonts w:ascii="Times New Roman" w:hAnsi="Times New Roman" w:cs="Times New Roman" w:eastAsia="Times New Roman" w:hint="default"/>
        </w:rPr>
        <w:t>1</w:t>
      </w:r>
      <w:r>
        <w:rPr/>
        <w:t>）产品和服务的云化，将原有的产品体系按云、边、端架构重新梳理，依托云平台，将能源管理、资产管理、人员管</w:t>
      </w:r>
    </w:p>
    <w:p>
      <w:pPr>
        <w:spacing w:after="0" w:line="240" w:lineRule="auto"/>
        <w:jc w:val="left"/>
        <w:sectPr>
          <w:pgSz w:w="11910" w:h="16840"/>
          <w:pgMar w:header="787" w:footer="1019" w:top="1100" w:bottom="1200" w:left="980" w:right="0"/>
        </w:sectPr>
      </w:pPr>
    </w:p>
    <w:p>
      <w:pPr>
        <w:spacing w:line="240" w:lineRule="auto" w:before="10"/>
        <w:rPr>
          <w:rFonts w:ascii="宋体" w:hAnsi="宋体" w:cs="宋体" w:eastAsia="宋体" w:hint="default"/>
          <w:sz w:val="28"/>
          <w:szCs w:val="28"/>
        </w:rPr>
      </w:pPr>
    </w:p>
    <w:p>
      <w:pPr>
        <w:pStyle w:val="BodyText"/>
        <w:spacing w:line="240" w:lineRule="auto" w:before="44"/>
        <w:ind w:right="0"/>
        <w:jc w:val="left"/>
      </w:pPr>
      <w:r>
        <w:rPr/>
        <w:t>理场景化、数字化，最终实现产品</w:t>
      </w:r>
      <w:r>
        <w:rPr>
          <w:rFonts w:ascii="Times New Roman" w:hAnsi="Times New Roman" w:cs="Times New Roman" w:eastAsia="Times New Roman" w:hint="default"/>
        </w:rPr>
        <w:t>+</w:t>
      </w:r>
      <w:r>
        <w:rPr/>
        <w:t>服务的商业模式转型；</w:t>
      </w:r>
    </w:p>
    <w:p>
      <w:pPr>
        <w:spacing w:line="240" w:lineRule="auto" w:before="9"/>
        <w:rPr>
          <w:rFonts w:ascii="宋体" w:hAnsi="宋体" w:cs="宋体" w:eastAsia="宋体" w:hint="default"/>
          <w:sz w:val="16"/>
          <w:szCs w:val="16"/>
        </w:rPr>
      </w:pPr>
    </w:p>
    <w:p>
      <w:pPr>
        <w:pStyle w:val="BodyText"/>
        <w:spacing w:line="451" w:lineRule="auto"/>
        <w:ind w:right="0" w:firstLine="420"/>
        <w:jc w:val="left"/>
      </w:pPr>
      <w:r>
        <w:rPr>
          <w:rFonts w:ascii="Times New Roman" w:hAnsi="Times New Roman" w:cs="Times New Roman" w:eastAsia="Times New Roman" w:hint="default"/>
          <w:spacing w:val="-2"/>
        </w:rPr>
        <w:t>2</w:t>
      </w:r>
      <w:r>
        <w:rPr>
          <w:spacing w:val="-2"/>
        </w:rPr>
        <w:t>）与行业巨头联盟，最新前沿技术在不同领域诞生了众多有世界领先水平的公司，公司将追随行业和技术趋势，发挥</w:t>
      </w:r>
      <w:r>
        <w:rPr/>
        <w:t> 公司的场景打造与行业经验优势，与优秀的技术型公司合作，建立联盟，共同打造行业生态；</w:t>
      </w:r>
    </w:p>
    <w:p>
      <w:pPr>
        <w:pStyle w:val="BodyText"/>
        <w:spacing w:line="451" w:lineRule="auto" w:before="74"/>
        <w:ind w:right="0" w:firstLine="420"/>
        <w:jc w:val="left"/>
      </w:pPr>
      <w:r>
        <w:rPr>
          <w:rFonts w:ascii="Times New Roman" w:hAnsi="Times New Roman" w:cs="Times New Roman" w:eastAsia="Times New Roman" w:hint="default"/>
          <w:spacing w:val="-2"/>
        </w:rPr>
        <w:t>3</w:t>
      </w:r>
      <w:r>
        <w:rPr>
          <w:spacing w:val="-2"/>
        </w:rPr>
        <w:t>）从关注增量到关注存量。公司将摒弃项目思维，不单纯追求大订单，适应经济增长动能从增量向存量转化，从存量</w:t>
      </w:r>
      <w:r>
        <w:rPr/>
        <w:t> 和客户黏性角度选择用户，更好地贴近用户；</w:t>
      </w:r>
    </w:p>
    <w:p>
      <w:pPr>
        <w:pStyle w:val="BodyText"/>
        <w:spacing w:line="451" w:lineRule="auto" w:before="74"/>
        <w:ind w:right="0" w:firstLine="420"/>
        <w:jc w:val="left"/>
      </w:pPr>
      <w:r>
        <w:rPr>
          <w:rFonts w:ascii="Times New Roman" w:hAnsi="Times New Roman" w:cs="Times New Roman" w:eastAsia="Times New Roman" w:hint="default"/>
          <w:spacing w:val="-2"/>
        </w:rPr>
        <w:t>4</w:t>
      </w:r>
      <w:r>
        <w:rPr>
          <w:spacing w:val="-2"/>
        </w:rPr>
        <w:t>）选择优势细分行业和行业头部企业。不追求求大求全，选择具备长远竞争力、有重复购买的行业和客户，给用户增</w:t>
      </w:r>
      <w:r>
        <w:rPr/>
        <w:t> 值的过程中实现公司价值。</w:t>
      </w:r>
    </w:p>
    <w:p>
      <w:pPr>
        <w:pStyle w:val="Heading6"/>
        <w:spacing w:line="240" w:lineRule="auto" w:before="74"/>
        <w:ind w:right="0"/>
        <w:jc w:val="left"/>
        <w:rPr>
          <w:b w:val="0"/>
          <w:bCs w:val="0"/>
        </w:rPr>
      </w:pPr>
      <w:r>
        <w:rPr>
          <w:rFonts w:ascii="Times New Roman" w:hAnsi="Times New Roman" w:cs="Times New Roman" w:eastAsia="Times New Roman" w:hint="default"/>
        </w:rPr>
        <w:t>3</w:t>
      </w:r>
      <w:r>
        <w:rPr/>
        <w:t>、人才资源与激励机制</w:t>
      </w:r>
      <w:r>
        <w:rPr>
          <w:b w:val="0"/>
          <w:bCs w:val="0"/>
        </w:rPr>
      </w:r>
    </w:p>
    <w:p>
      <w:pPr>
        <w:spacing w:line="240" w:lineRule="auto" w:before="9"/>
        <w:rPr>
          <w:rFonts w:ascii="宋体" w:hAnsi="宋体" w:cs="宋体" w:eastAsia="宋体" w:hint="default"/>
          <w:b/>
          <w:bCs/>
          <w:sz w:val="16"/>
          <w:szCs w:val="16"/>
        </w:rPr>
      </w:pPr>
    </w:p>
    <w:p>
      <w:pPr>
        <w:pStyle w:val="BodyText"/>
        <w:spacing w:line="470" w:lineRule="auto"/>
        <w:ind w:right="1118" w:firstLine="420"/>
        <w:jc w:val="left"/>
        <w:rPr>
          <w:rFonts w:ascii="宋体" w:hAnsi="宋体" w:cs="宋体" w:eastAsia="宋体" w:hint="default"/>
        </w:rPr>
      </w:pPr>
      <w:r>
        <w:rPr>
          <w:rFonts w:ascii="Times New Roman" w:hAnsi="Times New Roman" w:cs="Times New Roman" w:eastAsia="Times New Roman" w:hint="default"/>
        </w:rPr>
        <w:t>2019</w:t>
      </w:r>
      <w:r>
        <w:rPr/>
        <w:t>年，公司拟建立战略人力资源管理，加大核心技术人员、业内专家及高端人才的引进力度，把握多技术融合、多 </w:t>
      </w:r>
      <w:r>
        <w:rPr>
          <w:spacing w:val="-2"/>
        </w:rPr>
        <w:t>场景打造对复合型人才的需求。实现管理人员的年轻化与多元化。建立任职资格体系，加快公司组织架构与人才团队的优化</w:t>
      </w:r>
      <w:r>
        <w:rPr>
          <w:spacing w:val="-66"/>
        </w:rPr>
        <w:t> </w:t>
      </w:r>
      <w:r>
        <w:rPr>
          <w:spacing w:val="-66"/>
        </w:rPr>
      </w:r>
      <w:r>
        <w:rPr>
          <w:spacing w:val="-2"/>
        </w:rPr>
        <w:t>与提升。加强高校优秀毕业生招聘和培养，多举措并举升级公司人才队伍。公司拟建立多层次的长效激励机制，对内部的创</w:t>
      </w:r>
      <w:r>
        <w:rPr>
          <w:spacing w:val="-66"/>
        </w:rPr>
        <w:t> </w:t>
      </w:r>
      <w:r>
        <w:rPr>
          <w:spacing w:val="-66"/>
        </w:rPr>
      </w:r>
      <w:r>
        <w:rPr/>
        <w:t>新业务单元予以倾斜，营造积极进取，奋斗为本的企业文化，使人力资源能够满足业务创新及战略的需求。 </w:t>
      </w:r>
      <w:r>
        <w:rPr>
          <w:rFonts w:ascii="Times New Roman" w:hAnsi="Times New Roman" w:cs="Times New Roman" w:eastAsia="Times New Roman" w:hint="default"/>
          <w:b/>
          <w:bCs/>
        </w:rPr>
        <w:t>4</w:t>
      </w:r>
      <w:r>
        <w:rPr>
          <w:rFonts w:ascii="宋体" w:hAnsi="宋体" w:cs="宋体" w:eastAsia="宋体" w:hint="default"/>
          <w:b/>
          <w:bCs/>
        </w:rPr>
        <w:t>、精细化管理提升经营质量</w:t>
      </w:r>
      <w:r>
        <w:rPr>
          <w:rFonts w:ascii="宋体" w:hAnsi="宋体" w:cs="宋体" w:eastAsia="宋体" w:hint="default"/>
        </w:rPr>
      </w:r>
    </w:p>
    <w:p>
      <w:pPr>
        <w:pStyle w:val="BodyText"/>
        <w:spacing w:line="458" w:lineRule="auto" w:before="27"/>
        <w:ind w:right="1118" w:firstLine="420"/>
        <w:jc w:val="left"/>
        <w:rPr>
          <w:rFonts w:ascii="宋体" w:hAnsi="宋体" w:cs="宋体" w:eastAsia="宋体" w:hint="default"/>
        </w:rPr>
      </w:pPr>
      <w:r>
        <w:rPr>
          <w:rFonts w:ascii="Times New Roman" w:hAnsi="Times New Roman" w:cs="Times New Roman" w:eastAsia="Times New Roman" w:hint="default"/>
        </w:rPr>
        <w:t>2018</w:t>
      </w:r>
      <w:r>
        <w:rPr/>
        <w:t>年经营过程中暴露的问题，既有宏观环境的客观因素，也有公司在集团化管理中的主观不足。公司管理层不回避 问题，在</w:t>
      </w:r>
      <w:r>
        <w:rPr>
          <w:rFonts w:ascii="Times New Roman" w:hAnsi="Times New Roman" w:cs="Times New Roman" w:eastAsia="Times New Roman" w:hint="default"/>
        </w:rPr>
        <w:t>2019</w:t>
      </w:r>
      <w:r>
        <w:rPr/>
        <w:t>年转变发展思路，从过去的</w:t>
      </w:r>
      <w:r>
        <w:rPr>
          <w:rFonts w:ascii="Times New Roman" w:hAnsi="Times New Roman" w:cs="Times New Roman" w:eastAsia="Times New Roman" w:hint="default"/>
        </w:rPr>
        <w:t>“</w:t>
      </w:r>
      <w:r>
        <w:rPr/>
        <w:t>技术</w:t>
      </w:r>
      <w:r>
        <w:rPr>
          <w:rFonts w:ascii="Times New Roman" w:hAnsi="Times New Roman" w:cs="Times New Roman" w:eastAsia="Times New Roman" w:hint="default"/>
        </w:rPr>
        <w:t>+</w:t>
      </w:r>
      <w:r>
        <w:rPr/>
        <w:t>金融</w:t>
      </w:r>
      <w:r>
        <w:rPr>
          <w:rFonts w:ascii="Times New Roman" w:hAnsi="Times New Roman" w:cs="Times New Roman" w:eastAsia="Times New Roman" w:hint="default"/>
        </w:rPr>
        <w:t>”</w:t>
      </w:r>
      <w:r>
        <w:rPr/>
        <w:t>发展策略回归到技术驱动，以客户为中心。不单纯的追求规模，而是 </w:t>
      </w:r>
      <w:r>
        <w:rPr>
          <w:spacing w:val="-2"/>
        </w:rPr>
        <w:t>效率和效益优先。</w:t>
      </w:r>
      <w:r>
        <w:rPr>
          <w:rFonts w:ascii="Times New Roman" w:hAnsi="Times New Roman" w:cs="Times New Roman" w:eastAsia="Times New Roman" w:hint="default"/>
          <w:spacing w:val="-2"/>
        </w:rPr>
        <w:t>2019</w:t>
      </w:r>
      <w:r>
        <w:rPr>
          <w:spacing w:val="-2"/>
        </w:rPr>
        <w:t>年，公司一方面将严格财务预算管理，优化资金和资源的配置，管控经营风险，控制负债水平，另一</w:t>
      </w:r>
      <w:r>
        <w:rPr>
          <w:spacing w:val="-62"/>
        </w:rPr>
        <w:t> </w:t>
      </w:r>
      <w:r>
        <w:rPr>
          <w:spacing w:val="-62"/>
        </w:rPr>
      </w:r>
      <w:r>
        <w:rPr/>
        <w:t>方面，加强项目管控与应收账款的催收力度，加快资产周转，提升应收账款的周转率，提升公司的经营活动现金流。 </w:t>
      </w:r>
      <w:r>
        <w:rPr>
          <w:rFonts w:ascii="Times New Roman" w:hAnsi="Times New Roman" w:cs="Times New Roman" w:eastAsia="Times New Roman" w:hint="default"/>
          <w:b/>
          <w:bCs/>
        </w:rPr>
        <w:t>5</w:t>
      </w:r>
      <w:r>
        <w:rPr>
          <w:rFonts w:ascii="宋体" w:hAnsi="宋体" w:cs="宋体" w:eastAsia="宋体" w:hint="default"/>
          <w:b/>
          <w:bCs/>
        </w:rPr>
        <w:t>、区域布局</w:t>
      </w:r>
      <w:r>
        <w:rPr>
          <w:rFonts w:ascii="宋体" w:hAnsi="宋体" w:cs="宋体" w:eastAsia="宋体" w:hint="default"/>
        </w:rPr>
      </w:r>
    </w:p>
    <w:p>
      <w:pPr>
        <w:pStyle w:val="BodyText"/>
        <w:spacing w:line="477" w:lineRule="auto" w:before="37"/>
        <w:ind w:right="1133" w:firstLine="420"/>
        <w:jc w:val="both"/>
      </w:pPr>
      <w:r>
        <w:rPr/>
        <w:t>以雄安为中心，持续深耕京津冀；立足粤港澳大湾区，辐射中国南方市场，同时加大品牌宣传力度，积极参加行业展 </w:t>
      </w:r>
      <w:r>
        <w:rPr>
          <w:spacing w:val="-2"/>
        </w:rPr>
        <w:t>会、交流会及政府、专业机构举办的评选活动，结合电视媒体、纸质媒体、网络媒体等主流渠道传递最新的企业信息和产品</w:t>
      </w:r>
      <w:r>
        <w:rPr>
          <w:spacing w:val="-66"/>
        </w:rPr>
        <w:t> </w:t>
      </w:r>
      <w:r>
        <w:rPr>
          <w:spacing w:val="-66"/>
        </w:rPr>
      </w:r>
      <w:r>
        <w:rPr/>
        <w:t>信息，提升企业品牌形象。</w:t>
      </w:r>
    </w:p>
    <w:p>
      <w:pPr>
        <w:pStyle w:val="Heading6"/>
        <w:spacing w:line="240" w:lineRule="auto" w:before="54"/>
        <w:ind w:right="0"/>
        <w:jc w:val="left"/>
        <w:rPr>
          <w:b w:val="0"/>
          <w:bCs w:val="0"/>
        </w:rPr>
      </w:pPr>
      <w:r>
        <w:rPr/>
        <w:t>（二）可能面对的风险</w:t>
      </w:r>
      <w:r>
        <w:rPr>
          <w:b w:val="0"/>
          <w:bCs w:val="0"/>
        </w:rPr>
      </w:r>
    </w:p>
    <w:p>
      <w:pPr>
        <w:spacing w:line="240" w:lineRule="auto" w:before="10"/>
        <w:rPr>
          <w:rFonts w:ascii="宋体" w:hAnsi="宋体" w:cs="宋体" w:eastAsia="宋体" w:hint="default"/>
          <w:b/>
          <w:bCs/>
          <w:sz w:val="17"/>
          <w:szCs w:val="17"/>
        </w:rPr>
      </w:pPr>
    </w:p>
    <w:p>
      <w:pPr>
        <w:pStyle w:val="Heading6"/>
        <w:spacing w:line="240" w:lineRule="auto"/>
        <w:ind w:right="0"/>
        <w:jc w:val="left"/>
        <w:rPr>
          <w:b w:val="0"/>
          <w:bCs w:val="0"/>
        </w:rPr>
      </w:pPr>
      <w:r>
        <w:rPr>
          <w:rFonts w:ascii="Times New Roman" w:hAnsi="Times New Roman" w:cs="Times New Roman" w:eastAsia="Times New Roman" w:hint="default"/>
        </w:rPr>
        <w:t>1</w:t>
      </w:r>
      <w:r>
        <w:rPr/>
        <w:t>、新技术带来的不确定性风险</w:t>
      </w:r>
      <w:r>
        <w:rPr>
          <w:b w:val="0"/>
          <w:bCs w:val="0"/>
        </w:rPr>
      </w:r>
    </w:p>
    <w:p>
      <w:pPr>
        <w:spacing w:line="240" w:lineRule="auto" w:before="9"/>
        <w:rPr>
          <w:rFonts w:ascii="宋体" w:hAnsi="宋体" w:cs="宋体" w:eastAsia="宋体" w:hint="default"/>
          <w:b/>
          <w:bCs/>
          <w:sz w:val="16"/>
          <w:szCs w:val="16"/>
        </w:rPr>
      </w:pPr>
    </w:p>
    <w:p>
      <w:pPr>
        <w:pStyle w:val="BodyText"/>
        <w:spacing w:line="468" w:lineRule="auto"/>
        <w:ind w:right="1131" w:firstLine="420"/>
        <w:jc w:val="both"/>
      </w:pPr>
      <w:r>
        <w:rPr>
          <w:spacing w:val="-1"/>
        </w:rPr>
        <w:t>伴随着云计算、大数据、人工智能等新技术不断迭代更新及国家倡导</w:t>
      </w:r>
      <w:r>
        <w:rPr>
          <w:rFonts w:ascii="Times New Roman" w:hAnsi="Times New Roman" w:cs="Times New Roman" w:eastAsia="Times New Roman" w:hint="default"/>
          <w:spacing w:val="-1"/>
        </w:rPr>
        <w:t>“</w:t>
      </w:r>
      <w:r>
        <w:rPr>
          <w:spacing w:val="-1"/>
        </w:rPr>
        <w:t>互联网</w:t>
      </w:r>
      <w:r>
        <w:rPr>
          <w:rFonts w:ascii="Times New Roman" w:hAnsi="Times New Roman" w:cs="Times New Roman" w:eastAsia="Times New Roman" w:hint="default"/>
          <w:spacing w:val="-1"/>
        </w:rPr>
        <w:t>+”</w:t>
      </w:r>
      <w:r>
        <w:rPr>
          <w:spacing w:val="-1"/>
        </w:rPr>
        <w:t>的战略驱动，项目实施过程中对新型技</w:t>
      </w:r>
      <w:r>
        <w:rPr/>
        <w:t> </w:t>
      </w:r>
      <w:r>
        <w:rPr>
          <w:spacing w:val="-2"/>
        </w:rPr>
        <w:t>术的需求也越来越高，公司近年来一直加大对技术研发的投入，这些技术最终在项目中取得的效果，具有不确定性风险。公</w:t>
      </w:r>
      <w:r>
        <w:rPr>
          <w:spacing w:val="-66"/>
        </w:rPr>
        <w:t> </w:t>
      </w:r>
      <w:r>
        <w:rPr>
          <w:spacing w:val="-66"/>
        </w:rPr>
      </w:r>
      <w:r>
        <w:rPr>
          <w:spacing w:val="-2"/>
        </w:rPr>
        <w:t>司将在持续加大技术研发投入的同时，加强与高等院校、专业机构等合作，将新技术广泛试点、推广，同时紧跟行业发展趋</w:t>
      </w:r>
      <w:r>
        <w:rPr>
          <w:spacing w:val="-66"/>
        </w:rPr>
        <w:t> </w:t>
      </w:r>
      <w:r>
        <w:rPr>
          <w:spacing w:val="-66"/>
        </w:rPr>
      </w:r>
      <w:r>
        <w:rPr/>
        <w:t>势，加强与客户沟通，根据市场需求及时调整研发方向。</w:t>
      </w:r>
    </w:p>
    <w:p>
      <w:pPr>
        <w:spacing w:line="451" w:lineRule="auto" w:before="62"/>
        <w:ind w:left="574" w:right="1152" w:hanging="4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、公司快速发展带来的管理风险</w:t>
      </w:r>
      <w:r>
        <w:rPr>
          <w:rFonts w:ascii="宋体" w:hAnsi="宋体" w:cs="宋体" w:eastAsia="宋体" w:hint="default"/>
          <w:b/>
          <w:bCs/>
          <w:w w:val="99"/>
          <w:sz w:val="18"/>
          <w:szCs w:val="18"/>
        </w:rPr>
        <w:t> </w:t>
      </w:r>
      <w:r>
        <w:rPr>
          <w:rFonts w:ascii="宋体" w:hAnsi="宋体" w:cs="宋体" w:eastAsia="宋体" w:hint="default"/>
          <w:sz w:val="18"/>
          <w:szCs w:val="18"/>
        </w:rPr>
        <w:t>公司自上市以来，先后进行了多次投资收购及业务聚焦，涉足的业务领域和覆盖市场区域不断增加，销售规模、员工</w:t>
      </w:r>
    </w:p>
    <w:p>
      <w:pPr>
        <w:pStyle w:val="BodyText"/>
        <w:spacing w:line="240" w:lineRule="auto" w:before="74"/>
        <w:ind w:right="0"/>
        <w:jc w:val="left"/>
      </w:pPr>
      <w:r>
        <w:rPr/>
        <w:t>人数快速提升，公司正面临资源整合、市场开拓、研发创新等方面的新挑战，如果不能做好对各分支机构的监督和管控以满</w:t>
      </w:r>
    </w:p>
    <w:p>
      <w:pPr>
        <w:spacing w:after="0" w:line="240" w:lineRule="auto"/>
        <w:jc w:val="left"/>
        <w:sectPr>
          <w:pgSz w:w="11910" w:h="16840"/>
          <w:pgMar w:header="787" w:footer="1019" w:top="1100" w:bottom="1200" w:left="980" w:right="0"/>
        </w:sectPr>
      </w:pPr>
    </w:p>
    <w:p>
      <w:pPr>
        <w:spacing w:line="240" w:lineRule="auto" w:before="10"/>
        <w:rPr>
          <w:rFonts w:ascii="宋体" w:hAnsi="宋体" w:cs="宋体" w:eastAsia="宋体" w:hint="default"/>
          <w:sz w:val="28"/>
          <w:szCs w:val="28"/>
        </w:rPr>
      </w:pPr>
    </w:p>
    <w:p>
      <w:pPr>
        <w:pStyle w:val="BodyText"/>
        <w:spacing w:line="477" w:lineRule="auto" w:before="44"/>
        <w:ind w:right="0"/>
        <w:jc w:val="left"/>
        <w:rPr>
          <w:rFonts w:ascii="宋体" w:hAnsi="宋体" w:cs="宋体" w:eastAsia="宋体" w:hint="default"/>
        </w:rPr>
      </w:pPr>
      <w:r>
        <w:rPr>
          <w:spacing w:val="-2"/>
        </w:rPr>
        <w:t>足规模增长产生的人员增加和业务整合的需要，将给公司经营带来一定的管理风险。公司将通过实施股权激励及健全内部管</w:t>
      </w:r>
      <w:r>
        <w:rPr>
          <w:spacing w:val="-64"/>
        </w:rPr>
        <w:t> </w:t>
      </w:r>
      <w:r>
        <w:rPr>
          <w:spacing w:val="-64"/>
        </w:rPr>
      </w:r>
      <w:r>
        <w:rPr/>
        <w:t>理机制的方式加强对子公司、分公司及各部门的管理，尽量消除由于规模快速扩大带来的管理风险。 </w:t>
      </w:r>
      <w:r>
        <w:rPr>
          <w:rFonts w:ascii="Times New Roman" w:hAnsi="Times New Roman" w:cs="Times New Roman" w:eastAsia="Times New Roman" w:hint="default"/>
          <w:b/>
          <w:bCs/>
        </w:rPr>
        <w:t>3</w:t>
      </w:r>
      <w:r>
        <w:rPr>
          <w:rFonts w:ascii="宋体" w:hAnsi="宋体" w:cs="宋体" w:eastAsia="宋体" w:hint="default"/>
          <w:b/>
          <w:bCs/>
        </w:rPr>
        <w:t>、收款及经营业绩的季节性波动风险</w:t>
      </w:r>
      <w:r>
        <w:rPr>
          <w:rFonts w:ascii="宋体" w:hAnsi="宋体" w:cs="宋体" w:eastAsia="宋体" w:hint="default"/>
        </w:rPr>
      </w:r>
    </w:p>
    <w:p>
      <w:pPr>
        <w:pStyle w:val="BodyText"/>
        <w:spacing w:line="477" w:lineRule="auto" w:before="22"/>
        <w:ind w:right="1032" w:firstLine="420"/>
        <w:jc w:val="left"/>
      </w:pPr>
      <w:r>
        <w:rPr/>
        <w:t>由于公司客户群体中公立医院、政府机构等占较大比例，其采购一般遵守较为严格的预算管理制度及复杂的流程，部 分项目还需要纳入财政预算、政府采购，客户年度资本开支主要集中在下半年，对公司的项目验收和付款也集中在下半年， 导致公司营业收入、净利润、经营性现金流量呈季节性分布，收款主要集中在下半年，轨道交通等行业整体周期相对较长， </w:t>
      </w:r>
      <w:r>
        <w:rPr>
          <w:spacing w:val="-2"/>
        </w:rPr>
        <w:t>回款较慢，也对公司业绩有一定影响。公司将加大收款考核力度，与客户保持及时有效沟通，减少因人为因素造成的收款时</w:t>
      </w:r>
      <w:r>
        <w:rPr>
          <w:spacing w:val="-66"/>
        </w:rPr>
        <w:t> </w:t>
      </w:r>
      <w:r>
        <w:rPr>
          <w:spacing w:val="-66"/>
        </w:rPr>
      </w:r>
      <w:r>
        <w:rPr>
          <w:spacing w:val="-2"/>
        </w:rPr>
        <w:t>间集中问题，同时在筛选项目阶段，更多倾向与资信良好、实力雄厚，与公司有着长期的合作关系的公司，保障应收账款的</w:t>
      </w:r>
      <w:r>
        <w:rPr>
          <w:spacing w:val="-66"/>
        </w:rPr>
        <w:t> </w:t>
      </w:r>
      <w:r>
        <w:rPr>
          <w:spacing w:val="-66"/>
        </w:rPr>
      </w:r>
      <w:r>
        <w:rPr/>
        <w:t>回收。</w:t>
      </w:r>
    </w:p>
    <w:p>
      <w:pPr>
        <w:pStyle w:val="Heading6"/>
        <w:spacing w:line="240" w:lineRule="auto" w:before="54"/>
        <w:ind w:right="0"/>
        <w:jc w:val="left"/>
        <w:rPr>
          <w:b w:val="0"/>
          <w:bCs w:val="0"/>
        </w:rPr>
      </w:pPr>
      <w:r>
        <w:rPr>
          <w:rFonts w:ascii="Times New Roman" w:hAnsi="Times New Roman" w:cs="Times New Roman" w:eastAsia="Times New Roman" w:hint="default"/>
        </w:rPr>
        <w:t>4</w:t>
      </w:r>
      <w:r>
        <w:rPr/>
        <w:t>、人才风险</w:t>
      </w:r>
      <w:r>
        <w:rPr>
          <w:b w:val="0"/>
          <w:bCs w:val="0"/>
        </w:rPr>
      </w:r>
    </w:p>
    <w:p>
      <w:pPr>
        <w:spacing w:line="240" w:lineRule="auto" w:before="9"/>
        <w:rPr>
          <w:rFonts w:ascii="宋体" w:hAnsi="宋体" w:cs="宋体" w:eastAsia="宋体" w:hint="default"/>
          <w:b/>
          <w:bCs/>
          <w:sz w:val="16"/>
          <w:szCs w:val="16"/>
        </w:rPr>
      </w:pPr>
    </w:p>
    <w:p>
      <w:pPr>
        <w:pStyle w:val="BodyText"/>
        <w:spacing w:line="472" w:lineRule="auto"/>
        <w:ind w:right="1131" w:firstLine="420"/>
        <w:jc w:val="both"/>
      </w:pPr>
      <w:r>
        <w:rPr/>
        <w:t>人力资源是高科技企业生存和发展的重要因素，核心技术与销售人员、优质领导团队是维持和提高公司核心竞争力的 </w:t>
      </w:r>
      <w:r>
        <w:rPr>
          <w:spacing w:val="-2"/>
        </w:rPr>
        <w:t>基石。公司作为高新技术企业，在多年的发展过程中，通过自身培养和外部引进积累了一批技术骨干和业务精英，形成了行</w:t>
      </w:r>
      <w:r>
        <w:rPr>
          <w:spacing w:val="-65"/>
        </w:rPr>
        <w:t> </w:t>
      </w:r>
      <w:r>
        <w:rPr>
          <w:spacing w:val="-65"/>
        </w:rPr>
      </w:r>
      <w:r>
        <w:rPr>
          <w:spacing w:val="-2"/>
        </w:rPr>
        <w:t>之有效的技术研发体系，保障了公司在市场竞争中的领先地位。但随着业务规模的不断扩大、行业竞争的日趋激烈以及行业</w:t>
      </w:r>
      <w:r>
        <w:rPr>
          <w:spacing w:val="-66"/>
        </w:rPr>
        <w:t> </w:t>
      </w:r>
      <w:r>
        <w:rPr>
          <w:spacing w:val="-66"/>
        </w:rPr>
      </w:r>
      <w:r>
        <w:rPr>
          <w:spacing w:val="-2"/>
        </w:rPr>
        <w:t>人力成本的大幅度提高，公司可能在高端人才的吸引和保留、人力资源体系结构优化等方面面临压力和挑战。公司必须持续</w:t>
      </w:r>
      <w:r>
        <w:rPr>
          <w:spacing w:val="-66"/>
        </w:rPr>
        <w:t> </w:t>
      </w:r>
      <w:r>
        <w:rPr>
          <w:spacing w:val="-66"/>
        </w:rPr>
      </w:r>
      <w:r>
        <w:rPr>
          <w:spacing w:val="-2"/>
        </w:rPr>
        <w:t>通过内培外引的方式维持人才积累，夯实高绩效组织建设，打造创新业务团队，强化创新、高绩效文化，以适应公司规模的</w:t>
      </w:r>
      <w:r>
        <w:rPr>
          <w:spacing w:val="-66"/>
        </w:rPr>
        <w:t> </w:t>
      </w:r>
      <w:r>
        <w:rPr>
          <w:spacing w:val="-66"/>
        </w:rPr>
      </w:r>
      <w:r>
        <w:rPr>
          <w:spacing w:val="-2"/>
        </w:rPr>
        <w:t>扩张对技术和管理人才的需求；同时，公司将始终贯彻</w:t>
      </w:r>
      <w:r>
        <w:rPr>
          <w:rFonts w:ascii="Times New Roman" w:hAnsi="Times New Roman" w:cs="Times New Roman" w:eastAsia="Times New Roman" w:hint="default"/>
          <w:spacing w:val="-2"/>
        </w:rPr>
        <w:t>“</w:t>
      </w:r>
      <w:r>
        <w:rPr>
          <w:spacing w:val="-2"/>
        </w:rPr>
        <w:t>达则兼善天下，实则恒心如一</w:t>
      </w:r>
      <w:r>
        <w:rPr>
          <w:rFonts w:ascii="Times New Roman" w:hAnsi="Times New Roman" w:cs="Times New Roman" w:eastAsia="Times New Roman" w:hint="default"/>
          <w:spacing w:val="-2"/>
        </w:rPr>
        <w:t>”</w:t>
      </w:r>
      <w:r>
        <w:rPr>
          <w:spacing w:val="-2"/>
        </w:rPr>
        <w:t>的企业文化，利用有效的激励和奖励</w:t>
      </w:r>
      <w:r>
        <w:rPr>
          <w:spacing w:val="-44"/>
        </w:rPr>
        <w:t> </w:t>
      </w:r>
      <w:r>
        <w:rPr>
          <w:spacing w:val="-44"/>
        </w:rPr>
      </w:r>
      <w:r>
        <w:rPr/>
        <w:t>机制，持续改进和提高员工薪酬、福利待遇，广泛吸纳和善用各类人才。</w:t>
      </w:r>
    </w:p>
    <w:p>
      <w:pPr>
        <w:spacing w:line="240" w:lineRule="auto" w:before="10"/>
        <w:rPr>
          <w:rFonts w:ascii="宋体" w:hAnsi="宋体" w:cs="宋体" w:eastAsia="宋体" w:hint="default"/>
          <w:sz w:val="17"/>
          <w:szCs w:val="17"/>
        </w:rPr>
      </w:pPr>
    </w:p>
    <w:p>
      <w:pPr>
        <w:pStyle w:val="Heading2"/>
        <w:spacing w:line="240" w:lineRule="auto"/>
        <w:ind w:right="0"/>
        <w:jc w:val="left"/>
        <w:rPr>
          <w:b w:val="0"/>
          <w:bCs w:val="0"/>
        </w:rPr>
      </w:pPr>
      <w:bookmarkStart w:name="十、接待调研、沟通、采访等活动" w:id="56"/>
      <w:bookmarkEnd w:id="56"/>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接待调研、沟通、采访等活动登记表" w:id="57"/>
      <w:bookmarkEnd w:id="57"/>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日投资者关系活动记 </w:t>
            </w:r>
            <w:r>
              <w:rPr>
                <w:rFonts w:ascii="宋体" w:hAnsi="宋体" w:cs="宋体" w:eastAsia="宋体" w:hint="default"/>
                <w:spacing w:val="-6"/>
                <w:sz w:val="18"/>
                <w:szCs w:val="18"/>
              </w:rPr>
              <w:t>录表》，刊登于深圳证券交易所互动易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平台（</w:t>
            </w:r>
            <w:hyperlink r:id="rId16">
              <w:r>
                <w:rPr>
                  <w:rFonts w:ascii="Times New Roman" w:hAnsi="Times New Roman" w:cs="Times New Roman" w:eastAsia="Times New Roman" w:hint="default"/>
                  <w:sz w:val="18"/>
                  <w:szCs w:val="18"/>
                </w:rPr>
                <w:t>http://irm.cninfo.com.cn</w:t>
              </w:r>
            </w:hyperlink>
            <w:r>
              <w:rPr>
                <w:rFonts w:ascii="宋体" w:hAnsi="宋体" w:cs="宋体" w:eastAsia="宋体" w:hint="default"/>
                <w:sz w:val="18"/>
                <w:szCs w:val="18"/>
              </w:rPr>
              <w:t>）</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日投资者关系活动记 </w:t>
            </w:r>
            <w:r>
              <w:rPr>
                <w:rFonts w:ascii="宋体" w:hAnsi="宋体" w:cs="宋体" w:eastAsia="宋体" w:hint="default"/>
                <w:spacing w:val="-6"/>
                <w:sz w:val="18"/>
                <w:szCs w:val="18"/>
              </w:rPr>
              <w:t>录表》，刊登于深圳证券交易所互动易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平台（</w:t>
            </w:r>
            <w:hyperlink r:id="rId16">
              <w:r>
                <w:rPr>
                  <w:rFonts w:ascii="Times New Roman" w:hAnsi="Times New Roman" w:cs="Times New Roman" w:eastAsia="Times New Roman" w:hint="default"/>
                  <w:sz w:val="18"/>
                  <w:szCs w:val="18"/>
                </w:rPr>
                <w:t>http://irm.cninfo.com.cn</w:t>
              </w:r>
            </w:hyperlink>
            <w:r>
              <w:rPr>
                <w:rFonts w:ascii="宋体" w:hAnsi="宋体" w:cs="宋体" w:eastAsia="宋体" w:hint="default"/>
                <w:sz w:val="18"/>
                <w:szCs w:val="18"/>
              </w:rPr>
              <w:t>）</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日投资者关系活动记 </w:t>
            </w:r>
            <w:r>
              <w:rPr>
                <w:rFonts w:ascii="宋体" w:hAnsi="宋体" w:cs="宋体" w:eastAsia="宋体" w:hint="default"/>
                <w:spacing w:val="-6"/>
                <w:sz w:val="18"/>
                <w:szCs w:val="18"/>
              </w:rPr>
              <w:t>录表》，刊登于深圳证券交易所互动易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平台（</w:t>
            </w:r>
            <w:hyperlink r:id="rId16">
              <w:r>
                <w:rPr>
                  <w:rFonts w:ascii="Times New Roman" w:hAnsi="Times New Roman" w:cs="Times New Roman" w:eastAsia="Times New Roman" w:hint="default"/>
                  <w:sz w:val="18"/>
                  <w:szCs w:val="18"/>
                </w:rPr>
                <w:t>http://irm.cninfo.com.cn</w:t>
              </w:r>
            </w:hyperlink>
            <w:r>
              <w:rPr>
                <w:rFonts w:ascii="宋体" w:hAnsi="宋体" w:cs="宋体" w:eastAsia="宋体" w:hint="default"/>
                <w:sz w:val="18"/>
                <w:szCs w:val="18"/>
              </w:rPr>
              <w:t>）</w:t>
            </w:r>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日投资者关系活动记</w:t>
            </w:r>
          </w:p>
        </w:tc>
      </w:tr>
    </w:tbl>
    <w:p>
      <w:pPr>
        <w:spacing w:after="0" w:line="240" w:lineRule="auto"/>
        <w:jc w:val="center"/>
        <w:rPr>
          <w:rFonts w:ascii="宋体" w:hAnsi="宋体" w:cs="宋体" w:eastAsia="宋体" w:hint="default"/>
          <w:sz w:val="18"/>
          <w:szCs w:val="18"/>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674" w:hRule="exact"/>
        </w:trPr>
        <w:tc>
          <w:tcPr>
            <w:tcW w:w="2178"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33"/>
              <w:jc w:val="left"/>
              <w:rPr>
                <w:rFonts w:ascii="宋体" w:hAnsi="宋体" w:cs="宋体" w:eastAsia="宋体" w:hint="default"/>
                <w:sz w:val="18"/>
                <w:szCs w:val="18"/>
              </w:rPr>
            </w:pPr>
            <w:r>
              <w:rPr>
                <w:rFonts w:ascii="宋体" w:hAnsi="宋体" w:cs="宋体" w:eastAsia="宋体" w:hint="default"/>
                <w:spacing w:val="-6"/>
                <w:sz w:val="18"/>
                <w:szCs w:val="18"/>
              </w:rPr>
              <w:t>录表》，刊登于深圳证券交易所互动易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平台（</w:t>
            </w:r>
            <w:hyperlink r:id="rId16">
              <w:r>
                <w:rPr>
                  <w:rFonts w:ascii="Times New Roman" w:hAnsi="Times New Roman" w:cs="Times New Roman" w:eastAsia="Times New Roman" w:hint="default"/>
                  <w:sz w:val="18"/>
                  <w:szCs w:val="18"/>
                </w:rPr>
                <w:t>http://irm.cninfo.com.cn</w:t>
              </w:r>
            </w:hyperlink>
            <w:r>
              <w:rPr>
                <w:rFonts w:ascii="宋体" w:hAnsi="宋体" w:cs="宋体" w:eastAsia="宋体" w:hint="default"/>
                <w:sz w:val="18"/>
                <w:szCs w:val="18"/>
              </w:rPr>
              <w:t>）</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日投资者关系活动记 </w:t>
            </w:r>
            <w:r>
              <w:rPr>
                <w:rFonts w:ascii="宋体" w:hAnsi="宋体" w:cs="宋体" w:eastAsia="宋体" w:hint="default"/>
                <w:spacing w:val="-6"/>
                <w:sz w:val="18"/>
                <w:szCs w:val="18"/>
              </w:rPr>
              <w:t>录表》，刊登于深圳证券交易所互动易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平台（</w:t>
            </w:r>
            <w:hyperlink r:id="rId16">
              <w:r>
                <w:rPr>
                  <w:rFonts w:ascii="Times New Roman" w:hAnsi="Times New Roman" w:cs="Times New Roman" w:eastAsia="Times New Roman" w:hint="default"/>
                  <w:sz w:val="18"/>
                  <w:szCs w:val="18"/>
                </w:rPr>
                <w:t>http://irm.cninfo.com.cn</w:t>
              </w:r>
            </w:hyperlink>
            <w:r>
              <w:rPr>
                <w:rFonts w:ascii="宋体" w:hAnsi="宋体" w:cs="宋体" w:eastAsia="宋体" w:hint="default"/>
                <w:sz w:val="18"/>
                <w:szCs w:val="18"/>
              </w:rPr>
              <w:t>）</w:t>
            </w:r>
          </w:p>
        </w:tc>
      </w:tr>
      <w:tr>
        <w:trPr>
          <w:trHeight w:val="1026"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002421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达实智能调研活动信息 </w:t>
            </w:r>
            <w:r>
              <w:rPr>
                <w:rFonts w:ascii="Times New Roman" w:hAnsi="Times New Roman" w:cs="Times New Roman" w:eastAsia="Times New Roman" w:hint="default"/>
                <w:spacing w:val="-5"/>
                <w:sz w:val="18"/>
                <w:szCs w:val="18"/>
              </w:rPr>
              <w:t>20181211</w:t>
            </w:r>
            <w:r>
              <w:rPr>
                <w:rFonts w:ascii="宋体" w:hAnsi="宋体" w:cs="宋体" w:eastAsia="宋体" w:hint="default"/>
                <w:spacing w:val="-5"/>
                <w:sz w:val="18"/>
                <w:szCs w:val="18"/>
              </w:rPr>
              <w:t>》，刊登于深圳证券交易所互</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动易平台（</w:t>
            </w:r>
            <w:hyperlink r:id="rId16">
              <w:r>
                <w:rPr>
                  <w:rFonts w:ascii="Times New Roman" w:hAnsi="Times New Roman" w:cs="Times New Roman" w:eastAsia="Times New Roman" w:hint="default"/>
                  <w:sz w:val="18"/>
                  <w:szCs w:val="18"/>
                </w:rPr>
                <w:t>http://irm.cninfo.com.cn</w:t>
              </w:r>
            </w:hyperlink>
            <w:r>
              <w:rPr>
                <w:rFonts w:ascii="宋体" w:hAnsi="宋体" w:cs="宋体" w:eastAsia="宋体" w:hint="default"/>
                <w:sz w:val="18"/>
                <w:szCs w:val="18"/>
              </w:rPr>
              <w:t>）</w:t>
            </w:r>
          </w:p>
        </w:tc>
      </w:tr>
    </w:tbl>
    <w:p>
      <w:pPr>
        <w:spacing w:after="0" w:line="300" w:lineRule="auto"/>
        <w:jc w:val="left"/>
        <w:rPr>
          <w:rFonts w:ascii="宋体" w:hAnsi="宋体" w:cs="宋体" w:eastAsia="宋体" w:hint="default"/>
          <w:sz w:val="18"/>
          <w:szCs w:val="18"/>
        </w:rPr>
        <w:sectPr>
          <w:pgSz w:w="11910" w:h="16840"/>
          <w:pgMar w:header="787" w:footer="1019" w:top="1100" w:bottom="120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5"/>
          <w:szCs w:val="25"/>
        </w:rPr>
      </w:pPr>
    </w:p>
    <w:p>
      <w:pPr>
        <w:pStyle w:val="Heading1"/>
        <w:spacing w:line="240" w:lineRule="auto"/>
        <w:ind w:right="1113"/>
        <w:jc w:val="center"/>
        <w:rPr>
          <w:b w:val="0"/>
          <w:bCs w:val="0"/>
        </w:rPr>
      </w:pPr>
      <w:bookmarkStart w:name="第五节 重要事项" w:id="58"/>
      <w:bookmarkEnd w:id="58"/>
      <w:r>
        <w:rPr>
          <w:b w:val="0"/>
          <w:bCs w:val="0"/>
        </w:rPr>
      </w:r>
      <w:bookmarkStart w:name="_bookmark3" w:id="59"/>
      <w:bookmarkEnd w:id="59"/>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0"/>
      <w:bookmarkEnd w:id="60"/>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458" w:lineRule="auto"/>
        <w:ind w:right="1129" w:firstLine="420"/>
        <w:jc w:val="left"/>
      </w:pPr>
      <w:r>
        <w:rPr/>
        <w:pict>
          <v:shape style="position:absolute;margin-left:57.029999pt;margin-top:159.371735pt;width:478.6pt;height:172.4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报告期内，公司严格按照《公司章程》相关利润分配政策和审议决策程序制定、实施利润分配方案，相关的议案经由 </w:t>
      </w:r>
      <w:r>
        <w:rPr>
          <w:spacing w:val="-2"/>
        </w:rPr>
        <w:t>董事会、监事会审议通过后提交股东大会审议，并由独立董事发表独立意见，股东大会审议通过后在规定时间内实施，切实</w:t>
      </w:r>
      <w:r>
        <w:rPr>
          <w:spacing w:val="-66"/>
        </w:rPr>
        <w:t> </w:t>
      </w:r>
      <w:r>
        <w:rPr>
          <w:spacing w:val="-66"/>
        </w:rPr>
      </w:r>
      <w:r>
        <w:rPr>
          <w:spacing w:val="-2"/>
        </w:rPr>
        <w:t>维护了全体股东的利益。公司于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29</w:t>
      </w:r>
      <w:r>
        <w:rPr>
          <w:spacing w:val="-2"/>
        </w:rPr>
        <w:t>日和</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日召开第六届董事会第十四次会议、第六届监事会第九次会议</w:t>
      </w:r>
      <w:r>
        <w:rPr>
          <w:spacing w:val="-50"/>
        </w:rPr>
        <w:t> </w:t>
      </w:r>
      <w:r>
        <w:rPr>
          <w:spacing w:val="-50"/>
        </w:rPr>
      </w:r>
      <w:r>
        <w:rPr>
          <w:spacing w:val="-2"/>
        </w:rPr>
        <w:t>和</w:t>
      </w:r>
      <w:r>
        <w:rPr>
          <w:rFonts w:ascii="Times New Roman" w:hAnsi="Times New Roman" w:cs="Times New Roman" w:eastAsia="Times New Roman" w:hint="default"/>
          <w:spacing w:val="-2"/>
        </w:rPr>
        <w:t>2017</w:t>
      </w:r>
      <w:r>
        <w:rPr>
          <w:spacing w:val="-2"/>
        </w:rPr>
        <w:t>年年度股东大会，审议通过了《</w:t>
      </w:r>
      <w:r>
        <w:rPr>
          <w:rFonts w:ascii="Times New Roman" w:hAnsi="Times New Roman" w:cs="Times New Roman" w:eastAsia="Times New Roman" w:hint="default"/>
          <w:spacing w:val="-2"/>
        </w:rPr>
        <w:t>2017</w:t>
      </w:r>
      <w:r>
        <w:rPr>
          <w:spacing w:val="-2"/>
        </w:rPr>
        <w:t>年度利润分配预案》，</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w:t>
      </w:r>
      <w:r>
        <w:rPr>
          <w:spacing w:val="-2"/>
        </w:rPr>
        <w:t>日，公司披露了《</w:t>
      </w:r>
      <w:r>
        <w:rPr>
          <w:rFonts w:ascii="Times New Roman" w:hAnsi="Times New Roman" w:cs="Times New Roman" w:eastAsia="Times New Roman" w:hint="default"/>
          <w:spacing w:val="-2"/>
        </w:rPr>
        <w:t>2017</w:t>
      </w:r>
      <w:r>
        <w:rPr>
          <w:spacing w:val="-2"/>
        </w:rPr>
        <w:t>年年度权益分派实施公</w:t>
      </w:r>
      <w:r>
        <w:rPr>
          <w:spacing w:val="-50"/>
        </w:rPr>
        <w:t> </w:t>
      </w:r>
      <w:r>
        <w:rPr/>
        <w:t>告》（公告编号：</w:t>
      </w:r>
      <w:r>
        <w:rPr>
          <w:rFonts w:ascii="Times New Roman" w:hAnsi="Times New Roman" w:cs="Times New Roman" w:eastAsia="Times New Roman" w:hint="default"/>
        </w:rPr>
        <w:t>2018-063</w:t>
      </w:r>
      <w:r>
        <w:rPr/>
        <w:t>），确定以股权登记日的公司总股本</w:t>
      </w:r>
      <w:r>
        <w:rPr>
          <w:rFonts w:ascii="Times New Roman" w:hAnsi="Times New Roman" w:cs="Times New Roman" w:eastAsia="Times New Roman" w:hint="default"/>
        </w:rPr>
        <w:t>1,921,477,551</w:t>
      </w:r>
      <w:r>
        <w:rPr/>
        <w:t>股扣除公司通过回购专户持有的公司股份 </w:t>
      </w:r>
      <w:r>
        <w:rPr>
          <w:rFonts w:ascii="Times New Roman" w:hAnsi="Times New Roman" w:cs="Times New Roman" w:eastAsia="Times New Roman" w:hint="default"/>
        </w:rPr>
        <w:t>19,318,322</w:t>
      </w:r>
      <w:r>
        <w:rPr/>
        <w:t>股后的总股本</w:t>
      </w:r>
      <w:r>
        <w:rPr>
          <w:rFonts w:ascii="Times New Roman" w:hAnsi="Times New Roman" w:cs="Times New Roman" w:eastAsia="Times New Roman" w:hint="default"/>
        </w:rPr>
        <w:t>1,902,159,229</w:t>
      </w:r>
      <w:r>
        <w:rPr/>
        <w:t>股为基数，向参与权益分派的股东每</w:t>
      </w:r>
      <w:r>
        <w:rPr>
          <w:rFonts w:ascii="Times New Roman" w:hAnsi="Times New Roman" w:cs="Times New Roman" w:eastAsia="Times New Roman" w:hint="default"/>
        </w:rPr>
        <w:t>10</w:t>
      </w:r>
      <w:r>
        <w:rPr/>
        <w:t>股派人民币</w:t>
      </w:r>
      <w:r>
        <w:rPr>
          <w:rFonts w:ascii="Times New Roman" w:hAnsi="Times New Roman" w:cs="Times New Roman" w:eastAsia="Times New Roman" w:hint="default"/>
        </w:rPr>
        <w:t>0.3</w:t>
      </w:r>
      <w:r>
        <w:rPr/>
        <w:t>元（含税），股权登记日为</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7</w:t>
      </w:r>
      <w:r>
        <w:rPr/>
        <w:t>日，除权除息日为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40" w:lineRule="auto" w:before="44"/>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spacing w:line="240" w:lineRule="auto" w:before="10"/>
        <w:rPr>
          <w:rFonts w:ascii="宋体" w:hAnsi="宋体" w:cs="宋体" w:eastAsia="宋体" w:hint="default"/>
          <w:sz w:val="19"/>
          <w:szCs w:val="19"/>
        </w:rPr>
      </w:pPr>
    </w:p>
    <w:p>
      <w:pPr>
        <w:pStyle w:val="BodyText"/>
        <w:spacing w:line="240" w:lineRule="auto"/>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2016</w:t>
      </w:r>
      <w:r>
        <w:rPr/>
        <w:t>年半年度分配方案：以公司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06</w:t>
      </w:r>
      <w:r>
        <w:rPr/>
        <w:t>月</w:t>
      </w:r>
      <w:r>
        <w:rPr>
          <w:rFonts w:ascii="Times New Roman" w:hAnsi="Times New Roman" w:cs="Times New Roman" w:eastAsia="Times New Roman" w:hint="default"/>
        </w:rPr>
        <w:t>30</w:t>
      </w:r>
      <w:r>
        <w:rPr/>
        <w:t>日总股本</w:t>
      </w:r>
      <w:r>
        <w:rPr>
          <w:rFonts w:ascii="Times New Roman" w:hAnsi="Times New Roman" w:cs="Times New Roman" w:eastAsia="Times New Roman" w:hint="default"/>
        </w:rPr>
        <w:t>642,399,392</w:t>
      </w:r>
      <w:r>
        <w:rPr/>
        <w:t>股为基数，以资本公积金向全体股东每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20</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0"/>
        <w:jc w:val="left"/>
      </w:pPr>
      <w:r>
        <w:rPr/>
        <w:t>股，不送红股，不派发现金红利。</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日，该方案得以实施。</w:t>
      </w:r>
    </w:p>
    <w:p>
      <w:pPr>
        <w:spacing w:line="240" w:lineRule="auto" w:before="9"/>
        <w:rPr>
          <w:rFonts w:ascii="宋体" w:hAnsi="宋体" w:cs="宋体" w:eastAsia="宋体" w:hint="default"/>
          <w:sz w:val="16"/>
          <w:szCs w:val="16"/>
        </w:rPr>
      </w:pPr>
    </w:p>
    <w:p>
      <w:pPr>
        <w:pStyle w:val="BodyText"/>
        <w:spacing w:line="451" w:lineRule="auto"/>
        <w:ind w:right="1042" w:firstLine="420"/>
        <w:jc w:val="both"/>
      </w:pPr>
      <w:r>
        <w:rPr>
          <w:rFonts w:ascii="Times New Roman" w:hAnsi="Times New Roman" w:cs="Times New Roman" w:eastAsia="Times New Roman" w:hint="default"/>
          <w:spacing w:val="-5"/>
        </w:rPr>
        <w:t>2016</w:t>
      </w:r>
      <w:r>
        <w:rPr>
          <w:spacing w:val="-5"/>
        </w:rPr>
        <w:t>年度分配方案：以公司</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19</w:t>
      </w:r>
      <w:r>
        <w:rPr>
          <w:spacing w:val="-5"/>
        </w:rPr>
        <w:t>日总股本</w:t>
      </w:r>
      <w:r>
        <w:rPr>
          <w:rFonts w:ascii="Times New Roman" w:hAnsi="Times New Roman" w:cs="Times New Roman" w:eastAsia="Times New Roman" w:hint="default"/>
          <w:spacing w:val="-5"/>
        </w:rPr>
        <w:t>1,926,729,576</w:t>
      </w:r>
      <w:r>
        <w:rPr>
          <w:spacing w:val="-5"/>
        </w:rPr>
        <w:t>股为基数，向全体股东每</w:t>
      </w:r>
      <w:r>
        <w:rPr>
          <w:rFonts w:ascii="Times New Roman" w:hAnsi="Times New Roman" w:cs="Times New Roman" w:eastAsia="Times New Roman" w:hint="default"/>
          <w:spacing w:val="-5"/>
        </w:rPr>
        <w:t>10</w:t>
      </w:r>
      <w:r>
        <w:rPr>
          <w:spacing w:val="-5"/>
        </w:rPr>
        <w:t>股派</w:t>
      </w:r>
      <w:r>
        <w:rPr>
          <w:rFonts w:ascii="Times New Roman" w:hAnsi="Times New Roman" w:cs="Times New Roman" w:eastAsia="Times New Roman" w:hint="default"/>
          <w:spacing w:val="-5"/>
        </w:rPr>
        <w:t>0.3</w:t>
      </w:r>
      <w:r>
        <w:rPr>
          <w:spacing w:val="-5"/>
        </w:rPr>
        <w:t>元人民币现金（含税），</w:t>
      </w:r>
      <w:r>
        <w:rPr/>
        <w:t> 本年度不转增，不送红股，剩余未分配利润结转以后年度进行分配。</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日，该方案得以实施。</w:t>
      </w:r>
    </w:p>
    <w:p>
      <w:pPr>
        <w:pStyle w:val="BodyText"/>
        <w:spacing w:line="451" w:lineRule="auto" w:before="43"/>
        <w:ind w:right="1130" w:firstLine="420"/>
        <w:jc w:val="both"/>
      </w:pPr>
      <w:r>
        <w:rPr>
          <w:rFonts w:ascii="Times New Roman" w:hAnsi="Times New Roman" w:cs="Times New Roman" w:eastAsia="Times New Roman" w:hint="default"/>
          <w:spacing w:val="-1"/>
        </w:rPr>
        <w:t>2017</w:t>
      </w:r>
      <w:r>
        <w:rPr>
          <w:spacing w:val="-1"/>
        </w:rPr>
        <w:t>年度分配方案：以公司</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7</w:t>
      </w:r>
      <w:r>
        <w:rPr>
          <w:spacing w:val="-1"/>
        </w:rPr>
        <w:t>日总股本</w:t>
      </w:r>
      <w:r>
        <w:rPr>
          <w:rFonts w:ascii="Times New Roman" w:hAnsi="Times New Roman" w:cs="Times New Roman" w:eastAsia="Times New Roman" w:hint="default"/>
          <w:spacing w:val="-1"/>
        </w:rPr>
        <w:t>1,921,477,551</w:t>
      </w:r>
      <w:r>
        <w:rPr>
          <w:spacing w:val="-1"/>
        </w:rPr>
        <w:t>股扣除公司通过回购专户持有的公司股份</w:t>
      </w:r>
      <w:r>
        <w:rPr>
          <w:rFonts w:ascii="Times New Roman" w:hAnsi="Times New Roman" w:cs="Times New Roman" w:eastAsia="Times New Roman" w:hint="default"/>
          <w:spacing w:val="-1"/>
        </w:rPr>
        <w:t>19,318,322</w:t>
      </w:r>
      <w:r>
        <w:rPr>
          <w:spacing w:val="-1"/>
        </w:rPr>
        <w:t>股后</w:t>
      </w:r>
      <w:r>
        <w:rPr>
          <w:spacing w:val="-2"/>
        </w:rPr>
        <w:t> 的总股本</w:t>
      </w:r>
      <w:r>
        <w:rPr>
          <w:rFonts w:ascii="Times New Roman" w:hAnsi="Times New Roman" w:cs="Times New Roman" w:eastAsia="Times New Roman" w:hint="default"/>
          <w:spacing w:val="-2"/>
        </w:rPr>
        <w:t>1,902,159,229</w:t>
      </w:r>
      <w:r>
        <w:rPr>
          <w:spacing w:val="-2"/>
        </w:rPr>
        <w:t>股为基数，向全体股东每</w:t>
      </w:r>
      <w:r>
        <w:rPr>
          <w:rFonts w:ascii="Times New Roman" w:hAnsi="Times New Roman" w:cs="Times New Roman" w:eastAsia="Times New Roman" w:hint="default"/>
          <w:spacing w:val="-2"/>
        </w:rPr>
        <w:t>10</w:t>
      </w:r>
      <w:r>
        <w:rPr>
          <w:spacing w:val="-2"/>
        </w:rPr>
        <w:t>股派</w:t>
      </w:r>
      <w:r>
        <w:rPr>
          <w:rFonts w:ascii="Times New Roman" w:hAnsi="Times New Roman" w:cs="Times New Roman" w:eastAsia="Times New Roman" w:hint="default"/>
          <w:spacing w:val="-2"/>
        </w:rPr>
        <w:t>0.3</w:t>
      </w:r>
      <w:r>
        <w:rPr>
          <w:spacing w:val="-2"/>
        </w:rPr>
        <w:t>元人民币现金（含税），本年度不转增，不送红股，剩余未分配利</w:t>
      </w:r>
      <w:r>
        <w:rPr>
          <w:spacing w:val="-52"/>
        </w:rPr>
        <w:t> </w:t>
      </w:r>
      <w:r>
        <w:rPr>
          <w:spacing w:val="-52"/>
        </w:rPr>
      </w:r>
      <w:r>
        <w:rPr/>
        <w:t>润结转以后年度进行分配。</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8</w:t>
      </w:r>
      <w:r>
        <w:rPr/>
        <w:t>日，该方案得以实施。</w:t>
      </w:r>
    </w:p>
    <w:p>
      <w:pPr>
        <w:pStyle w:val="BodyText"/>
        <w:spacing w:line="240" w:lineRule="auto" w:before="43"/>
        <w:ind w:left="574" w:right="0"/>
        <w:jc w:val="left"/>
      </w:pPr>
      <w:r>
        <w:rPr>
          <w:rFonts w:ascii="Times New Roman" w:hAnsi="Times New Roman" w:cs="Times New Roman" w:eastAsia="Times New Roman" w:hint="default"/>
        </w:rPr>
        <w:t>2018</w:t>
      </w:r>
      <w:r>
        <w:rPr/>
        <w:t>年度分配预案：</w:t>
      </w:r>
      <w:r>
        <w:rPr>
          <w:rFonts w:ascii="Times New Roman" w:hAnsi="Times New Roman" w:cs="Times New Roman" w:eastAsia="Times New Roman" w:hint="default"/>
        </w:rPr>
        <w:t>2018</w:t>
      </w:r>
      <w:r>
        <w:rPr/>
        <w:t>年度不派发现金红利，不送红股，不以公积金转增股本。</w:t>
      </w:r>
    </w:p>
    <w:p>
      <w:pPr>
        <w:spacing w:after="0" w:line="240" w:lineRule="auto"/>
        <w:jc w:val="left"/>
        <w:sectPr>
          <w:pgSz w:w="11910" w:h="16840"/>
          <w:pgMar w:header="787" w:footer="1019" w:top="1100" w:bottom="1200" w:left="980" w:right="0"/>
        </w:sectPr>
      </w:pPr>
    </w:p>
    <w:p>
      <w:pPr>
        <w:spacing w:line="240" w:lineRule="auto" w:before="11"/>
        <w:rPr>
          <w:rFonts w:ascii="宋体" w:hAnsi="宋体" w:cs="宋体" w:eastAsia="宋体" w:hint="default"/>
          <w:sz w:val="28"/>
          <w:szCs w:val="28"/>
        </w:rPr>
      </w:pPr>
    </w:p>
    <w:p>
      <w:pPr>
        <w:pStyle w:val="BodyText"/>
        <w:spacing w:line="240" w:lineRule="auto" w:before="44"/>
        <w:ind w:right="0"/>
        <w:jc w:val="left"/>
      </w:pPr>
      <w:r>
        <w:rPr/>
        <w:t>公司近三年（包括本报告期）普通股现金分红情况表</w:t>
      </w:r>
    </w:p>
    <w:p>
      <w:pPr>
        <w:spacing w:line="240" w:lineRule="auto" w:before="6"/>
        <w:rPr>
          <w:rFonts w:ascii="宋体" w:hAnsi="宋体" w:cs="宋体" w:eastAsia="宋体" w:hint="default"/>
          <w:sz w:val="11"/>
          <w:szCs w:val="11"/>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85"/>
        <w:gridCol w:w="1208"/>
        <w:gridCol w:w="1185"/>
        <w:gridCol w:w="1207"/>
        <w:gridCol w:w="1184"/>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2" w:right="4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8"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64"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216,769,784.07</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99,996,178.85</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46.13%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99,996,178.85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46.13%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57,064,776.87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311,825,825.86</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18.30%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57,064,776.87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18.30%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57,801,887.28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275,495,429.54</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20.98%</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57,801,887.28</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20.98%</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37" w:right="46" w:hanging="99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352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日召开</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年第二次临时股东大会审 </w:t>
            </w:r>
            <w:r>
              <w:rPr>
                <w:rFonts w:ascii="宋体" w:hAnsi="宋体" w:cs="宋体" w:eastAsia="宋体" w:hint="default"/>
                <w:spacing w:val="-5"/>
                <w:sz w:val="18"/>
                <w:szCs w:val="18"/>
              </w:rPr>
              <w:t>议通过了《关于回购公司股份的预案》，根据《深圳证券交易</w:t>
            </w:r>
            <w:r>
              <w:rPr>
                <w:rFonts w:ascii="宋体" w:hAnsi="宋体" w:cs="宋体" w:eastAsia="宋体" w:hint="default"/>
                <w:sz w:val="18"/>
                <w:szCs w:val="18"/>
              </w:rPr>
              <w:t> </w:t>
            </w:r>
            <w:r>
              <w:rPr>
                <w:rFonts w:ascii="宋体" w:hAnsi="宋体" w:cs="宋体" w:eastAsia="宋体" w:hint="default"/>
                <w:spacing w:val="-2"/>
                <w:sz w:val="18"/>
                <w:szCs w:val="18"/>
              </w:rPr>
              <w:t>所上市公司回购股份实施细则》的有关规定，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上市公司以现</w:t>
            </w:r>
            <w:r>
              <w:rPr>
                <w:rFonts w:ascii="宋体" w:hAnsi="宋体" w:cs="宋体" w:eastAsia="宋体" w:hint="default"/>
                <w:spacing w:val="-69"/>
                <w:sz w:val="18"/>
                <w:szCs w:val="18"/>
              </w:rPr>
              <w:t> </w:t>
            </w:r>
            <w:r>
              <w:rPr>
                <w:rFonts w:ascii="宋体" w:hAnsi="宋体" w:cs="宋体" w:eastAsia="宋体" w:hint="default"/>
                <w:sz w:val="18"/>
                <w:szCs w:val="18"/>
              </w:rPr>
              <w:t>金为对价，采用要约方式、集中竞价方式回购股份的，当年 已实施的回购股份金额视同现金分红金额，纳入该年度现金 </w:t>
            </w:r>
            <w:r>
              <w:rPr>
                <w:rFonts w:ascii="宋体" w:hAnsi="宋体" w:cs="宋体" w:eastAsia="宋体" w:hint="default"/>
                <w:spacing w:val="-3"/>
                <w:sz w:val="18"/>
                <w:szCs w:val="18"/>
              </w:rPr>
              <w:t>分红的相关比例计算</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年度，公司以集中竞价方式回购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股份数量累计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19,318,322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股，累计支付的总金额为</w:t>
            </w:r>
          </w:p>
          <w:p>
            <w:pPr>
              <w:pStyle w:val="TableParagraph"/>
              <w:spacing w:line="307" w:lineRule="auto" w:before="5"/>
              <w:ind w:left="22" w:right="25"/>
              <w:jc w:val="both"/>
              <w:rPr>
                <w:rFonts w:ascii="宋体" w:hAnsi="宋体" w:cs="宋体" w:eastAsia="宋体" w:hint="default"/>
                <w:sz w:val="18"/>
                <w:szCs w:val="18"/>
              </w:rPr>
            </w:pPr>
            <w:r>
              <w:rPr>
                <w:rFonts w:ascii="Times New Roman" w:hAnsi="Times New Roman" w:cs="Times New Roman" w:eastAsia="Times New Roman" w:hint="default"/>
                <w:sz w:val="18"/>
                <w:szCs w:val="18"/>
              </w:rPr>
              <w:t>99,996,178.85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元，视同现金分红的金额为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99,996,178.85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综合公司回购股份的实际情况，同时为满足公司未来经营运 转的资金需求，推动公司健康、可持续发展，</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年度不派 发现金红利，不送红股，不进行资本公积转增股本。</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年度未分配利润滚存至下一年度。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本报告期利润分配及资本公积金转增股本预案情况" w:id="61"/>
      <w:bookmarkEnd w:id="61"/>
      <w:r>
        <w:rPr>
          <w:b w:val="0"/>
          <w:bCs w:val="0"/>
        </w:rPr>
      </w:r>
      <w:r>
        <w:rPr/>
        <w:t>二、本报告期利润分配及资本公积金转增股本预案情况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BodyText"/>
        <w:spacing w:line="240" w:lineRule="auto"/>
        <w:ind w:left="574" w:right="0"/>
        <w:jc w:val="left"/>
      </w:pPr>
      <w:r>
        <w:rPr/>
        <w:t>公司计划年度不派发现金红利，不送红股，不以公积金转增股本。</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right="0"/>
        <w:jc w:val="left"/>
        <w:rPr>
          <w:b w:val="0"/>
          <w:bCs w:val="0"/>
        </w:rPr>
      </w:pPr>
      <w:bookmarkStart w:name="三、承诺事项履行情况" w:id="62"/>
      <w:bookmarkEnd w:id="62"/>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9" w:lineRule="auto"/>
        <w:ind w:right="0"/>
        <w:jc w:val="left"/>
        <w:rPr>
          <w:b w:val="0"/>
          <w:bCs w:val="0"/>
        </w:rPr>
      </w:pPr>
      <w:bookmarkStart w:name="1、公司实际控制人、股东、关联方、收购人以及公司等承诺相关方在报告期内履行完毕及" w:id="63"/>
      <w:bookmarkEnd w:id="63"/>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7"/>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8" w:right="0"/>
              <w:jc w:val="left"/>
              <w:rPr>
                <w:rFonts w:ascii="宋体" w:hAnsi="宋体" w:cs="宋体" w:eastAsia="宋体" w:hint="default"/>
                <w:sz w:val="18"/>
                <w:szCs w:val="18"/>
              </w:rPr>
            </w:pPr>
            <w:r>
              <w:rPr>
                <w:rFonts w:ascii="宋体" w:hAnsi="宋体" w:cs="宋体" w:eastAsia="宋体" w:hint="default"/>
                <w:sz w:val="18"/>
                <w:szCs w:val="18"/>
              </w:rPr>
              <w:t>履行情况</w:t>
            </w:r>
          </w:p>
        </w:tc>
      </w:tr>
    </w:tbl>
    <w:p>
      <w:pPr>
        <w:spacing w:after="0" w:line="240" w:lineRule="auto"/>
        <w:jc w:val="left"/>
        <w:rPr>
          <w:rFonts w:ascii="宋体" w:hAnsi="宋体" w:cs="宋体" w:eastAsia="宋体" w:hint="default"/>
          <w:sz w:val="18"/>
          <w:szCs w:val="18"/>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28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房志刚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公司本次向 其发行的股 份自股份发 行结束之日 起三十六个 月内不得转 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2018-12-23</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227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孙绍朋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公司本次向 其发行的股 份自股份发 行结束之日 起三十六个 月内不得转 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2018-12-23</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227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周鸿坚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公司本次向 其发行的股 份自股份发 行结束之日 起三十六个 月内不得转 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2018-12-23</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227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储元明</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公司本次向 其发行的股 份自股份发 行结束之日 起三十六个 月内不得转 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2018-12-23</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227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公司本次向 其发行的股 份自股份发 行结束之日 起三十六个 月内不得转 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2018-12-23</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129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常州瑞信投 </w:t>
            </w:r>
            <w:r>
              <w:rPr>
                <w:rFonts w:ascii="宋体" w:hAnsi="宋体" w:cs="宋体" w:eastAsia="宋体" w:hint="default"/>
                <w:spacing w:val="-2"/>
                <w:sz w:val="18"/>
                <w:szCs w:val="18"/>
              </w:rPr>
              <w:t>资中心（有限</w:t>
            </w:r>
            <w:r>
              <w:rPr>
                <w:rFonts w:ascii="宋体" w:hAnsi="宋体" w:cs="宋体" w:eastAsia="宋体" w:hint="default"/>
                <w:sz w:val="18"/>
                <w:szCs w:val="18"/>
              </w:rPr>
              <w:t> 合伙）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公司本次向 其发行的股 份自股份发 行结束之日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22" w:right="0"/>
              <w:jc w:val="left"/>
              <w:rPr>
                <w:rFonts w:ascii="Times New Roman" w:hAnsi="Times New Roman" w:cs="Times New Roman" w:eastAsia="Times New Roman" w:hint="default"/>
                <w:sz w:val="18"/>
                <w:szCs w:val="18"/>
              </w:rPr>
            </w:pPr>
            <w:r>
              <w:rPr>
                <w:rFonts w:ascii="Times New Roman"/>
                <w:sz w:val="18"/>
              </w:rPr>
              <w:t>2018-12-23</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left"/>
        <w:rPr>
          <w:rFonts w:ascii="宋体" w:hAnsi="宋体" w:cs="宋体" w:eastAsia="宋体" w:hint="default"/>
          <w:sz w:val="18"/>
          <w:szCs w:val="18"/>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98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both"/>
              <w:rPr>
                <w:rFonts w:ascii="宋体" w:hAnsi="宋体" w:cs="宋体" w:eastAsia="宋体" w:hint="default"/>
                <w:sz w:val="18"/>
                <w:szCs w:val="18"/>
              </w:rPr>
            </w:pPr>
            <w:r>
              <w:rPr>
                <w:rFonts w:ascii="宋体" w:hAnsi="宋体" w:cs="宋体" w:eastAsia="宋体" w:hint="default"/>
                <w:sz w:val="18"/>
                <w:szCs w:val="18"/>
              </w:rPr>
              <w:t>起三十六个 月内不得转 让。</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黄天朗</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公司本次向 其发行的股 份自股份发 行结束之日 起三十六个 月内不得转 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2018-12-23</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227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常州臻信投 </w:t>
            </w:r>
            <w:r>
              <w:rPr>
                <w:rFonts w:ascii="宋体" w:hAnsi="宋体" w:cs="宋体" w:eastAsia="宋体" w:hint="default"/>
                <w:spacing w:val="-2"/>
                <w:sz w:val="18"/>
                <w:szCs w:val="18"/>
              </w:rPr>
              <w:t>资中心（有限</w:t>
            </w:r>
            <w:r>
              <w:rPr>
                <w:rFonts w:ascii="宋体" w:hAnsi="宋体" w:cs="宋体" w:eastAsia="宋体" w:hint="default"/>
                <w:sz w:val="18"/>
                <w:szCs w:val="18"/>
              </w:rPr>
              <w:t> 合伙）</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公司本次向 其发行的股 份自股份发 行结束之日 起三十六个 月内不得转 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2018-12-23</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227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公司本次向 其发行的股 份自股份发 行结束之日 起三十六个 月内不得转 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2018-12-23</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227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公司本次向 其发行的股 份自股份发 行结束之日 起三十六个 月内不得转 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2018-12-23</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2274"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苏俊锋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公司本次向 其发行的股 份自股份发 行结束之日 起三十六个 月内不得转 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2018-12-23</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129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2"/>
              <w:jc w:val="both"/>
              <w:rPr>
                <w:rFonts w:ascii="宋体" w:hAnsi="宋体" w:cs="宋体" w:eastAsia="宋体" w:hint="default"/>
                <w:sz w:val="18"/>
                <w:szCs w:val="18"/>
              </w:rPr>
            </w:pPr>
            <w:r>
              <w:rPr>
                <w:rFonts w:ascii="宋体" w:hAnsi="宋体" w:cs="宋体" w:eastAsia="宋体" w:hint="default"/>
                <w:sz w:val="18"/>
                <w:szCs w:val="18"/>
              </w:rPr>
              <w:t>公司本次向 其发行的股 份自股份发 行结束之日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22" w:right="0"/>
              <w:jc w:val="left"/>
              <w:rPr>
                <w:rFonts w:ascii="Times New Roman" w:hAnsi="Times New Roman" w:cs="Times New Roman" w:eastAsia="Times New Roman" w:hint="default"/>
                <w:sz w:val="18"/>
                <w:szCs w:val="18"/>
              </w:rPr>
            </w:pPr>
            <w:r>
              <w:rPr>
                <w:rFonts w:ascii="Times New Roman"/>
                <w:sz w:val="18"/>
              </w:rPr>
              <w:t>2018-12-23</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left"/>
        <w:rPr>
          <w:rFonts w:ascii="宋体" w:hAnsi="宋体" w:cs="宋体" w:eastAsia="宋体" w:hint="default"/>
          <w:sz w:val="18"/>
          <w:szCs w:val="18"/>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986"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both"/>
              <w:rPr>
                <w:rFonts w:ascii="宋体" w:hAnsi="宋体" w:cs="宋体" w:eastAsia="宋体" w:hint="default"/>
                <w:sz w:val="18"/>
                <w:szCs w:val="18"/>
              </w:rPr>
            </w:pPr>
            <w:r>
              <w:rPr>
                <w:rFonts w:ascii="宋体" w:hAnsi="宋体" w:cs="宋体" w:eastAsia="宋体" w:hint="default"/>
                <w:sz w:val="18"/>
                <w:szCs w:val="18"/>
              </w:rPr>
              <w:t>起三十六个 月内不得转 让。</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2844"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房志刚</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tabs>
                <w:tab w:pos="733" w:val="left" w:leader="none"/>
              </w:tabs>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、避免同业 竞争的承诺： 本次交易前， 房志刚未直 接或间接从 事与达实智 能及其下属 子公司相同 或相似的业 务。</w:t>
              <w:tab/>
              <w:t>自本 承诺出具日， 房志刚将不 以任何方式 直接或间接 新增与达实 智能及其下 属子公司业 务相同、相似 并构成竞争 或可能构成 竞争的业务。 房志刚若拟 出售与达实 智能及其下 属子公司经 营相关的任 何其他资产、 业务或权益， 达实智能均 有优先购买 的权利。 以上声明、保 证及承诺同 样适用于房 志刚控制的 其他企业，房 志刚将依法 促使控制的 其他企业按 照与房志刚 同样的标准</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遵守以上声</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明、保证及承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tabs>
                <w:tab w:pos="733" w:val="left" w:leader="none"/>
              </w:tabs>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w:t>
              <w:tab/>
              <w:t>如以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上声明、保证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及承诺事项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与事实不符，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或者房志刚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企业违反上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述声明、保证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及承诺事项，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因从事与达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实智能及其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下属子公司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竞争性业务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所取得的收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益无偿归达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实智能所有。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、减少和规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范关联交易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房志刚承诺：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本次交易后，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控制或影响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的企业将尽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量避免、减少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与达实智能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及下属子公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司的关联交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易；本人及本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人控制或影</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响的企业将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严格避免向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达实智能及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其下属子公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司拆借、占用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达实智能及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其下属子公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司资金或采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取由达实智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能及其下属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子公司代垫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款、代偿债务</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284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tabs>
                <w:tab w:pos="733" w:val="left" w:leader="none"/>
              </w:tabs>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等方式侵占 达实智能资 金。</w:t>
              <w:tab/>
              <w:t>对于 本人及本人 控制或影响 的企业与达 实智能及其 下属子公司 之间无法避 免或者有合 理原因而发 生的关联交 </w:t>
            </w:r>
            <w:r>
              <w:rPr>
                <w:rFonts w:ascii="宋体" w:hAnsi="宋体" w:cs="宋体" w:eastAsia="宋体" w:hint="default"/>
                <w:spacing w:val="-2"/>
                <w:sz w:val="18"/>
                <w:szCs w:val="18"/>
              </w:rPr>
              <w:t>易，均将严格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遵守市场原 </w:t>
            </w:r>
            <w:r>
              <w:rPr>
                <w:rFonts w:ascii="宋体" w:hAnsi="宋体" w:cs="宋体" w:eastAsia="宋体" w:hint="default"/>
                <w:spacing w:val="-2"/>
                <w:sz w:val="18"/>
                <w:szCs w:val="18"/>
              </w:rPr>
              <w:t>则，本着平等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互利、等价有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偿的一般原 </w:t>
            </w:r>
            <w:r>
              <w:rPr>
                <w:rFonts w:ascii="宋体" w:hAnsi="宋体" w:cs="宋体" w:eastAsia="宋体" w:hint="default"/>
                <w:spacing w:val="-2"/>
                <w:sz w:val="18"/>
                <w:szCs w:val="18"/>
              </w:rPr>
              <w:t>则，公平合理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地进行。 本人在达实 智能权力机 构审议涉及 本人及本人 控制或影响 的企业的关 联交易事项 时主动依法 履行回避义 </w:t>
            </w:r>
            <w:r>
              <w:rPr>
                <w:rFonts w:ascii="宋体" w:hAnsi="宋体" w:cs="宋体" w:eastAsia="宋体" w:hint="default"/>
                <w:spacing w:val="-2"/>
                <w:sz w:val="18"/>
                <w:szCs w:val="18"/>
              </w:rPr>
              <w:t>务，且交易须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在有权机构 审议通过后 方可执行。 本人保证不 通过关联交 易取得任何 不正当的利 益或使达实 智能及其下 属子公司承 担任何不正 当的义务。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9"/>
              <w:jc w:val="left"/>
              <w:rPr>
                <w:rFonts w:ascii="宋体" w:hAnsi="宋体" w:cs="宋体" w:eastAsia="宋体" w:hint="default"/>
                <w:sz w:val="18"/>
                <w:szCs w:val="18"/>
              </w:rPr>
            </w:pPr>
            <w:r>
              <w:rPr>
                <w:rFonts w:ascii="宋体" w:hAnsi="宋体" w:cs="宋体" w:eastAsia="宋体" w:hint="default"/>
                <w:sz w:val="18"/>
                <w:szCs w:val="18"/>
              </w:rPr>
              <w:t>程朋胜</w:t>
            </w:r>
            <w:r>
              <w:rPr>
                <w:rFonts w:ascii="Times New Roman" w:hAnsi="Times New Roman" w:cs="Times New Roman" w:eastAsia="Times New Roman" w:hint="default"/>
                <w:sz w:val="18"/>
                <w:szCs w:val="18"/>
              </w:rPr>
              <w:t>;</w:t>
            </w:r>
            <w:r>
              <w:rPr>
                <w:rFonts w:ascii="宋体" w:hAnsi="宋体" w:cs="宋体" w:eastAsia="宋体" w:hint="default"/>
                <w:sz w:val="18"/>
                <w:szCs w:val="18"/>
              </w:rPr>
              <w:t>黄天 朗</w:t>
            </w:r>
            <w:r>
              <w:rPr>
                <w:rFonts w:ascii="Times New Roman" w:hAnsi="Times New Roman" w:cs="Times New Roman" w:eastAsia="Times New Roman" w:hint="default"/>
                <w:sz w:val="18"/>
                <w:szCs w:val="18"/>
              </w:rPr>
              <w:t>;</w:t>
            </w:r>
            <w:r>
              <w:rPr>
                <w:rFonts w:ascii="宋体" w:hAnsi="宋体" w:cs="宋体" w:eastAsia="宋体" w:hint="default"/>
                <w:sz w:val="18"/>
                <w:szCs w:val="18"/>
              </w:rPr>
              <w:t>刘磅</w:t>
            </w:r>
            <w:r>
              <w:rPr>
                <w:rFonts w:ascii="Times New Roman" w:hAnsi="Times New Roman" w:cs="Times New Roman" w:eastAsia="Times New Roman" w:hint="default"/>
                <w:sz w:val="18"/>
                <w:szCs w:val="18"/>
              </w:rPr>
              <w:t>;</w:t>
            </w:r>
            <w:r>
              <w:rPr>
                <w:rFonts w:ascii="宋体" w:hAnsi="宋体" w:cs="宋体" w:eastAsia="宋体" w:hint="default"/>
                <w:sz w:val="18"/>
                <w:szCs w:val="18"/>
              </w:rPr>
              <w:t>吕枫</w:t>
            </w:r>
            <w:r>
              <w:rPr>
                <w:rFonts w:ascii="Times New Roman" w:hAnsi="Times New Roman" w:cs="Times New Roman" w:eastAsia="Times New Roman" w:hint="default"/>
                <w:sz w:val="18"/>
                <w:szCs w:val="18"/>
              </w:rPr>
              <w:t>; </w:t>
            </w:r>
            <w:r>
              <w:rPr>
                <w:rFonts w:ascii="宋体" w:hAnsi="宋体" w:cs="宋体" w:eastAsia="宋体" w:hint="default"/>
                <w:sz w:val="18"/>
                <w:szCs w:val="18"/>
              </w:rPr>
              <w:t>达实投资</w:t>
            </w:r>
            <w:r>
              <w:rPr>
                <w:rFonts w:ascii="Times New Roman" w:hAnsi="Times New Roman" w:cs="Times New Roman" w:eastAsia="Times New Roman" w:hint="default"/>
                <w:sz w:val="18"/>
                <w:szCs w:val="18"/>
              </w:rPr>
              <w:t>;</w:t>
            </w:r>
            <w:r>
              <w:rPr>
                <w:rFonts w:ascii="宋体" w:hAnsi="宋体" w:cs="宋体" w:eastAsia="宋体" w:hint="default"/>
                <w:sz w:val="18"/>
                <w:szCs w:val="18"/>
              </w:rPr>
              <w:t>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避免同业竞 </w:t>
            </w:r>
            <w:r>
              <w:rPr>
                <w:rFonts w:ascii="宋体" w:hAnsi="宋体" w:cs="宋体" w:eastAsia="宋体" w:hint="default"/>
                <w:spacing w:val="-2"/>
                <w:sz w:val="18"/>
                <w:szCs w:val="18"/>
              </w:rPr>
              <w:t>争的承诺：不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直接或间接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298"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俊锋</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2"/>
              <w:jc w:val="both"/>
              <w:rPr>
                <w:rFonts w:ascii="宋体" w:hAnsi="宋体" w:cs="宋体" w:eastAsia="宋体" w:hint="default"/>
                <w:sz w:val="18"/>
                <w:szCs w:val="18"/>
              </w:rPr>
            </w:pPr>
            <w:r>
              <w:rPr>
                <w:rFonts w:ascii="宋体" w:hAnsi="宋体" w:cs="宋体" w:eastAsia="宋体" w:hint="default"/>
                <w:sz w:val="18"/>
                <w:szCs w:val="18"/>
              </w:rPr>
              <w:t>从事与公司 经营范围相 同或相类似 的业务。</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2"/>
              <w:ind w:left="23" w:right="141"/>
              <w:jc w:val="left"/>
              <w:rPr>
                <w:rFonts w:ascii="宋体" w:hAnsi="宋体" w:cs="宋体" w:eastAsia="宋体" w:hint="default"/>
                <w:sz w:val="18"/>
                <w:szCs w:val="18"/>
              </w:rPr>
            </w:pPr>
            <w:r>
              <w:rPr>
                <w:rFonts w:ascii="宋体" w:hAnsi="宋体" w:cs="宋体" w:eastAsia="宋体" w:hint="default"/>
                <w:sz w:val="18"/>
                <w:szCs w:val="18"/>
              </w:rPr>
              <w:t>刘磅</w:t>
            </w:r>
            <w:r>
              <w:rPr>
                <w:rFonts w:ascii="Times New Roman" w:hAnsi="Times New Roman" w:cs="Times New Roman" w:eastAsia="Times New Roman" w:hint="default"/>
                <w:sz w:val="18"/>
                <w:szCs w:val="18"/>
              </w:rPr>
              <w:t>;</w:t>
            </w:r>
            <w:r>
              <w:rPr>
                <w:rFonts w:ascii="宋体" w:hAnsi="宋体" w:cs="宋体" w:eastAsia="宋体" w:hint="default"/>
                <w:sz w:val="18"/>
                <w:szCs w:val="18"/>
              </w:rPr>
              <w:t>达实投 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关于不占用 公司资金的 </w:t>
            </w:r>
            <w:r>
              <w:rPr>
                <w:rFonts w:ascii="宋体" w:hAnsi="宋体" w:cs="宋体" w:eastAsia="宋体" w:hint="default"/>
                <w:spacing w:val="-2"/>
                <w:sz w:val="18"/>
                <w:szCs w:val="18"/>
              </w:rPr>
              <w:t>承诺：不以任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何方式占用 公司的资产 </w:t>
            </w:r>
            <w:r>
              <w:rPr>
                <w:rFonts w:ascii="宋体" w:hAnsi="宋体" w:cs="宋体" w:eastAsia="宋体" w:hint="default"/>
                <w:spacing w:val="-2"/>
                <w:sz w:val="18"/>
                <w:szCs w:val="18"/>
              </w:rPr>
              <w:t>和资源，不以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任何直接或 者间接的方 式从事损害 或可能损害 公司及其他 股东利益的 行为。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146"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2"/>
              <w:ind w:left="23" w:right="141"/>
              <w:jc w:val="left"/>
              <w:rPr>
                <w:rFonts w:ascii="宋体" w:hAnsi="宋体" w:cs="宋体" w:eastAsia="宋体" w:hint="default"/>
                <w:sz w:val="18"/>
                <w:szCs w:val="18"/>
              </w:rPr>
            </w:pPr>
            <w:r>
              <w:rPr>
                <w:rFonts w:ascii="宋体" w:hAnsi="宋体" w:cs="宋体" w:eastAsia="宋体" w:hint="default"/>
                <w:sz w:val="18"/>
                <w:szCs w:val="18"/>
              </w:rPr>
              <w:t>刘磅</w:t>
            </w:r>
            <w:r>
              <w:rPr>
                <w:rFonts w:ascii="Times New Roman" w:hAnsi="Times New Roman" w:cs="Times New Roman" w:eastAsia="Times New Roman" w:hint="default"/>
                <w:sz w:val="18"/>
                <w:szCs w:val="18"/>
              </w:rPr>
              <w:t>;</w:t>
            </w:r>
            <w:r>
              <w:rPr>
                <w:rFonts w:ascii="宋体" w:hAnsi="宋体" w:cs="宋体" w:eastAsia="宋体" w:hint="default"/>
                <w:sz w:val="18"/>
                <w:szCs w:val="18"/>
              </w:rPr>
              <w:t>达实投 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关于公司可 能由于住房 公积金政策 变化而导致 的处罚或损 </w:t>
            </w:r>
            <w:r>
              <w:rPr>
                <w:rFonts w:ascii="宋体" w:hAnsi="宋体" w:cs="宋体" w:eastAsia="宋体" w:hint="default"/>
                <w:spacing w:val="-2"/>
                <w:sz w:val="18"/>
                <w:szCs w:val="18"/>
              </w:rPr>
              <w:t>失的承诺：将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对该等处罚 或损失承担 连带赔偿责 </w:t>
            </w:r>
            <w:r>
              <w:rPr>
                <w:rFonts w:ascii="宋体" w:hAnsi="宋体" w:cs="宋体" w:eastAsia="宋体" w:hint="default"/>
                <w:spacing w:val="-2"/>
                <w:sz w:val="18"/>
                <w:szCs w:val="18"/>
              </w:rPr>
              <w:t>任，以确保公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司不会因此 遭受任何损 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right="0"/>
        <w:jc w:val="left"/>
        <w:rPr>
          <w:b w:val="0"/>
          <w:bCs w:val="0"/>
        </w:rPr>
      </w:pPr>
      <w:bookmarkStart w:name="2、公司资产或项目存在盈利预测，且报告期仍处在盈利预测期间，公司就资产或项目达到" w:id="64"/>
      <w:bookmarkEnd w:id="64"/>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控股股东及其关联方对上市公司的非经营性占用资金情况" w:id="65"/>
      <w:bookmarkEnd w:id="65"/>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87" w:footer="1019" w:top="1100" w:bottom="1200" w:left="980" w:right="0"/>
        </w:sectPr>
      </w:pPr>
    </w:p>
    <w:p>
      <w:pPr>
        <w:spacing w:line="240" w:lineRule="auto" w:before="11"/>
        <w:rPr>
          <w:rFonts w:ascii="宋体" w:hAnsi="宋体" w:cs="宋体" w:eastAsia="宋体" w:hint="default"/>
          <w:sz w:val="28"/>
          <w:szCs w:val="28"/>
        </w:rPr>
      </w:pPr>
    </w:p>
    <w:p>
      <w:pPr>
        <w:pStyle w:val="BodyText"/>
        <w:spacing w:line="240" w:lineRule="auto" w:before="44"/>
        <w:ind w:left="574" w:right="0"/>
        <w:jc w:val="left"/>
      </w:pPr>
      <w:r>
        <w:rPr/>
        <w:t>公司报告期不存在控股股东及其关联方对上市公司的非经营性占用资金。</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right="0"/>
        <w:jc w:val="left"/>
        <w:rPr>
          <w:b w:val="0"/>
          <w:bCs w:val="0"/>
        </w:rPr>
      </w:pPr>
      <w:bookmarkStart w:name="五、董事会、监事会、独立董事（如有）对会计师事务所本报告期“非标准审计报告”的说" w:id="66"/>
      <w:bookmarkEnd w:id="66"/>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与上年度财务报告相比，会计政策、会计估计和核算方法发生变化的情况说明" w:id="67"/>
      <w:bookmarkEnd w:id="67"/>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240" w:lineRule="auto"/>
        <w:ind w:left="574" w:right="0"/>
        <w:jc w:val="left"/>
      </w:pPr>
      <w:r>
        <w:rPr/>
        <w:t>公司报告期无会计政策、会计估计和核算方法发生变化的情况。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pStyle w:val="Heading2"/>
        <w:spacing w:line="240" w:lineRule="auto"/>
        <w:ind w:right="0"/>
        <w:jc w:val="left"/>
        <w:rPr>
          <w:b w:val="0"/>
          <w:bCs w:val="0"/>
        </w:rPr>
      </w:pPr>
      <w:bookmarkStart w:name="七、报告期内发生重大会计差错更正需追溯重述的情况说明" w:id="68"/>
      <w:bookmarkEnd w:id="68"/>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240" w:lineRule="auto"/>
        <w:ind w:left="574" w:right="0"/>
        <w:jc w:val="left"/>
      </w:pPr>
      <w:r>
        <w:rPr/>
        <w:t>公司报告期无重大会计差错更正需追溯重述的情况。</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right="0"/>
        <w:jc w:val="left"/>
        <w:rPr>
          <w:b w:val="0"/>
          <w:bCs w:val="0"/>
        </w:rPr>
      </w:pPr>
      <w:bookmarkStart w:name="八、与上年度财务报告相比，合并报表范围发生变化的情况说明" w:id="69"/>
      <w:bookmarkEnd w:id="69"/>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240" w:lineRule="auto"/>
        <w:ind w:right="0"/>
        <w:jc w:val="left"/>
      </w:pPr>
      <w:r>
        <w:rPr>
          <w:rFonts w:ascii="Times New Roman" w:hAnsi="Times New Roman" w:cs="Times New Roman" w:eastAsia="Times New Roman" w:hint="default"/>
        </w:rPr>
        <w:t>1</w:t>
      </w:r>
      <w:r>
        <w:rPr/>
        <w:t>、本期处置子公司</w:t>
      </w:r>
    </w:p>
    <w:p>
      <w:pPr>
        <w:spacing w:line="240" w:lineRule="auto" w:before="10"/>
        <w:rPr>
          <w:rFonts w:ascii="宋体" w:hAnsi="宋体" w:cs="宋体" w:eastAsia="宋体" w:hint="default"/>
          <w:sz w:val="16"/>
          <w:szCs w:val="16"/>
        </w:rPr>
      </w:pPr>
    </w:p>
    <w:p>
      <w:pPr>
        <w:pStyle w:val="BodyText"/>
        <w:spacing w:line="451" w:lineRule="auto"/>
        <w:ind w:right="0" w:firstLine="420"/>
        <w:jc w:val="left"/>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8</w:t>
      </w:r>
      <w:r>
        <w:rPr>
          <w:spacing w:val="-1"/>
        </w:rPr>
        <w:t>月，公司转让持有的上海达实联欣科技发展有限公司</w:t>
      </w:r>
      <w:r>
        <w:rPr>
          <w:rFonts w:ascii="Times New Roman" w:hAnsi="Times New Roman" w:cs="Times New Roman" w:eastAsia="Times New Roman" w:hint="default"/>
          <w:spacing w:val="-1"/>
        </w:rPr>
        <w:t>34%</w:t>
      </w:r>
      <w:r>
        <w:rPr>
          <w:spacing w:val="-1"/>
        </w:rPr>
        <w:t>股权，自股权转让日开始，不再对上海达实联欣科技</w:t>
      </w:r>
      <w:r>
        <w:rPr/>
        <w:t> 发展有限公司具有控制权。</w:t>
      </w:r>
    </w:p>
    <w:p>
      <w:pPr>
        <w:pStyle w:val="BodyText"/>
        <w:spacing w:line="240" w:lineRule="auto" w:before="74"/>
        <w:ind w:right="0"/>
        <w:jc w:val="left"/>
      </w:pPr>
      <w:r>
        <w:rPr>
          <w:rFonts w:ascii="Times New Roman" w:hAnsi="Times New Roman" w:cs="Times New Roman" w:eastAsia="Times New Roman" w:hint="default"/>
        </w:rPr>
        <w:t>2</w:t>
      </w:r>
      <w:r>
        <w:rPr/>
        <w:t>、本期新增子公司</w:t>
      </w:r>
    </w:p>
    <w:p>
      <w:pPr>
        <w:spacing w:line="240" w:lineRule="auto" w:before="12"/>
        <w:rPr>
          <w:rFonts w:ascii="宋体" w:hAnsi="宋体" w:cs="宋体" w:eastAsia="宋体" w:hint="default"/>
          <w:sz w:val="9"/>
          <w:szCs w:val="9"/>
        </w:rPr>
      </w:pPr>
    </w:p>
    <w:tbl>
      <w:tblPr>
        <w:tblW w:w="0" w:type="auto"/>
        <w:jc w:val="left"/>
        <w:tblInd w:w="137" w:type="dxa"/>
        <w:tblLayout w:type="fixed"/>
        <w:tblCellMar>
          <w:top w:w="0" w:type="dxa"/>
          <w:left w:w="0" w:type="dxa"/>
          <w:bottom w:w="0" w:type="dxa"/>
          <w:right w:w="0" w:type="dxa"/>
        </w:tblCellMar>
        <w:tblLook w:val="01E0"/>
      </w:tblPr>
      <w:tblGrid>
        <w:gridCol w:w="3279"/>
        <w:gridCol w:w="1188"/>
        <w:gridCol w:w="1421"/>
        <w:gridCol w:w="1420"/>
        <w:gridCol w:w="2351"/>
      </w:tblGrid>
      <w:tr>
        <w:trPr>
          <w:trHeight w:val="347" w:hRule="exact"/>
        </w:trPr>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子公司级次</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新增方式</w:t>
            </w:r>
          </w:p>
        </w:tc>
      </w:tr>
      <w:tr>
        <w:trPr>
          <w:trHeight w:val="348" w:hRule="exact"/>
        </w:trPr>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湖南桃江达实智慧医养有限公司</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货币出资</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2018-3-30</w:t>
            </w:r>
          </w:p>
        </w:tc>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7" w:hRule="exact"/>
        </w:trPr>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合肥达实信息科技有限公司</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货币出资</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2018-8-14</w:t>
            </w:r>
          </w:p>
        </w:tc>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7" w:hRule="exact"/>
        </w:trPr>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达实智能科技（成都）有限公司</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货币出资</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2018-2-01</w:t>
            </w:r>
          </w:p>
        </w:tc>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7" w:hRule="exact"/>
        </w:trPr>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深圳达实智慧医疗有限公司</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货币出资</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2018-1-23</w:t>
            </w:r>
          </w:p>
        </w:tc>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7" w:hRule="exact"/>
        </w:trPr>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云浮市济天企业管理有限公司</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三级子公司</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货币出资</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2018-12-20</w:t>
            </w:r>
          </w:p>
        </w:tc>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7" w:hRule="exact"/>
        </w:trPr>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成都聚雅医信科技有限公司</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现金收购</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2018-8-30</w:t>
            </w:r>
          </w:p>
        </w:tc>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48" w:hRule="exact"/>
        </w:trPr>
        <w:tc>
          <w:tcPr>
            <w:tcW w:w="32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深圳市小鹿暖暖科技有限公司</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现金收购</w:t>
            </w:r>
          </w:p>
        </w:tc>
        <w:tc>
          <w:tcPr>
            <w:tcW w:w="14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2018-3-19</w:t>
            </w:r>
          </w:p>
        </w:tc>
        <w:tc>
          <w:tcPr>
            <w:tcW w:w="23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0"/>
        <w:jc w:val="left"/>
        <w:rPr>
          <w:b w:val="0"/>
          <w:bCs w:val="0"/>
        </w:rPr>
      </w:pPr>
      <w:bookmarkStart w:name="九、聘任、解聘会计师事务所情况" w:id="70"/>
      <w:bookmarkEnd w:id="70"/>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lef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潘忠民、蔡宏亮</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0"/>
        <w:jc w:val="left"/>
      </w:pPr>
      <w:r>
        <w:rPr/>
        <w:t>当期是否改聘会计师事务所</w:t>
      </w:r>
    </w:p>
    <w:p>
      <w:pPr>
        <w:pStyle w:val="BodyText"/>
        <w:spacing w:line="338" w:lineRule="auto" w:before="117"/>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年度报告披露后面临暂停上市和终止上市情况" w:id="71"/>
      <w:bookmarkEnd w:id="71"/>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2"/>
      <w:bookmarkEnd w:id="72"/>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240" w:lineRule="auto"/>
        <w:ind w:left="574" w:right="0"/>
        <w:jc w:val="left"/>
      </w:pPr>
      <w:r>
        <w:rPr/>
        <w:t>公司报告期未发生破产重整相关事项。</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right="0"/>
        <w:jc w:val="left"/>
        <w:rPr>
          <w:b w:val="0"/>
          <w:bCs w:val="0"/>
        </w:rPr>
      </w:pPr>
      <w:bookmarkStart w:name="十二、重大诉讼、仲裁事项" w:id="73"/>
      <w:bookmarkEnd w:id="73"/>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BodyText"/>
        <w:spacing w:line="240" w:lineRule="auto"/>
        <w:ind w:left="574" w:right="0"/>
        <w:jc w:val="left"/>
      </w:pPr>
      <w:r>
        <w:rPr/>
        <w:t>本报告期公司无重大诉讼、仲裁事项。</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0"/>
        <w:jc w:val="left"/>
        <w:rPr>
          <w:b w:val="0"/>
          <w:bCs w:val="0"/>
        </w:rPr>
      </w:pPr>
      <w:bookmarkStart w:name="十三、处罚及整改情况" w:id="74"/>
      <w:bookmarkEnd w:id="74"/>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240" w:lineRule="auto"/>
        <w:ind w:left="574" w:right="0"/>
        <w:jc w:val="left"/>
      </w:pPr>
      <w:r>
        <w:rPr/>
        <w:t>公司报告期不存在处罚及整改情况。</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right="0"/>
        <w:jc w:val="left"/>
        <w:rPr>
          <w:b w:val="0"/>
          <w:bCs w:val="0"/>
        </w:rPr>
      </w:pPr>
      <w:bookmarkStart w:name="十四、公司及其控股股东、实际控制人的诚信状况" w:id="75"/>
      <w:bookmarkEnd w:id="75"/>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477" w:lineRule="auto"/>
        <w:ind w:right="1152" w:firstLine="420"/>
        <w:jc w:val="left"/>
      </w:pPr>
      <w:r>
        <w:rPr/>
        <w:t>报告期内，公司及控股股东达实投资、实际控制人刘磅先生诚信状况良好，不存在未履行法院生效判决、所负数额较 大的债务到期未清偿等情况。</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bookmarkStart w:name="十五、公司股权激励计划、员工持股计划或其他员工激励措施的实施情况" w:id="76"/>
      <w:bookmarkEnd w:id="76"/>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Heading6"/>
        <w:spacing w:line="240" w:lineRule="auto"/>
        <w:ind w:right="0"/>
        <w:jc w:val="left"/>
        <w:rPr>
          <w:b w:val="0"/>
          <w:bCs w:val="0"/>
        </w:rPr>
      </w:pPr>
      <w:r>
        <w:rPr/>
        <w:t>（一）第二期限制性股票激励计划</w:t>
      </w:r>
      <w:r>
        <w:rPr>
          <w:b w:val="0"/>
          <w:bCs w:val="0"/>
        </w:rPr>
      </w:r>
    </w:p>
    <w:p>
      <w:pPr>
        <w:spacing w:line="240" w:lineRule="auto" w:before="10"/>
        <w:rPr>
          <w:rFonts w:ascii="宋体" w:hAnsi="宋体" w:cs="宋体" w:eastAsia="宋体" w:hint="default"/>
          <w:b/>
          <w:bCs/>
          <w:sz w:val="17"/>
          <w:szCs w:val="17"/>
        </w:rPr>
      </w:pPr>
    </w:p>
    <w:p>
      <w:pPr>
        <w:pStyle w:val="BodyText"/>
        <w:spacing w:line="451" w:lineRule="auto"/>
        <w:ind w:right="0" w:firstLine="42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日，公司第六届董事会第十四次会议审议通过了《关于第二期限制性股票激励计划第三个解锁期条件及预 </w:t>
      </w:r>
      <w:r>
        <w:rPr>
          <w:spacing w:val="-2"/>
        </w:rPr>
        <w:t>留股份第二个解锁期条件满足的议案》，同意公司按照激励计划的相关规定办理解锁事宜，解锁数量为</w:t>
      </w:r>
      <w:r>
        <w:rPr>
          <w:rFonts w:ascii="Times New Roman" w:hAnsi="Times New Roman" w:cs="Times New Roman" w:eastAsia="Times New Roman" w:hint="default"/>
          <w:spacing w:val="-2"/>
        </w:rPr>
        <w:t>13,489,350</w:t>
      </w:r>
      <w:r>
        <w:rPr>
          <w:spacing w:val="-2"/>
        </w:rPr>
        <w:t>股。同日，</w:t>
      </w:r>
      <w:r>
        <w:rPr>
          <w:spacing w:val="-54"/>
        </w:rPr>
        <w:t> </w:t>
      </w:r>
      <w:r>
        <w:rPr>
          <w:spacing w:val="-54"/>
        </w:rPr>
      </w:r>
      <w:r>
        <w:rPr>
          <w:spacing w:val="-2"/>
        </w:rPr>
        <w:t>董事会审议通过了《关于回购注销部分限制性股票的议案》，根据激励计划的相关规定，对部分激励对象获授的全部或部分</w:t>
      </w:r>
    </w:p>
    <w:p>
      <w:pPr>
        <w:spacing w:after="0" w:line="451" w:lineRule="auto"/>
        <w:jc w:val="left"/>
        <w:sectPr>
          <w:pgSz w:w="11910" w:h="16840"/>
          <w:pgMar w:header="787" w:footer="1019" w:top="1100" w:bottom="1200" w:left="980" w:right="0"/>
        </w:sectPr>
      </w:pPr>
    </w:p>
    <w:p>
      <w:pPr>
        <w:spacing w:line="240" w:lineRule="auto" w:before="10"/>
        <w:rPr>
          <w:rFonts w:ascii="宋体" w:hAnsi="宋体" w:cs="宋体" w:eastAsia="宋体" w:hint="default"/>
          <w:sz w:val="28"/>
          <w:szCs w:val="28"/>
        </w:rPr>
      </w:pPr>
    </w:p>
    <w:p>
      <w:pPr>
        <w:pStyle w:val="BodyText"/>
        <w:spacing w:line="451" w:lineRule="auto" w:before="44"/>
        <w:ind w:right="1118"/>
        <w:jc w:val="left"/>
      </w:pPr>
      <w:r>
        <w:rPr>
          <w:spacing w:val="-2"/>
        </w:rPr>
        <w:t>限制性股票进行回购注销，合计</w:t>
      </w:r>
      <w:r>
        <w:rPr>
          <w:rFonts w:ascii="Times New Roman" w:hAnsi="Times New Roman" w:cs="Times New Roman" w:eastAsia="Times New Roman" w:hint="default"/>
          <w:spacing w:val="-2"/>
        </w:rPr>
        <w:t>2,119,950</w:t>
      </w:r>
      <w:r>
        <w:rPr>
          <w:spacing w:val="-2"/>
        </w:rPr>
        <w:t>股。</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18</w:t>
      </w:r>
      <w:r>
        <w:rPr>
          <w:spacing w:val="-2"/>
        </w:rPr>
        <w:t>日，上述解锁股份上市流通。</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28</w:t>
      </w:r>
      <w:r>
        <w:rPr>
          <w:spacing w:val="-2"/>
        </w:rPr>
        <w:t>日，上述回购注销手续</w:t>
      </w:r>
      <w:r>
        <w:rPr>
          <w:spacing w:val="-43"/>
        </w:rPr>
        <w:t> </w:t>
      </w:r>
      <w:r>
        <w:rPr>
          <w:spacing w:val="-43"/>
        </w:rPr>
      </w:r>
      <w:r>
        <w:rPr/>
        <w:t>完成。</w:t>
      </w:r>
    </w:p>
    <w:p>
      <w:pPr>
        <w:pStyle w:val="Heading6"/>
        <w:spacing w:line="240" w:lineRule="auto" w:before="74"/>
        <w:ind w:right="0"/>
        <w:jc w:val="left"/>
        <w:rPr>
          <w:b w:val="0"/>
          <w:bCs w:val="0"/>
        </w:rPr>
      </w:pPr>
      <w:r>
        <w:rPr/>
        <w:t>（二）员工持股计划</w:t>
      </w:r>
      <w:r>
        <w:rPr>
          <w:b w:val="0"/>
          <w:bCs w:val="0"/>
        </w:rPr>
      </w:r>
    </w:p>
    <w:p>
      <w:pPr>
        <w:spacing w:line="240" w:lineRule="auto" w:before="10"/>
        <w:rPr>
          <w:rFonts w:ascii="宋体" w:hAnsi="宋体" w:cs="宋体" w:eastAsia="宋体" w:hint="default"/>
          <w:b/>
          <w:bCs/>
          <w:sz w:val="17"/>
          <w:szCs w:val="17"/>
        </w:rPr>
      </w:pPr>
    </w:p>
    <w:p>
      <w:pPr>
        <w:pStyle w:val="BodyText"/>
        <w:spacing w:line="451" w:lineRule="auto"/>
        <w:ind w:right="1132"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w:t>
      </w:r>
      <w:r>
        <w:rPr/>
        <w:t>日，公司召开第六届董事会第十九次会议，审议通过了《关于第一期员工持股计划存续期延长的议案》。 </w:t>
      </w:r>
      <w:r>
        <w:rPr>
          <w:spacing w:val="-2"/>
        </w:rPr>
        <w:t>根据相关规定，公司定期报告公告前</w:t>
      </w:r>
      <w:r>
        <w:rPr>
          <w:rFonts w:ascii="Times New Roman" w:hAnsi="Times New Roman" w:cs="Times New Roman" w:eastAsia="Times New Roman" w:hint="default"/>
          <w:spacing w:val="-2"/>
        </w:rPr>
        <w:t>30</w:t>
      </w:r>
      <w:r>
        <w:rPr>
          <w:spacing w:val="-2"/>
        </w:rPr>
        <w:t>日内，不得买卖公司股票，导致公司第一期员工持股计划无法在存续期上限届满前全</w:t>
      </w:r>
      <w:r>
        <w:rPr>
          <w:spacing w:val="-64"/>
        </w:rPr>
        <w:t> </w:t>
      </w:r>
      <w:r>
        <w:rPr>
          <w:spacing w:val="-64"/>
        </w:rPr>
      </w:r>
      <w:r>
        <w:rPr>
          <w:spacing w:val="-2"/>
        </w:rPr>
        <w:t>部变现，经审议，同意将公司第一期员工持股计划存续期延期，存续期上限延长至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27</w:t>
      </w:r>
      <w:r>
        <w:rPr>
          <w:spacing w:val="-2"/>
        </w:rPr>
        <w:t>日。截止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27</w:t>
      </w:r>
      <w:r>
        <w:rPr>
          <w:spacing w:val="-2"/>
        </w:rPr>
        <w:t>日，公</w:t>
      </w:r>
      <w:r>
        <w:rPr>
          <w:spacing w:val="-54"/>
        </w:rPr>
        <w:t> </w:t>
      </w:r>
      <w:r>
        <w:rPr>
          <w:spacing w:val="-54"/>
        </w:rPr>
      </w:r>
      <w:r>
        <w:rPr/>
        <w:t>司第一期员工持股计划持有的公司股票</w:t>
      </w:r>
      <w:r>
        <w:rPr>
          <w:rFonts w:ascii="Times New Roman" w:hAnsi="Times New Roman" w:cs="Times New Roman" w:eastAsia="Times New Roman" w:hint="default"/>
        </w:rPr>
        <w:t>14,563,638</w:t>
      </w:r>
      <w:r>
        <w:rPr/>
        <w:t>股已全部出售完毕。根据第一期员工持股计划方案的相关规定，本期员工 持股计划已实施完毕并终止。</w:t>
      </w:r>
    </w:p>
    <w:p>
      <w:pPr>
        <w:pStyle w:val="BodyText"/>
        <w:spacing w:line="489" w:lineRule="auto" w:before="74"/>
        <w:ind w:right="1843" w:firstLine="420"/>
        <w:jc w:val="left"/>
      </w:pPr>
      <w:r>
        <w:rPr/>
        <w:t>相关公告均已在巨潮资讯网（</w:t>
      </w:r>
      <w:hyperlink r:id="rId11">
        <w:r>
          <w:rPr>
            <w:rFonts w:ascii="Times New Roman" w:hAnsi="Times New Roman" w:cs="Times New Roman" w:eastAsia="Times New Roman" w:hint="default"/>
          </w:rPr>
          <w:t>http://www.cninfo.com.cn</w:t>
        </w:r>
      </w:hyperlink>
      <w:r>
        <w:rPr/>
        <w:t>）上披露。 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本报告期内不存在授予股权激励的情形。</w:t>
      </w:r>
    </w:p>
    <w:p>
      <w:pPr>
        <w:spacing w:line="240" w:lineRule="auto" w:before="11"/>
        <w:rPr>
          <w:rFonts w:ascii="宋体" w:hAnsi="宋体" w:cs="宋体" w:eastAsia="宋体" w:hint="default"/>
          <w:sz w:val="16"/>
          <w:szCs w:val="16"/>
        </w:rPr>
      </w:pPr>
    </w:p>
    <w:p>
      <w:pPr>
        <w:pStyle w:val="Heading2"/>
        <w:spacing w:line="240" w:lineRule="auto"/>
        <w:ind w:right="0"/>
        <w:jc w:val="left"/>
        <w:rPr>
          <w:b w:val="0"/>
          <w:bCs w:val="0"/>
        </w:rPr>
      </w:pPr>
      <w:bookmarkStart w:name="十六、重大关联交易" w:id="77"/>
      <w:bookmarkEnd w:id="77"/>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78"/>
      <w:bookmarkEnd w:id="78"/>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240" w:lineRule="auto"/>
        <w:ind w:left="574" w:right="0"/>
        <w:jc w:val="left"/>
      </w:pPr>
      <w:r>
        <w:rPr/>
        <w:t>公司报告期未发生与日常经营相关的关联交易。</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4"/>
        <w:spacing w:line="240" w:lineRule="auto"/>
        <w:ind w:right="0"/>
        <w:jc w:val="left"/>
        <w:rPr>
          <w:b w:val="0"/>
          <w:bCs w:val="0"/>
        </w:rPr>
      </w:pPr>
      <w:bookmarkStart w:name="2、资产或股权收购、出售发生的关联交易" w:id="79"/>
      <w:bookmarkEnd w:id="79"/>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240" w:lineRule="auto"/>
        <w:ind w:left="574" w:right="0"/>
        <w:jc w:val="left"/>
      </w:pPr>
      <w:r>
        <w:rPr/>
        <w:t>公司报告期未发生资产或股权收购、出售的关联交易。</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3、共同对外投资的关联交易" w:id="80"/>
      <w:bookmarkEnd w:id="80"/>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240" w:lineRule="auto"/>
        <w:ind w:left="574" w:right="0"/>
        <w:jc w:val="left"/>
      </w:pPr>
      <w:r>
        <w:rPr/>
        <w:t>公司报告期未发生共同对外投资的关联交易。</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4"/>
        <w:spacing w:line="240" w:lineRule="auto"/>
        <w:ind w:right="0"/>
        <w:jc w:val="left"/>
        <w:rPr>
          <w:b w:val="0"/>
          <w:bCs w:val="0"/>
        </w:rPr>
      </w:pPr>
      <w:bookmarkStart w:name="4、关联债权债务往来" w:id="81"/>
      <w:bookmarkEnd w:id="81"/>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13"/>
          <w:szCs w:val="13"/>
        </w:rPr>
      </w:pPr>
    </w:p>
    <w:p>
      <w:pPr>
        <w:pStyle w:val="BodyText"/>
        <w:spacing w:line="240" w:lineRule="auto"/>
        <w:ind w:left="574" w:right="0"/>
        <w:jc w:val="left"/>
      </w:pPr>
      <w:r>
        <w:rPr/>
        <w:t>公司报告期不存在关联债权债务往来。</w:t>
      </w:r>
    </w:p>
    <w:p>
      <w:pPr>
        <w:spacing w:after="0" w:line="240" w:lineRule="auto"/>
        <w:jc w:val="left"/>
        <w:sectPr>
          <w:pgSz w:w="11910" w:h="16840"/>
          <w:pgMar w:header="787" w:footer="1019" w:top="1100" w:bottom="1200" w:left="980" w:right="0"/>
        </w:sectPr>
      </w:pPr>
    </w:p>
    <w:p>
      <w:pPr>
        <w:spacing w:line="240" w:lineRule="auto" w:before="7"/>
        <w:rPr>
          <w:rFonts w:ascii="宋体" w:hAnsi="宋体" w:cs="宋体" w:eastAsia="宋体" w:hint="default"/>
          <w:sz w:val="21"/>
          <w:szCs w:val="21"/>
        </w:rPr>
      </w:pPr>
    </w:p>
    <w:p>
      <w:pPr>
        <w:pStyle w:val="Heading4"/>
        <w:spacing w:line="240" w:lineRule="auto" w:before="35"/>
        <w:ind w:right="0"/>
        <w:jc w:val="left"/>
        <w:rPr>
          <w:b w:val="0"/>
          <w:bCs w:val="0"/>
        </w:rPr>
      </w:pPr>
      <w:bookmarkStart w:name="5、其他重大关联交易" w:id="82"/>
      <w:bookmarkEnd w:id="82"/>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451" w:lineRule="auto"/>
        <w:ind w:right="1155" w:firstLine="42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40"/>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40"/>
        </w:rPr>
        <w:t> </w:t>
      </w:r>
      <w:r>
        <w:rPr>
          <w:rFonts w:ascii="Times New Roman" w:hAnsi="Times New Roman" w:cs="Times New Roman" w:eastAsia="Times New Roman" w:hint="default"/>
        </w:rPr>
        <w:t>13</w:t>
      </w:r>
      <w:r>
        <w:rPr>
          <w:rFonts w:ascii="Times New Roman" w:hAnsi="Times New Roman" w:cs="Times New Roman" w:eastAsia="Times New Roman" w:hint="default"/>
          <w:spacing w:val="5"/>
        </w:rPr>
        <w:t> </w:t>
      </w:r>
      <w:r>
        <w:rPr>
          <w:spacing w:val="-3"/>
        </w:rPr>
        <w:t>日公司第六届董事会第十五次会议审议通过了《关于转让子公司股权暨关联交易的议案》，同意将</w:t>
      </w:r>
      <w:r>
        <w:rPr/>
        <w:t> 持有的达实联欣</w:t>
      </w:r>
      <w:r>
        <w:rPr>
          <w:spacing w:val="-46"/>
        </w:rPr>
        <w:t> </w:t>
      </w:r>
      <w:r>
        <w:rPr>
          <w:rFonts w:ascii="Times New Roman" w:hAnsi="Times New Roman" w:cs="Times New Roman" w:eastAsia="Times New Roman" w:hint="default"/>
        </w:rPr>
        <w:t>34%</w:t>
      </w:r>
      <w:r>
        <w:rPr/>
        <w:t>的股权转让给臻龙投资，本次股权转让价格为人民币</w:t>
      </w:r>
      <w:r>
        <w:rPr>
          <w:spacing w:val="-46"/>
        </w:rPr>
        <w:t> </w:t>
      </w:r>
      <w:r>
        <w:rPr>
          <w:rFonts w:ascii="Times New Roman" w:hAnsi="Times New Roman" w:cs="Times New Roman" w:eastAsia="Times New Roman" w:hint="default"/>
        </w:rPr>
        <w:t>12,240</w:t>
      </w:r>
      <w:r>
        <w:rPr>
          <w:rFonts w:ascii="Times New Roman" w:hAnsi="Times New Roman" w:cs="Times New Roman" w:eastAsia="Times New Roman" w:hint="default"/>
          <w:spacing w:val="-1"/>
        </w:rPr>
        <w:t> </w:t>
      </w:r>
      <w:r>
        <w:rPr/>
        <w:t>万元，交易完成后，本公司持有达实联欣 </w:t>
      </w:r>
      <w:r>
        <w:rPr>
          <w:rFonts w:ascii="Times New Roman" w:hAnsi="Times New Roman" w:cs="Times New Roman" w:eastAsia="Times New Roman" w:hint="default"/>
        </w:rPr>
        <w:t>17%</w:t>
      </w:r>
      <w:r>
        <w:rPr/>
        <w:t>的股权，由于持有本公司</w:t>
      </w:r>
      <w:r>
        <w:rPr>
          <w:spacing w:val="-46"/>
        </w:rPr>
        <w:t> </w:t>
      </w:r>
      <w:r>
        <w:rPr>
          <w:rFonts w:ascii="Times New Roman" w:hAnsi="Times New Roman" w:cs="Times New Roman" w:eastAsia="Times New Roman" w:hint="default"/>
        </w:rPr>
        <w:t>5%</w:t>
      </w:r>
      <w:r>
        <w:rPr/>
        <w:t>以上股份的贾虹女士为臻龙投资的执行事务合伙人，本次交易构成关联交易，截至报告期 末，交易已完成。</w:t>
      </w:r>
    </w:p>
    <w:p>
      <w:pPr>
        <w:pStyle w:val="BodyText"/>
        <w:spacing w:line="468" w:lineRule="auto" w:before="113"/>
        <w:ind w:right="0" w:firstLine="42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w:t>
      </w:r>
      <w:r>
        <w:rPr>
          <w:spacing w:val="-41"/>
        </w:rPr>
        <w:t> </w:t>
      </w:r>
      <w:r>
        <w:rPr>
          <w:rFonts w:ascii="Times New Roman" w:hAnsi="Times New Roman" w:cs="Times New Roman" w:eastAsia="Times New Roman" w:hint="default"/>
        </w:rPr>
        <w:t>13</w:t>
      </w:r>
      <w:r>
        <w:rPr>
          <w:rFonts w:ascii="Times New Roman" w:hAnsi="Times New Roman" w:cs="Times New Roman" w:eastAsia="Times New Roman" w:hint="default"/>
          <w:spacing w:val="4"/>
        </w:rPr>
        <w:t> </w:t>
      </w:r>
      <w:r>
        <w:rPr>
          <w:spacing w:val="-3"/>
        </w:rPr>
        <w:t>日公司第六届董事会第十五次会议审议通过了《关于与达实物业关联交易的议案》，同意公司全资</w:t>
      </w:r>
      <w:r>
        <w:rPr/>
        <w:t> </w:t>
      </w:r>
      <w:r>
        <w:rPr>
          <w:spacing w:val="-2"/>
        </w:rPr>
        <w:t>子公司达实信息与达实物业签订《物业委托服务协议》，将持有的企业总部型商务研发大厦达实大厦委托达实物业管理，刘</w:t>
      </w:r>
      <w:r>
        <w:rPr>
          <w:spacing w:val="-72"/>
        </w:rPr>
        <w:t> </w:t>
      </w:r>
      <w:r>
        <w:rPr>
          <w:spacing w:val="-72"/>
        </w:rPr>
      </w:r>
      <w:r>
        <w:rPr>
          <w:spacing w:val="-2"/>
        </w:rPr>
        <w:t>磅先生为达实智能的董事长、实际控制人，且为交易对方达实物业的实际控制人，本次交易构成关联交易。本报告期内，该</w:t>
      </w:r>
      <w:r>
        <w:rPr>
          <w:spacing w:val="-66"/>
        </w:rPr>
        <w:t> </w:t>
      </w:r>
      <w:r>
        <w:rPr>
          <w:spacing w:val="-66"/>
        </w:rPr>
      </w:r>
      <w:r>
        <w:rPr/>
        <w:t>关联交易的实际发生额为</w:t>
      </w:r>
      <w:r>
        <w:rPr>
          <w:spacing w:val="-46"/>
        </w:rPr>
        <w:t> </w:t>
      </w:r>
      <w:r>
        <w:rPr>
          <w:rFonts w:ascii="Times New Roman" w:hAnsi="Times New Roman" w:cs="Times New Roman" w:eastAsia="Times New Roman" w:hint="default"/>
        </w:rPr>
        <w:t>715,415.54</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BodyText"/>
        <w:spacing w:line="240" w:lineRule="auto"/>
        <w:ind w:right="0"/>
        <w:jc w:val="left"/>
      </w:pPr>
      <w:r>
        <w:rPr/>
        <w:t>重大关联交易临时报告披露网站相关查询</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关于转让子公司股权暨关联交易的公告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关于与达实物业关联交易的公告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七、重大合同及其履行情况" w:id="83"/>
      <w:bookmarkEnd w:id="83"/>
      <w:r>
        <w:rPr>
          <w:b w:val="0"/>
          <w:bCs w:val="0"/>
        </w:rPr>
      </w: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84"/>
      <w:bookmarkEnd w:id="84"/>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5"/>
      <w:bookmarkEnd w:id="85"/>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BodyText"/>
        <w:spacing w:line="240" w:lineRule="auto"/>
        <w:ind w:left="574" w:right="0"/>
        <w:jc w:val="left"/>
      </w:pPr>
      <w:r>
        <w:rPr/>
        <w:t>公司报告期不存在托管情况。</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4"/>
        <w:spacing w:line="240" w:lineRule="auto"/>
        <w:ind w:right="0"/>
        <w:jc w:val="left"/>
        <w:rPr>
          <w:b w:val="0"/>
          <w:bCs w:val="0"/>
        </w:rPr>
      </w:pPr>
      <w:bookmarkStart w:name="（2）承包情况" w:id="86"/>
      <w:bookmarkEnd w:id="86"/>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240" w:lineRule="auto"/>
        <w:ind w:left="574" w:right="0"/>
        <w:jc w:val="left"/>
      </w:pPr>
      <w:r>
        <w:rPr/>
        <w:t>公司报告期不存在承包情况。</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4"/>
        <w:spacing w:line="240" w:lineRule="auto"/>
        <w:ind w:right="0"/>
        <w:jc w:val="left"/>
        <w:rPr>
          <w:b w:val="0"/>
          <w:bCs w:val="0"/>
        </w:rPr>
      </w:pPr>
      <w:bookmarkStart w:name="（3）租赁情况" w:id="87"/>
      <w:bookmarkEnd w:id="87"/>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240" w:lineRule="auto" w:before="120"/>
        <w:ind w:left="574" w:right="0"/>
        <w:jc w:val="left"/>
      </w:pPr>
      <w:r>
        <w:rPr>
          <w:rFonts w:ascii="Times New Roman" w:hAnsi="Times New Roman" w:cs="Times New Roman" w:eastAsia="Times New Roman" w:hint="default"/>
        </w:rPr>
        <w:t>20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 </w:t>
      </w:r>
      <w:r>
        <w:rPr/>
        <w:t>日，公司与全资子公司达实信息签订《房地产租赁合同书</w:t>
      </w:r>
      <w:r>
        <w:rPr>
          <w:spacing w:val="-90"/>
        </w:rPr>
        <w:t>》</w:t>
      </w:r>
      <w:r>
        <w:rPr/>
        <w:t>，约定租赁其</w:t>
      </w:r>
      <w:r>
        <w:rPr>
          <w:spacing w:val="-45"/>
        </w:rPr>
        <w:t> </w:t>
      </w:r>
      <w:r>
        <w:rPr>
          <w:rFonts w:ascii="Times New Roman" w:hAnsi="Times New Roman" w:cs="Times New Roman" w:eastAsia="Times New Roman" w:hint="default"/>
        </w:rPr>
        <w:t>3473.12</w:t>
      </w:r>
      <w:r>
        <w:rPr>
          <w:rFonts w:ascii="Times New Roman" w:hAnsi="Times New Roman" w:cs="Times New Roman" w:eastAsia="Times New Roman" w:hint="default"/>
          <w:spacing w:val="-1"/>
        </w:rPr>
        <w:t> </w:t>
      </w:r>
      <w:r>
        <w:rPr/>
        <w:t>平米的场地用于办公，</w:t>
      </w:r>
    </w:p>
    <w:p>
      <w:pPr>
        <w:spacing w:line="240" w:lineRule="auto" w:before="11"/>
        <w:rPr>
          <w:rFonts w:ascii="宋体" w:hAnsi="宋体" w:cs="宋体" w:eastAsia="宋体" w:hint="default"/>
          <w:sz w:val="16"/>
          <w:szCs w:val="16"/>
        </w:rPr>
      </w:pPr>
    </w:p>
    <w:p>
      <w:pPr>
        <w:pStyle w:val="BodyText"/>
        <w:spacing w:line="240" w:lineRule="auto"/>
        <w:ind w:right="0"/>
        <w:jc w:val="left"/>
      </w:pPr>
      <w:r>
        <w:rPr/>
        <w:t>租赁期限自</w:t>
      </w:r>
      <w:r>
        <w:rPr>
          <w:spacing w:val="-4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日至</w:t>
      </w:r>
      <w:r>
        <w:rPr>
          <w:spacing w:val="-47"/>
        </w:rPr>
        <w:t> </w:t>
      </w:r>
      <w:r>
        <w:rPr>
          <w:rFonts w:ascii="Times New Roman" w:hAnsi="Times New Roman" w:cs="Times New Roman" w:eastAsia="Times New Roman" w:hint="default"/>
        </w:rPr>
        <w:t>2021</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w:t>
      </w:r>
    </w:p>
    <w:p>
      <w:pPr>
        <w:spacing w:after="0" w:line="240" w:lineRule="auto"/>
        <w:jc w:val="left"/>
        <w:sectPr>
          <w:pgSz w:w="11910" w:h="16840"/>
          <w:pgMar w:header="787" w:footer="1019" w:top="1100" w:bottom="1200" w:left="980" w:right="0"/>
        </w:sectPr>
      </w:pPr>
    </w:p>
    <w:p>
      <w:pPr>
        <w:spacing w:line="240" w:lineRule="auto" w:before="11"/>
        <w:rPr>
          <w:rFonts w:ascii="宋体" w:hAnsi="宋体" w:cs="宋体" w:eastAsia="宋体" w:hint="default"/>
          <w:sz w:val="22"/>
          <w:szCs w:val="22"/>
        </w:rPr>
      </w:pPr>
      <w:r>
        <w:rPr/>
        <w:pict>
          <v:group style="position:absolute;margin-left:457.26001pt;margin-top:538.839966pt;width:38.950pt;height:31.2pt;mso-position-horizontal-relative:page;mso-position-vertical-relative:page;z-index:-1176328" coordorigin="9145,10777" coordsize="779,624">
            <v:shape style="position:absolute;left:9145;top:10777;width:779;height:624" coordorigin="9145,10777" coordsize="779,624" path="m9145,11401l9924,11401,9924,10777,9145,10777,9145,11401xe" filled="true" fillcolor="#ffffff" stroked="false">
              <v:path arrowok="t"/>
              <v:fill type="solid"/>
            </v:shape>
            <w10:wrap type="none"/>
          </v:group>
        </w:pict>
      </w:r>
    </w:p>
    <w:p>
      <w:pPr>
        <w:pStyle w:val="BodyText"/>
        <w:spacing w:line="240" w:lineRule="auto" w:before="44"/>
        <w:ind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BodyText"/>
        <w:spacing w:line="240" w:lineRule="auto"/>
        <w:ind w:left="574"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0"/>
        <w:jc w:val="left"/>
        <w:rPr>
          <w:b w:val="0"/>
          <w:bCs w:val="0"/>
        </w:rPr>
      </w:pPr>
      <w:bookmarkStart w:name="2、重大担保" w:id="88"/>
      <w:bookmarkEnd w:id="88"/>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担保情况" w:id="89"/>
      <w:bookmarkEnd w:id="89"/>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15"/>
        <w:gridCol w:w="916"/>
        <w:gridCol w:w="929"/>
        <w:gridCol w:w="1302"/>
        <w:gridCol w:w="1052"/>
        <w:gridCol w:w="1040"/>
        <w:gridCol w:w="1055"/>
        <w:gridCol w:w="787"/>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4"/>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16"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9" w:lineRule="auto" w:before="51"/>
              <w:ind w:left="93" w:right="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tcBorders>
              <w:top w:val="single" w:sz="4" w:space="0" w:color="000000"/>
              <w:left w:val="single" w:sz="5"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29"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6"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2586"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中煤矿建总医院</w:t>
            </w:r>
          </w:p>
        </w:tc>
        <w:tc>
          <w:tcPr>
            <w:tcW w:w="916"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8"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自单笔授信 业务的主合 同签订之日 起至债务人 在该主合同 项下的债务 履行期限届 满日后二年</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融智节能</w:t>
            </w:r>
          </w:p>
        </w:tc>
        <w:tc>
          <w:tcPr>
            <w:tcW w:w="916"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4,500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Times New Roman" w:hAnsi="Times New Roman" w:cs="Times New Roman" w:eastAsia="Times New Roman" w:hint="default"/>
                <w:sz w:val="18"/>
                <w:szCs w:val="18"/>
              </w:rPr>
            </w:pPr>
            <w:r>
              <w:rPr>
                <w:rFonts w:ascii="宋体" w:hAnsi="宋体" w:cs="宋体" w:eastAsia="宋体" w:hint="default"/>
                <w:sz w:val="18"/>
                <w:szCs w:val="18"/>
              </w:rPr>
              <w:t>担保期限自 担保合同生 效日起至 </w:t>
            </w: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0"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公立三甲医院</w:t>
            </w:r>
          </w:p>
        </w:tc>
        <w:tc>
          <w:tcPr>
            <w:tcW w:w="916"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302"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8"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自合同订立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单笔买方信 贷期限不超 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31"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 w:right="8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12,500</w:t>
            </w:r>
          </w:p>
        </w:tc>
      </w:tr>
      <w:tr>
        <w:trPr>
          <w:trHeight w:val="719"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31"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17,500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 w:right="83"/>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8,631.84</w:t>
            </w:r>
          </w:p>
        </w:tc>
      </w:tr>
      <w:tr>
        <w:trPr>
          <w:trHeight w:val="39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1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0"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302"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0"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302"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9"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0"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3"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14"/>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16"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52" w:type="dxa"/>
            <w:vMerge/>
            <w:tcBorders>
              <w:left w:val="single" w:sz="4" w:space="0" w:color="000000"/>
              <w:right w:val="single" w:sz="4" w:space="0" w:color="000000"/>
            </w:tcBorders>
            <w:shd w:val="clear" w:color="auto" w:fill="D2D2D2"/>
          </w:tcPr>
          <w:p>
            <w:pPr/>
          </w:p>
        </w:tc>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302"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1040"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16"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302"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09"/>
        <w:gridCol w:w="914"/>
        <w:gridCol w:w="928"/>
        <w:gridCol w:w="1305"/>
        <w:gridCol w:w="1054"/>
        <w:gridCol w:w="1040"/>
        <w:gridCol w:w="1049"/>
        <w:gridCol w:w="791"/>
        <w:gridCol w:w="785"/>
      </w:tblGrid>
      <w:tr>
        <w:trPr>
          <w:trHeight w:val="227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达实信息</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64,000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64,000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111"/>
              <w:jc w:val="both"/>
              <w:rPr>
                <w:rFonts w:ascii="宋体" w:hAnsi="宋体" w:cs="宋体" w:eastAsia="宋体" w:hint="default"/>
                <w:sz w:val="18"/>
                <w:szCs w:val="18"/>
              </w:rPr>
            </w:pPr>
            <w:r>
              <w:rPr>
                <w:rFonts w:ascii="宋体" w:hAnsi="宋体" w:cs="宋体" w:eastAsia="宋体" w:hint="default"/>
                <w:sz w:val="18"/>
                <w:szCs w:val="18"/>
              </w:rPr>
              <w:t>自担保合同 生效日起至 主合同项下 具体授信债 务履行期限 届满之日后 两年。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达实租赁</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100,000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7,000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达实租赁</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100,000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8,000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达实租赁</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60,000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15,000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淮南达实</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7,000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32"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期限至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60,000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94,000</w:t>
            </w:r>
          </w:p>
        </w:tc>
      </w:tr>
      <w:tr>
        <w:trPr>
          <w:trHeight w:val="719"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131,000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75,405.88</w:t>
            </w:r>
          </w:p>
        </w:tc>
      </w:tr>
      <w:tr>
        <w:trPr>
          <w:trHeight w:val="39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2" w:right="9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8" w:type="dxa"/>
            <w:vMerge w:val="restart"/>
            <w:tcBorders>
              <w:top w:val="single" w:sz="4" w:space="0" w:color="000000"/>
              <w:left w:val="single" w:sz="4" w:space="0" w:color="000000"/>
              <w:right w:val="single" w:sz="4" w:space="0" w:color="000000"/>
            </w:tcBorders>
            <w:shd w:val="clear" w:color="auto" w:fill="D2D2D2"/>
          </w:tcPr>
          <w:p>
            <w:pPr/>
          </w:p>
        </w:tc>
        <w:tc>
          <w:tcPr>
            <w:tcW w:w="1305" w:type="dxa"/>
            <w:vMerge w:val="restart"/>
            <w:tcBorders>
              <w:top w:val="single" w:sz="4" w:space="0" w:color="000000"/>
              <w:left w:val="single" w:sz="4" w:space="0" w:color="000000"/>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0" w:type="dxa"/>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FFFFFF"/>
            </w:tcBorders>
            <w:shd w:val="clear" w:color="auto" w:fill="D2D2D2"/>
          </w:tcPr>
          <w:p>
            <w:pPr/>
          </w:p>
        </w:tc>
        <w:tc>
          <w:tcPr>
            <w:tcW w:w="791" w:type="dxa"/>
            <w:tcBorders>
              <w:top w:val="single" w:sz="4" w:space="0" w:color="000000"/>
              <w:left w:val="single" w:sz="4" w:space="0" w:color="FFFFFF"/>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14" w:type="dxa"/>
            <w:vMerge/>
            <w:tcBorders>
              <w:left w:val="single" w:sz="4" w:space="0" w:color="000000"/>
              <w:right w:val="single" w:sz="4" w:space="0" w:color="000000"/>
            </w:tcBorders>
            <w:shd w:val="clear" w:color="auto" w:fill="D2D2D2"/>
          </w:tcPr>
          <w:p>
            <w:pPr/>
          </w:p>
        </w:tc>
        <w:tc>
          <w:tcPr>
            <w:tcW w:w="928" w:type="dxa"/>
            <w:vMerge/>
            <w:tcBorders>
              <w:left w:val="single" w:sz="4" w:space="0" w:color="000000"/>
              <w:bottom w:val="nil" w:sz="6" w:space="0" w:color="auto"/>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6"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0"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FFFFFF"/>
            </w:tcBorders>
            <w:shd w:val="clear" w:color="auto" w:fill="D2D2D2"/>
          </w:tcPr>
          <w:p>
            <w:pPr/>
          </w:p>
        </w:tc>
        <w:tc>
          <w:tcPr>
            <w:tcW w:w="791" w:type="dxa"/>
            <w:vMerge w:val="restart"/>
            <w:tcBorders>
              <w:top w:val="nil" w:sz="6" w:space="0" w:color="auto"/>
              <w:left w:val="single" w:sz="4" w:space="0" w:color="FFFFFF"/>
              <w:right w:val="single" w:sz="4" w:space="0" w:color="000000"/>
            </w:tcBorders>
            <w:shd w:val="clear" w:color="auto" w:fill="D2D2D2"/>
          </w:tcPr>
          <w:p>
            <w:pPr>
              <w:pStyle w:val="TableParagraph"/>
              <w:spacing w:line="319" w:lineRule="auto" w:before="51"/>
              <w:ind w:left="207"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4" w:type="dxa"/>
            <w:vMerge/>
            <w:tcBorders>
              <w:left w:val="single" w:sz="4" w:space="0" w:color="000000"/>
              <w:right w:val="single" w:sz="4" w:space="0" w:color="000000"/>
            </w:tcBorders>
            <w:shd w:val="clear" w:color="auto" w:fill="D2D2D2"/>
          </w:tcPr>
          <w:p>
            <w:pPr/>
          </w:p>
        </w:tc>
        <w:tc>
          <w:tcPr>
            <w:tcW w:w="9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vMerge/>
            <w:tcBorders>
              <w:left w:val="single" w:sz="4" w:space="0" w:color="000000"/>
              <w:right w:val="single" w:sz="4" w:space="0" w:color="000000"/>
            </w:tcBorders>
            <w:shd w:val="clear" w:color="auto" w:fill="D2D2D2"/>
          </w:tcPr>
          <w:p>
            <w:pPr/>
          </w:p>
        </w:tc>
        <w:tc>
          <w:tcPr>
            <w:tcW w:w="104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1" w:type="dxa"/>
            <w:vMerge/>
            <w:tcBorders>
              <w:left w:val="single" w:sz="4" w:space="0" w:color="FFFFFF"/>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14" w:type="dxa"/>
            <w:vMerge/>
            <w:tcBorders>
              <w:left w:val="single" w:sz="4" w:space="0" w:color="000000"/>
              <w:right w:val="single" w:sz="4" w:space="0" w:color="000000"/>
            </w:tcBorders>
            <w:shd w:val="clear" w:color="auto" w:fill="D2D2D2"/>
          </w:tcPr>
          <w:p>
            <w:pPr/>
          </w:p>
        </w:tc>
        <w:tc>
          <w:tcPr>
            <w:tcW w:w="928" w:type="dxa"/>
            <w:vMerge w:val="restart"/>
            <w:tcBorders>
              <w:top w:val="nil" w:sz="6" w:space="0" w:color="auto"/>
              <w:left w:val="single" w:sz="4" w:space="0" w:color="000000"/>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040" w:type="dxa"/>
            <w:vMerge w:val="restart"/>
            <w:tcBorders>
              <w:top w:val="nil" w:sz="6" w:space="0" w:color="auto"/>
              <w:left w:val="single" w:sz="4" w:space="0" w:color="000000"/>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FFFFFF"/>
            </w:tcBorders>
            <w:shd w:val="clear" w:color="auto" w:fill="D2D2D2"/>
          </w:tcPr>
          <w:p>
            <w:pPr/>
          </w:p>
        </w:tc>
        <w:tc>
          <w:tcPr>
            <w:tcW w:w="791" w:type="dxa"/>
            <w:vMerge/>
            <w:tcBorders>
              <w:left w:val="single" w:sz="4" w:space="0" w:color="FFFFFF"/>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14" w:type="dxa"/>
            <w:vMerge/>
            <w:tcBorders>
              <w:left w:val="single" w:sz="4" w:space="0" w:color="000000"/>
              <w:bottom w:val="single" w:sz="4" w:space="0" w:color="000000"/>
              <w:right w:val="single" w:sz="4" w:space="0" w:color="000000"/>
            </w:tcBorders>
            <w:shd w:val="clear" w:color="auto" w:fill="D2D2D2"/>
          </w:tcPr>
          <w:p>
            <w:pPr/>
          </w:p>
        </w:tc>
        <w:tc>
          <w:tcPr>
            <w:tcW w:w="928" w:type="dxa"/>
            <w:vMerge/>
            <w:tcBorders>
              <w:left w:val="single" w:sz="4" w:space="0" w:color="000000"/>
              <w:bottom w:val="single" w:sz="4" w:space="0" w:color="000000"/>
              <w:right w:val="single" w:sz="4" w:space="0" w:color="000000"/>
            </w:tcBorders>
            <w:shd w:val="clear" w:color="auto" w:fill="D2D2D2"/>
          </w:tcPr>
          <w:p>
            <w:pPr/>
          </w:p>
        </w:tc>
        <w:tc>
          <w:tcPr>
            <w:tcW w:w="1305" w:type="dxa"/>
            <w:vMerge/>
            <w:tcBorders>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FFFFFF"/>
            </w:tcBorders>
            <w:shd w:val="clear" w:color="auto" w:fill="D2D2D2"/>
          </w:tcPr>
          <w:p>
            <w:pPr/>
          </w:p>
        </w:tc>
        <w:tc>
          <w:tcPr>
            <w:tcW w:w="791" w:type="dxa"/>
            <w:tcBorders>
              <w:top w:val="nil" w:sz="6" w:space="0" w:color="auto"/>
              <w:left w:val="single" w:sz="4" w:space="0" w:color="FFFFFF"/>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江苏达实久信数字医 疗科技有限公司</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3" w:right="11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2019/9/12</w:t>
            </w:r>
          </w:p>
        </w:tc>
        <w:tc>
          <w:tcPr>
            <w:tcW w:w="791"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r>
      <w:tr>
        <w:trPr>
          <w:trHeight w:val="719"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0"/>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139.16</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67,000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2"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108,500</w:t>
            </w:r>
          </w:p>
        </w:tc>
      </w:tr>
      <w:tr>
        <w:trPr>
          <w:trHeight w:val="714" w:hRule="exact"/>
        </w:trPr>
        <w:tc>
          <w:tcPr>
            <w:tcW w:w="26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2"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150,500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84,176.88</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26.25%</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5"/>
        <w:rPr>
          <w:rFonts w:ascii="Times New Roman" w:hAnsi="Times New Roman" w:cs="Times New Roman" w:eastAsia="Times New Roman" w:hint="default"/>
          <w:sz w:val="28"/>
          <w:szCs w:val="28"/>
        </w:rPr>
      </w:pPr>
    </w:p>
    <w:p>
      <w:pPr>
        <w:spacing w:line="381" w:lineRule="exact"/>
        <w:ind w:left="149"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479.25pt;height:19.1pt;mso-position-horizontal-relative:char;mso-position-vertical-relative:line" coordorigin="0,0" coordsize="9585,382">
            <v:group style="position:absolute;left:21;top:14;width:2;height:353" coordorigin="21,14" coordsize="2,353">
              <v:shape style="position:absolute;left:21;top:14;width:2;height:353" coordorigin="21,14" coordsize="0,353" path="m21,14l21,367e" filled="false" stroked="true" strokeweight="1.140pt" strokecolor="#d2d2d2">
                <v:path arrowok="t"/>
              </v:shape>
            </v:group>
            <v:group style="position:absolute;left:4844;top:14;width:2;height:353" coordorigin="4844,14" coordsize="2,353">
              <v:shape style="position:absolute;left:4844;top:14;width:2;height:353" coordorigin="4844,14" coordsize="0,353" path="m4844,14l4844,367e" filled="false" stroked="true" strokeweight="1.2pt" strokecolor="#d2d2d2">
                <v:path arrowok="t"/>
              </v:shape>
            </v:group>
            <v:group style="position:absolute;left:32;top:14;width:4800;height:353" coordorigin="32,14" coordsize="4800,353">
              <v:shape style="position:absolute;left:32;top:14;width:4800;height:353" coordorigin="32,14" coordsize="4800,353" path="m32,367l4832,367,4832,14,32,14,32,367xe" filled="true" fillcolor="#d2d2d2" stroked="false">
                <v:path arrowok="t"/>
                <v:fill type="solid"/>
              </v:shape>
            </v:group>
            <v:group style="position:absolute;left:10;top:10;width:4847;height:2" coordorigin="10,10" coordsize="4847,2">
              <v:shape style="position:absolute;left:10;top:10;width:4847;height:2" coordorigin="10,10" coordsize="4847,0" path="m10,10l4856,10e" filled="false" stroked="true" strokeweight=".48pt" strokecolor="#000000">
                <v:path arrowok="t"/>
              </v:shape>
            </v:group>
            <v:group style="position:absolute;left:4866;top:10;width:4710;height:2" coordorigin="4866,10" coordsize="4710,2">
              <v:shape style="position:absolute;left:4866;top:10;width:4710;height:2" coordorigin="4866,10" coordsize="4710,0" path="m4866,10l9575,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847;height:2" coordorigin="10,372" coordsize="4847,2">
              <v:shape style="position:absolute;left:10;top:372;width:4847;height:2" coordorigin="10,372" coordsize="4847,0" path="m10,372l4856,372e" filled="false" stroked="true" strokeweight=".48pt" strokecolor="#000000">
                <v:path arrowok="t"/>
              </v:shape>
            </v:group>
            <v:group style="position:absolute;left:4861;top:5;width:2;height:372" coordorigin="4861,5" coordsize="2,372">
              <v:shape style="position:absolute;left:4861;top:5;width:2;height:372" coordorigin="4861,5" coordsize="0,372" path="m4861,5l4861,377e" filled="false" stroked="true" strokeweight=".48001pt" strokecolor="#000000">
                <v:path arrowok="t"/>
              </v:shape>
            </v:group>
            <v:group style="position:absolute;left:4866;top:372;width:4710;height:2" coordorigin="4866,372" coordsize="4710,2">
              <v:shape style="position:absolute;left:4866;top:372;width:4710;height:2" coordorigin="4866,372" coordsize="4710,0" path="m4866,372l9575,372e" filled="false" stroked="true" strokeweight=".48pt" strokecolor="#000000">
                <v:path arrowok="t"/>
              </v:shape>
            </v:group>
            <v:group style="position:absolute;left:9580;top:5;width:2;height:372" coordorigin="9580,5" coordsize="2,372">
              <v:shape style="position:absolute;left:9580;top:5;width:2;height:372" coordorigin="9580,5" coordsize="0,372" path="m9580,5l9580,377e" filled="false" stroked="true" strokeweight=".47998pt" strokecolor="#000000">
                <v:path arrowok="t"/>
              </v:shape>
              <v:shape style="position:absolute;left:5;top:10;width:4856;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xbxContent>
                </v:textbox>
                <w10:wrap type="none"/>
              </v:shape>
            </v:group>
          </v:group>
        </w:pict>
      </w:r>
      <w:r>
        <w:rPr>
          <w:rFonts w:ascii="Times New Roman" w:hAnsi="Times New Roman" w:cs="Times New Roman" w:eastAsia="Times New Roman" w:hint="default"/>
          <w:position w:val="-7"/>
          <w:sz w:val="20"/>
          <w:szCs w:val="20"/>
        </w:rPr>
      </w:r>
    </w:p>
    <w:p>
      <w:pPr>
        <w:spacing w:line="240" w:lineRule="auto" w:before="5"/>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2）违规对外担保情况" w:id="90"/>
      <w:bookmarkEnd w:id="90"/>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240" w:lineRule="auto"/>
        <w:ind w:left="574" w:right="0"/>
        <w:jc w:val="left"/>
      </w:pPr>
      <w:r>
        <w:rPr/>
        <w:t>公司报告期无违规对外担保情况。</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87" w:footer="1019" w:top="1100" w:bottom="1200" w:left="98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100" w:bottom="1200" w:left="980" w:right="0"/>
          <w:cols w:num="2" w:equalWidth="0">
            <w:col w:w="1955" w:space="6785"/>
            <w:col w:w="219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73,705</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73,705</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0"/>
        <w:jc w:val="left"/>
      </w:pPr>
      <w:r>
        <w:rPr/>
        <w:t>单项金额重大或安全性较低、流动性较差、不保本的高风险委托理财具体情况</w:t>
      </w:r>
    </w:p>
    <w:p>
      <w:pPr>
        <w:pStyle w:val="BodyText"/>
        <w:spacing w:line="338" w:lineRule="auto" w:before="117"/>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BodyText"/>
        <w:spacing w:line="240" w:lineRule="auto"/>
        <w:ind w:left="574" w:right="0"/>
        <w:jc w:val="left"/>
      </w:pPr>
      <w:r>
        <w:rPr/>
        <w:t>公司报告期不存在委托贷款。</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4"/>
        <w:spacing w:line="240" w:lineRule="auto"/>
        <w:ind w:right="0"/>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240" w:lineRule="auto"/>
        <w:ind w:left="574" w:right="0"/>
        <w:jc w:val="left"/>
      </w:pPr>
      <w:r>
        <w:rPr/>
        <w:t>公司报告期不存在其他重大合同。</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right="0"/>
        <w:jc w:val="left"/>
        <w:rPr>
          <w:b w:val="0"/>
          <w:bCs w:val="0"/>
        </w:rPr>
      </w:pPr>
      <w:bookmarkStart w:name="十八、社会责任情况" w:id="95"/>
      <w:bookmarkEnd w:id="95"/>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履行社会责任情况" w:id="96"/>
      <w:bookmarkEnd w:id="96"/>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right="1123" w:firstLine="420"/>
        <w:jc w:val="left"/>
      </w:pPr>
      <w:r>
        <w:rPr>
          <w:spacing w:val="-2"/>
        </w:rPr>
        <w:t>在客户权益保护方面，公司推行达实</w:t>
      </w:r>
      <w:r>
        <w:rPr>
          <w:spacing w:val="-37"/>
        </w:rPr>
        <w:t> </w:t>
      </w:r>
      <w:r>
        <w:rPr>
          <w:rFonts w:ascii="Times New Roman" w:hAnsi="Times New Roman" w:cs="Times New Roman" w:eastAsia="Times New Roman" w:hint="default"/>
        </w:rPr>
        <w:t>3.0</w:t>
      </w:r>
      <w:r>
        <w:rPr>
          <w:rFonts w:ascii="Times New Roman" w:hAnsi="Times New Roman" w:cs="Times New Roman" w:eastAsia="Times New Roman" w:hint="default"/>
          <w:spacing w:val="8"/>
        </w:rPr>
        <w:t> </w:t>
      </w:r>
      <w:r>
        <w:rPr>
          <w:spacing w:val="-2"/>
        </w:rPr>
        <w:t>战略，升级公司战略和企业文化，将</w:t>
      </w:r>
      <w:r>
        <w:rPr>
          <w:rFonts w:ascii="Times New Roman" w:hAnsi="Times New Roman" w:cs="Times New Roman" w:eastAsia="Times New Roman" w:hint="default"/>
          <w:spacing w:val="-2"/>
        </w:rPr>
        <w:t>“</w:t>
      </w:r>
      <w:r>
        <w:rPr>
          <w:spacing w:val="-2"/>
        </w:rPr>
        <w:t>永远将客户装在心里，依道而行</w:t>
      </w:r>
      <w:r>
        <w:rPr>
          <w:rFonts w:ascii="Times New Roman" w:hAnsi="Times New Roman" w:cs="Times New Roman" w:eastAsia="Times New Roman" w:hint="default"/>
          <w:spacing w:val="-2"/>
        </w:rPr>
        <w:t>”</w:t>
      </w:r>
      <w:r>
        <w:rPr>
          <w:spacing w:val="-2"/>
        </w:rPr>
        <w:t>作为经</w:t>
      </w:r>
      <w:r>
        <w:rPr/>
        <w:t> 营宗旨，提升研发投入，为客户提供专业化的产品和服务，帮助客户提高效率，提升核心竞争力。</w:t>
      </w:r>
    </w:p>
    <w:p>
      <w:pPr>
        <w:pStyle w:val="BodyText"/>
        <w:spacing w:line="240" w:lineRule="auto" w:before="112"/>
        <w:ind w:left="574" w:right="0"/>
        <w:jc w:val="left"/>
      </w:pPr>
      <w:r>
        <w:rPr/>
        <w:t>在维护投资者权益方面，公司在报告期内实现</w:t>
      </w:r>
      <w:r>
        <w:rPr>
          <w:spacing w:val="-48"/>
        </w:rPr>
        <w:t> </w:t>
      </w:r>
      <w:r>
        <w:rPr>
          <w:rFonts w:ascii="Times New Roman" w:hAnsi="Times New Roman" w:cs="Times New Roman" w:eastAsia="Times New Roman" w:hint="default"/>
        </w:rPr>
        <w:t>141</w:t>
      </w:r>
      <w:r>
        <w:rPr>
          <w:rFonts w:ascii="Times New Roman" w:hAnsi="Times New Roman" w:cs="Times New Roman" w:eastAsia="Times New Roman" w:hint="default"/>
          <w:spacing w:val="-4"/>
        </w:rPr>
        <w:t> </w:t>
      </w:r>
      <w:r>
        <w:rPr/>
        <w:t>条信息披露，坚持了适当的主动性披露，</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年度信息披露考核结</w:t>
      </w:r>
    </w:p>
    <w:p>
      <w:pPr>
        <w:spacing w:after="0" w:line="240" w:lineRule="auto"/>
        <w:jc w:val="left"/>
        <w:sectPr>
          <w:type w:val="continuous"/>
          <w:pgSz w:w="11910" w:h="16840"/>
          <w:pgMar w:top="1100" w:bottom="1200" w:left="980" w:right="0"/>
        </w:sectPr>
      </w:pPr>
    </w:p>
    <w:p>
      <w:pPr>
        <w:spacing w:line="240" w:lineRule="auto" w:before="10"/>
        <w:rPr>
          <w:rFonts w:ascii="宋体" w:hAnsi="宋体" w:cs="宋体" w:eastAsia="宋体" w:hint="default"/>
          <w:sz w:val="28"/>
          <w:szCs w:val="28"/>
        </w:rPr>
      </w:pPr>
    </w:p>
    <w:p>
      <w:pPr>
        <w:pStyle w:val="BodyText"/>
        <w:spacing w:line="451" w:lineRule="auto" w:before="44"/>
        <w:ind w:right="1118"/>
        <w:jc w:val="left"/>
      </w:pPr>
      <w:r>
        <w:rPr/>
        <w:t>果为 </w:t>
      </w:r>
      <w:r>
        <w:rPr>
          <w:rFonts w:ascii="Times New Roman" w:hAnsi="Times New Roman" w:cs="Times New Roman" w:eastAsia="Times New Roman" w:hint="default"/>
          <w:spacing w:val="-2"/>
        </w:rPr>
        <w:t>A</w:t>
      </w:r>
      <w:r>
        <w:rPr>
          <w:spacing w:val="-2"/>
        </w:rPr>
        <w:t>，并通过组织</w:t>
      </w:r>
      <w:r>
        <w:rPr>
          <w:rFonts w:ascii="Times New Roman" w:hAnsi="Times New Roman" w:cs="Times New Roman" w:eastAsia="Times New Roman" w:hint="default"/>
          <w:spacing w:val="-2"/>
        </w:rPr>
        <w:t>“</w:t>
      </w:r>
      <w:r>
        <w:rPr>
          <w:spacing w:val="-2"/>
        </w:rPr>
        <w:t>投资者接待日</w:t>
      </w:r>
      <w:r>
        <w:rPr>
          <w:rFonts w:ascii="Times New Roman" w:hAnsi="Times New Roman" w:cs="Times New Roman" w:eastAsia="Times New Roman" w:hint="default"/>
          <w:spacing w:val="-2"/>
        </w:rPr>
        <w:t>”</w:t>
      </w:r>
      <w:r>
        <w:rPr>
          <w:spacing w:val="-2"/>
        </w:rPr>
        <w:t>、及时回复互动平台问询、接听咨询电话、举办网上投资者交流会等方式，与投资者进</w:t>
      </w:r>
      <w:r>
        <w:rPr>
          <w:spacing w:val="-87"/>
        </w:rPr>
        <w:t> </w:t>
      </w:r>
      <w:r>
        <w:rPr>
          <w:spacing w:val="-87"/>
        </w:rPr>
      </w:r>
      <w:r>
        <w:rPr/>
        <w:t>行积极互动，报告期内组织投资者接待</w:t>
      </w:r>
      <w:r>
        <w:rPr>
          <w:spacing w:val="-46"/>
        </w:rPr>
        <w:t> </w:t>
      </w:r>
      <w:r>
        <w:rPr>
          <w:rFonts w:ascii="Times New Roman" w:hAnsi="Times New Roman" w:cs="Times New Roman" w:eastAsia="Times New Roman" w:hint="default"/>
        </w:rPr>
        <w:t>6 </w:t>
      </w:r>
      <w:r>
        <w:rPr/>
        <w:t>次，累计参与交流人次逾</w:t>
      </w:r>
      <w:r>
        <w:rPr>
          <w:spacing w:val="-46"/>
        </w:rPr>
        <w:t> </w:t>
      </w:r>
      <w:r>
        <w:rPr>
          <w:rFonts w:ascii="Times New Roman" w:hAnsi="Times New Roman" w:cs="Times New Roman" w:eastAsia="Times New Roman" w:hint="default"/>
        </w:rPr>
        <w:t>400</w:t>
      </w:r>
      <w:r>
        <w:rPr>
          <w:rFonts w:ascii="Times New Roman" w:hAnsi="Times New Roman" w:cs="Times New Roman" w:eastAsia="Times New Roman" w:hint="default"/>
          <w:spacing w:val="-1"/>
        </w:rPr>
        <w:t> </w:t>
      </w:r>
      <w:r>
        <w:rPr/>
        <w:t>人，在互动平台回复投资者提问逾</w:t>
      </w:r>
      <w:r>
        <w:rPr>
          <w:spacing w:val="-46"/>
        </w:rPr>
        <w:t> </w:t>
      </w:r>
      <w:r>
        <w:rPr>
          <w:rFonts w:ascii="Times New Roman" w:hAnsi="Times New Roman" w:cs="Times New Roman" w:eastAsia="Times New Roman" w:hint="default"/>
        </w:rPr>
        <w:t>230</w:t>
      </w:r>
      <w:r>
        <w:rPr>
          <w:rFonts w:ascii="Times New Roman" w:hAnsi="Times New Roman" w:cs="Times New Roman" w:eastAsia="Times New Roman" w:hint="default"/>
          <w:spacing w:val="-1"/>
        </w:rPr>
        <w:t> </w:t>
      </w:r>
      <w:r>
        <w:rPr/>
        <w:t>条。</w:t>
      </w:r>
    </w:p>
    <w:p>
      <w:pPr>
        <w:pStyle w:val="BodyText"/>
        <w:spacing w:line="240" w:lineRule="auto" w:before="82"/>
        <w:ind w:left="574" w:right="0"/>
        <w:jc w:val="left"/>
      </w:pPr>
      <w:r>
        <w:rPr/>
        <w:t>在回报股东权益方面，公司实施了</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年度分配方案，以股权登记日的公司总股本</w:t>
      </w:r>
      <w:r>
        <w:rPr>
          <w:spacing w:val="-46"/>
        </w:rPr>
        <w:t> </w:t>
      </w:r>
      <w:r>
        <w:rPr>
          <w:rFonts w:ascii="Times New Roman" w:hAnsi="Times New Roman" w:cs="Times New Roman" w:eastAsia="Times New Roman" w:hint="default"/>
        </w:rPr>
        <w:t>1,921,477,551</w:t>
      </w:r>
      <w:r>
        <w:rPr>
          <w:rFonts w:ascii="Times New Roman" w:hAnsi="Times New Roman" w:cs="Times New Roman" w:eastAsia="Times New Roman" w:hint="default"/>
          <w:spacing w:val="-1"/>
        </w:rPr>
        <w:t> </w:t>
      </w:r>
      <w:r>
        <w:rPr/>
        <w:t>股扣除公司通过回</w:t>
      </w:r>
    </w:p>
    <w:p>
      <w:pPr>
        <w:spacing w:line="240" w:lineRule="auto" w:before="10"/>
        <w:rPr>
          <w:rFonts w:ascii="宋体" w:hAnsi="宋体" w:cs="宋体" w:eastAsia="宋体" w:hint="default"/>
          <w:sz w:val="16"/>
          <w:szCs w:val="16"/>
        </w:rPr>
      </w:pPr>
    </w:p>
    <w:p>
      <w:pPr>
        <w:pStyle w:val="BodyText"/>
        <w:spacing w:line="240" w:lineRule="auto"/>
        <w:ind w:right="0"/>
        <w:jc w:val="left"/>
      </w:pPr>
      <w:r>
        <w:rPr/>
        <w:t>购专户持有的公司股份</w:t>
      </w:r>
      <w:r>
        <w:rPr>
          <w:spacing w:val="-47"/>
        </w:rPr>
        <w:t> </w:t>
      </w:r>
      <w:r>
        <w:rPr>
          <w:rFonts w:ascii="Times New Roman" w:hAnsi="Times New Roman" w:cs="Times New Roman" w:eastAsia="Times New Roman" w:hint="default"/>
        </w:rPr>
        <w:t>19,318,322</w:t>
      </w:r>
      <w:r>
        <w:rPr>
          <w:rFonts w:ascii="Times New Roman" w:hAnsi="Times New Roman" w:cs="Times New Roman" w:eastAsia="Times New Roman" w:hint="default"/>
          <w:spacing w:val="-2"/>
        </w:rPr>
        <w:t> </w:t>
      </w:r>
      <w:r>
        <w:rPr/>
        <w:t>股后的总股本</w:t>
      </w:r>
      <w:r>
        <w:rPr>
          <w:spacing w:val="-47"/>
        </w:rPr>
        <w:t> </w:t>
      </w:r>
      <w:r>
        <w:rPr>
          <w:rFonts w:ascii="Times New Roman" w:hAnsi="Times New Roman" w:cs="Times New Roman" w:eastAsia="Times New Roman" w:hint="default"/>
        </w:rPr>
        <w:t>1,902,159,229</w:t>
      </w:r>
      <w:r>
        <w:rPr>
          <w:rFonts w:ascii="Times New Roman" w:hAnsi="Times New Roman" w:cs="Times New Roman" w:eastAsia="Times New Roman" w:hint="default"/>
          <w:spacing w:val="-2"/>
        </w:rPr>
        <w:t> </w:t>
      </w:r>
      <w:r>
        <w:rPr/>
        <w:t>股为基数，向参与权益分派的股东每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股派人民币</w:t>
      </w:r>
      <w:r>
        <w:rPr>
          <w:spacing w:val="-47"/>
        </w:rPr>
        <w:t> </w:t>
      </w:r>
      <w:r>
        <w:rPr>
          <w:rFonts w:ascii="Times New Roman" w:hAnsi="Times New Roman" w:cs="Times New Roman" w:eastAsia="Times New Roman" w:hint="default"/>
        </w:rPr>
        <w:t>0.3</w:t>
      </w:r>
      <w:r>
        <w:rPr>
          <w:rFonts w:ascii="Times New Roman" w:hAnsi="Times New Roman" w:cs="Times New Roman" w:eastAsia="Times New Roman" w:hint="default"/>
          <w:spacing w:val="-2"/>
        </w:rPr>
        <w:t> </w:t>
      </w:r>
      <w:r>
        <w:rPr/>
        <w:t>元，</w:t>
      </w:r>
    </w:p>
    <w:p>
      <w:pPr>
        <w:spacing w:line="240" w:lineRule="auto" w:before="11"/>
        <w:rPr>
          <w:rFonts w:ascii="宋体" w:hAnsi="宋体" w:cs="宋体" w:eastAsia="宋体" w:hint="default"/>
          <w:sz w:val="16"/>
          <w:szCs w:val="16"/>
        </w:rPr>
      </w:pPr>
    </w:p>
    <w:p>
      <w:pPr>
        <w:pStyle w:val="BodyText"/>
        <w:spacing w:line="240" w:lineRule="auto"/>
        <w:ind w:right="0"/>
        <w:jc w:val="left"/>
      </w:pPr>
      <w:r>
        <w:rPr/>
        <w:t>该方案于</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日得以实施。</w:t>
      </w:r>
    </w:p>
    <w:p>
      <w:pPr>
        <w:spacing w:line="240" w:lineRule="auto" w:before="10"/>
        <w:rPr>
          <w:rFonts w:ascii="宋体" w:hAnsi="宋体" w:cs="宋体" w:eastAsia="宋体" w:hint="default"/>
          <w:sz w:val="19"/>
          <w:szCs w:val="19"/>
        </w:rPr>
      </w:pPr>
    </w:p>
    <w:p>
      <w:pPr>
        <w:pStyle w:val="BodyText"/>
        <w:spacing w:line="460" w:lineRule="auto"/>
        <w:ind w:right="1131" w:firstLine="420"/>
        <w:jc w:val="both"/>
      </w:pPr>
      <w:r>
        <w:rPr/>
        <w:t>在处理职工关系方面，公司积极创造就业机会，报告期内招聘正式员工</w:t>
      </w:r>
      <w:r>
        <w:rPr>
          <w:spacing w:val="-50"/>
        </w:rPr>
        <w:t> </w:t>
      </w:r>
      <w:r>
        <w:rPr>
          <w:rFonts w:ascii="Times New Roman" w:hAnsi="Times New Roman" w:cs="Times New Roman" w:eastAsia="Times New Roman" w:hint="default"/>
        </w:rPr>
        <w:t>407</w:t>
      </w:r>
      <w:r>
        <w:rPr>
          <w:rFonts w:ascii="Times New Roman" w:hAnsi="Times New Roman" w:cs="Times New Roman" w:eastAsia="Times New Roman" w:hint="default"/>
          <w:spacing w:val="-6"/>
        </w:rPr>
        <w:t> </w:t>
      </w:r>
      <w:r>
        <w:rPr/>
        <w:t>人，联合培养学生</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spacing w:val="-3"/>
        </w:rPr>
        <w:t>人，实习生</w:t>
      </w:r>
      <w:r>
        <w:rPr>
          <w:spacing w:val="-51"/>
        </w:rPr>
        <w:t> </w:t>
      </w:r>
      <w:r>
        <w:rPr>
          <w:rFonts w:ascii="Times New Roman" w:hAnsi="Times New Roman" w:cs="Times New Roman" w:eastAsia="Times New Roman" w:hint="default"/>
        </w:rPr>
        <w:t>81</w:t>
      </w:r>
      <w:r>
        <w:rPr>
          <w:rFonts w:ascii="Times New Roman" w:hAnsi="Times New Roman" w:cs="Times New Roman" w:eastAsia="Times New Roman" w:hint="default"/>
          <w:spacing w:val="-5"/>
        </w:rPr>
        <w:t> </w:t>
      </w:r>
      <w:r>
        <w:rPr>
          <w:spacing w:val="-4"/>
        </w:rPr>
        <w:t>人，保</w:t>
      </w:r>
      <w:r>
        <w:rPr/>
        <w:t> </w:t>
      </w:r>
      <w:r>
        <w:rPr>
          <w:spacing w:val="-2"/>
        </w:rPr>
        <w:t>证了业务发展的需要；利用以考代训的方式组织法务、项目管理等考试；以内部职称为切入点，组织专项技术汇报、培训和</w:t>
      </w:r>
      <w:r>
        <w:rPr>
          <w:spacing w:val="-66"/>
        </w:rPr>
        <w:t> </w:t>
      </w:r>
      <w:r>
        <w:rPr>
          <w:spacing w:val="-66"/>
        </w:rPr>
      </w:r>
      <w:r>
        <w:rPr>
          <w:spacing w:val="-2"/>
        </w:rPr>
        <w:t>搭建交流平台；为员工购买</w:t>
      </w:r>
      <w:r>
        <w:rPr>
          <w:rFonts w:ascii="Times New Roman" w:hAnsi="Times New Roman" w:cs="Times New Roman" w:eastAsia="Times New Roman" w:hint="default"/>
          <w:spacing w:val="-2"/>
        </w:rPr>
        <w:t>“</w:t>
      </w:r>
      <w:r>
        <w:rPr>
          <w:spacing w:val="-2"/>
        </w:rPr>
        <w:t>五险</w:t>
      </w:r>
      <w:r>
        <w:rPr>
          <w:rFonts w:ascii="Times New Roman" w:hAnsi="Times New Roman" w:cs="Times New Roman" w:eastAsia="Times New Roman" w:hint="default"/>
          <w:spacing w:val="-2"/>
        </w:rPr>
        <w:t>”</w:t>
      </w:r>
      <w:r>
        <w:rPr>
          <w:spacing w:val="-2"/>
        </w:rPr>
        <w:t>、商业保险及住房公积金，积极做好劳动安全防护措施；重要节日发放过节礼品、生日贺</w:t>
      </w:r>
      <w:r>
        <w:rPr>
          <w:spacing w:val="-48"/>
        </w:rPr>
        <w:t> </w:t>
      </w:r>
      <w:r>
        <w:rPr>
          <w:spacing w:val="-48"/>
        </w:rPr>
      </w:r>
      <w:r>
        <w:rPr/>
        <w:t>礼，不定期开展跑步、羽毛球等活动及比赛，丰富员工生活，增强团队的凝聚力。</w:t>
      </w:r>
    </w:p>
    <w:p>
      <w:pPr>
        <w:pStyle w:val="BodyText"/>
        <w:spacing w:line="460" w:lineRule="auto" w:before="105"/>
        <w:ind w:right="1120" w:firstLine="420"/>
        <w:jc w:val="left"/>
      </w:pPr>
      <w:r>
        <w:rPr/>
        <w:t>在节能环保方面，公司通过提供节能咨询服务、推出建筑节能与工业节能产品、承接合同能源管理（</w:t>
      </w:r>
      <w:r>
        <w:rPr>
          <w:rFonts w:ascii="Times New Roman" w:hAnsi="Times New Roman" w:cs="Times New Roman" w:eastAsia="Times New Roman" w:hint="default"/>
        </w:rPr>
        <w:t>EPC</w:t>
      </w:r>
      <w:r>
        <w:rPr/>
        <w:t>）项目等方 式，帮助客户实现节能减排；公司自主建设的大厦获得美国</w:t>
      </w:r>
      <w:r>
        <w:rPr>
          <w:spacing w:val="-54"/>
        </w:rPr>
        <w:t> </w:t>
      </w:r>
      <w:r>
        <w:rPr>
          <w:rFonts w:ascii="Times New Roman" w:hAnsi="Times New Roman" w:cs="Times New Roman" w:eastAsia="Times New Roman" w:hint="default"/>
        </w:rPr>
        <w:t>LEED-CS</w:t>
      </w:r>
      <w:r>
        <w:rPr>
          <w:rFonts w:ascii="Times New Roman" w:hAnsi="Times New Roman" w:cs="Times New Roman" w:eastAsia="Times New Roman" w:hint="default"/>
          <w:spacing w:val="-9"/>
        </w:rPr>
        <w:t> </w:t>
      </w:r>
      <w:r>
        <w:rPr/>
        <w:t>铂金级认证、中国绿色建筑三星级认证、深圳绿色建 </w:t>
      </w:r>
      <w:r>
        <w:rPr>
          <w:spacing w:val="-2"/>
        </w:rPr>
        <w:t>筑铂金级认证，并符合绿色建筑设计标准和绿色建筑运营标准；公司利用被评为广东省、深圳市的建筑节能科普教育基地的</w:t>
      </w:r>
      <w:r>
        <w:rPr>
          <w:spacing w:val="-66"/>
        </w:rPr>
        <w:t> </w:t>
      </w:r>
      <w:r>
        <w:rPr>
          <w:spacing w:val="-66"/>
        </w:rPr>
      </w:r>
      <w:r>
        <w:rPr/>
        <w:t>展厅，宣传了节能科普知识。</w:t>
      </w:r>
    </w:p>
    <w:p>
      <w:pPr>
        <w:pStyle w:val="BodyText"/>
        <w:spacing w:line="451" w:lineRule="auto" w:before="105"/>
        <w:ind w:right="1116" w:firstLine="420"/>
        <w:jc w:val="left"/>
      </w:pPr>
      <w:r>
        <w:rPr/>
        <w:t>在社会公益事业方面，公司响应党的十九大提出的</w:t>
      </w:r>
      <w:r>
        <w:rPr>
          <w:rFonts w:ascii="Times New Roman" w:hAnsi="Times New Roman" w:cs="Times New Roman" w:eastAsia="Times New Roman" w:hint="default"/>
        </w:rPr>
        <w:t>“</w:t>
      </w:r>
      <w:r>
        <w:rPr/>
        <w:t>精准扶贫</w:t>
      </w:r>
      <w:r>
        <w:rPr>
          <w:rFonts w:ascii="Times New Roman" w:hAnsi="Times New Roman" w:cs="Times New Roman" w:eastAsia="Times New Roman" w:hint="default"/>
        </w:rPr>
        <w:t>”</w:t>
      </w:r>
      <w:r>
        <w:rPr/>
        <w:t>理念，向广东省连平县油溪镇溪南村精准扶贫捐款</w:t>
      </w:r>
      <w:r>
        <w:rPr>
          <w:spacing w:val="-62"/>
        </w:rPr>
        <w:t>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t>万 元，助力溪南村早日实现脱贫。</w:t>
      </w: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2、履行精准扶贫社会责任情况" w:id="97"/>
      <w:bookmarkEnd w:id="97"/>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精准扶贫规划" w:id="98"/>
      <w:bookmarkEnd w:id="98"/>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024" w:firstLine="420"/>
        <w:jc w:val="left"/>
      </w:pPr>
      <w:r>
        <w:rPr>
          <w:spacing w:val="-1"/>
        </w:rPr>
        <w:t>达实智能肩负社会责任，认真贯彻党中央、国务院扶贫关于新时代扶贫开发工作的总体要求，将精准扶贫工作系统化、</w:t>
      </w:r>
      <w:r>
        <w:rPr/>
        <w:t> 专业化、长期化。</w:t>
      </w:r>
    </w:p>
    <w:p>
      <w:pPr>
        <w:spacing w:line="240" w:lineRule="auto" w:before="2"/>
        <w:rPr>
          <w:rFonts w:ascii="宋体" w:hAnsi="宋体" w:cs="宋体" w:eastAsia="宋体" w:hint="default"/>
          <w:sz w:val="19"/>
          <w:szCs w:val="19"/>
        </w:rPr>
      </w:pPr>
    </w:p>
    <w:p>
      <w:pPr>
        <w:pStyle w:val="Heading4"/>
        <w:spacing w:line="240" w:lineRule="auto"/>
        <w:ind w:right="0"/>
        <w:jc w:val="left"/>
        <w:rPr>
          <w:b w:val="0"/>
          <w:bCs w:val="0"/>
        </w:rPr>
      </w:pPr>
      <w:bookmarkStart w:name="（2）年度精准扶贫概要" w:id="99"/>
      <w:bookmarkEnd w:id="99"/>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74"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年公司积极响应深圳市南山区住房和建设局、南山区工务局的倡议，向广东省连平县油溪镇溪南村精准扶贫捐款</w:t>
      </w:r>
    </w:p>
    <w:p>
      <w:pPr>
        <w:spacing w:line="240" w:lineRule="auto" w:before="11"/>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万元，助力溪南村早日实现脱贫。</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4"/>
        <w:spacing w:line="240" w:lineRule="auto"/>
        <w:ind w:right="0"/>
        <w:jc w:val="left"/>
        <w:rPr>
          <w:b w:val="0"/>
          <w:bCs w:val="0"/>
        </w:rPr>
      </w:pPr>
      <w:bookmarkStart w:name="（3）精准扶贫成效" w:id="100"/>
      <w:bookmarkEnd w:id="100"/>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583"/>
        <w:gridCol w:w="1461"/>
        <w:gridCol w:w="4502"/>
      </w:tblGrid>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指标</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45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4"/>
        <w:gridCol w:w="1462"/>
        <w:gridCol w:w="4512"/>
      </w:tblGrid>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定点扶贫工作投入金额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07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4）后续精准扶贫计划" w:id="101"/>
      <w:bookmarkEnd w:id="101"/>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暂无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环境保护相关的情况" w:id="102"/>
      <w:bookmarkEnd w:id="102"/>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5712"/>
        <w:jc w:val="left"/>
      </w:pPr>
      <w:r>
        <w:rPr/>
        <w:t>上市公司及其子公司是否属于环境保护部门公布的重点排污单位 否</w:t>
      </w:r>
    </w:p>
    <w:p>
      <w:pPr>
        <w:pStyle w:val="BodyText"/>
        <w:spacing w:line="477" w:lineRule="auto" w:before="103"/>
        <w:ind w:right="0" w:firstLine="420"/>
        <w:jc w:val="left"/>
      </w:pPr>
      <w:r>
        <w:rPr/>
        <w:t>经公司核查，公司及控股子公司不属于重点排污单位。公司及其子公司在日常生产经营中认真执行《中华人民共和国 </w:t>
      </w:r>
      <w:r>
        <w:rPr>
          <w:spacing w:val="-16"/>
        </w:rPr>
        <w:t>环境保护法》、《中华人民共和国水污染防治法》、《中华人民共和国大气污染防治法》、《中华人民共和国环境噪声污染防治法》、</w:t>
      </w:r>
    </w:p>
    <w:p>
      <w:pPr>
        <w:pStyle w:val="BodyText"/>
        <w:spacing w:line="240" w:lineRule="auto" w:before="55"/>
        <w:ind w:right="0"/>
        <w:jc w:val="left"/>
      </w:pPr>
      <w:r>
        <w:rPr/>
        <w:t>《中华人民共和国固体废物污染防治法》等环保方面的法律法规，报告期内未出现因违法违规而受到处罚的情况。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Heading2"/>
        <w:spacing w:line="240" w:lineRule="auto"/>
        <w:ind w:right="0"/>
        <w:jc w:val="left"/>
        <w:rPr>
          <w:b w:val="0"/>
          <w:bCs w:val="0"/>
        </w:rPr>
      </w:pPr>
      <w:bookmarkStart w:name="十九、其他重大事项的说明" w:id="103"/>
      <w:bookmarkEnd w:id="103"/>
      <w:r>
        <w:rPr>
          <w:b w:val="0"/>
          <w:bCs w:val="0"/>
        </w:rPr>
      </w:r>
      <w:r>
        <w:rPr/>
        <w:t>十九、其他重大事项的说明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240" w:lineRule="auto"/>
        <w:ind w:left="574" w:right="0"/>
        <w:jc w:val="left"/>
      </w:pPr>
      <w:r>
        <w:rPr/>
        <w:t>公司报告期不存在需要说明的其他重大事项。</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2"/>
        <w:spacing w:line="240" w:lineRule="auto"/>
        <w:ind w:right="0"/>
        <w:jc w:val="left"/>
        <w:rPr>
          <w:b w:val="0"/>
          <w:bCs w:val="0"/>
        </w:rPr>
      </w:pPr>
      <w:bookmarkStart w:name="二十、公司子公司重大事项" w:id="104"/>
      <w:bookmarkEnd w:id="104"/>
      <w:r>
        <w:rPr>
          <w:b w:val="0"/>
          <w:bCs w:val="0"/>
        </w:rPr>
      </w:r>
      <w:r>
        <w:rPr/>
        <w:t>二十、公司子公司重大事项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13"/>
          <w:szCs w:val="13"/>
        </w:rPr>
      </w:pPr>
    </w:p>
    <w:p>
      <w:pPr>
        <w:pStyle w:val="BodyText"/>
        <w:spacing w:line="240" w:lineRule="auto"/>
        <w:ind w:left="574" w:right="0"/>
        <w:jc w:val="left"/>
      </w:pPr>
      <w:r>
        <w:rPr/>
        <w:t>报告期内，公司子公司达实信息对达实大厦扩建项目</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年投资</w:t>
      </w:r>
      <w:r>
        <w:rPr>
          <w:spacing w:val="-47"/>
        </w:rPr>
        <w:t> </w:t>
      </w:r>
      <w:r>
        <w:rPr>
          <w:rFonts w:ascii="Times New Roman" w:hAnsi="Times New Roman" w:cs="Times New Roman" w:eastAsia="Times New Roman" w:hint="default"/>
        </w:rPr>
        <w:t>290,870,050.77</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月达到可使用状态。</w:t>
      </w:r>
    </w:p>
    <w:p>
      <w:pPr>
        <w:spacing w:after="0" w:line="240" w:lineRule="auto"/>
        <w:jc w:val="left"/>
        <w:sectPr>
          <w:pgSz w:w="11910" w:h="16840"/>
          <w:pgMar w:header="78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1"/>
        <w:spacing w:line="240" w:lineRule="auto"/>
        <w:ind w:left="2966" w:right="0"/>
        <w:jc w:val="left"/>
        <w:rPr>
          <w:b w:val="0"/>
          <w:bCs w:val="0"/>
        </w:rPr>
      </w:pPr>
      <w:bookmarkStart w:name="第六节 股份变动及股东情况" w:id="105"/>
      <w:bookmarkEnd w:id="105"/>
      <w:r>
        <w:rPr>
          <w:b w:val="0"/>
          <w:bCs w:val="0"/>
        </w:rPr>
      </w:r>
      <w:bookmarkStart w:name="_bookmark4" w:id="106"/>
      <w:bookmarkEnd w:id="106"/>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7"/>
      <w:bookmarkEnd w:id="107"/>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08"/>
      <w:bookmarkEnd w:id="108"/>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424,442,4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22.07%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-155,542,</w:t>
            </w:r>
          </w:p>
          <w:p>
            <w:pPr>
              <w:pStyle w:val="TableParagraph"/>
              <w:spacing w:line="240" w:lineRule="auto" w:before="106"/>
              <w:ind w:left="519" w:right="0"/>
              <w:jc w:val="left"/>
              <w:rPr>
                <w:rFonts w:ascii="Times New Roman" w:hAnsi="Times New Roman" w:cs="Times New Roman" w:eastAsia="Times New Roman" w:hint="default"/>
                <w:sz w:val="18"/>
                <w:szCs w:val="18"/>
              </w:rPr>
            </w:pPr>
            <w:r>
              <w:rPr>
                <w:rFonts w:ascii="Times New Roman"/>
                <w:sz w:val="18"/>
              </w:rPr>
              <w:t>353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-155,542,</w:t>
            </w:r>
          </w:p>
          <w:p>
            <w:pPr>
              <w:pStyle w:val="TableParagraph"/>
              <w:spacing w:line="240" w:lineRule="auto" w:before="106"/>
              <w:ind w:left="519" w:right="0"/>
              <w:jc w:val="left"/>
              <w:rPr>
                <w:rFonts w:ascii="Times New Roman" w:hAnsi="Times New Roman" w:cs="Times New Roman" w:eastAsia="Times New Roman" w:hint="default"/>
                <w:sz w:val="18"/>
                <w:szCs w:val="18"/>
              </w:rPr>
            </w:pPr>
            <w:r>
              <w:rPr>
                <w:rFonts w:ascii="Times New Roman"/>
                <w:sz w:val="18"/>
              </w:rPr>
              <w:t>353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268,900,0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14.14%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424,442,4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52</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22.07%</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-155,542,</w:t>
            </w:r>
          </w:p>
          <w:p>
            <w:pPr>
              <w:pStyle w:val="TableParagraph"/>
              <w:spacing w:line="240" w:lineRule="auto" w:before="106"/>
              <w:ind w:left="519" w:right="0"/>
              <w:jc w:val="left"/>
              <w:rPr>
                <w:rFonts w:ascii="Times New Roman" w:hAnsi="Times New Roman" w:cs="Times New Roman" w:eastAsia="Times New Roman" w:hint="default"/>
                <w:sz w:val="18"/>
                <w:szCs w:val="18"/>
              </w:rPr>
            </w:pPr>
            <w:r>
              <w:rPr>
                <w:rFonts w:ascii="Times New Roman"/>
                <w:sz w:val="18"/>
              </w:rPr>
              <w:t>353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-155,542,</w:t>
            </w:r>
          </w:p>
          <w:p>
            <w:pPr>
              <w:pStyle w:val="TableParagraph"/>
              <w:spacing w:line="240" w:lineRule="auto" w:before="106"/>
              <w:ind w:left="519" w:right="0"/>
              <w:jc w:val="left"/>
              <w:rPr>
                <w:rFonts w:ascii="Times New Roman" w:hAnsi="Times New Roman" w:cs="Times New Roman" w:eastAsia="Times New Roman" w:hint="default"/>
                <w:sz w:val="18"/>
                <w:szCs w:val="18"/>
              </w:rPr>
            </w:pPr>
            <w:r>
              <w:rPr>
                <w:rFonts w:ascii="Times New Roman"/>
                <w:sz w:val="18"/>
              </w:rPr>
              <w:t>353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268,900,0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14.14%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8,457,483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0.44%</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-8,457,48</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-8,457,48</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415,984,9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21.63%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-147,084,</w:t>
            </w:r>
          </w:p>
          <w:p>
            <w:pPr>
              <w:pStyle w:val="TableParagraph"/>
              <w:spacing w:line="240" w:lineRule="auto" w:before="106"/>
              <w:ind w:left="519" w:right="0"/>
              <w:jc w:val="left"/>
              <w:rPr>
                <w:rFonts w:ascii="Times New Roman" w:hAnsi="Times New Roman" w:cs="Times New Roman" w:eastAsia="Times New Roman" w:hint="default"/>
                <w:sz w:val="18"/>
                <w:szCs w:val="18"/>
              </w:rPr>
            </w:pPr>
            <w:r>
              <w:rPr>
                <w:rFonts w:ascii="Times New Roman"/>
                <w:sz w:val="18"/>
              </w:rPr>
              <w:t>870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-147,084,</w:t>
            </w:r>
          </w:p>
          <w:p>
            <w:pPr>
              <w:pStyle w:val="TableParagraph"/>
              <w:spacing w:line="240" w:lineRule="auto" w:before="106"/>
              <w:ind w:left="519" w:right="0"/>
              <w:jc w:val="left"/>
              <w:rPr>
                <w:rFonts w:ascii="Times New Roman" w:hAnsi="Times New Roman" w:cs="Times New Roman" w:eastAsia="Times New Roman" w:hint="default"/>
                <w:sz w:val="18"/>
                <w:szCs w:val="18"/>
              </w:rPr>
            </w:pPr>
            <w:r>
              <w:rPr>
                <w:rFonts w:ascii="Times New Roman"/>
                <w:sz w:val="18"/>
              </w:rPr>
              <w:t>870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268,900,0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14.14%</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1,499,155,</w:t>
            </w:r>
          </w:p>
          <w:p>
            <w:pPr>
              <w:pStyle w:val="TableParagraph"/>
              <w:spacing w:line="240" w:lineRule="auto" w:before="106"/>
              <w:ind w:left="512" w:right="0"/>
              <w:jc w:val="left"/>
              <w:rPr>
                <w:rFonts w:ascii="Times New Roman" w:hAnsi="Times New Roman" w:cs="Times New Roman" w:eastAsia="Times New Roman" w:hint="default"/>
                <w:sz w:val="18"/>
                <w:szCs w:val="18"/>
              </w:rPr>
            </w:pPr>
            <w:r>
              <w:rPr>
                <w:rFonts w:ascii="Times New Roman"/>
                <w:sz w:val="18"/>
              </w:rPr>
              <w:t>049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77.93%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134,104,0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134,104,0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1,633,259</w:t>
            </w:r>
          </w:p>
          <w:p>
            <w:pPr>
              <w:pStyle w:val="TableParagraph"/>
              <w:spacing w:line="240" w:lineRule="auto" w:before="106"/>
              <w:ind w:left="447" w:right="0"/>
              <w:jc w:val="left"/>
              <w:rPr>
                <w:rFonts w:ascii="Times New Roman" w:hAnsi="Times New Roman" w:cs="Times New Roman" w:eastAsia="Times New Roman" w:hint="default"/>
                <w:sz w:val="18"/>
                <w:szCs w:val="18"/>
              </w:rPr>
            </w:pPr>
            <w:r>
              <w:rPr>
                <w:rFonts w:ascii="Times New Roman"/>
                <w:sz w:val="18"/>
              </w:rPr>
              <w:t>,130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85.86%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1,499,155,</w:t>
            </w:r>
          </w:p>
          <w:p>
            <w:pPr>
              <w:pStyle w:val="TableParagraph"/>
              <w:spacing w:line="240" w:lineRule="auto" w:before="106"/>
              <w:ind w:left="512" w:right="0"/>
              <w:jc w:val="left"/>
              <w:rPr>
                <w:rFonts w:ascii="Times New Roman" w:hAnsi="Times New Roman" w:cs="Times New Roman" w:eastAsia="Times New Roman" w:hint="default"/>
                <w:sz w:val="18"/>
                <w:szCs w:val="18"/>
              </w:rPr>
            </w:pPr>
            <w:r>
              <w:rPr>
                <w:rFonts w:ascii="Times New Roman"/>
                <w:sz w:val="18"/>
              </w:rPr>
              <w:t>049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77.93%</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134,104,0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134,104,0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1,633,259</w:t>
            </w:r>
          </w:p>
          <w:p>
            <w:pPr>
              <w:pStyle w:val="TableParagraph"/>
              <w:spacing w:line="240" w:lineRule="auto" w:before="106"/>
              <w:ind w:left="447" w:right="0"/>
              <w:jc w:val="left"/>
              <w:rPr>
                <w:rFonts w:ascii="Times New Roman" w:hAnsi="Times New Roman" w:cs="Times New Roman" w:eastAsia="Times New Roman" w:hint="default"/>
                <w:sz w:val="18"/>
                <w:szCs w:val="18"/>
              </w:rPr>
            </w:pPr>
            <w:r>
              <w:rPr>
                <w:rFonts w:ascii="Times New Roman"/>
                <w:sz w:val="18"/>
              </w:rPr>
              <w:t>,130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85.86%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1,923,597,</w:t>
            </w:r>
          </w:p>
          <w:p>
            <w:pPr>
              <w:pStyle w:val="TableParagraph"/>
              <w:spacing w:line="240" w:lineRule="auto" w:before="106"/>
              <w:ind w:left="512" w:right="0"/>
              <w:jc w:val="left"/>
              <w:rPr>
                <w:rFonts w:ascii="Times New Roman" w:hAnsi="Times New Roman" w:cs="Times New Roman" w:eastAsia="Times New Roman" w:hint="default"/>
                <w:sz w:val="18"/>
                <w:szCs w:val="18"/>
              </w:rPr>
            </w:pPr>
            <w:r>
              <w:rPr>
                <w:rFonts w:ascii="Times New Roman"/>
                <w:sz w:val="18"/>
              </w:rPr>
              <w:t>501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-21,438,2</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72</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-21,438,2</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1,902,159</w:t>
            </w:r>
          </w:p>
          <w:p>
            <w:pPr>
              <w:pStyle w:val="TableParagraph"/>
              <w:spacing w:line="240" w:lineRule="auto" w:before="106"/>
              <w:ind w:left="447" w:right="0"/>
              <w:jc w:val="left"/>
              <w:rPr>
                <w:rFonts w:ascii="Times New Roman" w:hAnsi="Times New Roman" w:cs="Times New Roman" w:eastAsia="Times New Roman" w:hint="default"/>
                <w:sz w:val="18"/>
                <w:szCs w:val="18"/>
              </w:rPr>
            </w:pPr>
            <w:r>
              <w:rPr>
                <w:rFonts w:ascii="Times New Roman"/>
                <w:sz w:val="18"/>
              </w:rPr>
              <w:t>,229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451" w:lineRule="auto"/>
        <w:ind w:right="0" w:firstLine="420"/>
        <w:jc w:val="left"/>
      </w:pPr>
      <w:r>
        <w:rPr>
          <w:rFonts w:ascii="Times New Roman" w:hAnsi="Times New Roman" w:cs="Times New Roman" w:eastAsia="Times New Roman" w:hint="default"/>
          <w:spacing w:val="-2"/>
        </w:rPr>
        <w:t>1</w:t>
      </w:r>
      <w:r>
        <w:rPr>
          <w:spacing w:val="-2"/>
        </w:rPr>
        <w:t>、因公司第二期限制性股票激励计划首次授予的限制性股票第三个解锁期符合解锁条件、预留限制性股票第二个解锁</w:t>
      </w:r>
      <w:r>
        <w:rPr/>
        <w:t> 期符合解锁条件，</w:t>
      </w:r>
      <w:r>
        <w:rPr>
          <w:rFonts w:ascii="Times New Roman" w:hAnsi="Times New Roman" w:cs="Times New Roman" w:eastAsia="Times New Roman" w:hint="default"/>
        </w:rPr>
        <w:t>13,489,350</w:t>
      </w:r>
      <w:r>
        <w:rPr>
          <w:rFonts w:ascii="Times New Roman" w:hAnsi="Times New Roman" w:cs="Times New Roman" w:eastAsia="Times New Roman" w:hint="default"/>
          <w:spacing w:val="-2"/>
        </w:rPr>
        <w:t> </w:t>
      </w:r>
      <w:r>
        <w:rPr/>
        <w:t>股于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日解除限售，高管持有的股份按照深交所的相关规定进行了锁定；</w:t>
      </w:r>
    </w:p>
    <w:p>
      <w:pPr>
        <w:spacing w:after="0" w:line="451" w:lineRule="auto"/>
        <w:jc w:val="left"/>
        <w:sectPr>
          <w:pgSz w:w="11910" w:h="16840"/>
          <w:pgMar w:header="787" w:footer="1019" w:top="1100" w:bottom="1200" w:left="980" w:right="0"/>
        </w:sectPr>
      </w:pPr>
    </w:p>
    <w:p>
      <w:pPr>
        <w:spacing w:line="240" w:lineRule="auto" w:before="10"/>
        <w:rPr>
          <w:rFonts w:ascii="宋体" w:hAnsi="宋体" w:cs="宋体" w:eastAsia="宋体" w:hint="default"/>
          <w:sz w:val="28"/>
          <w:szCs w:val="28"/>
        </w:rPr>
      </w:pPr>
    </w:p>
    <w:p>
      <w:pPr>
        <w:pStyle w:val="BodyText"/>
        <w:spacing w:line="451" w:lineRule="auto" w:before="44"/>
        <w:ind w:right="1163" w:firstLine="420"/>
        <w:jc w:val="left"/>
      </w:pPr>
      <w:r>
        <w:rPr>
          <w:rFonts w:ascii="Times New Roman" w:hAnsi="Times New Roman" w:cs="Times New Roman" w:eastAsia="Times New Roman" w:hint="default"/>
        </w:rPr>
        <w:t>2</w:t>
      </w:r>
      <w:r>
        <w:rPr/>
        <w:t>、公司第二期限制性股票激励计划中，部分激励对象由于离职、</w:t>
      </w:r>
      <w:r>
        <w:rPr>
          <w:rFonts w:ascii="Times New Roman" w:hAnsi="Times New Roman" w:cs="Times New Roman" w:eastAsia="Times New Roman" w:hint="default"/>
        </w:rPr>
        <w:t>2017 </w:t>
      </w:r>
      <w:r>
        <w:rPr/>
        <w:t>年度未完成业绩考核目标的原因，</w:t>
      </w:r>
      <w:r>
        <w:rPr>
          <w:rFonts w:ascii="Times New Roman" w:hAnsi="Times New Roman" w:cs="Times New Roman" w:eastAsia="Times New Roman" w:hint="default"/>
        </w:rPr>
        <w:t>2,119,950</w:t>
      </w:r>
      <w:r>
        <w:rPr>
          <w:rFonts w:ascii="Times New Roman" w:hAnsi="Times New Roman" w:cs="Times New Roman" w:eastAsia="Times New Roman" w:hint="default"/>
          <w:spacing w:val="-11"/>
        </w:rPr>
        <w:t> </w:t>
      </w:r>
      <w:r>
        <w:rPr/>
        <w:t>股 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日在中国证券登记结算有限责任公司深圳分公司完成回购及注销手续；</w:t>
      </w:r>
    </w:p>
    <w:p>
      <w:pPr>
        <w:pStyle w:val="BodyText"/>
        <w:spacing w:line="451" w:lineRule="auto" w:before="82"/>
        <w:ind w:right="1123" w:firstLine="420"/>
        <w:jc w:val="left"/>
      </w:pPr>
      <w:r>
        <w:rPr>
          <w:rFonts w:ascii="Times New Roman" w:hAnsi="Times New Roman" w:cs="Times New Roman" w:eastAsia="Times New Roman" w:hint="default"/>
          <w:spacing w:val="-3"/>
        </w:rPr>
        <w:t>3</w:t>
      </w:r>
      <w:r>
        <w:rPr>
          <w:spacing w:val="-3"/>
        </w:rPr>
        <w:t>、公司用自有资金回购了</w:t>
      </w:r>
      <w:r>
        <w:rPr>
          <w:spacing w:val="-45"/>
        </w:rPr>
        <w:t> </w:t>
      </w:r>
      <w:r>
        <w:rPr>
          <w:rFonts w:ascii="Times New Roman" w:hAnsi="Times New Roman" w:cs="Times New Roman" w:eastAsia="Times New Roman" w:hint="default"/>
        </w:rPr>
        <w:t>19,318,322 </w:t>
      </w:r>
      <w:r>
        <w:rPr>
          <w:spacing w:val="-3"/>
        </w:rPr>
        <w:t>股社会公众股份，于</w:t>
      </w:r>
      <w:r>
        <w:rPr>
          <w:spacing w:val="-45"/>
        </w:rPr>
        <w:t> </w:t>
      </w:r>
      <w:r>
        <w:rPr>
          <w:rFonts w:ascii="Times New Roman" w:hAnsi="Times New Roman" w:cs="Times New Roman" w:eastAsia="Times New Roman" w:hint="default"/>
        </w:rPr>
        <w:t>2018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日在中国证券登记结算有限责任公司深圳分 公司办理完毕注销手续；</w:t>
      </w:r>
    </w:p>
    <w:p>
      <w:pPr>
        <w:pStyle w:val="BodyText"/>
        <w:spacing w:line="240" w:lineRule="auto" w:before="115"/>
        <w:ind w:left="574" w:right="0"/>
        <w:jc w:val="left"/>
      </w:pPr>
      <w:r>
        <w:rPr>
          <w:rFonts w:ascii="Times New Roman" w:hAnsi="Times New Roman" w:cs="Times New Roman" w:eastAsia="Times New Roman" w:hint="default"/>
        </w:rPr>
        <w:t>4</w:t>
      </w:r>
      <w:r>
        <w:rPr/>
        <w:t>、公司</w:t>
      </w:r>
      <w:r>
        <w:rPr>
          <w:spacing w:val="-46"/>
        </w:rPr>
        <w:t> </w:t>
      </w:r>
      <w:r>
        <w:rPr>
          <w:rFonts w:ascii="Times New Roman" w:hAnsi="Times New Roman" w:cs="Times New Roman" w:eastAsia="Times New Roman" w:hint="default"/>
        </w:rPr>
        <w:t>2015 </w:t>
      </w:r>
      <w:r>
        <w:rPr/>
        <w:t>年度非公开发行股份</w:t>
      </w:r>
      <w:r>
        <w:rPr>
          <w:spacing w:val="-46"/>
        </w:rPr>
        <w:t> </w:t>
      </w:r>
      <w:r>
        <w:rPr>
          <w:rFonts w:ascii="Times New Roman" w:hAnsi="Times New Roman" w:cs="Times New Roman" w:eastAsia="Times New Roman" w:hint="default"/>
        </w:rPr>
        <w:t>173,231,463</w:t>
      </w:r>
      <w:r>
        <w:rPr>
          <w:rFonts w:ascii="Times New Roman" w:hAnsi="Times New Roman" w:cs="Times New Roman" w:eastAsia="Times New Roman" w:hint="default"/>
          <w:spacing w:val="-1"/>
        </w:rPr>
        <w:t> </w:t>
      </w:r>
      <w:r>
        <w:rPr/>
        <w:t>股于</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日解除限售；</w:t>
      </w:r>
    </w:p>
    <w:p>
      <w:pPr>
        <w:spacing w:line="240" w:lineRule="auto" w:before="10"/>
        <w:rPr>
          <w:rFonts w:ascii="宋体" w:hAnsi="宋体" w:cs="宋体" w:eastAsia="宋体" w:hint="default"/>
          <w:sz w:val="19"/>
          <w:szCs w:val="19"/>
        </w:rPr>
      </w:pPr>
    </w:p>
    <w:p>
      <w:pPr>
        <w:pStyle w:val="BodyText"/>
        <w:spacing w:line="240" w:lineRule="auto"/>
        <w:ind w:left="574" w:right="0"/>
        <w:jc w:val="left"/>
      </w:pPr>
      <w:r>
        <w:rPr>
          <w:rFonts w:ascii="Times New Roman" w:hAnsi="Times New Roman" w:cs="Times New Roman" w:eastAsia="Times New Roman" w:hint="default"/>
        </w:rPr>
        <w:t>5</w:t>
      </w:r>
      <w:r>
        <w:rPr/>
        <w:t>、高管锁定股按照深交所相关规定进行了相应的解锁；</w:t>
      </w:r>
    </w:p>
    <w:p>
      <w:pPr>
        <w:spacing w:line="240" w:lineRule="auto" w:before="10"/>
        <w:rPr>
          <w:rFonts w:ascii="宋体" w:hAnsi="宋体" w:cs="宋体" w:eastAsia="宋体" w:hint="default"/>
          <w:sz w:val="19"/>
          <w:szCs w:val="19"/>
        </w:rPr>
      </w:pPr>
    </w:p>
    <w:p>
      <w:pPr>
        <w:pStyle w:val="BodyText"/>
        <w:spacing w:line="415" w:lineRule="auto"/>
        <w:ind w:right="5202" w:firstLine="420"/>
        <w:jc w:val="left"/>
      </w:pPr>
      <w:r>
        <w:rPr>
          <w:rFonts w:ascii="Times New Roman" w:hAnsi="Times New Roman" w:cs="Times New Roman" w:eastAsia="Times New Roman" w:hint="default"/>
        </w:rPr>
        <w:t>6</w:t>
      </w:r>
      <w:r>
        <w:rPr/>
        <w:t>、离职高管的锁定股份按照深交所相关规定进行了相应的调整。 股份变动的批准情况</w:t>
      </w:r>
    </w:p>
    <w:p>
      <w:pPr>
        <w:pStyle w:val="BodyText"/>
        <w:spacing w:line="234" w:lineRule="exact"/>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451" w:lineRule="auto"/>
        <w:ind w:right="1114" w:firstLine="420"/>
        <w:jc w:val="left"/>
      </w:pPr>
      <w:r>
        <w:rPr>
          <w:rFonts w:ascii="Times New Roman" w:hAnsi="Times New Roman" w:cs="Times New Roman" w:eastAsia="Times New Roman" w:hint="default"/>
          <w:spacing w:val="-1"/>
        </w:rPr>
        <w:t>1</w:t>
      </w:r>
      <w:r>
        <w:rPr>
          <w:spacing w:val="-1"/>
        </w:rPr>
        <w:t>、公司第二期限制性股票激励计划首次授予股份第三个解锁期及预留股份第二个解锁期解除限售事宜经公司第六届董</w:t>
      </w:r>
      <w:r>
        <w:rPr/>
        <w:t> 事会第十四次会议审议通过；</w:t>
      </w:r>
    </w:p>
    <w:p>
      <w:pPr>
        <w:pStyle w:val="BodyText"/>
        <w:spacing w:line="240" w:lineRule="auto" w:before="115"/>
        <w:ind w:left="574" w:right="0"/>
        <w:jc w:val="left"/>
      </w:pPr>
      <w:r>
        <w:rPr>
          <w:rFonts w:ascii="Times New Roman" w:hAnsi="Times New Roman" w:cs="Times New Roman" w:eastAsia="Times New Roman" w:hint="default"/>
        </w:rPr>
        <w:t>2</w:t>
      </w:r>
      <w:r>
        <w:rPr/>
        <w:t>、公司第二期限制性股票激励计划第四次回购注销事宜经公司第六届董事会第十四次会议审议通过；</w:t>
      </w:r>
    </w:p>
    <w:p>
      <w:pPr>
        <w:spacing w:line="240" w:lineRule="auto" w:before="9"/>
        <w:rPr>
          <w:rFonts w:ascii="宋体" w:hAnsi="宋体" w:cs="宋体" w:eastAsia="宋体" w:hint="default"/>
          <w:sz w:val="19"/>
          <w:szCs w:val="19"/>
        </w:rPr>
      </w:pPr>
    </w:p>
    <w:p>
      <w:pPr>
        <w:pStyle w:val="BodyText"/>
        <w:spacing w:line="240" w:lineRule="auto"/>
        <w:ind w:left="574" w:right="0"/>
        <w:jc w:val="left"/>
      </w:pPr>
      <w:r>
        <w:rPr>
          <w:rFonts w:ascii="Times New Roman" w:hAnsi="Times New Roman" w:cs="Times New Roman" w:eastAsia="Times New Roman" w:hint="default"/>
        </w:rPr>
        <w:t>3</w:t>
      </w:r>
      <w:r>
        <w:rPr/>
        <w:t>、公司用自有资金回购社会公众股份的事宜经公司第六届董事会第十三次会议、</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年第二次临时股东大会审议通</w:t>
      </w:r>
    </w:p>
    <w:p>
      <w:pPr>
        <w:spacing w:line="240" w:lineRule="auto" w:before="11"/>
        <w:rPr>
          <w:rFonts w:ascii="宋体" w:hAnsi="宋体" w:cs="宋体" w:eastAsia="宋体" w:hint="default"/>
          <w:sz w:val="16"/>
          <w:szCs w:val="16"/>
        </w:rPr>
      </w:pPr>
    </w:p>
    <w:p>
      <w:pPr>
        <w:pStyle w:val="BodyText"/>
        <w:spacing w:line="436" w:lineRule="auto"/>
        <w:ind w:right="9132"/>
        <w:jc w:val="left"/>
      </w:pPr>
      <w:r>
        <w:rPr/>
        <w:t>过。 股份变动的过户情况</w:t>
      </w:r>
    </w:p>
    <w:p>
      <w:pPr>
        <w:pStyle w:val="BodyText"/>
        <w:spacing w:line="219" w:lineRule="exact"/>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451" w:lineRule="auto"/>
        <w:ind w:right="1114" w:firstLine="420"/>
        <w:jc w:val="left"/>
      </w:pPr>
      <w:r>
        <w:rPr>
          <w:rFonts w:ascii="Times New Roman" w:hAnsi="Times New Roman" w:cs="Times New Roman" w:eastAsia="Times New Roman" w:hint="default"/>
          <w:spacing w:val="-1"/>
        </w:rPr>
        <w:t>1</w:t>
      </w:r>
      <w:r>
        <w:rPr>
          <w:spacing w:val="-1"/>
        </w:rPr>
        <w:t>、公司第二期限制性股票激励计划首次授予的限制性股票第三个解锁期及预留限制性股票第二个解锁期解除限售股份</w:t>
      </w:r>
      <w:r>
        <w:rPr/>
        <w:t> 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日解除限售；</w:t>
      </w:r>
    </w:p>
    <w:p>
      <w:pPr>
        <w:pStyle w:val="BodyText"/>
        <w:spacing w:line="240" w:lineRule="auto" w:before="83"/>
        <w:ind w:left="574" w:right="0"/>
        <w:jc w:val="left"/>
      </w:pPr>
      <w:r>
        <w:rPr>
          <w:rFonts w:ascii="Times New Roman" w:hAnsi="Times New Roman" w:cs="Times New Roman" w:eastAsia="Times New Roman" w:hint="default"/>
        </w:rPr>
        <w:t>2</w:t>
      </w:r>
      <w:r>
        <w:rPr/>
        <w:t>、公司第二期限制性股票激励计划第四次回购注销股份于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日回购注销完成；</w:t>
      </w:r>
    </w:p>
    <w:p>
      <w:pPr>
        <w:spacing w:line="240" w:lineRule="auto" w:before="11"/>
        <w:rPr>
          <w:rFonts w:ascii="宋体" w:hAnsi="宋体" w:cs="宋体" w:eastAsia="宋体" w:hint="default"/>
          <w:sz w:val="19"/>
          <w:szCs w:val="19"/>
        </w:rPr>
      </w:pPr>
    </w:p>
    <w:p>
      <w:pPr>
        <w:pStyle w:val="BodyText"/>
        <w:spacing w:line="240" w:lineRule="auto"/>
        <w:ind w:left="574" w:right="0"/>
        <w:jc w:val="left"/>
      </w:pPr>
      <w:r>
        <w:rPr>
          <w:rFonts w:ascii="Times New Roman" w:hAnsi="Times New Roman" w:cs="Times New Roman" w:eastAsia="Times New Roman" w:hint="default"/>
        </w:rPr>
        <w:t>3</w:t>
      </w:r>
      <w:r>
        <w:rPr/>
        <w:t>、公司回购的社会公众股于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日回购注销完成；</w:t>
      </w:r>
    </w:p>
    <w:p>
      <w:pPr>
        <w:spacing w:line="240" w:lineRule="auto" w:before="10"/>
        <w:rPr>
          <w:rFonts w:ascii="宋体" w:hAnsi="宋体" w:cs="宋体" w:eastAsia="宋体" w:hint="default"/>
          <w:sz w:val="19"/>
          <w:szCs w:val="19"/>
        </w:rPr>
      </w:pPr>
    </w:p>
    <w:p>
      <w:pPr>
        <w:pStyle w:val="BodyText"/>
        <w:spacing w:line="412" w:lineRule="auto"/>
        <w:ind w:right="3860" w:firstLine="420"/>
        <w:jc w:val="left"/>
      </w:pPr>
      <w:r>
        <w:rPr>
          <w:rFonts w:ascii="Times New Roman" w:hAnsi="Times New Roman" w:cs="Times New Roman" w:eastAsia="Times New Roman" w:hint="default"/>
        </w:rPr>
        <w:t>4</w:t>
      </w:r>
      <w:r>
        <w:rPr/>
        <w:t>、公司</w:t>
      </w:r>
      <w:r>
        <w:rPr>
          <w:spacing w:val="-46"/>
        </w:rPr>
        <w:t> </w:t>
      </w:r>
      <w:r>
        <w:rPr>
          <w:rFonts w:ascii="Times New Roman" w:hAnsi="Times New Roman" w:cs="Times New Roman" w:eastAsia="Times New Roman" w:hint="default"/>
        </w:rPr>
        <w:t>2015 </w:t>
      </w:r>
      <w:r>
        <w:rPr/>
        <w:t>年度非公开发行股份</w:t>
      </w:r>
      <w:r>
        <w:rPr>
          <w:spacing w:val="-46"/>
        </w:rPr>
        <w:t> </w:t>
      </w:r>
      <w:r>
        <w:rPr>
          <w:rFonts w:ascii="Times New Roman" w:hAnsi="Times New Roman" w:cs="Times New Roman" w:eastAsia="Times New Roman" w:hint="default"/>
        </w:rPr>
        <w:t>173,231,463</w:t>
      </w:r>
      <w:r>
        <w:rPr>
          <w:rFonts w:ascii="Times New Roman" w:hAnsi="Times New Roman" w:cs="Times New Roman" w:eastAsia="Times New Roman" w:hint="default"/>
          <w:spacing w:val="-1"/>
        </w:rPr>
        <w:t> </w:t>
      </w:r>
      <w:r>
        <w:rPr/>
        <w:t>股于</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日上市流通。 股份回购的实施进展情况</w:t>
      </w:r>
    </w:p>
    <w:p>
      <w:pPr>
        <w:pStyle w:val="BodyText"/>
        <w:spacing w:line="237" w:lineRule="exact"/>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240" w:lineRule="auto"/>
        <w:ind w:left="574" w:right="0"/>
        <w:jc w:val="left"/>
        <w:rPr>
          <w:rFonts w:ascii="Times New Roman" w:hAnsi="Times New Roman" w:cs="Times New Roman" w:eastAsia="Times New Roman" w:hint="default"/>
        </w:rPr>
      </w:pPr>
      <w:r>
        <w:rPr/>
        <w:t>公司于</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年度累计回购股份数量</w:t>
      </w:r>
      <w:r>
        <w:rPr>
          <w:spacing w:val="-51"/>
        </w:rPr>
        <w:t> </w:t>
      </w:r>
      <w:r>
        <w:rPr>
          <w:rFonts w:ascii="Times New Roman" w:hAnsi="Times New Roman" w:cs="Times New Roman" w:eastAsia="Times New Roman" w:hint="default"/>
        </w:rPr>
        <w:t>19,318,322</w:t>
      </w:r>
      <w:r>
        <w:rPr>
          <w:rFonts w:ascii="Times New Roman" w:hAnsi="Times New Roman" w:cs="Times New Roman" w:eastAsia="Times New Roman" w:hint="default"/>
          <w:spacing w:val="-5"/>
        </w:rPr>
        <w:t> </w:t>
      </w:r>
      <w:r>
        <w:rPr/>
        <w:t>股，占回购股份方案实施前公司总股本的</w:t>
      </w:r>
      <w:r>
        <w:rPr>
          <w:spacing w:val="-51"/>
        </w:rPr>
        <w:t> </w:t>
      </w:r>
      <w:r>
        <w:rPr>
          <w:rFonts w:ascii="Times New Roman" w:hAnsi="Times New Roman" w:cs="Times New Roman" w:eastAsia="Times New Roman" w:hint="default"/>
        </w:rPr>
        <w:t>1.00%</w:t>
      </w:r>
      <w:r>
        <w:rPr/>
        <w:t>，最高成交价为</w:t>
      </w:r>
      <w:r>
        <w:rPr>
          <w:spacing w:val="-51"/>
        </w:rPr>
        <w:t> </w:t>
      </w:r>
      <w:r>
        <w:rPr>
          <w:rFonts w:ascii="Times New Roman" w:hAnsi="Times New Roman" w:cs="Times New Roman" w:eastAsia="Times New Roman" w:hint="default"/>
        </w:rPr>
        <w:t>5.5</w:t>
      </w:r>
      <w:r>
        <w:rPr>
          <w:rFonts w:ascii="Times New Roman" w:hAnsi="Times New Roman" w:cs="Times New Roman" w:eastAsia="Times New Roman" w:hint="default"/>
          <w:spacing w:val="-6"/>
        </w:rPr>
        <w:t> </w:t>
      </w:r>
      <w:r>
        <w:rPr/>
        <w:t>元</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19"/>
          <w:szCs w:val="19"/>
        </w:rPr>
      </w:pPr>
    </w:p>
    <w:p>
      <w:pPr>
        <w:pStyle w:val="BodyText"/>
        <w:spacing w:line="412" w:lineRule="auto"/>
        <w:ind w:right="2611"/>
        <w:jc w:val="left"/>
      </w:pPr>
      <w:r>
        <w:rPr/>
        <w:t>股，最低成交价为</w:t>
      </w:r>
      <w:r>
        <w:rPr>
          <w:spacing w:val="-43"/>
        </w:rPr>
        <w:t> </w:t>
      </w:r>
      <w:r>
        <w:rPr>
          <w:rFonts w:ascii="Times New Roman" w:hAnsi="Times New Roman" w:cs="Times New Roman" w:eastAsia="Times New Roman" w:hint="default"/>
        </w:rPr>
        <w:t>4.95</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股，支付的总金额为</w:t>
      </w:r>
      <w:r>
        <w:rPr>
          <w:spacing w:val="-43"/>
        </w:rPr>
        <w:t> </w:t>
      </w:r>
      <w:r>
        <w:rPr>
          <w:rFonts w:ascii="Times New Roman" w:hAnsi="Times New Roman" w:cs="Times New Roman" w:eastAsia="Times New Roman" w:hint="default"/>
          <w:spacing w:val="-1"/>
        </w:rPr>
        <w:t>99,996,178.85</w:t>
      </w:r>
      <w:r>
        <w:rPr>
          <w:rFonts w:ascii="Times New Roman" w:hAnsi="Times New Roman" w:cs="Times New Roman" w:eastAsia="Times New Roman" w:hint="default"/>
          <w:spacing w:val="3"/>
        </w:rPr>
        <w:t> </w:t>
      </w:r>
      <w:r>
        <w:rPr>
          <w:spacing w:val="-5"/>
        </w:rPr>
        <w:t>元（含交易费用），回购方案已实施完毕。</w:t>
      </w:r>
      <w:r>
        <w:rPr/>
        <w:t> 采用集中竞价方式减持回购股份的实施进展情况</w:t>
      </w:r>
    </w:p>
    <w:p>
      <w:pPr>
        <w:pStyle w:val="BodyText"/>
        <w:spacing w:line="237" w:lineRule="exact"/>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股份变动对最近一年和最近一期基本每股收益和稀释每股收益、归属于公司普通股股东的每股净资产等财务指标的影响</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240" w:lineRule="auto"/>
        <w:ind w:left="574" w:right="0"/>
        <w:jc w:val="left"/>
      </w:pPr>
      <w:r>
        <w:rPr>
          <w:rFonts w:ascii="Times New Roman" w:hAnsi="Times New Roman" w:cs="Times New Roman" w:eastAsia="Times New Roman" w:hint="default"/>
        </w:rPr>
        <w:t>1</w:t>
      </w:r>
      <w:r>
        <w:rPr/>
        <w:t>、本报告期基本每股收益</w:t>
      </w:r>
      <w:r>
        <w:rPr>
          <w:spacing w:val="-49"/>
        </w:rPr>
        <w:t> </w:t>
      </w:r>
      <w:r>
        <w:rPr>
          <w:rFonts w:ascii="Times New Roman" w:hAnsi="Times New Roman" w:cs="Times New Roman" w:eastAsia="Times New Roman" w:hint="default"/>
        </w:rPr>
        <w:t>0.1137</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股，稀释每股收益</w:t>
      </w:r>
      <w:r>
        <w:rPr>
          <w:spacing w:val="-49"/>
        </w:rPr>
        <w:t> </w:t>
      </w:r>
      <w:r>
        <w:rPr>
          <w:rFonts w:ascii="Times New Roman" w:hAnsi="Times New Roman" w:cs="Times New Roman" w:eastAsia="Times New Roman" w:hint="default"/>
        </w:rPr>
        <w:t>0.1133</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股，剔除第二期限制性股票</w:t>
      </w:r>
      <w:r>
        <w:rPr>
          <w:spacing w:val="-49"/>
        </w:rPr>
        <w:t> </w:t>
      </w:r>
      <w:r>
        <w:rPr>
          <w:rFonts w:ascii="Times New Roman" w:hAnsi="Times New Roman" w:cs="Times New Roman" w:eastAsia="Times New Roman" w:hint="default"/>
        </w:rPr>
        <w:t>13,489,350</w:t>
      </w:r>
      <w:r>
        <w:rPr>
          <w:rFonts w:ascii="Times New Roman" w:hAnsi="Times New Roman" w:cs="Times New Roman" w:eastAsia="Times New Roman" w:hint="default"/>
          <w:spacing w:val="-4"/>
        </w:rPr>
        <w:t> </w:t>
      </w:r>
      <w:r>
        <w:rPr/>
        <w:t>股解禁上市、</w:t>
      </w:r>
    </w:p>
    <w:p>
      <w:pPr>
        <w:spacing w:line="240" w:lineRule="auto" w:before="9"/>
        <w:rPr>
          <w:rFonts w:ascii="宋体" w:hAnsi="宋体" w:cs="宋体" w:eastAsia="宋体" w:hint="default"/>
          <w:sz w:val="16"/>
          <w:szCs w:val="16"/>
        </w:rPr>
      </w:pPr>
    </w:p>
    <w:p>
      <w:pPr>
        <w:pStyle w:val="BodyText"/>
        <w:spacing w:line="240" w:lineRule="auto"/>
        <w:ind w:right="0"/>
        <w:jc w:val="left"/>
      </w:pPr>
      <w:r>
        <w:rPr/>
        <w:t>第二期限制性股票激励计划中由于个别激励对象已离职或其业绩考核结果不满足解锁要求，公司回购注销</w:t>
      </w:r>
      <w:r>
        <w:rPr>
          <w:spacing w:val="-50"/>
        </w:rPr>
        <w:t> </w:t>
      </w:r>
      <w:r>
        <w:rPr>
          <w:rFonts w:ascii="Times New Roman" w:hAnsi="Times New Roman" w:cs="Times New Roman" w:eastAsia="Times New Roman" w:hint="default"/>
        </w:rPr>
        <w:t>2,119,950</w:t>
      </w:r>
      <w:r>
        <w:rPr>
          <w:rFonts w:ascii="Times New Roman" w:hAnsi="Times New Roman" w:cs="Times New Roman" w:eastAsia="Times New Roman" w:hint="default"/>
          <w:spacing w:val="-5"/>
        </w:rPr>
        <w:t> </w:t>
      </w:r>
      <w:r>
        <w:rPr/>
        <w:t>股、公</w:t>
      </w:r>
    </w:p>
    <w:p>
      <w:pPr>
        <w:spacing w:after="0" w:line="240" w:lineRule="auto"/>
        <w:jc w:val="left"/>
        <w:sectPr>
          <w:pgSz w:w="11910" w:h="16840"/>
          <w:pgMar w:header="787" w:footer="1019" w:top="1100" w:bottom="1200" w:left="980" w:right="0"/>
        </w:sectPr>
      </w:pPr>
    </w:p>
    <w:p>
      <w:pPr>
        <w:spacing w:line="240" w:lineRule="auto" w:before="10"/>
        <w:rPr>
          <w:rFonts w:ascii="宋体" w:hAnsi="宋体" w:cs="宋体" w:eastAsia="宋体" w:hint="default"/>
          <w:sz w:val="28"/>
          <w:szCs w:val="28"/>
        </w:rPr>
      </w:pPr>
    </w:p>
    <w:p>
      <w:pPr>
        <w:pStyle w:val="BodyText"/>
        <w:spacing w:line="240" w:lineRule="auto" w:before="44"/>
        <w:ind w:right="0"/>
        <w:jc w:val="left"/>
        <w:rPr>
          <w:rFonts w:ascii="Times New Roman" w:hAnsi="Times New Roman" w:cs="Times New Roman" w:eastAsia="Times New Roman" w:hint="default"/>
        </w:rPr>
      </w:pPr>
      <w:r>
        <w:rPr/>
        <w:t>司以集中竞价交易方式回购社会公众股份注销</w:t>
      </w:r>
      <w:r>
        <w:rPr>
          <w:spacing w:val="-50"/>
        </w:rPr>
        <w:t> </w:t>
      </w:r>
      <w:r>
        <w:rPr>
          <w:rFonts w:ascii="Times New Roman" w:hAnsi="Times New Roman" w:cs="Times New Roman" w:eastAsia="Times New Roman" w:hint="default"/>
        </w:rPr>
        <w:t>19,318,322</w:t>
      </w:r>
      <w:r>
        <w:rPr>
          <w:rFonts w:ascii="Times New Roman" w:hAnsi="Times New Roman" w:cs="Times New Roman" w:eastAsia="Times New Roman" w:hint="default"/>
          <w:spacing w:val="-4"/>
        </w:rPr>
        <w:t> </w:t>
      </w:r>
      <w:r>
        <w:rPr/>
        <w:t>股的影响，公司基本每股收益</w:t>
      </w:r>
      <w:r>
        <w:rPr>
          <w:spacing w:val="-50"/>
        </w:rPr>
        <w:t> </w:t>
      </w:r>
      <w:r>
        <w:rPr>
          <w:rFonts w:ascii="Times New Roman" w:hAnsi="Times New Roman" w:cs="Times New Roman" w:eastAsia="Times New Roman" w:hint="default"/>
        </w:rPr>
        <w:t>0.1148</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股，稀释每股收益</w:t>
      </w:r>
      <w:r>
        <w:rPr>
          <w:spacing w:val="-50"/>
        </w:rPr>
        <w:t> </w:t>
      </w:r>
      <w:r>
        <w:rPr>
          <w:rFonts w:ascii="Times New Roman" w:hAnsi="Times New Roman" w:cs="Times New Roman" w:eastAsia="Times New Roman" w:hint="default"/>
        </w:rPr>
        <w:t>0.1127</w:t>
      </w:r>
    </w:p>
    <w:p>
      <w:pPr>
        <w:spacing w:line="240" w:lineRule="auto" w:before="2"/>
        <w:rPr>
          <w:rFonts w:ascii="Times New Roman" w:hAnsi="Times New Roman" w:cs="Times New Roman" w:eastAsia="Times New Roman" w:hint="default"/>
          <w:sz w:val="19"/>
          <w:szCs w:val="19"/>
        </w:rPr>
      </w:pPr>
    </w:p>
    <w:p>
      <w:pPr>
        <w:pStyle w:val="BodyText"/>
        <w:spacing w:line="240" w:lineRule="auto"/>
        <w:ind w:right="0"/>
        <w:jc w:val="left"/>
      </w:pPr>
      <w:r>
        <w:rPr/>
        <w:t>元</w:t>
      </w:r>
      <w:r>
        <w:rPr>
          <w:rFonts w:ascii="Times New Roman" w:hAnsi="Times New Roman" w:cs="Times New Roman" w:eastAsia="Times New Roman" w:hint="default"/>
        </w:rPr>
        <w:t>/</w:t>
      </w:r>
      <w:r>
        <w:rPr/>
        <w:t>股。</w:t>
      </w:r>
    </w:p>
    <w:p>
      <w:pPr>
        <w:spacing w:line="240" w:lineRule="auto" w:before="9"/>
        <w:rPr>
          <w:rFonts w:ascii="宋体" w:hAnsi="宋体" w:cs="宋体" w:eastAsia="宋体" w:hint="default"/>
          <w:sz w:val="19"/>
          <w:szCs w:val="19"/>
        </w:rPr>
      </w:pPr>
    </w:p>
    <w:p>
      <w:pPr>
        <w:pStyle w:val="BodyText"/>
        <w:spacing w:line="240" w:lineRule="auto"/>
        <w:ind w:left="574" w:right="0"/>
        <w:jc w:val="left"/>
      </w:pPr>
      <w:r>
        <w:rPr>
          <w:rFonts w:ascii="Times New Roman" w:hAnsi="Times New Roman" w:cs="Times New Roman" w:eastAsia="Times New Roman" w:hint="default"/>
        </w:rPr>
        <w:t>2</w:t>
      </w:r>
      <w:r>
        <w:rPr/>
        <w:t>、本报告期归属于公司普通股股东的每股净资产</w:t>
      </w:r>
      <w:r>
        <w:rPr>
          <w:spacing w:val="-46"/>
        </w:rPr>
        <w:t> </w:t>
      </w:r>
      <w:r>
        <w:rPr>
          <w:rFonts w:ascii="Times New Roman" w:hAnsi="Times New Roman" w:cs="Times New Roman" w:eastAsia="Times New Roman" w:hint="default"/>
        </w:rPr>
        <w:t>1.6859</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股，剔除第二期限制性股票激励计划中由于个别激励对象</w:t>
      </w:r>
    </w:p>
    <w:p>
      <w:pPr>
        <w:spacing w:line="240" w:lineRule="auto" w:before="10"/>
        <w:rPr>
          <w:rFonts w:ascii="宋体" w:hAnsi="宋体" w:cs="宋体" w:eastAsia="宋体" w:hint="default"/>
          <w:sz w:val="16"/>
          <w:szCs w:val="16"/>
        </w:rPr>
      </w:pPr>
    </w:p>
    <w:p>
      <w:pPr>
        <w:pStyle w:val="BodyText"/>
        <w:spacing w:line="240" w:lineRule="auto"/>
        <w:ind w:right="0"/>
        <w:jc w:val="left"/>
      </w:pPr>
      <w:r>
        <w:rPr/>
        <w:t>已离职或其业绩考核结果不满足解锁要求，公司回购注销</w:t>
      </w:r>
      <w:r>
        <w:rPr>
          <w:spacing w:val="-50"/>
        </w:rPr>
        <w:t> </w:t>
      </w:r>
      <w:r>
        <w:rPr>
          <w:rFonts w:ascii="Times New Roman" w:hAnsi="Times New Roman" w:cs="Times New Roman" w:eastAsia="Times New Roman" w:hint="default"/>
        </w:rPr>
        <w:t>2,119,950</w:t>
      </w:r>
      <w:r>
        <w:rPr>
          <w:rFonts w:ascii="Times New Roman" w:hAnsi="Times New Roman" w:cs="Times New Roman" w:eastAsia="Times New Roman" w:hint="default"/>
          <w:spacing w:val="-5"/>
        </w:rPr>
        <w:t> </w:t>
      </w:r>
      <w:r>
        <w:rPr/>
        <w:t>股、公司以集中竞价交易方式回购社会公众股份注销</w:t>
      </w:r>
    </w:p>
    <w:p>
      <w:pPr>
        <w:spacing w:line="240" w:lineRule="auto" w:before="11"/>
        <w:rPr>
          <w:rFonts w:ascii="宋体" w:hAnsi="宋体" w:cs="宋体" w:eastAsia="宋体" w:hint="default"/>
          <w:sz w:val="16"/>
          <w:szCs w:val="16"/>
        </w:rPr>
      </w:pPr>
    </w:p>
    <w:p>
      <w:pPr>
        <w:pStyle w:val="BodyText"/>
        <w:spacing w:line="415" w:lineRule="auto"/>
        <w:ind w:right="4767"/>
        <w:jc w:val="left"/>
      </w:pPr>
      <w:r>
        <w:rPr>
          <w:rFonts w:ascii="Times New Roman" w:hAnsi="Times New Roman" w:cs="Times New Roman" w:eastAsia="Times New Roman" w:hint="default"/>
        </w:rPr>
        <w:t>19,318,322</w:t>
      </w:r>
      <w:r>
        <w:rPr>
          <w:rFonts w:ascii="Times New Roman" w:hAnsi="Times New Roman" w:cs="Times New Roman" w:eastAsia="Times New Roman" w:hint="default"/>
          <w:spacing w:val="-1"/>
        </w:rPr>
        <w:t> </w:t>
      </w:r>
      <w:r>
        <w:rPr/>
        <w:t>股的影响，归属于公司普通股股东的每股净资产为</w:t>
      </w:r>
      <w:r>
        <w:rPr>
          <w:spacing w:val="-47"/>
        </w:rPr>
        <w:t> </w:t>
      </w:r>
      <w:r>
        <w:rPr>
          <w:rFonts w:ascii="Times New Roman" w:hAnsi="Times New Roman" w:cs="Times New Roman" w:eastAsia="Times New Roman" w:hint="default"/>
        </w:rPr>
        <w:t>1.6671</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 公司认为必要或证券监管机构要求披露的其他内容</w:t>
      </w:r>
    </w:p>
    <w:p>
      <w:pPr>
        <w:pStyle w:val="BodyText"/>
        <w:spacing w:line="234" w:lineRule="exact"/>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限售股份变动情况" w:id="109"/>
      <w:bookmarkEnd w:id="109"/>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7"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6"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贾虹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133,650,000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29,124,975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104,525,025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高管锁定股按照 深交所相关规定 解除限售。</w:t>
            </w:r>
          </w:p>
        </w:tc>
      </w:tr>
      <w:tr>
        <w:trPr>
          <w:trHeight w:val="1338"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131,052,773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42,737,031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42,737,031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131,052,773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非公开发行股份 及重大资产重组 募集配套资金、 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房志刚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97,667,640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97,667,640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发行股份购买资 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83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22"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9,344,532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5,427,579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4,602,580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0"/>
              <w:jc w:val="right"/>
              <w:rPr>
                <w:rFonts w:ascii="Times New Roman" w:hAnsi="Times New Roman" w:cs="Times New Roman" w:eastAsia="Times New Roman" w:hint="default"/>
                <w:sz w:val="18"/>
                <w:szCs w:val="18"/>
              </w:rPr>
            </w:pPr>
            <w:r>
              <w:rPr>
                <w:rFonts w:ascii="Times New Roman"/>
                <w:sz w:val="18"/>
              </w:rPr>
              <w:t>8,519,533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72"/>
              <w:jc w:val="both"/>
              <w:rPr>
                <w:rFonts w:ascii="宋体" w:hAnsi="宋体" w:cs="宋体" w:eastAsia="宋体" w:hint="default"/>
                <w:sz w:val="18"/>
                <w:szCs w:val="18"/>
              </w:rPr>
            </w:pPr>
            <w:r>
              <w:rPr>
                <w:rFonts w:ascii="宋体" w:hAnsi="宋体" w:cs="宋体" w:eastAsia="宋体" w:hint="default"/>
                <w:sz w:val="18"/>
                <w:szCs w:val="18"/>
              </w:rPr>
              <w:t>重大资产重组募 集配套资金、限 制性股票激励计 划、高管锁定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、重大资产重组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配套募集资金股</w:t>
            </w:r>
            <w:r>
              <w:rPr>
                <w:rFonts w:ascii="宋体" w:hAnsi="宋体" w:cs="宋体" w:eastAsia="宋体" w:hint="default"/>
                <w:sz w:val="18"/>
                <w:szCs w:val="18"/>
              </w:rPr>
              <w:t> 份解除限售日期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312" w:lineRule="auto" w:before="3"/>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日。</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、限制性</w:t>
            </w:r>
            <w:r>
              <w:rPr>
                <w:rFonts w:ascii="宋体" w:hAnsi="宋体" w:cs="宋体" w:eastAsia="宋体" w:hint="default"/>
                <w:sz w:val="18"/>
                <w:szCs w:val="18"/>
              </w:rPr>
              <w:t> 股票激励计划解 除限售日期为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312" w:lineRule="auto" w:before="3"/>
              <w:ind w:left="22" w:right="22"/>
              <w:jc w:val="left"/>
              <w:rPr>
                <w:rFonts w:ascii="宋体" w:hAnsi="宋体" w:cs="宋体" w:eastAsia="宋体" w:hint="default"/>
                <w:sz w:val="18"/>
                <w:szCs w:val="18"/>
              </w:rPr>
            </w:pPr>
            <w:r>
              <w:rPr>
                <w:rFonts w:ascii="宋体" w:hAnsi="宋体" w:cs="宋体" w:eastAsia="宋体" w:hint="default"/>
                <w:spacing w:val="-6"/>
                <w:sz w:val="18"/>
                <w:szCs w:val="18"/>
              </w:rPr>
              <w:t>日。</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、高管锁定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股按照深交所相 关规定解除限 售。</w:t>
            </w:r>
          </w:p>
        </w:tc>
      </w:tr>
      <w:tr>
        <w:trPr>
          <w:trHeight w:val="161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8,949,900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4,633,353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2,901,433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7,217,980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2" w:right="72"/>
              <w:jc w:val="both"/>
              <w:rPr>
                <w:rFonts w:ascii="宋体" w:hAnsi="宋体" w:cs="宋体" w:eastAsia="宋体" w:hint="default"/>
                <w:sz w:val="18"/>
                <w:szCs w:val="18"/>
              </w:rPr>
            </w:pPr>
            <w:r>
              <w:rPr>
                <w:rFonts w:ascii="宋体" w:hAnsi="宋体" w:cs="宋体" w:eastAsia="宋体" w:hint="default"/>
                <w:sz w:val="18"/>
                <w:szCs w:val="18"/>
              </w:rPr>
              <w:t>重大资产重组募 集配套资金、限 制性股票激励计 划、高管锁定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、重大资产重组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配套募集资金股 份解除限售日期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日。</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、限制性</w:t>
            </w:r>
          </w:p>
        </w:tc>
      </w:tr>
    </w:tbl>
    <w:p>
      <w:pPr>
        <w:spacing w:after="0" w:line="240" w:lineRule="auto"/>
        <w:jc w:val="both"/>
        <w:rPr>
          <w:rFonts w:ascii="宋体" w:hAnsi="宋体" w:cs="宋体" w:eastAsia="宋体" w:hint="default"/>
          <w:sz w:val="18"/>
          <w:szCs w:val="18"/>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2235"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股票激励计划解 除限售日期为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312" w:lineRule="auto"/>
              <w:ind w:left="22" w:right="22"/>
              <w:jc w:val="left"/>
              <w:rPr>
                <w:rFonts w:ascii="宋体" w:hAnsi="宋体" w:cs="宋体" w:eastAsia="宋体" w:hint="default"/>
                <w:sz w:val="18"/>
                <w:szCs w:val="18"/>
              </w:rPr>
            </w:pPr>
            <w:r>
              <w:rPr>
                <w:rFonts w:ascii="宋体" w:hAnsi="宋体" w:cs="宋体" w:eastAsia="宋体" w:hint="default"/>
                <w:spacing w:val="-6"/>
                <w:sz w:val="18"/>
                <w:szCs w:val="18"/>
              </w:rPr>
              <w:t>日。</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、高管锁定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股按照深交所相 关规定解除限 售。</w:t>
            </w:r>
          </w:p>
        </w:tc>
      </w:tr>
      <w:tr>
        <w:trPr>
          <w:trHeight w:val="383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苏俊锋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7,605,000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4,633,353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4,287,251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7,258,898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72"/>
              <w:jc w:val="both"/>
              <w:rPr>
                <w:rFonts w:ascii="宋体" w:hAnsi="宋体" w:cs="宋体" w:eastAsia="宋体" w:hint="default"/>
                <w:sz w:val="18"/>
                <w:szCs w:val="18"/>
              </w:rPr>
            </w:pPr>
            <w:r>
              <w:rPr>
                <w:rFonts w:ascii="宋体" w:hAnsi="宋体" w:cs="宋体" w:eastAsia="宋体" w:hint="default"/>
                <w:sz w:val="18"/>
                <w:szCs w:val="18"/>
              </w:rPr>
              <w:t>重大资产重组募 集配套资金、限 制性股票激励计 划、高管锁定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、重大资产重组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配套募集资金股 份解除限售日期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312" w:lineRule="auto" w:before="3"/>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日。</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、限制性</w:t>
            </w:r>
            <w:r>
              <w:rPr>
                <w:rFonts w:ascii="宋体" w:hAnsi="宋体" w:cs="宋体" w:eastAsia="宋体" w:hint="default"/>
                <w:sz w:val="18"/>
                <w:szCs w:val="18"/>
              </w:rPr>
              <w:t> 股票激励计划解 除限售日期为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312" w:lineRule="auto" w:before="3"/>
              <w:ind w:left="22" w:right="22"/>
              <w:jc w:val="left"/>
              <w:rPr>
                <w:rFonts w:ascii="宋体" w:hAnsi="宋体" w:cs="宋体" w:eastAsia="宋体" w:hint="default"/>
                <w:sz w:val="18"/>
                <w:szCs w:val="18"/>
              </w:rPr>
            </w:pPr>
            <w:r>
              <w:rPr>
                <w:rFonts w:ascii="宋体" w:hAnsi="宋体" w:cs="宋体" w:eastAsia="宋体" w:hint="default"/>
                <w:spacing w:val="-6"/>
                <w:sz w:val="18"/>
                <w:szCs w:val="18"/>
              </w:rPr>
              <w:t>日。</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、高管锁定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股按照深交所相 关规定解除限 售。</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常州瑞信投资中 心（有限合伙）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6,796,689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6,796,689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发行股份购买资 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83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黄天朗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5,185,527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3,839,127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2,811,825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4,158,225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2" w:right="72"/>
              <w:jc w:val="both"/>
              <w:rPr>
                <w:rFonts w:ascii="宋体" w:hAnsi="宋体" w:cs="宋体" w:eastAsia="宋体" w:hint="default"/>
                <w:sz w:val="18"/>
                <w:szCs w:val="18"/>
              </w:rPr>
            </w:pPr>
            <w:r>
              <w:rPr>
                <w:rFonts w:ascii="宋体" w:hAnsi="宋体" w:cs="宋体" w:eastAsia="宋体" w:hint="default"/>
                <w:sz w:val="18"/>
                <w:szCs w:val="18"/>
              </w:rPr>
              <w:t>重大资产重组募 集配套资金、限 制性股票激励计 划、高管锁定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、重大资产重组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配套募集资金股 份解除限售日期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312" w:lineRule="auto" w:before="3"/>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日。</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、限制性</w:t>
            </w:r>
            <w:r>
              <w:rPr>
                <w:rFonts w:ascii="宋体" w:hAnsi="宋体" w:cs="宋体" w:eastAsia="宋体" w:hint="default"/>
                <w:sz w:val="18"/>
                <w:szCs w:val="18"/>
              </w:rPr>
              <w:t> 股票激励计划解 除限售日期为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312" w:lineRule="auto" w:before="3"/>
              <w:ind w:left="22" w:right="22"/>
              <w:jc w:val="left"/>
              <w:rPr>
                <w:rFonts w:ascii="宋体" w:hAnsi="宋体" w:cs="宋体" w:eastAsia="宋体" w:hint="default"/>
                <w:sz w:val="18"/>
                <w:szCs w:val="18"/>
              </w:rPr>
            </w:pPr>
            <w:r>
              <w:rPr>
                <w:rFonts w:ascii="宋体" w:hAnsi="宋体" w:cs="宋体" w:eastAsia="宋体" w:hint="default"/>
                <w:spacing w:val="-6"/>
                <w:sz w:val="18"/>
                <w:szCs w:val="18"/>
              </w:rPr>
              <w:t>日。</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、高管锁定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股按照深交所相 关规定解除限 售。</w:t>
            </w:r>
          </w:p>
        </w:tc>
      </w:tr>
      <w:tr>
        <w:trPr>
          <w:trHeight w:val="3171"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5,128,353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4,633,353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4,588,315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5,083,315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72"/>
              <w:jc w:val="both"/>
              <w:rPr>
                <w:rFonts w:ascii="宋体" w:hAnsi="宋体" w:cs="宋体" w:eastAsia="宋体" w:hint="default"/>
                <w:sz w:val="18"/>
                <w:szCs w:val="18"/>
              </w:rPr>
            </w:pPr>
            <w:r>
              <w:rPr>
                <w:rFonts w:ascii="宋体" w:hAnsi="宋体" w:cs="宋体" w:eastAsia="宋体" w:hint="default"/>
                <w:sz w:val="18"/>
                <w:szCs w:val="18"/>
              </w:rPr>
              <w:t>重大资产重组募 集配套资金、限 制性股票激励计 划、高管锁定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、重大资产重组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配套募集资金股 份解除限售日期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312" w:lineRule="auto" w:before="3"/>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日。</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、限制性</w:t>
            </w:r>
            <w:r>
              <w:rPr>
                <w:rFonts w:ascii="宋体" w:hAnsi="宋体" w:cs="宋体" w:eastAsia="宋体" w:hint="default"/>
                <w:sz w:val="18"/>
                <w:szCs w:val="18"/>
              </w:rPr>
              <w:t> 股票激励计划解 除限售日期为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300" w:lineRule="auto" w:before="3"/>
              <w:ind w:left="22" w:right="22"/>
              <w:jc w:val="left"/>
              <w:rPr>
                <w:rFonts w:ascii="宋体" w:hAnsi="宋体" w:cs="宋体" w:eastAsia="宋体" w:hint="default"/>
                <w:sz w:val="18"/>
                <w:szCs w:val="18"/>
              </w:rPr>
            </w:pPr>
            <w:r>
              <w:rPr>
                <w:rFonts w:ascii="宋体" w:hAnsi="宋体" w:cs="宋体" w:eastAsia="宋体" w:hint="default"/>
                <w:spacing w:val="-6"/>
                <w:sz w:val="18"/>
                <w:szCs w:val="18"/>
              </w:rPr>
              <w:t>日。</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、高管锁定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股按照深交所相</w:t>
            </w:r>
          </w:p>
        </w:tc>
      </w:tr>
    </w:tbl>
    <w:p>
      <w:pPr>
        <w:spacing w:after="0" w:line="300" w:lineRule="auto"/>
        <w:jc w:val="left"/>
        <w:rPr>
          <w:rFonts w:ascii="宋体" w:hAnsi="宋体" w:cs="宋体" w:eastAsia="宋体" w:hint="default"/>
          <w:sz w:val="18"/>
          <w:szCs w:val="18"/>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674" w:hRule="exact"/>
        </w:trPr>
        <w:tc>
          <w:tcPr>
            <w:tcW w:w="137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52"/>
              <w:jc w:val="left"/>
              <w:rPr>
                <w:rFonts w:ascii="宋体" w:hAnsi="宋体" w:cs="宋体" w:eastAsia="宋体" w:hint="default"/>
                <w:sz w:val="18"/>
                <w:szCs w:val="18"/>
              </w:rPr>
            </w:pPr>
            <w:r>
              <w:rPr>
                <w:rFonts w:ascii="宋体" w:hAnsi="宋体" w:cs="宋体" w:eastAsia="宋体" w:hint="default"/>
                <w:sz w:val="18"/>
                <w:szCs w:val="18"/>
              </w:rPr>
              <w:t>关规定解除限 售。</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孙绍朋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3,650,712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3,650,712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发行股份购买资 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常州臻信投资中 心（有限合伙）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1,660,794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1,660,794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发行股份购买资 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83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黄德强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1,030,350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442,200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442,200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1,030,350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72"/>
              <w:jc w:val="both"/>
              <w:rPr>
                <w:rFonts w:ascii="宋体" w:hAnsi="宋体" w:cs="宋体" w:eastAsia="宋体" w:hint="default"/>
                <w:sz w:val="18"/>
                <w:szCs w:val="18"/>
              </w:rPr>
            </w:pPr>
            <w:r>
              <w:rPr>
                <w:rFonts w:ascii="宋体" w:hAnsi="宋体" w:cs="宋体" w:eastAsia="宋体" w:hint="default"/>
                <w:sz w:val="18"/>
                <w:szCs w:val="18"/>
              </w:rPr>
              <w:t>重大资产重组募 集配套资金、限 制性股票激励计 划、高管锁定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、重大资产重组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配套募集资金股 份解除限售日期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312" w:lineRule="auto" w:before="3"/>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日。</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、限制性</w:t>
            </w:r>
            <w:r>
              <w:rPr>
                <w:rFonts w:ascii="宋体" w:hAnsi="宋体" w:cs="宋体" w:eastAsia="宋体" w:hint="default"/>
                <w:sz w:val="18"/>
                <w:szCs w:val="18"/>
              </w:rPr>
              <w:t> 股票激励计划解 除限售日期为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312" w:lineRule="auto" w:before="3"/>
              <w:ind w:left="22" w:right="22"/>
              <w:jc w:val="left"/>
              <w:rPr>
                <w:rFonts w:ascii="宋体" w:hAnsi="宋体" w:cs="宋体" w:eastAsia="宋体" w:hint="default"/>
                <w:sz w:val="18"/>
                <w:szCs w:val="18"/>
              </w:rPr>
            </w:pPr>
            <w:r>
              <w:rPr>
                <w:rFonts w:ascii="宋体" w:hAnsi="宋体" w:cs="宋体" w:eastAsia="宋体" w:hint="default"/>
                <w:spacing w:val="-6"/>
                <w:sz w:val="18"/>
                <w:szCs w:val="18"/>
              </w:rPr>
              <w:t>日。</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、高管锁定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股按照深交所相 关规定解除限 售。</w:t>
            </w:r>
          </w:p>
        </w:tc>
      </w:tr>
      <w:tr>
        <w:trPr>
          <w:trHeight w:val="383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其他限售股东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12,720,182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z w:val="18"/>
              </w:rPr>
              <w:t>12,718,932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52,750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54,000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2" w:right="72"/>
              <w:jc w:val="both"/>
              <w:rPr>
                <w:rFonts w:ascii="宋体" w:hAnsi="宋体" w:cs="宋体" w:eastAsia="宋体" w:hint="default"/>
                <w:sz w:val="18"/>
                <w:szCs w:val="18"/>
              </w:rPr>
            </w:pPr>
            <w:r>
              <w:rPr>
                <w:rFonts w:ascii="宋体" w:hAnsi="宋体" w:cs="宋体" w:eastAsia="宋体" w:hint="default"/>
                <w:sz w:val="18"/>
                <w:szCs w:val="18"/>
              </w:rPr>
              <w:t>重大资产重组募 集配套资金、限 制性股票激励计 划、高管锁定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、重大资产重组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配套募集资金股 份解除限售日期 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312" w:lineRule="auto" w:before="3"/>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日。</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、限制性</w:t>
            </w:r>
            <w:r>
              <w:rPr>
                <w:rFonts w:ascii="宋体" w:hAnsi="宋体" w:cs="宋体" w:eastAsia="宋体" w:hint="default"/>
                <w:sz w:val="18"/>
                <w:szCs w:val="18"/>
              </w:rPr>
              <w:t> 股票激励计划解 除限售日期为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312" w:lineRule="auto" w:before="3"/>
              <w:ind w:left="22" w:right="22"/>
              <w:jc w:val="left"/>
              <w:rPr>
                <w:rFonts w:ascii="宋体" w:hAnsi="宋体" w:cs="宋体" w:eastAsia="宋体" w:hint="default"/>
                <w:sz w:val="18"/>
                <w:szCs w:val="18"/>
              </w:rPr>
            </w:pPr>
            <w:r>
              <w:rPr>
                <w:rFonts w:ascii="宋体" w:hAnsi="宋体" w:cs="宋体" w:eastAsia="宋体" w:hint="default"/>
                <w:spacing w:val="-6"/>
                <w:sz w:val="18"/>
                <w:szCs w:val="18"/>
              </w:rPr>
              <w:t>日。</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、高管锁定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股按照深交所相 关规定解除限 售。</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424,442,452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217,965,738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62,423,385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268,900,099</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11"/>
      <w:bookmarkEnd w:id="111"/>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公司股份总数及股东结构的变动、公司资产和负债结构的变动情况说明" w:id="112"/>
      <w:bookmarkEnd w:id="112"/>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240" w:lineRule="auto"/>
        <w:ind w:left="574" w:right="0"/>
        <w:jc w:val="left"/>
      </w:pPr>
      <w:r>
        <w:rPr>
          <w:rFonts w:ascii="Times New Roman" w:hAnsi="Times New Roman" w:cs="Times New Roman" w:eastAsia="Times New Roman" w:hint="default"/>
        </w:rPr>
        <w:t>1</w:t>
      </w:r>
      <w:r>
        <w:rPr/>
        <w:t>、公司因实施限制性股票回购注销，股本减少</w:t>
      </w:r>
      <w:r>
        <w:rPr>
          <w:spacing w:val="-50"/>
        </w:rPr>
        <w:t> </w:t>
      </w:r>
      <w:r>
        <w:rPr>
          <w:rFonts w:ascii="Times New Roman" w:hAnsi="Times New Roman" w:cs="Times New Roman" w:eastAsia="Times New Roman" w:hint="default"/>
        </w:rPr>
        <w:t>2,119,950</w:t>
      </w:r>
      <w:r>
        <w:rPr>
          <w:rFonts w:ascii="Times New Roman" w:hAnsi="Times New Roman" w:cs="Times New Roman" w:eastAsia="Times New Roman" w:hint="default"/>
          <w:spacing w:val="-5"/>
        </w:rPr>
        <w:t> </w:t>
      </w:r>
      <w:r>
        <w:rPr/>
        <w:t>股，致使有限售条件股份减少</w:t>
      </w:r>
      <w:r>
        <w:rPr>
          <w:spacing w:val="-50"/>
        </w:rPr>
        <w:t> </w:t>
      </w:r>
      <w:r>
        <w:rPr>
          <w:rFonts w:ascii="Times New Roman" w:hAnsi="Times New Roman" w:cs="Times New Roman" w:eastAsia="Times New Roman" w:hint="default"/>
        </w:rPr>
        <w:t>2,119,950</w:t>
      </w:r>
      <w:r>
        <w:rPr>
          <w:rFonts w:ascii="Times New Roman" w:hAnsi="Times New Roman" w:cs="Times New Roman" w:eastAsia="Times New Roman" w:hint="default"/>
          <w:spacing w:val="-5"/>
        </w:rPr>
        <w:t> </w:t>
      </w:r>
      <w:r>
        <w:rPr/>
        <w:t>股；</w:t>
      </w:r>
    </w:p>
    <w:p>
      <w:pPr>
        <w:spacing w:after="0" w:line="240" w:lineRule="auto"/>
        <w:jc w:val="left"/>
        <w:sectPr>
          <w:pgSz w:w="11910" w:h="16840"/>
          <w:pgMar w:header="787" w:footer="1019" w:top="1100" w:bottom="1200" w:left="980" w:right="0"/>
        </w:sectPr>
      </w:pPr>
    </w:p>
    <w:p>
      <w:pPr>
        <w:spacing w:line="240" w:lineRule="auto" w:before="11"/>
        <w:rPr>
          <w:rFonts w:ascii="宋体" w:hAnsi="宋体" w:cs="宋体" w:eastAsia="宋体" w:hint="default"/>
          <w:sz w:val="28"/>
          <w:szCs w:val="28"/>
        </w:rPr>
      </w:pPr>
    </w:p>
    <w:p>
      <w:pPr>
        <w:pStyle w:val="BodyText"/>
        <w:spacing w:line="240" w:lineRule="auto" w:before="44"/>
        <w:ind w:left="574" w:right="0"/>
        <w:jc w:val="left"/>
      </w:pPr>
      <w:r>
        <w:rPr>
          <w:rFonts w:ascii="Times New Roman" w:hAnsi="Times New Roman" w:cs="Times New Roman" w:eastAsia="Times New Roman" w:hint="default"/>
        </w:rPr>
        <w:t>2</w:t>
      </w:r>
      <w:r>
        <w:rPr/>
        <w:t>、公司因实施社会公众股回购注销，股本减少</w:t>
      </w:r>
      <w:r>
        <w:rPr>
          <w:spacing w:val="-47"/>
        </w:rPr>
        <w:t> </w:t>
      </w:r>
      <w:r>
        <w:rPr>
          <w:rFonts w:ascii="Times New Roman" w:hAnsi="Times New Roman" w:cs="Times New Roman" w:eastAsia="Times New Roman" w:hint="default"/>
        </w:rPr>
        <w:t>19,318,322</w:t>
      </w:r>
      <w:r>
        <w:rPr>
          <w:rFonts w:ascii="Times New Roman" w:hAnsi="Times New Roman" w:cs="Times New Roman" w:eastAsia="Times New Roman" w:hint="default"/>
          <w:spacing w:val="-2"/>
        </w:rPr>
        <w:t> </w:t>
      </w:r>
      <w:r>
        <w:rPr/>
        <w:t>股，致使无限售条件股份减少</w:t>
      </w:r>
      <w:r>
        <w:rPr>
          <w:spacing w:val="-47"/>
        </w:rPr>
        <w:t> </w:t>
      </w:r>
      <w:r>
        <w:rPr>
          <w:rFonts w:ascii="Times New Roman" w:hAnsi="Times New Roman" w:cs="Times New Roman" w:eastAsia="Times New Roman" w:hint="default"/>
        </w:rPr>
        <w:t>19,318,322</w:t>
      </w:r>
      <w:r>
        <w:rPr>
          <w:rFonts w:ascii="Times New Roman" w:hAnsi="Times New Roman" w:cs="Times New Roman" w:eastAsia="Times New Roman" w:hint="default"/>
          <w:spacing w:val="-2"/>
        </w:rPr>
        <w:t> </w:t>
      </w:r>
      <w:r>
        <w:rPr/>
        <w:t>股。</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0"/>
        <w:jc w:val="left"/>
        <w:rPr>
          <w:b w:val="0"/>
          <w:bCs w:val="0"/>
        </w:rPr>
      </w:pPr>
      <w:bookmarkStart w:name="3、现存的内部职工股情况" w:id="113"/>
      <w:bookmarkEnd w:id="113"/>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15"/>
      <w:bookmarkEnd w:id="11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86,824</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82" w:right="0"/>
              <w:jc w:val="left"/>
              <w:rPr>
                <w:rFonts w:ascii="Times New Roman" w:hAnsi="Times New Roman" w:cs="Times New Roman" w:eastAsia="Times New Roman" w:hint="default"/>
                <w:sz w:val="18"/>
                <w:szCs w:val="18"/>
              </w:rPr>
            </w:pPr>
            <w:r>
              <w:rPr>
                <w:rFonts w:ascii="Times New Roman"/>
                <w:sz w:val="18"/>
              </w:rPr>
              <w:t>108,698</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9"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拉萨市达实投资 发展有限公司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19.02%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361,749,5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81</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361,749,5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81</w:t>
            </w:r>
          </w:p>
        </w:tc>
        <w:tc>
          <w:tcPr>
            <w:tcW w:w="1349" w:type="dxa"/>
            <w:gridSpan w:val="2"/>
            <w:tcBorders>
              <w:top w:val="single" w:sz="49" w:space="0" w:color="D2D2D2"/>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9"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255,721,331</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9.19%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174,737,0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31</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131,052,7</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73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43,684,25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5" w:right="0"/>
              <w:jc w:val="left"/>
              <w:rPr>
                <w:rFonts w:ascii="Times New Roman" w:hAnsi="Times New Roman" w:cs="Times New Roman" w:eastAsia="Times New Roman" w:hint="default"/>
                <w:sz w:val="18"/>
                <w:szCs w:val="18"/>
              </w:rPr>
            </w:pPr>
            <w:r>
              <w:rPr>
                <w:rFonts w:ascii="Times New Roman"/>
                <w:sz w:val="18"/>
              </w:rPr>
              <w:t>120,500,000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贾虹</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6.28%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119,366,7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104,525,0</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25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14,841,67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91,314,900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房志刚</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5.13%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97,667,64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97,667,64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55,260,000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大成价值增长证 券投资基金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0.70%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13,300,80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11,880,40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13,300,80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徐谌</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0.63%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0.60%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11,359,37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8,519,533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2,839,845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5" w:right="0"/>
              <w:jc w:val="left"/>
              <w:rPr>
                <w:rFonts w:ascii="Times New Roman" w:hAnsi="Times New Roman" w:cs="Times New Roman" w:eastAsia="Times New Roman" w:hint="default"/>
                <w:sz w:val="18"/>
                <w:szCs w:val="18"/>
              </w:rPr>
            </w:pPr>
            <w:r>
              <w:rPr>
                <w:rFonts w:ascii="Times New Roman"/>
                <w:sz w:val="18"/>
              </w:rPr>
              <w:t>6,941,532</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李葛卫</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0.58%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6,450,000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王丹宇</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0.54%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10,238,00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-440,000</w:t>
            </w: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10,238,00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苏俊锋</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0.51%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9,678,531</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7,258,898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2,419,633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95" w:right="0"/>
              <w:jc w:val="left"/>
              <w:rPr>
                <w:rFonts w:ascii="Times New Roman" w:hAnsi="Times New Roman" w:cs="Times New Roman" w:eastAsia="Times New Roman" w:hint="default"/>
                <w:sz w:val="18"/>
                <w:szCs w:val="18"/>
              </w:rPr>
            </w:pPr>
            <w:r>
              <w:rPr>
                <w:rFonts w:ascii="Times New Roman"/>
                <w:sz w:val="18"/>
              </w:rPr>
              <w:t>7,225,000</w:t>
            </w:r>
          </w:p>
        </w:tc>
      </w:tr>
    </w:tbl>
    <w:p>
      <w:pPr>
        <w:spacing w:after="0" w:line="240" w:lineRule="auto"/>
        <w:jc w:val="lef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882"/>
        <w:gridCol w:w="3990"/>
        <w:gridCol w:w="1349"/>
        <w:gridCol w:w="1348"/>
      </w:tblGrid>
      <w:tr>
        <w:trPr>
          <w:trHeight w:val="473" w:hRule="exact"/>
        </w:trPr>
        <w:tc>
          <w:tcPr>
            <w:tcW w:w="28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3"/>
            <w:vMerge w:val="restart"/>
            <w:tcBorders>
              <w:top w:val="single" w:sz="4" w:space="0" w:color="000000"/>
              <w:left w:val="single" w:sz="10" w:space="0" w:color="D2D2D2"/>
              <w:right w:val="single" w:sz="4" w:space="0" w:color="000000"/>
            </w:tcBorders>
          </w:tcPr>
          <w:p>
            <w:pPr>
              <w:pStyle w:val="TableParagraph"/>
              <w:spacing w:line="314" w:lineRule="auto" w:before="51"/>
              <w:ind w:left="15" w:right="-6"/>
              <w:jc w:val="both"/>
              <w:rPr>
                <w:rFonts w:ascii="宋体" w:hAnsi="宋体" w:cs="宋体" w:eastAsia="宋体" w:hint="default"/>
                <w:sz w:val="18"/>
                <w:szCs w:val="18"/>
              </w:rPr>
            </w:pPr>
            <w:r>
              <w:rPr>
                <w:rFonts w:ascii="宋体" w:hAnsi="宋体" w:cs="宋体" w:eastAsia="宋体" w:hint="default"/>
                <w:sz w:val="18"/>
                <w:szCs w:val="18"/>
              </w:rPr>
              <w:t>拉萨市达实投资发展有限公司为控股股东；刘磅先生为公司实际控制人、董事长、总 经理；贾虹女士曾任公司董事，已于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日离任；房志刚先生为公司全资 子公司久信医疗创始人，曾任久信医疗总经理；程朋胜先生为公司副总经理、董事； 苏俊锋先生为公司副总经理、董事。除上述情形外，公司未知其他股东是否存在关联 关系，也未知是否属于一致行动人。</w:t>
            </w:r>
          </w:p>
        </w:tc>
      </w:tr>
      <w:tr>
        <w:trPr>
          <w:trHeight w:val="704" w:hRule="exact"/>
        </w:trPr>
        <w:tc>
          <w:tcPr>
            <w:tcW w:w="28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3"/>
            <w:vMerge/>
            <w:tcBorders>
              <w:left w:val="single" w:sz="10" w:space="0" w:color="D2D2D2"/>
              <w:right w:val="single" w:sz="4" w:space="0" w:color="000000"/>
            </w:tcBorders>
          </w:tcPr>
          <w:p>
            <w:pPr/>
          </w:p>
        </w:tc>
      </w:tr>
      <w:tr>
        <w:trPr>
          <w:trHeight w:val="473" w:hRule="exact"/>
        </w:trPr>
        <w:tc>
          <w:tcPr>
            <w:tcW w:w="28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3"/>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vMerge/>
            <w:tcBorders>
              <w:left w:val="single" w:sz="4" w:space="0" w:color="000000"/>
              <w:bottom w:val="nil" w:sz="6" w:space="0" w:color="auto"/>
              <w:right w:val="single" w:sz="4" w:space="0" w:color="000000"/>
            </w:tcBorders>
            <w:shd w:val="clear" w:color="auto" w:fill="D2D2D2"/>
          </w:tcPr>
          <w:p>
            <w:pPr/>
          </w:p>
        </w:tc>
        <w:tc>
          <w:tcPr>
            <w:tcW w:w="3990" w:type="dxa"/>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拉萨市达实投资发展有限公司</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361,749,581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361,749,581</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房志刚</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97,667,640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97,667,640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43,684,258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43,684,258</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贾虹</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14,841,675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14,841,675</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大成价值增长证券投资基金</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13,300,800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13,300,800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徐谌</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李葛卫</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11,100,000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11,100,000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王丹宇</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10,238,000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10,238,000</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陈锦周</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9,636,500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9,636,500</w:t>
            </w:r>
          </w:p>
        </w:tc>
      </w:tr>
      <w:tr>
        <w:trPr>
          <w:trHeight w:val="1026"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陕西省国际信托股份有限公司－陕 国投</w:t>
            </w:r>
            <w:r>
              <w:rPr>
                <w:rFonts w:ascii="Times New Roman" w:hAnsi="Times New Roman" w:cs="Times New Roman" w:eastAsia="Times New Roman" w:hint="default"/>
                <w:sz w:val="18"/>
                <w:szCs w:val="18"/>
              </w:rPr>
              <w:t>·</w:t>
            </w:r>
            <w:r>
              <w:rPr>
                <w:rFonts w:ascii="宋体" w:hAnsi="宋体" w:cs="宋体" w:eastAsia="宋体" w:hint="default"/>
                <w:sz w:val="18"/>
                <w:szCs w:val="18"/>
              </w:rPr>
              <w:t>隆兴证券投资集合资金信托计 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8,994,200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8,994,200</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312" w:lineRule="auto" w:before="51"/>
              <w:ind w:left="15" w:right="21"/>
              <w:jc w:val="both"/>
              <w:rPr>
                <w:rFonts w:ascii="宋体" w:hAnsi="宋体" w:cs="宋体" w:eastAsia="宋体" w:hint="default"/>
                <w:sz w:val="18"/>
                <w:szCs w:val="18"/>
              </w:rPr>
            </w:pPr>
            <w:r>
              <w:rPr>
                <w:rFonts w:ascii="宋体" w:hAnsi="宋体" w:cs="宋体" w:eastAsia="宋体" w:hint="default"/>
                <w:spacing w:val="-1"/>
                <w:sz w:val="18"/>
                <w:szCs w:val="18"/>
              </w:rPr>
              <w:t>拉萨市达实投资发展有限公司为控股股东；刘磅先生为公司实际控制人、董事长、总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经理；贾虹女士曾任公司董事，已于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日离任；房志刚先生为公司全资 </w:t>
            </w:r>
            <w:r>
              <w:rPr>
                <w:rFonts w:ascii="宋体" w:hAnsi="宋体" w:cs="宋体" w:eastAsia="宋体" w:hint="default"/>
                <w:spacing w:val="-1"/>
                <w:sz w:val="18"/>
                <w:szCs w:val="18"/>
              </w:rPr>
              <w:t>子公司久信医疗创始人，曾任久信医疗总经理。除上述情形外，公司未知其他股东是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否存在关联关系，也未知是否属于一致行动人。</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13"/>
          <w:szCs w:val="13"/>
        </w:rPr>
      </w:pPr>
    </w:p>
    <w:p>
      <w:pPr>
        <w:pStyle w:val="BodyText"/>
        <w:spacing w:line="240" w:lineRule="auto"/>
        <w:ind w:left="574"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4"/>
        <w:spacing w:line="240" w:lineRule="auto"/>
        <w:ind w:right="0"/>
        <w:jc w:val="left"/>
        <w:rPr>
          <w:b w:val="0"/>
          <w:bCs w:val="0"/>
        </w:rPr>
      </w:pPr>
      <w:bookmarkStart w:name="2、公司控股股东情况" w:id="116"/>
      <w:bookmarkEnd w:id="11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592"/>
        <w:jc w:val="left"/>
      </w:pP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1997"/>
        <w:gridCol w:w="1829"/>
        <w:gridCol w:w="1894"/>
        <w:gridCol w:w="1935"/>
        <w:gridCol w:w="1914"/>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818" w:right="75"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299"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162"/>
              <w:jc w:val="left"/>
              <w:rPr>
                <w:rFonts w:ascii="宋体" w:hAnsi="宋体" w:cs="宋体" w:eastAsia="宋体" w:hint="default"/>
                <w:sz w:val="18"/>
                <w:szCs w:val="18"/>
              </w:rPr>
            </w:pPr>
            <w:r>
              <w:rPr>
                <w:rFonts w:ascii="宋体" w:hAnsi="宋体" w:cs="宋体" w:eastAsia="宋体" w:hint="default"/>
                <w:sz w:val="18"/>
                <w:szCs w:val="18"/>
              </w:rPr>
              <w:t>拉萨市达实投资发展有 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27933775-0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both"/>
              <w:rPr>
                <w:rFonts w:ascii="宋体" w:hAnsi="宋体" w:cs="宋体" w:eastAsia="宋体" w:hint="default"/>
                <w:sz w:val="18"/>
                <w:szCs w:val="18"/>
              </w:rPr>
            </w:pPr>
            <w:r>
              <w:rPr>
                <w:rFonts w:ascii="宋体" w:hAnsi="宋体" w:cs="宋体" w:eastAsia="宋体" w:hint="default"/>
                <w:sz w:val="18"/>
                <w:szCs w:val="18"/>
              </w:rPr>
              <w:t>投资兴办实业（具体项 </w:t>
            </w:r>
            <w:r>
              <w:rPr>
                <w:rFonts w:ascii="宋体" w:hAnsi="宋体" w:cs="宋体" w:eastAsia="宋体" w:hint="default"/>
                <w:spacing w:val="-12"/>
                <w:sz w:val="18"/>
                <w:szCs w:val="18"/>
              </w:rPr>
              <w:t>目另报）；国内商业、物</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资供销业；软件技术开 发、经济信息咨询；通</w:t>
            </w:r>
          </w:p>
        </w:tc>
      </w:tr>
    </w:tbl>
    <w:p>
      <w:pPr>
        <w:spacing w:after="0" w:line="316" w:lineRule="auto"/>
        <w:jc w:val="both"/>
        <w:rPr>
          <w:rFonts w:ascii="宋体" w:hAnsi="宋体" w:cs="宋体" w:eastAsia="宋体"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997"/>
        <w:gridCol w:w="1829"/>
        <w:gridCol w:w="1894"/>
        <w:gridCol w:w="1935"/>
        <w:gridCol w:w="1914"/>
      </w:tblGrid>
      <w:tr>
        <w:trPr>
          <w:trHeight w:val="986" w:hRule="exact"/>
        </w:trPr>
        <w:tc>
          <w:tcPr>
            <w:tcW w:w="199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94" w:type="dxa"/>
            <w:tcBorders>
              <w:top w:val="single" w:sz="4" w:space="0" w:color="000000"/>
              <w:left w:val="single" w:sz="4" w:space="0" w:color="000000"/>
              <w:bottom w:val="single" w:sz="4" w:space="0" w:color="000000"/>
              <w:right w:val="single" w:sz="4" w:space="0" w:color="000000"/>
            </w:tcBorders>
          </w:tcPr>
          <w:p>
            <w:pPr/>
          </w:p>
        </w:tc>
        <w:tc>
          <w:tcPr>
            <w:tcW w:w="193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78"/>
              <w:jc w:val="both"/>
              <w:rPr>
                <w:rFonts w:ascii="宋体" w:hAnsi="宋体" w:cs="宋体" w:eastAsia="宋体" w:hint="default"/>
                <w:sz w:val="18"/>
                <w:szCs w:val="18"/>
              </w:rPr>
            </w:pPr>
            <w:r>
              <w:rPr>
                <w:rFonts w:ascii="宋体" w:hAnsi="宋体" w:cs="宋体" w:eastAsia="宋体" w:hint="default"/>
                <w:sz w:val="18"/>
                <w:szCs w:val="18"/>
              </w:rPr>
              <w:t>讯产品销售及研发；自 营和代理各类商品及技 术的净出口业务</w:t>
            </w:r>
          </w:p>
        </w:tc>
      </w:tr>
      <w:tr>
        <w:trPr>
          <w:trHeight w:val="1026"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日，拉萨市达实投资发展有限公司持有深圳市天健（集团）股份有限公司</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（股票简称：天健集团，股票代码：</w:t>
            </w:r>
            <w:r>
              <w:rPr>
                <w:rFonts w:ascii="Times New Roman" w:hAnsi="Times New Roman" w:cs="Times New Roman" w:eastAsia="Times New Roman" w:hint="default"/>
                <w:sz w:val="18"/>
                <w:szCs w:val="18"/>
              </w:rPr>
              <w:t>000090</w:t>
            </w:r>
            <w:r>
              <w:rPr>
                <w:rFonts w:ascii="宋体" w:hAnsi="宋体" w:cs="宋体" w:eastAsia="宋体" w:hint="default"/>
                <w:sz w:val="18"/>
                <w:szCs w:val="18"/>
              </w:rPr>
              <w:t>）</w:t>
            </w:r>
            <w:r>
              <w:rPr>
                <w:rFonts w:ascii="Times New Roman" w:hAnsi="Times New Roman" w:cs="Times New Roman" w:eastAsia="Times New Roman" w:hint="default"/>
                <w:sz w:val="18"/>
                <w:szCs w:val="18"/>
              </w:rPr>
              <w:t>23,140,496 </w:t>
            </w:r>
            <w:r>
              <w:rPr>
                <w:rFonts w:ascii="宋体" w:hAnsi="宋体" w:cs="宋体" w:eastAsia="宋体" w:hint="default"/>
                <w:sz w:val="18"/>
                <w:szCs w:val="18"/>
              </w:rPr>
              <w:t>股股份，占其总股本的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1.61%</w:t>
            </w:r>
            <w:r>
              <w:rPr>
                <w:rFonts w:ascii="宋体" w:hAnsi="宋体" w:cs="宋体" w:eastAsia="宋体" w:hint="default"/>
                <w:sz w:val="18"/>
                <w:szCs w:val="18"/>
              </w:rPr>
              <w:t>。</w:t>
            </w:r>
          </w:p>
        </w:tc>
      </w:tr>
    </w:tbl>
    <w:p>
      <w:pPr>
        <w:pStyle w:val="BodyText"/>
        <w:spacing w:line="240" w:lineRule="auto" w:before="51"/>
        <w:ind w:right="0"/>
        <w:jc w:val="left"/>
      </w:pPr>
      <w:r>
        <w:rPr/>
        <w:t>控股股东报告期内变更</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240" w:lineRule="auto"/>
        <w:ind w:left="574" w:right="0"/>
        <w:jc w:val="left"/>
      </w:pPr>
      <w:r>
        <w:rPr/>
        <w:t>公司报告期控股股东未发生变更。</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Heading4"/>
        <w:spacing w:line="240" w:lineRule="auto"/>
        <w:ind w:right="0"/>
        <w:jc w:val="left"/>
        <w:rPr>
          <w:b w:val="0"/>
          <w:bCs w:val="0"/>
        </w:rPr>
      </w:pPr>
      <w:bookmarkStart w:name="3、公司实际控制人及其一致行动人" w:id="117"/>
      <w:bookmarkEnd w:id="117"/>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月创立本公司，一直担任本公司董事长、总经理</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实际控制人报告期内变更</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436" w:lineRule="auto"/>
        <w:ind w:right="6792" w:firstLine="420"/>
        <w:jc w:val="left"/>
      </w:pPr>
      <w:r>
        <w:rPr/>
        <w:t>公司报告期实际控制人未发生变更。 公司与实际控制人之间的产权及控制关系的方框图</w:t>
      </w:r>
    </w:p>
    <w:p>
      <w:pPr>
        <w:spacing w:line="240" w:lineRule="auto" w:before="3"/>
        <w:rPr>
          <w:rFonts w:ascii="宋体" w:hAnsi="宋体" w:cs="宋体" w:eastAsia="宋体" w:hint="default"/>
          <w:sz w:val="20"/>
          <w:szCs w:val="20"/>
        </w:rPr>
      </w:pPr>
    </w:p>
    <w:p>
      <w:pPr>
        <w:spacing w:line="4695" w:lineRule="exact"/>
        <w:ind w:left="1356" w:right="0" w:firstLine="0"/>
        <w:rPr>
          <w:rFonts w:ascii="宋体" w:hAnsi="宋体" w:cs="宋体" w:eastAsia="宋体" w:hint="default"/>
          <w:sz w:val="20"/>
          <w:szCs w:val="20"/>
        </w:rPr>
      </w:pPr>
      <w:r>
        <w:rPr>
          <w:rFonts w:ascii="宋体" w:hAnsi="宋体" w:cs="宋体" w:eastAsia="宋体" w:hint="default"/>
          <w:position w:val="-93"/>
          <w:sz w:val="20"/>
          <w:szCs w:val="20"/>
        </w:rPr>
        <w:drawing>
          <wp:inline distT="0" distB="0" distL="0" distR="0">
            <wp:extent cx="4591634" cy="2981325"/>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7" cstate="print"/>
                    <a:stretch>
                      <a:fillRect/>
                    </a:stretch>
                  </pic:blipFill>
                  <pic:spPr>
                    <a:xfrm>
                      <a:off x="0" y="0"/>
                      <a:ext cx="4591634" cy="2981325"/>
                    </a:xfrm>
                    <a:prstGeom prst="rect">
                      <a:avLst/>
                    </a:prstGeom>
                  </pic:spPr>
                </pic:pic>
              </a:graphicData>
            </a:graphic>
          </wp:inline>
        </w:drawing>
      </w:r>
      <w:r>
        <w:rPr>
          <w:rFonts w:ascii="宋体" w:hAnsi="宋体" w:cs="宋体" w:eastAsia="宋体" w:hint="default"/>
          <w:position w:val="-93"/>
          <w:sz w:val="20"/>
          <w:szCs w:val="20"/>
        </w:rPr>
      </w:r>
    </w:p>
    <w:p>
      <w:pPr>
        <w:spacing w:after="0" w:line="4695" w:lineRule="exact"/>
        <w:rPr>
          <w:rFonts w:ascii="宋体" w:hAnsi="宋体" w:cs="宋体" w:eastAsia="宋体" w:hint="default"/>
          <w:sz w:val="20"/>
          <w:szCs w:val="20"/>
        </w:rPr>
        <w:sectPr>
          <w:pgSz w:w="11910" w:h="16840"/>
          <w:pgMar w:header="787" w:footer="1019" w:top="1100" w:bottom="1200" w:left="980" w:right="0"/>
        </w:sectPr>
      </w:pPr>
    </w:p>
    <w:p>
      <w:pPr>
        <w:spacing w:line="240" w:lineRule="auto" w:before="11"/>
        <w:rPr>
          <w:rFonts w:ascii="宋体" w:hAnsi="宋体" w:cs="宋体" w:eastAsia="宋体" w:hint="default"/>
          <w:sz w:val="22"/>
          <w:szCs w:val="22"/>
        </w:rPr>
      </w:pPr>
    </w:p>
    <w:p>
      <w:pPr>
        <w:pStyle w:val="BodyText"/>
        <w:spacing w:line="240" w:lineRule="auto" w:before="44"/>
        <w:ind w:right="0"/>
        <w:jc w:val="left"/>
      </w:pPr>
      <w:r>
        <w:rPr/>
        <w:t>实际控制人通过信托或其他资产管理方式控制公司</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8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286" w:right="0"/>
        <w:jc w:val="left"/>
        <w:rPr>
          <w:b w:val="0"/>
          <w:bCs w:val="0"/>
        </w:rPr>
      </w:pPr>
      <w:bookmarkStart w:name="第七节 优先股相关情况" w:id="120"/>
      <w:bookmarkEnd w:id="120"/>
      <w:r>
        <w:rPr>
          <w:b w:val="0"/>
          <w:bCs w:val="0"/>
        </w:rPr>
      </w:r>
      <w:bookmarkStart w:name="_bookmark5" w:id="121"/>
      <w:bookmarkEnd w:id="121"/>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8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1680" w:right="0"/>
        <w:jc w:val="left"/>
        <w:rPr>
          <w:b w:val="0"/>
          <w:bCs w:val="0"/>
        </w:rPr>
      </w:pPr>
      <w:bookmarkStart w:name="第八节 董事、监事、高级管理人员和员工情况" w:id="122"/>
      <w:bookmarkEnd w:id="122"/>
      <w:r>
        <w:rPr>
          <w:b w:val="0"/>
          <w:bCs w:val="0"/>
        </w:rPr>
      </w:r>
      <w:bookmarkStart w:name="_bookmark6" w:id="123"/>
      <w:bookmarkEnd w:id="123"/>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4"/>
      <w:bookmarkEnd w:id="124"/>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174,737,0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174,737,0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31</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11,359,37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11,359,37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贾虹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139,366,7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119,366,7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9,623,974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9,623,974</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苏俊锋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苏俊锋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9,678,531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9,678,531</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王礼贵</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72,000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72,000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李继朝</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沈冰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甘岱松</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黄德强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1,373,800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1,373,800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6,777,753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6,777,753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黄天朗</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5,544,300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5,544,300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358,461,4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72,000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338,533,4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67</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贾虹</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6"/>
      <w:bookmarkEnd w:id="126"/>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spacing w:line="240" w:lineRule="auto" w:before="11"/>
        <w:rPr>
          <w:rFonts w:ascii="宋体" w:hAnsi="宋体" w:cs="宋体" w:eastAsia="宋体" w:hint="default"/>
          <w:sz w:val="14"/>
          <w:szCs w:val="14"/>
        </w:rPr>
      </w:pPr>
    </w:p>
    <w:p>
      <w:pPr>
        <w:pStyle w:val="Heading6"/>
        <w:spacing w:line="240" w:lineRule="auto"/>
        <w:ind w:right="0"/>
        <w:jc w:val="left"/>
        <w:rPr>
          <w:b w:val="0"/>
          <w:bCs w:val="0"/>
        </w:rPr>
      </w:pPr>
      <w:r>
        <w:rPr/>
        <w:t>（一）董事最近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年的主要工作经历</w:t>
      </w:r>
      <w:r>
        <w:rPr>
          <w:b w:val="0"/>
          <w:bCs w:val="0"/>
        </w:rPr>
      </w:r>
    </w:p>
    <w:p>
      <w:pPr>
        <w:spacing w:line="240" w:lineRule="auto" w:before="10"/>
        <w:rPr>
          <w:rFonts w:ascii="宋体" w:hAnsi="宋体" w:cs="宋体" w:eastAsia="宋体" w:hint="default"/>
          <w:b/>
          <w:bCs/>
          <w:sz w:val="19"/>
          <w:szCs w:val="19"/>
        </w:rPr>
      </w:pPr>
    </w:p>
    <w:p>
      <w:pPr>
        <w:pStyle w:val="BodyText"/>
        <w:spacing w:line="240" w:lineRule="auto"/>
        <w:ind w:left="574" w:right="0"/>
        <w:jc w:val="left"/>
      </w:pPr>
      <w:r>
        <w:rPr>
          <w:rFonts w:ascii="Times New Roman" w:hAnsi="Times New Roman" w:cs="Times New Roman" w:eastAsia="Times New Roman" w:hint="default"/>
        </w:rPr>
        <w:t>1</w:t>
      </w:r>
      <w:r>
        <w:rPr/>
        <w:t>、刘磅简历</w:t>
      </w:r>
    </w:p>
    <w:p>
      <w:pPr>
        <w:spacing w:line="240" w:lineRule="auto" w:before="10"/>
        <w:rPr>
          <w:rFonts w:ascii="宋体" w:hAnsi="宋体" w:cs="宋体" w:eastAsia="宋体" w:hint="default"/>
          <w:sz w:val="19"/>
          <w:szCs w:val="19"/>
        </w:rPr>
      </w:pPr>
    </w:p>
    <w:p>
      <w:pPr>
        <w:pStyle w:val="BodyText"/>
        <w:spacing w:line="451" w:lineRule="auto"/>
        <w:ind w:right="1131" w:firstLine="420"/>
        <w:jc w:val="both"/>
      </w:pPr>
      <w:r>
        <w:rPr/>
        <w:t>刘磅先生，</w:t>
      </w:r>
      <w:r>
        <w:rPr>
          <w:rFonts w:ascii="Times New Roman" w:hAnsi="Times New Roman" w:cs="Times New Roman" w:eastAsia="Times New Roman" w:hint="default"/>
        </w:rPr>
        <w:t>1963</w:t>
      </w:r>
      <w:r>
        <w:rPr>
          <w:rFonts w:ascii="Times New Roman" w:hAnsi="Times New Roman" w:cs="Times New Roman" w:eastAsia="Times New Roman" w:hint="default"/>
          <w:spacing w:val="-12"/>
        </w:rPr>
        <w:t> </w:t>
      </w:r>
      <w:r>
        <w:rPr/>
        <w:t>年</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12"/>
        </w:rPr>
        <w:t> </w:t>
      </w:r>
      <w:r>
        <w:rPr/>
        <w:t>月出生</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研究生学历、教授级高级工程师，深圳达实智能股份有限公司主要创始人。曾任深圳市 三、四届人大代表，人大科技组组长，深圳市南山区第一届政协委员。</w:t>
      </w:r>
      <w:r>
        <w:rPr>
          <w:rFonts w:ascii="Times New Roman" w:hAnsi="Times New Roman" w:cs="Times New Roman" w:eastAsia="Times New Roman" w:hint="default"/>
        </w:rPr>
        <w:t>1995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月创立深圳达实智能股份有限公司。现任 </w:t>
      </w:r>
      <w:r>
        <w:rPr>
          <w:spacing w:val="-2"/>
        </w:rPr>
        <w:t>深圳达实智能股份有限公司董事长、总经理，上海达实自动化技术有限公司董事长，深圳达实融资租赁有限公司董事长，深</w:t>
      </w:r>
    </w:p>
    <w:p>
      <w:pPr>
        <w:spacing w:after="0" w:line="451" w:lineRule="auto"/>
        <w:jc w:val="both"/>
        <w:sectPr>
          <w:pgSz w:w="11910" w:h="16840"/>
          <w:pgMar w:header="787" w:footer="1019" w:top="1100" w:bottom="1200" w:left="980" w:right="0"/>
        </w:sectPr>
      </w:pPr>
    </w:p>
    <w:p>
      <w:pPr>
        <w:spacing w:line="240" w:lineRule="auto" w:before="11"/>
        <w:rPr>
          <w:rFonts w:ascii="宋体" w:hAnsi="宋体" w:cs="宋体" w:eastAsia="宋体" w:hint="default"/>
          <w:sz w:val="28"/>
          <w:szCs w:val="28"/>
        </w:rPr>
      </w:pPr>
    </w:p>
    <w:p>
      <w:pPr>
        <w:pStyle w:val="BodyText"/>
        <w:spacing w:line="240" w:lineRule="auto" w:before="44"/>
        <w:ind w:left="135" w:right="8951"/>
        <w:jc w:val="center"/>
      </w:pPr>
      <w:r>
        <w:rPr/>
        <w:t>圳市第六届人大代表。</w:t>
      </w:r>
    </w:p>
    <w:p>
      <w:pPr>
        <w:spacing w:line="240" w:lineRule="auto" w:before="10"/>
        <w:rPr>
          <w:rFonts w:ascii="宋体" w:hAnsi="宋体" w:cs="宋体" w:eastAsia="宋体" w:hint="default"/>
          <w:sz w:val="20"/>
          <w:szCs w:val="20"/>
        </w:rPr>
      </w:pPr>
    </w:p>
    <w:p>
      <w:pPr>
        <w:pStyle w:val="BodyText"/>
        <w:spacing w:line="240" w:lineRule="auto"/>
        <w:ind w:left="574" w:right="0"/>
        <w:jc w:val="left"/>
      </w:pPr>
      <w:r>
        <w:rPr>
          <w:rFonts w:ascii="Times New Roman" w:hAnsi="Times New Roman" w:cs="Times New Roman" w:eastAsia="Times New Roman" w:hint="default"/>
        </w:rPr>
        <w:t>2</w:t>
      </w:r>
      <w:r>
        <w:rPr/>
        <w:t>、刘昂简历</w:t>
      </w:r>
    </w:p>
    <w:p>
      <w:pPr>
        <w:spacing w:line="240" w:lineRule="auto" w:before="10"/>
        <w:rPr>
          <w:rFonts w:ascii="宋体" w:hAnsi="宋体" w:cs="宋体" w:eastAsia="宋体" w:hint="default"/>
          <w:sz w:val="19"/>
          <w:szCs w:val="19"/>
        </w:rPr>
      </w:pPr>
    </w:p>
    <w:p>
      <w:pPr>
        <w:pStyle w:val="BodyText"/>
        <w:spacing w:line="470" w:lineRule="auto"/>
        <w:ind w:right="1080" w:firstLine="420"/>
        <w:jc w:val="both"/>
      </w:pPr>
      <w:r>
        <w:rPr/>
        <w:t>刘昂先生，</w:t>
      </w:r>
      <w:r>
        <w:rPr>
          <w:rFonts w:ascii="Times New Roman" w:hAnsi="Times New Roman" w:cs="Times New Roman" w:eastAsia="Times New Roman" w:hint="default"/>
        </w:rPr>
        <w:t>1967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月出生，英国威尔士大学管理学硕士。</w:t>
      </w:r>
      <w:r>
        <w:rPr>
          <w:rFonts w:ascii="Times New Roman" w:hAnsi="Times New Roman" w:cs="Times New Roman" w:eastAsia="Times New Roman" w:hint="default"/>
        </w:rPr>
        <w:t>1995</w:t>
      </w:r>
      <w:r>
        <w:rPr>
          <w:rFonts w:ascii="Times New Roman" w:hAnsi="Times New Roman" w:cs="Times New Roman" w:eastAsia="Times New Roman" w:hint="default"/>
          <w:spacing w:val="-1"/>
        </w:rPr>
        <w:t> </w:t>
      </w:r>
      <w:r>
        <w:rPr/>
        <w:t>年参与组建本公司。现任本公司第六届董事会董事， </w:t>
      </w:r>
      <w:r>
        <w:rPr>
          <w:spacing w:val="-2"/>
        </w:rPr>
        <w:t>拉萨市达实投资发展有限公司执行董事、总经理；深圳市诺达自动化技术有限公司副董事长；合肥达实数字科技有限公司执</w:t>
      </w:r>
      <w:r>
        <w:rPr>
          <w:spacing w:val="-66"/>
        </w:rPr>
        <w:t> </w:t>
      </w:r>
      <w:r>
        <w:rPr>
          <w:spacing w:val="-66"/>
        </w:rPr>
      </w:r>
      <w:r>
        <w:rPr>
          <w:spacing w:val="-2"/>
        </w:rPr>
        <w:t>行董事、总经理；合肥中正物业管理有限公司执行董事、总经理；深圳市英唐智能控制股份有限公司监事会主席；上海达实</w:t>
      </w:r>
      <w:r>
        <w:rPr>
          <w:spacing w:val="-66"/>
        </w:rPr>
        <w:t> </w:t>
      </w:r>
      <w:r>
        <w:rPr>
          <w:spacing w:val="-66"/>
        </w:rPr>
      </w:r>
      <w:r>
        <w:rPr>
          <w:spacing w:val="-2"/>
        </w:rPr>
        <w:t>自动化工程有限公司监事；深圳市达实数字科技有限公司总经理、执行董事；深圳市达实股权投资发展有限公司执行董事兼</w:t>
      </w:r>
      <w:r>
        <w:rPr>
          <w:spacing w:val="-66"/>
        </w:rPr>
        <w:t> </w:t>
      </w:r>
      <w:r>
        <w:rPr>
          <w:spacing w:val="-66"/>
        </w:rPr>
      </w:r>
      <w:r>
        <w:rPr/>
        <w:t>总经理。</w:t>
      </w:r>
    </w:p>
    <w:p>
      <w:pPr>
        <w:pStyle w:val="BodyText"/>
        <w:spacing w:line="240" w:lineRule="auto" w:before="99"/>
        <w:ind w:left="574" w:right="0"/>
        <w:jc w:val="left"/>
      </w:pPr>
      <w:r>
        <w:rPr>
          <w:rFonts w:ascii="Times New Roman" w:hAnsi="Times New Roman" w:cs="Times New Roman" w:eastAsia="Times New Roman" w:hint="default"/>
        </w:rPr>
        <w:t>3</w:t>
      </w:r>
      <w:r>
        <w:rPr/>
        <w:t>、程朋胜简历</w:t>
      </w:r>
    </w:p>
    <w:p>
      <w:pPr>
        <w:spacing w:line="240" w:lineRule="auto" w:before="9"/>
        <w:rPr>
          <w:rFonts w:ascii="宋体" w:hAnsi="宋体" w:cs="宋体" w:eastAsia="宋体" w:hint="default"/>
          <w:sz w:val="19"/>
          <w:szCs w:val="19"/>
        </w:rPr>
      </w:pPr>
    </w:p>
    <w:p>
      <w:pPr>
        <w:pStyle w:val="BodyText"/>
        <w:spacing w:line="465" w:lineRule="auto"/>
        <w:ind w:right="1131" w:firstLine="420"/>
        <w:jc w:val="both"/>
      </w:pPr>
      <w:r>
        <w:rPr/>
        <w:t>程朋胜先生，</w:t>
      </w:r>
      <w:r>
        <w:rPr>
          <w:rFonts w:ascii="Times New Roman" w:hAnsi="Times New Roman" w:cs="Times New Roman" w:eastAsia="Times New Roman" w:hint="default"/>
        </w:rPr>
        <w:t>1964</w:t>
      </w:r>
      <w:r>
        <w:rPr>
          <w:rFonts w:ascii="Times New Roman" w:hAnsi="Times New Roman" w:cs="Times New Roman" w:eastAsia="Times New Roman" w:hint="default"/>
          <w:spacing w:val="-14"/>
        </w:rPr>
        <w:t> </w:t>
      </w:r>
      <w:r>
        <w:rPr/>
        <w:t>年</w:t>
      </w:r>
      <w:r>
        <w:rPr>
          <w:spacing w:val="-59"/>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月出生，工学硕士，高级工程师，深圳达实智能股份有限公司主要创始人之一。</w:t>
      </w:r>
      <w:r>
        <w:rPr>
          <w:rFonts w:ascii="Times New Roman" w:hAnsi="Times New Roman" w:cs="Times New Roman" w:eastAsia="Times New Roman" w:hint="default"/>
        </w:rPr>
        <w:t>1995</w:t>
      </w:r>
      <w:r>
        <w:rPr>
          <w:rFonts w:ascii="Times New Roman" w:hAnsi="Times New Roman" w:cs="Times New Roman" w:eastAsia="Times New Roman" w:hint="default"/>
          <w:spacing w:val="-14"/>
        </w:rPr>
        <w:t> </w:t>
      </w:r>
      <w:r>
        <w:rPr/>
        <w:t>年参与组 </w:t>
      </w:r>
      <w:r>
        <w:rPr>
          <w:spacing w:val="-2"/>
        </w:rPr>
        <w:t>建深圳达实智能股份有限公司。现任深圳达实智能股份有限公司第六届董事会董事、副总经理、研发中心主任、国家博士后</w:t>
      </w:r>
      <w:r>
        <w:rPr>
          <w:spacing w:val="-66"/>
        </w:rPr>
        <w:t> </w:t>
      </w:r>
      <w:r>
        <w:rPr>
          <w:spacing w:val="-66"/>
        </w:rPr>
      </w:r>
      <w:r>
        <w:rPr/>
        <w:t>科研工作站负责人，深圳达实信息技术有限公司董事，江苏达实久信医疗科技有限公司董事。</w:t>
      </w:r>
    </w:p>
    <w:p>
      <w:pPr>
        <w:pStyle w:val="BodyText"/>
        <w:spacing w:line="240" w:lineRule="auto" w:before="104"/>
        <w:ind w:left="574" w:right="0"/>
        <w:jc w:val="left"/>
      </w:pPr>
      <w:r>
        <w:rPr>
          <w:rFonts w:ascii="Times New Roman" w:hAnsi="Times New Roman" w:cs="Times New Roman" w:eastAsia="Times New Roman" w:hint="default"/>
        </w:rPr>
        <w:t>4</w:t>
      </w:r>
      <w:r>
        <w:rPr/>
        <w:t>、吕枫简历</w:t>
      </w:r>
    </w:p>
    <w:p>
      <w:pPr>
        <w:spacing w:line="240" w:lineRule="auto" w:before="9"/>
        <w:rPr>
          <w:rFonts w:ascii="宋体" w:hAnsi="宋体" w:cs="宋体" w:eastAsia="宋体" w:hint="default"/>
          <w:sz w:val="19"/>
          <w:szCs w:val="19"/>
        </w:rPr>
      </w:pPr>
    </w:p>
    <w:p>
      <w:pPr>
        <w:pStyle w:val="BodyText"/>
        <w:spacing w:line="468" w:lineRule="auto"/>
        <w:ind w:right="0" w:firstLine="420"/>
        <w:jc w:val="left"/>
      </w:pPr>
      <w:r>
        <w:rPr/>
        <w:t>吕枫先生，</w:t>
      </w:r>
      <w:r>
        <w:rPr>
          <w:rFonts w:ascii="Times New Roman" w:hAnsi="Times New Roman" w:cs="Times New Roman" w:eastAsia="Times New Roman" w:hint="default"/>
        </w:rPr>
        <w:t>1968</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3"/>
          <w:w w:val="99"/>
        </w:rPr>
        <w:t>月出生，南开大学物理学学士，清华大学工商管理硕士（</w:t>
      </w:r>
      <w:r>
        <w:rPr>
          <w:rFonts w:ascii="Times New Roman" w:hAnsi="Times New Roman" w:cs="Times New Roman" w:eastAsia="Times New Roman" w:hint="default"/>
          <w:spacing w:val="-3"/>
          <w:w w:val="99"/>
        </w:rPr>
        <w:t>MBA</w:t>
      </w:r>
      <w:r>
        <w:rPr>
          <w:spacing w:val="-3"/>
          <w:w w:val="99"/>
        </w:rPr>
        <w:t>），高级经济师。</w:t>
      </w:r>
      <w:r>
        <w:rPr>
          <w:rFonts w:ascii="Times New Roman" w:hAnsi="Times New Roman" w:cs="Times New Roman" w:eastAsia="Times New Roman" w:hint="default"/>
          <w:spacing w:val="-3"/>
          <w:w w:val="99"/>
        </w:rPr>
        <w:t>2001</w:t>
      </w:r>
      <w:r>
        <w:rPr>
          <w:rFonts w:ascii="Times New Roman" w:hAnsi="Times New Roman" w:cs="Times New Roman" w:eastAsia="Times New Roman" w:hint="default"/>
          <w:spacing w:val="2"/>
          <w:w w:val="99"/>
        </w:rPr>
        <w:t> </w:t>
      </w:r>
      <w:r>
        <w:rPr/>
        <w:t>年</w:t>
      </w:r>
      <w:r>
        <w:rPr>
          <w:spacing w:val="-43"/>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月进 </w:t>
      </w:r>
      <w:r>
        <w:rPr>
          <w:spacing w:val="-2"/>
        </w:rPr>
        <w:t>入深圳达实智能股份有限公司。现任深圳达实智能股份有限公司副总经理、第六届董事会董事，上海达实联欣科技发展有限</w:t>
      </w:r>
      <w:r>
        <w:rPr>
          <w:spacing w:val="-66"/>
        </w:rPr>
        <w:t> </w:t>
      </w:r>
      <w:r>
        <w:rPr>
          <w:spacing w:val="-66"/>
        </w:rPr>
      </w:r>
      <w:r>
        <w:rPr>
          <w:spacing w:val="-2"/>
        </w:rPr>
        <w:t>公司董事，江苏达实久信医疗科技有限公司董事，融智节能环保（深圳）有限公司董事长，北京达实德润能源科技有限公司</w:t>
      </w:r>
      <w:r>
        <w:rPr>
          <w:spacing w:val="-66"/>
        </w:rPr>
        <w:t> </w:t>
      </w:r>
      <w:r>
        <w:rPr>
          <w:spacing w:val="-66"/>
        </w:rPr>
      </w:r>
      <w:r>
        <w:rPr/>
        <w:t>董事，雄安达实智慧科技有限公司执行董事、总经理。</w:t>
      </w:r>
    </w:p>
    <w:p>
      <w:pPr>
        <w:pStyle w:val="BodyText"/>
        <w:spacing w:line="240" w:lineRule="auto" w:before="101"/>
        <w:ind w:left="574" w:right="0"/>
        <w:jc w:val="left"/>
      </w:pPr>
      <w:r>
        <w:rPr>
          <w:rFonts w:ascii="Times New Roman" w:hAnsi="Times New Roman" w:cs="Times New Roman" w:eastAsia="Times New Roman" w:hint="default"/>
        </w:rPr>
        <w:t>5</w:t>
      </w:r>
      <w:r>
        <w:rPr/>
        <w:t>、苏俊锋简历</w:t>
      </w:r>
    </w:p>
    <w:p>
      <w:pPr>
        <w:spacing w:line="240" w:lineRule="auto" w:before="10"/>
        <w:rPr>
          <w:rFonts w:ascii="宋体" w:hAnsi="宋体" w:cs="宋体" w:eastAsia="宋体" w:hint="default"/>
          <w:sz w:val="19"/>
          <w:szCs w:val="19"/>
        </w:rPr>
      </w:pPr>
    </w:p>
    <w:p>
      <w:pPr>
        <w:pStyle w:val="BodyText"/>
        <w:spacing w:line="460" w:lineRule="auto"/>
        <w:ind w:right="1129" w:firstLine="420"/>
        <w:jc w:val="both"/>
      </w:pPr>
      <w:r>
        <w:rPr/>
        <w:t>苏俊锋先生，</w:t>
      </w:r>
      <w:r>
        <w:rPr>
          <w:rFonts w:ascii="Times New Roman" w:hAnsi="Times New Roman" w:cs="Times New Roman" w:eastAsia="Times New Roman" w:hint="default"/>
        </w:rPr>
        <w:t>1971</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月出生，华中理工大学工学硕士研究生毕业，高级工程师。担任高速铁路建造技术国家工程实 </w:t>
      </w:r>
      <w:r>
        <w:rPr>
          <w:spacing w:val="-2"/>
        </w:rPr>
        <w:t>验室常务理事，深圳市城市轨道交通协会副会长及产业设备委员会副主任，深圳市智能建筑协会副会长，深圳市广西商会常</w:t>
      </w:r>
      <w:r>
        <w:rPr>
          <w:spacing w:val="-66"/>
        </w:rPr>
        <w:t> </w:t>
      </w:r>
      <w:r>
        <w:rPr>
          <w:spacing w:val="-66"/>
        </w:rPr>
      </w:r>
      <w:r>
        <w:rPr/>
        <w:t>务副会长等社会职务。</w:t>
      </w:r>
      <w:r>
        <w:rPr>
          <w:rFonts w:ascii="Times New Roman" w:hAnsi="Times New Roman" w:cs="Times New Roman" w:eastAsia="Times New Roman" w:hint="default"/>
        </w:rPr>
        <w:t>1996</w:t>
      </w:r>
      <w:r>
        <w:rPr>
          <w:rFonts w:ascii="Times New Roman" w:hAnsi="Times New Roman" w:cs="Times New Roman" w:eastAsia="Times New Roman" w:hint="default"/>
          <w:spacing w:val="-1"/>
        </w:rPr>
        <w:t> </w:t>
      </w:r>
      <w:r>
        <w:rPr/>
        <w:t>年进入深圳达实智能股份有限公司。现任公司副总经理、第六届董事会董事，深圳市云玺互联 网服务有限公司董事。</w:t>
      </w:r>
    </w:p>
    <w:p>
      <w:pPr>
        <w:pStyle w:val="BodyText"/>
        <w:spacing w:line="240" w:lineRule="auto" w:before="106"/>
        <w:ind w:left="574" w:right="0"/>
        <w:jc w:val="left"/>
      </w:pPr>
      <w:r>
        <w:rPr>
          <w:rFonts w:ascii="Times New Roman" w:hAnsi="Times New Roman" w:cs="Times New Roman" w:eastAsia="Times New Roman" w:hint="default"/>
        </w:rPr>
        <w:t>6</w:t>
      </w:r>
      <w:r>
        <w:rPr/>
        <w:t>、赵诚简历</w:t>
      </w:r>
    </w:p>
    <w:p>
      <w:pPr>
        <w:spacing w:line="240" w:lineRule="auto" w:before="9"/>
        <w:rPr>
          <w:rFonts w:ascii="宋体" w:hAnsi="宋体" w:cs="宋体" w:eastAsia="宋体" w:hint="default"/>
          <w:sz w:val="19"/>
          <w:szCs w:val="19"/>
        </w:rPr>
      </w:pPr>
    </w:p>
    <w:p>
      <w:pPr>
        <w:pStyle w:val="BodyText"/>
        <w:spacing w:line="465" w:lineRule="auto"/>
        <w:ind w:right="1132" w:firstLine="420"/>
        <w:jc w:val="both"/>
      </w:pPr>
      <w:r>
        <w:rPr/>
        <w:t>赵诚先生，</w:t>
      </w:r>
      <w:r>
        <w:rPr>
          <w:rFonts w:ascii="Times New Roman" w:hAnsi="Times New Roman" w:cs="Times New Roman" w:eastAsia="Times New Roman" w:hint="default"/>
        </w:rPr>
        <w:t>1974</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月出生，经济管理专业本科学历。</w:t>
      </w:r>
      <w:r>
        <w:rPr>
          <w:rFonts w:ascii="Times New Roman" w:hAnsi="Times New Roman" w:cs="Times New Roman" w:eastAsia="Times New Roman" w:hint="default"/>
        </w:rPr>
        <w:t>1998</w:t>
      </w:r>
      <w:r>
        <w:rPr>
          <w:rFonts w:ascii="Times New Roman" w:hAnsi="Times New Roman" w:cs="Times New Roman" w:eastAsia="Times New Roman" w:hint="default"/>
          <w:spacing w:val="-10"/>
        </w:rPr>
        <w:t> </w:t>
      </w:r>
      <w:r>
        <w:rPr/>
        <w:t>年</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月开始在华夏证券从事投资银行业务，曾任江南证券 </w:t>
      </w:r>
      <w:r>
        <w:rPr>
          <w:spacing w:val="-2"/>
        </w:rPr>
        <w:t>有限责任公司投资银行部副总经理，中投证券有限公司投资银行部董事，东方花旗有限责任公司投资银行部执行总经理。现</w:t>
      </w:r>
      <w:r>
        <w:rPr>
          <w:spacing w:val="-66"/>
        </w:rPr>
        <w:t> </w:t>
      </w:r>
      <w:r>
        <w:rPr>
          <w:spacing w:val="-66"/>
        </w:rPr>
      </w:r>
      <w:r>
        <w:rPr/>
        <w:t>任深圳达实智能股份有限公司第六届董事会独立董事。</w:t>
      </w:r>
    </w:p>
    <w:p>
      <w:pPr>
        <w:pStyle w:val="BodyText"/>
        <w:spacing w:line="240" w:lineRule="auto" w:before="104"/>
        <w:ind w:left="574" w:right="0"/>
        <w:jc w:val="left"/>
      </w:pPr>
      <w:r>
        <w:rPr>
          <w:rFonts w:ascii="Times New Roman" w:hAnsi="Times New Roman" w:cs="Times New Roman" w:eastAsia="Times New Roman" w:hint="default"/>
        </w:rPr>
        <w:t>7</w:t>
      </w:r>
      <w:r>
        <w:rPr/>
        <w:t>、王晓东简历</w:t>
      </w:r>
    </w:p>
    <w:p>
      <w:pPr>
        <w:spacing w:line="240" w:lineRule="auto" w:before="9"/>
        <w:rPr>
          <w:rFonts w:ascii="宋体" w:hAnsi="宋体" w:cs="宋体" w:eastAsia="宋体" w:hint="default"/>
          <w:sz w:val="19"/>
          <w:szCs w:val="19"/>
        </w:rPr>
      </w:pPr>
    </w:p>
    <w:p>
      <w:pPr>
        <w:pStyle w:val="BodyText"/>
        <w:spacing w:line="465" w:lineRule="auto"/>
        <w:ind w:right="1131" w:firstLine="420"/>
        <w:jc w:val="both"/>
      </w:pPr>
      <w:r>
        <w:rPr/>
        <w:t>王晓东先生，</w:t>
      </w:r>
      <w:r>
        <w:rPr>
          <w:rFonts w:ascii="Times New Roman" w:hAnsi="Times New Roman" w:cs="Times New Roman" w:eastAsia="Times New Roman" w:hint="default"/>
        </w:rPr>
        <w:t>1960</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月出生，法学本科学历、数学学士，律师。曾任信达律师事务所律师，广东经天律师事务所合 </w:t>
      </w:r>
      <w:r>
        <w:rPr>
          <w:spacing w:val="-2"/>
        </w:rPr>
        <w:t>伙人，广东博合律师事务所合伙人，国浩律师事务所合伙人。现任深圳达实智能股份有限公司董事会独立董事，佛山市燃气</w:t>
      </w:r>
      <w:r>
        <w:rPr>
          <w:spacing w:val="-66"/>
        </w:rPr>
        <w:t> </w:t>
      </w:r>
      <w:r>
        <w:rPr>
          <w:spacing w:val="-66"/>
        </w:rPr>
      </w:r>
      <w:r>
        <w:rPr/>
        <w:t>集团股份有限公司独立董事、红土创新基金管理有限公司独立董事。</w:t>
      </w:r>
    </w:p>
    <w:p>
      <w:pPr>
        <w:spacing w:after="0" w:line="465" w:lineRule="auto"/>
        <w:jc w:val="both"/>
        <w:sectPr>
          <w:pgSz w:w="11910" w:h="16840"/>
          <w:pgMar w:header="787" w:footer="1019" w:top="1100" w:bottom="1200" w:left="980" w:right="0"/>
        </w:sectPr>
      </w:pPr>
    </w:p>
    <w:p>
      <w:pPr>
        <w:spacing w:line="240" w:lineRule="auto" w:before="11"/>
        <w:rPr>
          <w:rFonts w:ascii="宋体" w:hAnsi="宋体" w:cs="宋体" w:eastAsia="宋体" w:hint="default"/>
          <w:sz w:val="28"/>
          <w:szCs w:val="28"/>
        </w:rPr>
      </w:pPr>
    </w:p>
    <w:p>
      <w:pPr>
        <w:pStyle w:val="BodyText"/>
        <w:spacing w:line="240" w:lineRule="auto" w:before="44"/>
        <w:ind w:left="574" w:right="0"/>
        <w:jc w:val="left"/>
      </w:pPr>
      <w:r>
        <w:rPr>
          <w:rFonts w:ascii="Times New Roman" w:hAnsi="Times New Roman" w:cs="Times New Roman" w:eastAsia="Times New Roman" w:hint="default"/>
        </w:rPr>
        <w:t>8</w:t>
      </w:r>
      <w:r>
        <w:rPr/>
        <w:t>、王礼贵简历</w:t>
      </w:r>
    </w:p>
    <w:p>
      <w:pPr>
        <w:spacing w:line="240" w:lineRule="auto" w:before="9"/>
        <w:rPr>
          <w:rFonts w:ascii="宋体" w:hAnsi="宋体" w:cs="宋体" w:eastAsia="宋体" w:hint="default"/>
          <w:sz w:val="19"/>
          <w:szCs w:val="19"/>
        </w:rPr>
      </w:pPr>
    </w:p>
    <w:p>
      <w:pPr>
        <w:pStyle w:val="BodyText"/>
        <w:spacing w:line="470" w:lineRule="auto"/>
        <w:ind w:right="1131" w:firstLine="420"/>
        <w:jc w:val="both"/>
      </w:pPr>
      <w:r>
        <w:rPr/>
        <w:t>王礼贵先生，</w:t>
      </w:r>
      <w:r>
        <w:rPr>
          <w:rFonts w:ascii="Times New Roman" w:hAnsi="Times New Roman" w:cs="Times New Roman" w:eastAsia="Times New Roman" w:hint="default"/>
        </w:rPr>
        <w:t>1961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19"/>
        </w:rPr>
        <w:t> </w:t>
      </w:r>
      <w:r>
        <w:rPr>
          <w:spacing w:val="-3"/>
        </w:rPr>
        <w:t>月出生，中国注册会计师</w:t>
      </w:r>
      <w:r>
        <w:rPr>
          <w:rFonts w:ascii="Times New Roman" w:hAnsi="Times New Roman" w:cs="Times New Roman" w:eastAsia="Times New Roman" w:hint="default"/>
          <w:spacing w:val="-3"/>
        </w:rPr>
        <w:t>(</w:t>
      </w:r>
      <w:r>
        <w:rPr>
          <w:spacing w:val="-3"/>
        </w:rPr>
        <w:t>非执业），高级会计师，硕士研究生。曾任广东同望科技股份有限公</w:t>
      </w:r>
      <w:r>
        <w:rPr/>
        <w:t> </w:t>
      </w:r>
      <w:r>
        <w:rPr>
          <w:spacing w:val="-2"/>
        </w:rPr>
        <w:t>司独立董事，广电运通金融电子股份有限公司独立董事，东莞光润家具股份有限公司独立董事。现任深圳达实智能股份有限</w:t>
      </w:r>
      <w:r>
        <w:rPr>
          <w:spacing w:val="-66"/>
        </w:rPr>
        <w:t> </w:t>
      </w:r>
      <w:r>
        <w:rPr>
          <w:spacing w:val="-66"/>
        </w:rPr>
      </w:r>
      <w:r>
        <w:rPr>
          <w:spacing w:val="-2"/>
        </w:rPr>
        <w:t>公司第六届董事会独立董事；中国普天信息产业股份有限公司国际事业本部（深圳）营运总监；深圳市易保网通科技有限公</w:t>
      </w:r>
      <w:r>
        <w:rPr>
          <w:spacing w:val="-66"/>
        </w:rPr>
        <w:t> </w:t>
      </w:r>
      <w:r>
        <w:rPr>
          <w:spacing w:val="-66"/>
        </w:rPr>
      </w:r>
      <w:r>
        <w:rPr>
          <w:spacing w:val="-2"/>
        </w:rPr>
        <w:t>司监事会主席；深圳中小微企业投资管理有限公司董事；石狮市狮城进出口贸易有限公司董事；成都百裕制药股份有限公司</w:t>
      </w:r>
      <w:r>
        <w:rPr>
          <w:spacing w:val="-66"/>
        </w:rPr>
        <w:t> </w:t>
      </w:r>
      <w:r>
        <w:rPr>
          <w:spacing w:val="-66"/>
        </w:rPr>
      </w:r>
      <w:r>
        <w:rPr/>
        <w:t>独立董事。</w:t>
      </w:r>
    </w:p>
    <w:p>
      <w:pPr>
        <w:pStyle w:val="Heading6"/>
        <w:spacing w:line="240" w:lineRule="auto" w:before="100"/>
        <w:ind w:right="0"/>
        <w:jc w:val="left"/>
        <w:rPr>
          <w:b w:val="0"/>
          <w:bCs w:val="0"/>
        </w:rPr>
      </w:pPr>
      <w:r>
        <w:rPr/>
        <w:t>（二）监事最近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年的主要工作经历</w:t>
      </w:r>
      <w:r>
        <w:rPr>
          <w:b w:val="0"/>
          <w:bCs w:val="0"/>
        </w:rPr>
      </w:r>
    </w:p>
    <w:p>
      <w:pPr>
        <w:spacing w:line="240" w:lineRule="auto" w:before="10"/>
        <w:rPr>
          <w:rFonts w:ascii="宋体" w:hAnsi="宋体" w:cs="宋体" w:eastAsia="宋体" w:hint="default"/>
          <w:b/>
          <w:bCs/>
          <w:sz w:val="19"/>
          <w:szCs w:val="19"/>
        </w:rPr>
      </w:pPr>
    </w:p>
    <w:p>
      <w:pPr>
        <w:pStyle w:val="BodyText"/>
        <w:spacing w:line="240" w:lineRule="auto"/>
        <w:ind w:left="574" w:right="0"/>
        <w:jc w:val="left"/>
      </w:pPr>
      <w:r>
        <w:rPr>
          <w:rFonts w:ascii="Times New Roman" w:hAnsi="Times New Roman" w:cs="Times New Roman" w:eastAsia="Times New Roman" w:hint="default"/>
        </w:rPr>
        <w:t>1</w:t>
      </w:r>
      <w:r>
        <w:rPr/>
        <w:t>、李继朝简历</w:t>
      </w:r>
    </w:p>
    <w:p>
      <w:pPr>
        <w:spacing w:line="240" w:lineRule="auto" w:before="9"/>
        <w:rPr>
          <w:rFonts w:ascii="宋体" w:hAnsi="宋体" w:cs="宋体" w:eastAsia="宋体" w:hint="default"/>
          <w:sz w:val="19"/>
          <w:szCs w:val="19"/>
        </w:rPr>
      </w:pPr>
    </w:p>
    <w:p>
      <w:pPr>
        <w:pStyle w:val="BodyText"/>
        <w:spacing w:line="465" w:lineRule="auto"/>
        <w:ind w:right="1032" w:firstLine="420"/>
        <w:jc w:val="left"/>
      </w:pPr>
      <w:r>
        <w:rPr/>
        <w:t>李继朝先生，</w:t>
      </w:r>
      <w:r>
        <w:rPr>
          <w:rFonts w:ascii="Times New Roman" w:hAnsi="Times New Roman" w:cs="Times New Roman" w:eastAsia="Times New Roman" w:hint="default"/>
        </w:rPr>
        <w:t>1966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月出生，</w:t>
      </w:r>
      <w:r>
        <w:rPr>
          <w:rFonts w:ascii="Times New Roman" w:hAnsi="Times New Roman" w:cs="Times New Roman" w:eastAsia="Times New Roman" w:hint="default"/>
        </w:rPr>
        <w:t>1992</w:t>
      </w:r>
      <w:r>
        <w:rPr>
          <w:rFonts w:ascii="Times New Roman" w:hAnsi="Times New Roman" w:cs="Times New Roman" w:eastAsia="Times New Roman" w:hint="default"/>
          <w:spacing w:val="-1"/>
        </w:rPr>
        <w:t> </w:t>
      </w:r>
      <w:r>
        <w:rPr/>
        <w:t>年毕业于大连理工大学高分子材料专业，硕士研究生学历。</w:t>
      </w:r>
      <w:r>
        <w:rPr>
          <w:rFonts w:ascii="Times New Roman" w:hAnsi="Times New Roman" w:cs="Times New Roman" w:eastAsia="Times New Roman" w:hint="default"/>
        </w:rPr>
        <w:t>1998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月开始在 中兴通讯工作十六年，历任薪酬部长、总裁办主任、手机产品总经理。现任公司第六届监事会监事长、首席战略咨询专家， 深圳市高新技术企业金融服务促进会会长，深圳市科协专家委专家，深圳市发展改革委员会技术专家。</w:t>
      </w:r>
    </w:p>
    <w:p>
      <w:pPr>
        <w:pStyle w:val="BodyText"/>
        <w:spacing w:line="240" w:lineRule="auto" w:before="104"/>
        <w:ind w:left="574" w:right="0"/>
        <w:jc w:val="left"/>
      </w:pPr>
      <w:r>
        <w:rPr>
          <w:rFonts w:ascii="Times New Roman" w:hAnsi="Times New Roman" w:cs="Times New Roman" w:eastAsia="Times New Roman" w:hint="default"/>
        </w:rPr>
        <w:t>2</w:t>
      </w:r>
      <w:r>
        <w:rPr/>
        <w:t>、沈冰简历</w:t>
      </w:r>
    </w:p>
    <w:p>
      <w:pPr>
        <w:spacing w:line="240" w:lineRule="auto" w:before="9"/>
        <w:rPr>
          <w:rFonts w:ascii="宋体" w:hAnsi="宋体" w:cs="宋体" w:eastAsia="宋体" w:hint="default"/>
          <w:sz w:val="19"/>
          <w:szCs w:val="19"/>
        </w:rPr>
      </w:pPr>
    </w:p>
    <w:p>
      <w:pPr>
        <w:pStyle w:val="BodyText"/>
        <w:spacing w:line="451" w:lineRule="auto"/>
        <w:ind w:right="1119" w:firstLine="420"/>
        <w:jc w:val="left"/>
      </w:pPr>
      <w:r>
        <w:rPr/>
        <w:t>沈冰先生，</w:t>
      </w:r>
      <w:r>
        <w:rPr>
          <w:rFonts w:ascii="Times New Roman" w:hAnsi="Times New Roman" w:cs="Times New Roman" w:eastAsia="Times New Roman" w:hint="default"/>
        </w:rPr>
        <w:t>1971</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月出生，硕士学历。曾任公司市场部经理、战略发展部经理、事业部经理。现任公司第六届监事 会监事，深圳市诺达自动化技术有限公司董事长兼总经理。</w:t>
      </w:r>
    </w:p>
    <w:p>
      <w:pPr>
        <w:pStyle w:val="BodyText"/>
        <w:spacing w:line="240" w:lineRule="auto" w:before="114"/>
        <w:ind w:left="574" w:right="0"/>
        <w:jc w:val="left"/>
      </w:pPr>
      <w:r>
        <w:rPr>
          <w:rFonts w:ascii="Times New Roman" w:hAnsi="Times New Roman" w:cs="Times New Roman" w:eastAsia="Times New Roman" w:hint="default"/>
        </w:rPr>
        <w:t>3</w:t>
      </w:r>
      <w:r>
        <w:rPr/>
        <w:t>、甘岱松简历</w:t>
      </w:r>
    </w:p>
    <w:p>
      <w:pPr>
        <w:spacing w:line="240" w:lineRule="auto" w:before="10"/>
        <w:rPr>
          <w:rFonts w:ascii="宋体" w:hAnsi="宋体" w:cs="宋体" w:eastAsia="宋体" w:hint="default"/>
          <w:sz w:val="19"/>
          <w:szCs w:val="19"/>
        </w:rPr>
      </w:pPr>
    </w:p>
    <w:p>
      <w:pPr>
        <w:pStyle w:val="BodyText"/>
        <w:spacing w:line="451" w:lineRule="auto"/>
        <w:ind w:right="1119" w:firstLine="420"/>
        <w:jc w:val="left"/>
      </w:pPr>
      <w:r>
        <w:rPr/>
        <w:t>甘岱松先生，</w:t>
      </w:r>
      <w:r>
        <w:rPr>
          <w:rFonts w:ascii="Times New Roman" w:hAnsi="Times New Roman" w:cs="Times New Roman" w:eastAsia="Times New Roman" w:hint="default"/>
        </w:rPr>
        <w:t>1973</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月出生，本科学历。曾任深圳市和发实业有限公司副总经理，本公司建筑智能化事业部副总经 理、第五届监事会主席。现任本公司第六届监事会监事，数据中心事业部总经理。</w:t>
      </w:r>
    </w:p>
    <w:p>
      <w:pPr>
        <w:pStyle w:val="Heading6"/>
        <w:spacing w:line="240" w:lineRule="auto" w:before="113"/>
        <w:ind w:right="0"/>
        <w:jc w:val="left"/>
        <w:rPr>
          <w:b w:val="0"/>
          <w:bCs w:val="0"/>
        </w:rPr>
      </w:pPr>
      <w:r>
        <w:rPr/>
        <w:t>（三）高级管理人员最近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年的主要工作经历</w:t>
      </w:r>
      <w:r>
        <w:rPr>
          <w:b w:val="0"/>
          <w:bCs w:val="0"/>
        </w:rPr>
      </w:r>
    </w:p>
    <w:p>
      <w:pPr>
        <w:spacing w:line="240" w:lineRule="auto" w:before="10"/>
        <w:rPr>
          <w:rFonts w:ascii="宋体" w:hAnsi="宋体" w:cs="宋体" w:eastAsia="宋体" w:hint="default"/>
          <w:b/>
          <w:bCs/>
          <w:sz w:val="19"/>
          <w:szCs w:val="19"/>
        </w:rPr>
      </w:pPr>
    </w:p>
    <w:p>
      <w:pPr>
        <w:pStyle w:val="BodyText"/>
        <w:spacing w:line="240" w:lineRule="auto"/>
        <w:ind w:left="574" w:right="0"/>
        <w:jc w:val="left"/>
      </w:pPr>
      <w:r>
        <w:rPr>
          <w:rFonts w:ascii="Times New Roman" w:hAnsi="Times New Roman" w:cs="Times New Roman" w:eastAsia="Times New Roman" w:hint="default"/>
        </w:rPr>
        <w:t>1</w:t>
      </w:r>
      <w:r>
        <w:rPr/>
        <w:t>、总经理刘磅先生最近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年的主要工作经历参见董事最近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spacing w:line="240" w:lineRule="auto" w:before="11"/>
        <w:rPr>
          <w:rFonts w:ascii="宋体" w:hAnsi="宋体" w:cs="宋体" w:eastAsia="宋体" w:hint="default"/>
          <w:sz w:val="19"/>
          <w:szCs w:val="19"/>
        </w:rPr>
      </w:pPr>
    </w:p>
    <w:p>
      <w:pPr>
        <w:pStyle w:val="BodyText"/>
        <w:spacing w:line="240" w:lineRule="auto"/>
        <w:ind w:left="574" w:right="0"/>
        <w:jc w:val="left"/>
      </w:pPr>
      <w:r>
        <w:rPr>
          <w:rFonts w:ascii="Times New Roman" w:hAnsi="Times New Roman" w:cs="Times New Roman" w:eastAsia="Times New Roman" w:hint="default"/>
        </w:rPr>
        <w:t>2</w:t>
      </w:r>
      <w:r>
        <w:rPr/>
        <w:t>、副总经理程朋胜先生最近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年的主要工作经历参见董事最近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spacing w:line="240" w:lineRule="auto" w:before="10"/>
        <w:rPr>
          <w:rFonts w:ascii="宋体" w:hAnsi="宋体" w:cs="宋体" w:eastAsia="宋体" w:hint="default"/>
          <w:sz w:val="19"/>
          <w:szCs w:val="19"/>
        </w:rPr>
      </w:pPr>
    </w:p>
    <w:p>
      <w:pPr>
        <w:pStyle w:val="BodyText"/>
        <w:spacing w:line="240" w:lineRule="auto"/>
        <w:ind w:left="574" w:right="0"/>
        <w:jc w:val="left"/>
      </w:pPr>
      <w:r>
        <w:rPr>
          <w:rFonts w:ascii="Times New Roman" w:hAnsi="Times New Roman" w:cs="Times New Roman" w:eastAsia="Times New Roman" w:hint="default"/>
        </w:rPr>
        <w:t>3</w:t>
      </w:r>
      <w:r>
        <w:rPr/>
        <w:t>、苏俊锋先生最近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年的主要工作经历参见董事最近</w:t>
      </w:r>
      <w:r>
        <w:rPr>
          <w:spacing w:val="-46"/>
        </w:rPr>
        <w:t> </w:t>
      </w:r>
      <w:r>
        <w:rPr>
          <w:rFonts w:ascii="Times New Roman" w:hAnsi="Times New Roman" w:cs="Times New Roman" w:eastAsia="Times New Roman" w:hint="default"/>
        </w:rPr>
        <w:t>5 </w:t>
      </w:r>
      <w:r>
        <w:rPr/>
        <w:t>年的主要工作经历。</w:t>
      </w:r>
    </w:p>
    <w:p>
      <w:pPr>
        <w:spacing w:line="240" w:lineRule="auto" w:before="10"/>
        <w:rPr>
          <w:rFonts w:ascii="宋体" w:hAnsi="宋体" w:cs="宋体" w:eastAsia="宋体" w:hint="default"/>
          <w:sz w:val="19"/>
          <w:szCs w:val="19"/>
        </w:rPr>
      </w:pPr>
    </w:p>
    <w:p>
      <w:pPr>
        <w:pStyle w:val="BodyText"/>
        <w:spacing w:line="240" w:lineRule="auto"/>
        <w:ind w:left="574" w:right="0"/>
        <w:jc w:val="left"/>
      </w:pPr>
      <w:r>
        <w:rPr>
          <w:rFonts w:ascii="Times New Roman" w:hAnsi="Times New Roman" w:cs="Times New Roman" w:eastAsia="Times New Roman" w:hint="default"/>
        </w:rPr>
        <w:t>4</w:t>
      </w:r>
      <w:r>
        <w:rPr/>
        <w:t>、吕枫先生最近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年的主要工作经历参见董事最近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w:t>
      </w:r>
    </w:p>
    <w:p>
      <w:pPr>
        <w:spacing w:line="240" w:lineRule="auto" w:before="11"/>
        <w:rPr>
          <w:rFonts w:ascii="宋体" w:hAnsi="宋体" w:cs="宋体" w:eastAsia="宋体" w:hint="default"/>
          <w:sz w:val="19"/>
          <w:szCs w:val="19"/>
        </w:rPr>
      </w:pPr>
    </w:p>
    <w:p>
      <w:pPr>
        <w:pStyle w:val="BodyText"/>
        <w:spacing w:line="240" w:lineRule="auto"/>
        <w:ind w:left="574" w:right="0"/>
        <w:jc w:val="left"/>
      </w:pPr>
      <w:r>
        <w:rPr>
          <w:rFonts w:ascii="Times New Roman" w:hAnsi="Times New Roman" w:cs="Times New Roman" w:eastAsia="Times New Roman" w:hint="default"/>
        </w:rPr>
        <w:t>5</w:t>
      </w:r>
      <w:r>
        <w:rPr/>
        <w:t>、黄德强简历</w:t>
      </w:r>
    </w:p>
    <w:p>
      <w:pPr>
        <w:spacing w:line="240" w:lineRule="auto" w:before="9"/>
        <w:rPr>
          <w:rFonts w:ascii="宋体" w:hAnsi="宋体" w:cs="宋体" w:eastAsia="宋体" w:hint="default"/>
          <w:sz w:val="19"/>
          <w:szCs w:val="19"/>
        </w:rPr>
      </w:pPr>
    </w:p>
    <w:p>
      <w:pPr>
        <w:pStyle w:val="BodyText"/>
        <w:spacing w:line="451" w:lineRule="auto"/>
        <w:ind w:right="1028" w:firstLine="420"/>
        <w:jc w:val="left"/>
      </w:pPr>
      <w:r>
        <w:rPr/>
        <w:t>黄德强先生，</w:t>
      </w:r>
      <w:r>
        <w:rPr>
          <w:rFonts w:ascii="Times New Roman" w:hAnsi="Times New Roman" w:cs="Times New Roman" w:eastAsia="Times New Roman" w:hint="default"/>
        </w:rPr>
        <w:t>1981</w:t>
      </w:r>
      <w:r>
        <w:rPr>
          <w:rFonts w:ascii="Times New Roman" w:hAnsi="Times New Roman" w:cs="Times New Roman" w:eastAsia="Times New Roman" w:hint="default"/>
          <w:spacing w:val="-8"/>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月出生，毕业于电子科技大学，本科学历。</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月进入公司，先后担任公司节能事业部销 </w:t>
      </w:r>
      <w:r>
        <w:rPr>
          <w:spacing w:val="-2"/>
        </w:rPr>
        <w:t>售经理、销售总监、副总经理、总经理。</w:t>
      </w:r>
      <w:r>
        <w:rPr>
          <w:rFonts w:ascii="Times New Roman" w:hAnsi="Times New Roman" w:cs="Times New Roman" w:eastAsia="Times New Roman" w:hint="default"/>
          <w:spacing w:val="-2"/>
        </w:rPr>
        <w:t>2015</w:t>
      </w:r>
      <w:r>
        <w:rPr>
          <w:rFonts w:ascii="Times New Roman" w:hAnsi="Times New Roman" w:cs="Times New Roman" w:eastAsia="Times New Roman" w:hint="default"/>
          <w:spacing w:val="3"/>
        </w:rPr>
        <w:t> </w:t>
      </w:r>
      <w:r>
        <w:rPr/>
        <w:t>年在节能事业部基础上创立了智慧医院事业部并同时兼任两个事业部总经理。 现任公司副总经理，分管智慧医院事业部，江苏达实久信医疗科技有限公司董事长。</w:t>
      </w:r>
    </w:p>
    <w:p>
      <w:pPr>
        <w:pStyle w:val="BodyText"/>
        <w:spacing w:line="240" w:lineRule="auto" w:before="113"/>
        <w:ind w:left="574" w:right="0"/>
        <w:jc w:val="left"/>
      </w:pPr>
      <w:r>
        <w:rPr>
          <w:rFonts w:ascii="Times New Roman" w:hAnsi="Times New Roman" w:cs="Times New Roman" w:eastAsia="Times New Roman" w:hint="default"/>
        </w:rPr>
        <w:t>6</w:t>
      </w:r>
      <w:r>
        <w:rPr/>
        <w:t>、林雨斌简历</w:t>
      </w:r>
    </w:p>
    <w:p>
      <w:pPr>
        <w:spacing w:line="240" w:lineRule="auto" w:before="10"/>
        <w:rPr>
          <w:rFonts w:ascii="宋体" w:hAnsi="宋体" w:cs="宋体" w:eastAsia="宋体" w:hint="default"/>
          <w:sz w:val="19"/>
          <w:szCs w:val="19"/>
        </w:rPr>
      </w:pPr>
    </w:p>
    <w:p>
      <w:pPr>
        <w:pStyle w:val="BodyText"/>
        <w:spacing w:line="240" w:lineRule="auto"/>
        <w:ind w:left="574" w:right="0"/>
        <w:jc w:val="left"/>
      </w:pPr>
      <w:r>
        <w:rPr/>
        <w:t>林雨斌先生，</w:t>
      </w:r>
      <w:r>
        <w:rPr>
          <w:rFonts w:ascii="Times New Roman" w:hAnsi="Times New Roman" w:cs="Times New Roman" w:eastAsia="Times New Roman" w:hint="default"/>
        </w:rPr>
        <w:t>1976</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月出生，本科学历。第八届至第十二届《新财富》金牌董秘，</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年入选《新财富》</w:t>
      </w:r>
      <w:r>
        <w:rPr>
          <w:rFonts w:ascii="Times New Roman" w:hAnsi="Times New Roman" w:cs="Times New Roman" w:eastAsia="Times New Roman" w:hint="default"/>
        </w:rPr>
        <w:t>“</w:t>
      </w:r>
      <w:r>
        <w:rPr/>
        <w:t>金牌董</w:t>
      </w:r>
    </w:p>
    <w:p>
      <w:pPr>
        <w:spacing w:after="0" w:line="240" w:lineRule="auto"/>
        <w:jc w:val="left"/>
        <w:sectPr>
          <w:pgSz w:w="11910" w:h="16840"/>
          <w:pgMar w:header="787" w:footer="1019" w:top="1100" w:bottom="1200" w:left="980" w:right="0"/>
        </w:sectPr>
      </w:pPr>
    </w:p>
    <w:p>
      <w:pPr>
        <w:spacing w:line="240" w:lineRule="auto" w:before="10"/>
        <w:rPr>
          <w:rFonts w:ascii="宋体" w:hAnsi="宋体" w:cs="宋体" w:eastAsia="宋体" w:hint="default"/>
          <w:sz w:val="28"/>
          <w:szCs w:val="28"/>
        </w:rPr>
      </w:pPr>
    </w:p>
    <w:p>
      <w:pPr>
        <w:pStyle w:val="BodyText"/>
        <w:spacing w:line="451" w:lineRule="auto" w:before="44"/>
        <w:ind w:right="1149"/>
        <w:jc w:val="both"/>
      </w:pPr>
      <w:r>
        <w:rPr/>
        <w:t>秘名人堂</w:t>
      </w:r>
      <w:r>
        <w:rPr>
          <w:rFonts w:ascii="Times New Roman" w:hAnsi="Times New Roman" w:cs="Times New Roman" w:eastAsia="Times New Roman" w:hint="default"/>
        </w:rPr>
        <w:t>”</w:t>
      </w:r>
      <w:r>
        <w:rPr/>
        <w:t>。曾任南天电子信息产业股份有限公司投资发展部经理、证券事务代表，云南医药工业股份有限公司董事会秘书 兼总经理助理，广州高信创业投资有限公司投资总监等职务。</w:t>
      </w:r>
      <w:r>
        <w:rPr>
          <w:rFonts w:ascii="Times New Roman" w:hAnsi="Times New Roman" w:cs="Times New Roman" w:eastAsia="Times New Roman" w:hint="default"/>
        </w:rPr>
        <w:t>2009</w:t>
      </w:r>
      <w:r>
        <w:rPr>
          <w:rFonts w:ascii="Times New Roman" w:hAnsi="Times New Roman" w:cs="Times New Roman" w:eastAsia="Times New Roman" w:hint="default"/>
          <w:spacing w:val="3"/>
        </w:rPr>
        <w:t> </w:t>
      </w:r>
      <w:r>
        <w:rPr/>
        <w:t>年</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spacing w:val="-5"/>
        </w:rPr>
        <w:t>月取得深圳证券交易所《董事会秘书资格证书》。</w:t>
      </w:r>
      <w:r>
        <w:rPr>
          <w:spacing w:val="-86"/>
        </w:rPr>
        <w:t> </w:t>
      </w:r>
      <w:r>
        <w:rPr>
          <w:spacing w:val="-86"/>
        </w:rPr>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月进入深圳达实智能股份有限公司。现任深圳达实智能股份有限公司副总经理、董事会秘书，深圳市小鹿暖暖科 技有限公司董事长，深圳达实融资租赁有限公司董事，昌都市达实投资咨询有限公司执行董事兼总经理。</w:t>
      </w:r>
    </w:p>
    <w:p>
      <w:pPr>
        <w:pStyle w:val="BodyText"/>
        <w:spacing w:line="240" w:lineRule="auto" w:before="113"/>
        <w:ind w:left="574" w:right="0"/>
        <w:jc w:val="left"/>
      </w:pPr>
      <w:r>
        <w:rPr>
          <w:rFonts w:ascii="Times New Roman" w:hAnsi="Times New Roman" w:cs="Times New Roman" w:eastAsia="Times New Roman" w:hint="default"/>
        </w:rPr>
        <w:t>7</w:t>
      </w:r>
      <w:r>
        <w:rPr/>
        <w:t>、黄天朗简历</w:t>
      </w:r>
    </w:p>
    <w:p>
      <w:pPr>
        <w:spacing w:line="240" w:lineRule="auto" w:before="10"/>
        <w:rPr>
          <w:rFonts w:ascii="宋体" w:hAnsi="宋体" w:cs="宋体" w:eastAsia="宋体" w:hint="default"/>
          <w:sz w:val="19"/>
          <w:szCs w:val="19"/>
        </w:rPr>
      </w:pPr>
    </w:p>
    <w:p>
      <w:pPr>
        <w:pStyle w:val="BodyText"/>
        <w:spacing w:line="451" w:lineRule="auto"/>
        <w:ind w:right="1116" w:firstLine="420"/>
        <w:jc w:val="left"/>
      </w:pPr>
      <w:r>
        <w:rPr/>
        <w:t>黄天朗先生，</w:t>
      </w:r>
      <w:r>
        <w:rPr>
          <w:rFonts w:ascii="Times New Roman" w:hAnsi="Times New Roman" w:cs="Times New Roman" w:eastAsia="Times New Roman" w:hint="default"/>
        </w:rPr>
        <w:t>1970</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月出生，本科学历，会计师，注册税务师。曾任深圳市汇凯进出口有限公司计划财务部副经 理，汇凯（南美）有限公司副总经理。</w:t>
      </w:r>
      <w:r>
        <w:rPr>
          <w:rFonts w:ascii="Times New Roman" w:hAnsi="Times New Roman" w:cs="Times New Roman" w:eastAsia="Times New Roman" w:hint="default"/>
        </w:rPr>
        <w:t>1999</w:t>
      </w:r>
      <w:r>
        <w:rPr>
          <w:rFonts w:ascii="Times New Roman" w:hAnsi="Times New Roman" w:cs="Times New Roman" w:eastAsia="Times New Roman" w:hint="default"/>
          <w:spacing w:val="-11"/>
        </w:rPr>
        <w:t> </w:t>
      </w:r>
      <w:r>
        <w:rPr/>
        <w:t>年</w:t>
      </w:r>
      <w:r>
        <w:rPr>
          <w:spacing w:val="-5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1"/>
        </w:rPr>
        <w:t> </w:t>
      </w:r>
      <w:r>
        <w:rPr/>
        <w:t>月进入深圳达实智能股份有限公司财务部，现任深圳达实智能股份有限公 司财务总监。</w:t>
      </w:r>
    </w:p>
    <w:p>
      <w:pPr>
        <w:pStyle w:val="BodyText"/>
        <w:spacing w:line="240" w:lineRule="auto" w:before="35"/>
        <w:ind w:right="0"/>
        <w:jc w:val="both"/>
      </w:pPr>
      <w:r>
        <w:rPr/>
        <w:t>在股东单位任职情况</w:t>
      </w:r>
    </w:p>
    <w:p>
      <w:pPr>
        <w:pStyle w:val="BodyText"/>
        <w:spacing w:line="240" w:lineRule="auto" w:before="116"/>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拉萨市达实投资发展有限公司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0"/>
                <w:sz w:val="18"/>
                <w:szCs w:val="18"/>
              </w:rPr>
              <w:t>执行董事、总</w:t>
            </w:r>
            <w:r>
              <w:rPr>
                <w:rFonts w:ascii="宋体" w:hAnsi="宋体" w:cs="宋体" w:eastAsia="宋体" w:hint="default"/>
                <w:sz w:val="18"/>
                <w:szCs w:val="18"/>
              </w:rPr>
              <w:t> 经理</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在其他单位任职情况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89"/>
        <w:gridCol w:w="2522"/>
        <w:gridCol w:w="1770"/>
        <w:gridCol w:w="1356"/>
        <w:gridCol w:w="988"/>
        <w:gridCol w:w="2041"/>
      </w:tblGrid>
      <w:tr>
        <w:trPr>
          <w:trHeight w:val="714" w:hRule="exact"/>
        </w:trPr>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98" w:right="39" w:hanging="360"/>
              <w:jc w:val="left"/>
              <w:rPr>
                <w:rFonts w:ascii="宋体" w:hAnsi="宋体" w:cs="宋体" w:eastAsia="宋体" w:hint="default"/>
                <w:sz w:val="18"/>
                <w:szCs w:val="18"/>
              </w:rPr>
            </w:pPr>
            <w:r>
              <w:rPr>
                <w:rFonts w:ascii="宋体" w:hAnsi="宋体" w:cs="宋体" w:eastAsia="宋体" w:hint="default"/>
                <w:sz w:val="18"/>
                <w:szCs w:val="18"/>
              </w:rPr>
              <w:t>任职人员姓 名</w:t>
            </w:r>
          </w:p>
        </w:tc>
        <w:tc>
          <w:tcPr>
            <w:tcW w:w="2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5"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90" w:right="69" w:hanging="721"/>
              <w:jc w:val="left"/>
              <w:rPr>
                <w:rFonts w:ascii="宋体" w:hAnsi="宋体" w:cs="宋体" w:eastAsia="宋体" w:hint="default"/>
                <w:sz w:val="18"/>
                <w:szCs w:val="18"/>
              </w:rPr>
            </w:pPr>
            <w:r>
              <w:rPr>
                <w:rFonts w:ascii="宋体" w:hAnsi="宋体" w:cs="宋体" w:eastAsia="宋体" w:hint="default"/>
                <w:sz w:val="18"/>
                <w:szCs w:val="18"/>
              </w:rPr>
              <w:t>在其他单位担任的职 务</w:t>
            </w:r>
          </w:p>
        </w:tc>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98" w:right="39" w:hanging="361"/>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2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35" w:right="24" w:hanging="810"/>
              <w:jc w:val="left"/>
              <w:rPr>
                <w:rFonts w:ascii="宋体" w:hAnsi="宋体" w:cs="宋体" w:eastAsia="宋体" w:hint="default"/>
                <w:sz w:val="18"/>
                <w:szCs w:val="18"/>
              </w:rPr>
            </w:pPr>
            <w:r>
              <w:rPr>
                <w:rFonts w:ascii="宋体" w:hAnsi="宋体" w:cs="宋体" w:eastAsia="宋体" w:hint="default"/>
                <w:sz w:val="18"/>
                <w:szCs w:val="18"/>
              </w:rPr>
              <w:t>在其他单位是否领取报酬 津贴</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上海达实自动化工程有限公司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深圳达实信息技术有限公司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深圳达实融资租赁有限公司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江苏达实久信医疗科技有限公 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深圳达实信息技术有限公司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深圳达实智慧医疗有限公司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深圳市智慧达实供应链有限公 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合肥达实数字科技有限公司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合肥达实科技发展有限责任公 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89"/>
        <w:gridCol w:w="2522"/>
        <w:gridCol w:w="1770"/>
        <w:gridCol w:w="1356"/>
        <w:gridCol w:w="988"/>
        <w:gridCol w:w="2041"/>
      </w:tblGrid>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深圳市诺达自动化技术有限公 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合肥中正物业管理有限公司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深圳市英唐智能控制股份有限 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上海达实自动化工程有限公司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深圳市达实数字科技有限公司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深圳市达实股权投资发展有限 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深圳达实物业服务有限公司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红土创新基金管理有限公司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佛山市燃气集团股份有限公司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王礼贵</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深圳市中小微企业投资管理有 限公司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王礼贵</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石狮市狮城进出口贸易有限公 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王礼贵</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深圳市易保网通科技有限公司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王礼贵</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成都百裕药业股份有限公司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赵诚</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深圳华旗盛世投资管理有限公 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苏俊锋</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深圳市云玺互联网服务有限公 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上海达实联欣科技发展有限公 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北京达实德润能源科技有限公 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4"/>
                <w:sz w:val="18"/>
                <w:szCs w:val="18"/>
              </w:rPr>
              <w:t>融智节能环保（深圳）有限公司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江苏达实久信医疗科技有限公 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89"/>
        <w:gridCol w:w="2522"/>
        <w:gridCol w:w="1770"/>
        <w:gridCol w:w="1356"/>
        <w:gridCol w:w="988"/>
        <w:gridCol w:w="2041"/>
      </w:tblGrid>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雄安达实智慧科技有限公司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山东茗信股权投资管理有限公 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上海腾隆变配电设备管理有限 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黄德强</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江苏达实久信医疗科技有限公 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黄德强</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深圳达实智慧医疗有限公司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黄德强</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江苏达实久信数字医疗科技有 限公司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深圳达实融资租赁有限公司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昌都市达实投资咨询有限公司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深圳市小鹿暖暖科技有限公司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合肥达实信息科技有限公司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沈冰</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深圳市诺达自动化技术有限公 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沈冰</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深圳市科昊达投资发展有限公 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李继朝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深圳市亿芯通讯有限公司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执行董事、法人</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李继朝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深圳国侨岭南基金管理有限公 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执行董事，法人</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李继朝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深圳和宁环境科技有限公司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9"/>
                <w:sz w:val="18"/>
                <w:szCs w:val="18"/>
              </w:rPr>
              <w:t>执行董事、法人、总经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理</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李继朝</w:t>
            </w:r>
          </w:p>
        </w:tc>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深圳市源合高新产业投资有限 公司</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88" w:type="dxa"/>
            <w:tcBorders>
              <w:top w:val="single" w:sz="4" w:space="0" w:color="000000"/>
              <w:left w:val="single" w:sz="4" w:space="0" w:color="000000"/>
              <w:bottom w:val="single" w:sz="4" w:space="0" w:color="000000"/>
              <w:right w:val="single" w:sz="4" w:space="0" w:color="000000"/>
            </w:tcBorders>
          </w:tcPr>
          <w:p>
            <w:pP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436" w:lineRule="auto"/>
        <w:ind w:left="514" w:right="0" w:hanging="360"/>
        <w:jc w:val="left"/>
      </w:pPr>
      <w:r>
        <w:rPr/>
        <w:t>董事、监事、高级管理人员报酬的决策程序、确定依据、实际支付情况 </w:t>
      </w:r>
      <w:r>
        <w:rPr>
          <w:spacing w:val="-2"/>
        </w:rPr>
        <w:t>根据公司《董事、监事及高级管理人员薪酬管理制度》，公司董事、监事的薪酬由董事会薪酬与考核委员会提出，经董</w:t>
      </w:r>
    </w:p>
    <w:p>
      <w:pPr>
        <w:spacing w:after="0" w:line="436" w:lineRule="auto"/>
        <w:jc w:val="left"/>
        <w:sectPr>
          <w:pgSz w:w="11910" w:h="16840"/>
          <w:pgMar w:header="787" w:footer="1019" w:top="1100" w:bottom="1200" w:left="980" w:right="0"/>
        </w:sectPr>
      </w:pPr>
    </w:p>
    <w:p>
      <w:pPr>
        <w:spacing w:line="240" w:lineRule="auto" w:before="10"/>
        <w:rPr>
          <w:rFonts w:ascii="宋体" w:hAnsi="宋体" w:cs="宋体" w:eastAsia="宋体" w:hint="default"/>
          <w:sz w:val="28"/>
          <w:szCs w:val="28"/>
        </w:rPr>
      </w:pPr>
    </w:p>
    <w:p>
      <w:pPr>
        <w:pStyle w:val="BodyText"/>
        <w:spacing w:line="463" w:lineRule="auto" w:before="44"/>
        <w:ind w:right="1133"/>
        <w:jc w:val="both"/>
      </w:pPr>
      <w:r>
        <w:rPr/>
        <w:t>事会审议通过后，提交股东大会审议批准。公司每年度给予每位独立董事津贴人民币</w:t>
      </w:r>
      <w:r>
        <w:rPr>
          <w:rFonts w:ascii="Times New Roman" w:hAnsi="Times New Roman" w:cs="Times New Roman" w:eastAsia="Times New Roman" w:hint="default"/>
        </w:rPr>
        <w:t>8</w:t>
      </w:r>
      <w:r>
        <w:rPr/>
        <w:t>万元（税前）。高级管理人员实行年 </w:t>
      </w:r>
      <w:r>
        <w:rPr>
          <w:spacing w:val="-2"/>
        </w:rPr>
        <w:t>薪制，其薪酬由基本工资和绩效奖金两部分构成。基本工资结合行业薪酬水平、岗位职责和履职情况，按月支付。绩效奖金</w:t>
      </w:r>
      <w:r>
        <w:rPr>
          <w:spacing w:val="-66"/>
        </w:rPr>
        <w:t> </w:t>
      </w:r>
      <w:r>
        <w:rPr>
          <w:spacing w:val="-66"/>
        </w:rPr>
      </w:r>
      <w:r>
        <w:rPr/>
        <w:t>是以年度目标绩效奖金为基础，与公司年度经营绩效相挂钩，年终根据当年考核结果统算兑付。</w:t>
      </w:r>
    </w:p>
    <w:p>
      <w:pPr>
        <w:pStyle w:val="BodyText"/>
        <w:spacing w:line="451" w:lineRule="auto" w:before="65"/>
        <w:ind w:right="1130" w:firstLine="360"/>
        <w:jc w:val="both"/>
      </w:pPr>
      <w:r>
        <w:rPr>
          <w:rFonts w:ascii="Times New Roman" w:hAnsi="Times New Roman" w:cs="Times New Roman" w:eastAsia="Times New Roman" w:hint="default"/>
          <w:spacing w:val="-2"/>
        </w:rPr>
        <w:t>2018</w:t>
      </w:r>
      <w:r>
        <w:rPr>
          <w:spacing w:val="-2"/>
        </w:rPr>
        <w:t>年度，公司按照《董事、监事及高级管理人员薪酬管理制度》向独立董事发放了津贴。公司非独立董事、监事未以</w:t>
      </w:r>
      <w:r>
        <w:rPr/>
        <w:t> </w:t>
      </w:r>
      <w:r>
        <w:rPr>
          <w:spacing w:val="-2"/>
        </w:rPr>
        <w:t>董事、监事的职务在公司领取薪酬或津贴，按其在公司担任的管理职务领取薪酬。上述发放计划已经公司</w:t>
      </w:r>
      <w:r>
        <w:rPr>
          <w:rFonts w:ascii="Times New Roman" w:hAnsi="Times New Roman" w:cs="Times New Roman" w:eastAsia="Times New Roman" w:hint="default"/>
          <w:spacing w:val="-2"/>
        </w:rPr>
        <w:t>2017</w:t>
      </w:r>
      <w:r>
        <w:rPr>
          <w:spacing w:val="-2"/>
        </w:rPr>
        <w:t>年度股东大会</w:t>
      </w:r>
      <w:r>
        <w:rPr>
          <w:spacing w:val="-61"/>
        </w:rPr>
        <w:t> </w:t>
      </w:r>
      <w:r>
        <w:rPr/>
        <w:t>审议通过。</w:t>
      </w:r>
    </w:p>
    <w:p>
      <w:pPr>
        <w:spacing w:line="240" w:lineRule="auto" w:before="3"/>
        <w:rPr>
          <w:rFonts w:ascii="宋体" w:hAnsi="宋体" w:cs="宋体" w:eastAsia="宋体" w:hint="default"/>
          <w:sz w:val="23"/>
          <w:szCs w:val="23"/>
        </w:rPr>
      </w:pPr>
    </w:p>
    <w:p>
      <w:pPr>
        <w:pStyle w:val="BodyText"/>
        <w:spacing w:line="240" w:lineRule="auto" w:before="44"/>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程朋胜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贾虹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苏俊锋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王礼贵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李继朝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甘岱松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黄德强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林雨斌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黄天朗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756.04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87" w:footer="1019" w:top="1100" w:bottom="1200" w:left="980" w:right="0"/>
        </w:sectPr>
      </w:pPr>
    </w:p>
    <w:p>
      <w:pPr>
        <w:spacing w:line="240" w:lineRule="auto" w:before="6"/>
        <w:rPr>
          <w:rFonts w:ascii="宋体" w:hAnsi="宋体" w:cs="宋体" w:eastAsia="宋体" w:hint="default"/>
          <w:sz w:val="20"/>
          <w:szCs w:val="20"/>
        </w:rPr>
      </w:pPr>
    </w:p>
    <w:p>
      <w:pPr>
        <w:pStyle w:val="Heading2"/>
        <w:spacing w:line="240" w:lineRule="auto" w:before="26"/>
        <w:ind w:right="0"/>
        <w:jc w:val="left"/>
        <w:rPr>
          <w:b w:val="0"/>
          <w:bCs w:val="0"/>
        </w:rPr>
      </w:pPr>
      <w:bookmarkStart w:name="五、公司员工情况" w:id="128"/>
      <w:bookmarkEnd w:id="128"/>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29"/>
      <w:bookmarkEnd w:id="129"/>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2,131</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2,131</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研究生</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2,131</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both"/>
        <w:rPr>
          <w:b w:val="0"/>
          <w:bCs w:val="0"/>
        </w:rPr>
      </w:pPr>
      <w:bookmarkStart w:name="2、薪酬政策" w:id="130"/>
      <w:bookmarkEnd w:id="130"/>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032" w:firstLine="360"/>
        <w:jc w:val="left"/>
      </w:pPr>
      <w:r>
        <w:rPr/>
        <w:t>通过对战略目标、任务的管理，公司设计了具有竞争性的员工薪酬体系，建立了良好的内部级别认证制度及晋升通道， 实施了公平公正的绩效考核机制，不断提升员工对于薪酬的满意度。</w:t>
      </w:r>
    </w:p>
    <w:p>
      <w:pPr>
        <w:pStyle w:val="BodyText"/>
        <w:spacing w:line="412" w:lineRule="auto" w:before="17"/>
        <w:ind w:left="514" w:right="0" w:hanging="36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w:t>
      </w:r>
      <w:r>
        <w:rPr>
          <w:spacing w:val="17"/>
        </w:rPr>
        <w:t>本报告期公司职工薪酬总额</w:t>
      </w:r>
      <w:r>
        <w:rPr>
          <w:spacing w:val="-66"/>
        </w:rPr>
        <w:t> </w:t>
      </w:r>
      <w:r>
        <w:rPr>
          <w:rFonts w:ascii="Times New Roman" w:hAnsi="Times New Roman" w:cs="Times New Roman" w:eastAsia="Times New Roman" w:hint="default"/>
        </w:rPr>
        <w:t>335,964,551.94</w:t>
      </w:r>
      <w:r>
        <w:rPr>
          <w:rFonts w:ascii="Times New Roman" w:hAnsi="Times New Roman" w:cs="Times New Roman" w:eastAsia="Times New Roman" w:hint="default"/>
          <w:spacing w:val="-23"/>
        </w:rPr>
        <w:t> </w:t>
      </w:r>
      <w:r>
        <w:rPr>
          <w:spacing w:val="9"/>
        </w:rPr>
        <w:t>元，</w:t>
      </w:r>
      <w:r>
        <w:rPr>
          <w:spacing w:val="-69"/>
        </w:rPr>
        <w:t> </w:t>
      </w:r>
      <w:r>
        <w:rPr>
          <w:spacing w:val="17"/>
        </w:rPr>
        <w:t>占公司营业总成本比重为</w:t>
      </w:r>
      <w:r>
        <w:rPr>
          <w:spacing w:val="-68"/>
        </w:rPr>
        <w:t> </w:t>
      </w:r>
      <w:r>
        <w:rPr>
          <w:rFonts w:ascii="Times New Roman" w:hAnsi="Times New Roman" w:cs="Times New Roman" w:eastAsia="Times New Roman" w:hint="default"/>
          <w:spacing w:val="13"/>
        </w:rPr>
        <w:t>14.73%</w:t>
      </w:r>
      <w:r>
        <w:rPr>
          <w:spacing w:val="13"/>
        </w:rPr>
        <w:t>；薪酬总额中计入成本部分为</w:t>
      </w:r>
      <w:r>
        <w:rPr>
          <w:spacing w:val="-71"/>
        </w:rPr>
        <w:t> </w:t>
      </w:r>
      <w:r>
        <w:rPr/>
      </w:r>
    </w:p>
    <w:p>
      <w:pPr>
        <w:pStyle w:val="BodyText"/>
        <w:spacing w:line="451" w:lineRule="auto" w:before="75"/>
        <w:ind w:right="1132"/>
        <w:jc w:val="both"/>
      </w:pPr>
      <w:r>
        <w:rPr>
          <w:rFonts w:ascii="Times New Roman" w:hAnsi="Times New Roman" w:cs="Times New Roman" w:eastAsia="Times New Roman" w:hint="default"/>
        </w:rPr>
        <w:t>271,345,004.73</w:t>
      </w:r>
      <w:r>
        <w:rPr/>
        <w:t>元，占营业总成本比重为</w:t>
      </w:r>
      <w:r>
        <w:rPr>
          <w:rFonts w:ascii="Times New Roman" w:hAnsi="Times New Roman" w:cs="Times New Roman" w:eastAsia="Times New Roman" w:hint="default"/>
        </w:rPr>
        <w:t>11.89%</w:t>
      </w:r>
      <w:r>
        <w:rPr/>
        <w:t>，公司职工薪酬总额占营业总成本比重较低，公司利润对职工薪酬总额变化</w:t>
      </w:r>
      <w:r>
        <w:rPr>
          <w:spacing w:val="-60"/>
        </w:rPr>
        <w:t> </w:t>
      </w:r>
      <w:r>
        <w:rPr>
          <w:spacing w:val="-60"/>
        </w:rPr>
      </w:r>
      <w:r>
        <w:rPr/>
        <w:t>敏感性较低。报告期内，公司核心技术人员数占比</w:t>
      </w:r>
      <w:r>
        <w:rPr>
          <w:rFonts w:ascii="Times New Roman" w:hAnsi="Times New Roman" w:cs="Times New Roman" w:eastAsia="Times New Roman" w:hint="default"/>
        </w:rPr>
        <w:t>9.76%</w:t>
      </w:r>
      <w:r>
        <w:rPr/>
        <w:t>，较去年增长</w:t>
      </w:r>
      <w:r>
        <w:rPr>
          <w:rFonts w:ascii="Times New Roman" w:hAnsi="Times New Roman" w:cs="Times New Roman" w:eastAsia="Times New Roman" w:hint="default"/>
        </w:rPr>
        <w:t>3.42%</w:t>
      </w:r>
      <w:r>
        <w:rPr/>
        <w:t>，核心技术人员的人力成本占公司职工薪酬总</w:t>
      </w:r>
      <w:r>
        <w:rPr>
          <w:spacing w:val="-33"/>
        </w:rPr>
        <w:t> </w:t>
      </w:r>
      <w:r>
        <w:rPr>
          <w:spacing w:val="-33"/>
        </w:rPr>
      </w:r>
      <w:r>
        <w:rPr/>
        <w:t>额的</w:t>
      </w:r>
      <w:r>
        <w:rPr>
          <w:rFonts w:ascii="Times New Roman" w:hAnsi="Times New Roman" w:cs="Times New Roman" w:eastAsia="Times New Roman" w:hint="default"/>
        </w:rPr>
        <w:t>15.36%</w:t>
      </w:r>
      <w:r>
        <w:rPr/>
        <w:t>，较去年增长</w:t>
      </w:r>
      <w:r>
        <w:rPr>
          <w:rFonts w:ascii="Times New Roman" w:hAnsi="Times New Roman" w:cs="Times New Roman" w:eastAsia="Times New Roman" w:hint="default"/>
        </w:rPr>
        <w:t>3.72%</w:t>
      </w:r>
      <w:r>
        <w:rPr/>
        <w:t>。</w:t>
      </w:r>
    </w:p>
    <w:p>
      <w:pPr>
        <w:spacing w:after="0" w:line="451" w:lineRule="auto"/>
        <w:jc w:val="both"/>
        <w:sectPr>
          <w:pgSz w:w="11910" w:h="16840"/>
          <w:pgMar w:header="787" w:footer="1019" w:top="1100" w:bottom="1200" w:left="980" w:right="0"/>
        </w:sectPr>
      </w:pPr>
    </w:p>
    <w:p>
      <w:pPr>
        <w:spacing w:line="240" w:lineRule="auto" w:before="8"/>
        <w:rPr>
          <w:rFonts w:ascii="宋体" w:hAnsi="宋体" w:cs="宋体" w:eastAsia="宋体" w:hint="default"/>
          <w:sz w:val="21"/>
          <w:szCs w:val="21"/>
        </w:rPr>
      </w:pPr>
    </w:p>
    <w:p>
      <w:pPr>
        <w:pStyle w:val="Heading4"/>
        <w:spacing w:line="240" w:lineRule="auto" w:before="35"/>
        <w:ind w:right="0"/>
        <w:jc w:val="left"/>
        <w:rPr>
          <w:b w:val="0"/>
          <w:bCs w:val="0"/>
        </w:rPr>
      </w:pPr>
      <w:bookmarkStart w:name="3、培训计划" w:id="131"/>
      <w:bookmarkEnd w:id="131"/>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032" w:firstLine="360"/>
        <w:jc w:val="left"/>
      </w:pPr>
      <w:r>
        <w:rPr/>
        <w:t>公司自上而下构建了完善的培训体系，培训内容涵盖了新员工培训、专项技术、管理技能、经验交流等多方面的内容， </w:t>
      </w:r>
      <w:r>
        <w:rPr>
          <w:spacing w:val="-2"/>
        </w:rPr>
        <w:t>积极寻求各种有效的培训资源（如高校、政府、社会培训学校及内部优秀师资挖掘与培养等），同时组织员工参加各类职业</w:t>
      </w:r>
      <w:r>
        <w:rPr>
          <w:spacing w:val="-65"/>
        </w:rPr>
        <w:t> </w:t>
      </w:r>
      <w:r>
        <w:rPr>
          <w:spacing w:val="-65"/>
        </w:rPr>
      </w:r>
      <w:r>
        <w:rPr/>
        <w:t>资格考试，提升员工的工作技术水平，将</w:t>
      </w:r>
      <w:r>
        <w:rPr>
          <w:rFonts w:ascii="Times New Roman" w:hAnsi="Times New Roman" w:cs="Times New Roman" w:eastAsia="Times New Roman" w:hint="default"/>
        </w:rPr>
        <w:t>“</w:t>
      </w:r>
      <w:r>
        <w:rPr/>
        <w:t>分享</w:t>
      </w:r>
      <w:r>
        <w:rPr>
          <w:rFonts w:ascii="Times New Roman" w:hAnsi="Times New Roman" w:cs="Times New Roman" w:eastAsia="Times New Roman" w:hint="default"/>
        </w:rPr>
        <w:t>”</w:t>
      </w:r>
      <w:r>
        <w:rPr/>
        <w:t>的理念贯穿于整个培训体系。</w:t>
      </w:r>
    </w:p>
    <w:p>
      <w:pPr>
        <w:spacing w:line="240" w:lineRule="auto" w:before="10"/>
        <w:rPr>
          <w:rFonts w:ascii="宋体" w:hAnsi="宋体" w:cs="宋体" w:eastAsia="宋体" w:hint="default"/>
          <w:sz w:val="16"/>
          <w:szCs w:val="16"/>
        </w:rPr>
      </w:pPr>
    </w:p>
    <w:p>
      <w:pPr>
        <w:pStyle w:val="Heading4"/>
        <w:spacing w:line="240" w:lineRule="auto"/>
        <w:ind w:right="0"/>
        <w:jc w:val="left"/>
        <w:rPr>
          <w:b w:val="0"/>
          <w:bCs w:val="0"/>
        </w:rPr>
      </w:pPr>
      <w:bookmarkStart w:name="4、劳务外包情况" w:id="132"/>
      <w:bookmarkEnd w:id="132"/>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8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right="1113"/>
        <w:jc w:val="center"/>
        <w:rPr>
          <w:b w:val="0"/>
          <w:bCs w:val="0"/>
        </w:rPr>
      </w:pPr>
      <w:bookmarkStart w:name="第九节 公司治理" w:id="133"/>
      <w:bookmarkEnd w:id="133"/>
      <w:r>
        <w:rPr>
          <w:b w:val="0"/>
          <w:bCs w:val="0"/>
        </w:rPr>
      </w:r>
      <w:bookmarkStart w:name="_bookmark7" w:id="134"/>
      <w:bookmarkEnd w:id="134"/>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133" w:firstLine="360"/>
        <w:jc w:val="both"/>
      </w:pPr>
      <w:r>
        <w:rPr>
          <w:spacing w:val="-2"/>
        </w:rPr>
        <w:t>报告期内，公司严格按照《公司法》、《证券法》、《深圳证券交易所股票上市规则》、《深圳证券交易所中小企业板</w:t>
      </w:r>
      <w:r>
        <w:rPr/>
        <w:t> </w:t>
      </w:r>
      <w:r>
        <w:rPr>
          <w:spacing w:val="-2"/>
        </w:rPr>
        <w:t>上市公司规范运作指引》和其他相关法律、法规的有关规定，不断完善公司法人治理结构，健全内部控制体系，规范公司运</w:t>
      </w:r>
      <w:r>
        <w:rPr>
          <w:spacing w:val="-66"/>
        </w:rPr>
        <w:t> </w:t>
      </w:r>
      <w:r>
        <w:rPr>
          <w:spacing w:val="-66"/>
        </w:rPr>
      </w:r>
      <w:r>
        <w:rPr>
          <w:spacing w:val="-2"/>
        </w:rPr>
        <w:t>作，保证公司高效运转。截至报告期末，公司治理的实际状况基本符合中国证监会发布的有关上市公司治理的规范性文件要</w:t>
      </w:r>
      <w:r>
        <w:rPr>
          <w:spacing w:val="-66"/>
        </w:rPr>
        <w:t> </w:t>
      </w:r>
      <w:r>
        <w:rPr>
          <w:spacing w:val="-66"/>
        </w:rPr>
      </w:r>
      <w:r>
        <w:rPr/>
        <w:t>求。</w:t>
      </w:r>
    </w:p>
    <w:p>
      <w:pPr>
        <w:pStyle w:val="BodyText"/>
        <w:spacing w:line="451" w:lineRule="auto" w:before="54"/>
        <w:ind w:left="514" w:right="0"/>
        <w:jc w:val="left"/>
      </w:pPr>
      <w:r>
        <w:rPr>
          <w:rFonts w:ascii="Times New Roman" w:hAnsi="Times New Roman" w:cs="Times New Roman" w:eastAsia="Times New Roman" w:hint="default"/>
          <w:b/>
          <w:bCs/>
        </w:rPr>
        <w:t>1</w:t>
      </w:r>
      <w:r>
        <w:rPr>
          <w:rFonts w:ascii="宋体" w:hAnsi="宋体" w:cs="宋体" w:eastAsia="宋体" w:hint="default"/>
          <w:b/>
          <w:bCs/>
        </w:rPr>
        <w:t>、股东与股东大会</w:t>
      </w:r>
      <w:r>
        <w:rPr>
          <w:rFonts w:ascii="宋体" w:hAnsi="宋体" w:cs="宋体" w:eastAsia="宋体" w:hint="default"/>
          <w:b/>
          <w:bCs/>
          <w:w w:val="99"/>
        </w:rPr>
        <w:t> </w:t>
      </w:r>
      <w:r>
        <w:rPr>
          <w:spacing w:val="-2"/>
        </w:rPr>
        <w:t>公司严格按照《公司法》、《上市公司股东大会规则》、《公司章程》、《股东大会议事规则》等法律法则的要求，规</w:t>
      </w:r>
    </w:p>
    <w:p>
      <w:pPr>
        <w:pStyle w:val="BodyText"/>
        <w:spacing w:line="477" w:lineRule="auto" w:before="74"/>
        <w:ind w:right="1130"/>
        <w:jc w:val="both"/>
      </w:pPr>
      <w:r>
        <w:rPr>
          <w:spacing w:val="-2"/>
        </w:rPr>
        <w:t>范股东大会的召集、召开、表决程序，并聘请律师进行见证。股东大会会议记录保存完整，提案审议程序符合规定。公司治</w:t>
      </w:r>
      <w:r>
        <w:rPr>
          <w:spacing w:val="-67"/>
        </w:rPr>
        <w:t> </w:t>
      </w:r>
      <w:r>
        <w:rPr>
          <w:spacing w:val="-67"/>
        </w:rPr>
      </w:r>
      <w:r>
        <w:rPr/>
        <w:t>理结构确保所有股东，特别是中小股东享有平等的权利。</w:t>
      </w:r>
    </w:p>
    <w:p>
      <w:pPr>
        <w:pStyle w:val="BodyText"/>
        <w:spacing w:line="451" w:lineRule="auto" w:before="54"/>
        <w:ind w:left="514" w:right="0"/>
        <w:jc w:val="left"/>
      </w:pPr>
      <w:r>
        <w:rPr>
          <w:rFonts w:ascii="Times New Roman" w:hAnsi="Times New Roman" w:cs="Times New Roman" w:eastAsia="Times New Roman" w:hint="default"/>
          <w:b/>
          <w:bCs/>
        </w:rPr>
        <w:t>2</w:t>
      </w:r>
      <w:r>
        <w:rPr>
          <w:rFonts w:ascii="宋体" w:hAnsi="宋体" w:cs="宋体" w:eastAsia="宋体" w:hint="default"/>
          <w:b/>
          <w:bCs/>
        </w:rPr>
        <w:t>、控股股东与上市公司</w:t>
      </w:r>
      <w:r>
        <w:rPr>
          <w:rFonts w:ascii="宋体" w:hAnsi="宋体" w:cs="宋体" w:eastAsia="宋体" w:hint="default"/>
          <w:b/>
          <w:bCs/>
          <w:w w:val="99"/>
        </w:rPr>
        <w:t> </w:t>
      </w:r>
      <w:r>
        <w:rPr>
          <w:spacing w:val="-2"/>
        </w:rPr>
        <w:t>公司严格根据《上市公司治理准则》、《深圳证券交易所股票上市规则》、《公司章程》等制度规范股东行为，控股股</w:t>
      </w:r>
    </w:p>
    <w:p>
      <w:pPr>
        <w:pStyle w:val="BodyText"/>
        <w:spacing w:line="477" w:lineRule="auto" w:before="74"/>
        <w:ind w:right="1131"/>
        <w:jc w:val="both"/>
      </w:pPr>
      <w:r>
        <w:rPr>
          <w:spacing w:val="-2"/>
        </w:rPr>
        <w:t>东通过股东大会行使股东权利，不存在违规占用上市公司资产侵害公司权益的情形，未发生超越股东大会及董事会而直接干</w:t>
      </w:r>
      <w:r>
        <w:rPr>
          <w:spacing w:val="-64"/>
        </w:rPr>
        <w:t> </w:t>
      </w:r>
      <w:r>
        <w:rPr>
          <w:spacing w:val="-64"/>
        </w:rPr>
      </w:r>
      <w:r>
        <w:rPr>
          <w:spacing w:val="-2"/>
        </w:rPr>
        <w:t>预公司经营与决策的行为。公司具有独立的业务和经营自主能力，在业务、资产、人员、机构、财务等方面均独立于控股股</w:t>
      </w:r>
      <w:r>
        <w:rPr>
          <w:spacing w:val="-68"/>
        </w:rPr>
        <w:t> </w:t>
      </w:r>
      <w:r>
        <w:rPr>
          <w:spacing w:val="-68"/>
        </w:rPr>
      </w:r>
      <w:r>
        <w:rPr/>
        <w:t>东。控股股东亦严格遵守相关承诺。</w:t>
      </w:r>
    </w:p>
    <w:p>
      <w:pPr>
        <w:pStyle w:val="BodyText"/>
        <w:spacing w:line="451" w:lineRule="auto" w:before="54"/>
        <w:ind w:left="514" w:right="0"/>
        <w:jc w:val="left"/>
      </w:pPr>
      <w:r>
        <w:rPr>
          <w:rFonts w:ascii="Times New Roman" w:hAnsi="Times New Roman" w:cs="Times New Roman" w:eastAsia="Times New Roman" w:hint="default"/>
          <w:b/>
          <w:bCs/>
        </w:rPr>
        <w:t>3</w:t>
      </w:r>
      <w:r>
        <w:rPr>
          <w:rFonts w:ascii="宋体" w:hAnsi="宋体" w:cs="宋体" w:eastAsia="宋体" w:hint="default"/>
          <w:b/>
          <w:bCs/>
        </w:rPr>
        <w:t>、董事与董事会</w:t>
      </w:r>
      <w:r>
        <w:rPr>
          <w:rFonts w:ascii="宋体" w:hAnsi="宋体" w:cs="宋体" w:eastAsia="宋体" w:hint="default"/>
          <w:b/>
          <w:bCs/>
          <w:w w:val="99"/>
        </w:rPr>
        <w:t> </w:t>
      </w:r>
      <w:r>
        <w:rPr>
          <w:spacing w:val="-2"/>
        </w:rPr>
        <w:t>公司董事会由</w:t>
      </w:r>
      <w:r>
        <w:rPr>
          <w:rFonts w:ascii="Times New Roman" w:hAnsi="Times New Roman" w:cs="Times New Roman" w:eastAsia="Times New Roman" w:hint="default"/>
          <w:spacing w:val="-2"/>
        </w:rPr>
        <w:t>9</w:t>
      </w:r>
      <w:r>
        <w:rPr>
          <w:spacing w:val="-2"/>
        </w:rPr>
        <w:t>名董事组成，其中独立董事</w:t>
      </w:r>
      <w:r>
        <w:rPr>
          <w:rFonts w:ascii="Times New Roman" w:hAnsi="Times New Roman" w:cs="Times New Roman" w:eastAsia="Times New Roman" w:hint="default"/>
          <w:spacing w:val="-2"/>
        </w:rPr>
        <w:t>3</w:t>
      </w:r>
      <w:r>
        <w:rPr>
          <w:spacing w:val="-2"/>
        </w:rPr>
        <w:t>名，董事会的人数、构成及选聘程序均符合法律、法规和《公司章程》的规</w:t>
      </w:r>
    </w:p>
    <w:p>
      <w:pPr>
        <w:pStyle w:val="BodyText"/>
        <w:spacing w:line="477" w:lineRule="auto" w:before="43"/>
        <w:ind w:right="0"/>
        <w:jc w:val="left"/>
      </w:pPr>
      <w:r>
        <w:rPr>
          <w:spacing w:val="-4"/>
        </w:rPr>
        <w:t>定。公司全体董事均能够按照相关法律、法规及《公司章程》的规定召开会议，依法履行职责。董事会下设战略发展委员会、</w:t>
      </w:r>
      <w:r>
        <w:rPr>
          <w:spacing w:val="-44"/>
        </w:rPr>
        <w:t> </w:t>
      </w:r>
      <w:r>
        <w:rPr>
          <w:spacing w:val="-44"/>
        </w:rPr>
      </w:r>
      <w:r>
        <w:rPr>
          <w:spacing w:val="-2"/>
        </w:rPr>
        <w:t>审计委员会、薪酬与考核委员会、提名委员会等四个专门委员会。股东大会对董事会的授权权限合理合法，独立董事能够不</w:t>
      </w:r>
      <w:r>
        <w:rPr>
          <w:spacing w:val="-66"/>
        </w:rPr>
        <w:t> </w:t>
      </w:r>
      <w:r>
        <w:rPr>
          <w:spacing w:val="-66"/>
        </w:rPr>
      </w:r>
      <w:r>
        <w:rPr/>
        <w:t>受影响的独立履行职责。</w:t>
      </w:r>
    </w:p>
    <w:p>
      <w:pPr>
        <w:pStyle w:val="BodyText"/>
        <w:spacing w:line="451" w:lineRule="auto" w:before="54"/>
        <w:ind w:left="514" w:right="1032"/>
        <w:jc w:val="left"/>
      </w:pPr>
      <w:r>
        <w:rPr>
          <w:rFonts w:ascii="Times New Roman" w:hAnsi="Times New Roman" w:cs="Times New Roman" w:eastAsia="Times New Roman" w:hint="default"/>
          <w:b/>
          <w:bCs/>
        </w:rPr>
        <w:t>4</w:t>
      </w:r>
      <w:r>
        <w:rPr>
          <w:rFonts w:ascii="宋体" w:hAnsi="宋体" w:cs="宋体" w:eastAsia="宋体" w:hint="default"/>
          <w:b/>
          <w:bCs/>
        </w:rPr>
        <w:t>、监事与监事会</w:t>
      </w:r>
      <w:r>
        <w:rPr>
          <w:rFonts w:ascii="宋体" w:hAnsi="宋体" w:cs="宋体" w:eastAsia="宋体" w:hint="default"/>
          <w:b/>
          <w:bCs/>
          <w:w w:val="99"/>
        </w:rPr>
        <w:t> </w:t>
      </w:r>
      <w:r>
        <w:rPr/>
        <w:t>公司监事会由</w:t>
      </w:r>
      <w:r>
        <w:rPr>
          <w:rFonts w:ascii="Times New Roman" w:hAnsi="Times New Roman" w:cs="Times New Roman" w:eastAsia="Times New Roman" w:hint="default"/>
        </w:rPr>
        <w:t>3</w:t>
      </w:r>
      <w:r>
        <w:rPr/>
        <w:t>名监事组成，其中职工代表监事</w:t>
      </w:r>
      <w:r>
        <w:rPr>
          <w:rFonts w:ascii="Times New Roman" w:hAnsi="Times New Roman" w:cs="Times New Roman" w:eastAsia="Times New Roman" w:hint="default"/>
        </w:rPr>
        <w:t>1</w:t>
      </w:r>
      <w:r>
        <w:rPr/>
        <w:t>名。监事会的人数、构成及选聘程序均符合法律、法规和《公司章程》</w:t>
      </w:r>
    </w:p>
    <w:p>
      <w:pPr>
        <w:pStyle w:val="BodyText"/>
        <w:spacing w:line="477" w:lineRule="auto" w:before="43"/>
        <w:ind w:right="1131"/>
        <w:jc w:val="both"/>
      </w:pPr>
      <w:r>
        <w:rPr>
          <w:spacing w:val="-2"/>
        </w:rPr>
        <w:t>的规定。公司全体监事均能够按照相关法律、法规及《公司章程》的规定召开会议，依法履行职责，出席股东大会、列席现</w:t>
      </w:r>
      <w:r>
        <w:rPr>
          <w:spacing w:val="-72"/>
        </w:rPr>
        <w:t> </w:t>
      </w:r>
      <w:r>
        <w:rPr>
          <w:spacing w:val="-72"/>
        </w:rPr>
      </w:r>
      <w:r>
        <w:rPr>
          <w:spacing w:val="-2"/>
        </w:rPr>
        <w:t>场董事会。按规定的程序对公司重大事项、财务状况、董事和高级管理人员履行职责的情况等事项进行了有效的监督，维护</w:t>
      </w:r>
      <w:r>
        <w:rPr>
          <w:spacing w:val="-66"/>
        </w:rPr>
        <w:t> </w:t>
      </w:r>
      <w:r>
        <w:rPr>
          <w:spacing w:val="-66"/>
        </w:rPr>
      </w:r>
      <w:r>
        <w:rPr/>
        <w:t>了公司及股东的合法权益。</w:t>
      </w:r>
    </w:p>
    <w:p>
      <w:pPr>
        <w:pStyle w:val="BodyText"/>
        <w:spacing w:line="451" w:lineRule="auto" w:before="54"/>
        <w:ind w:left="514" w:right="0"/>
        <w:jc w:val="left"/>
      </w:pPr>
      <w:r>
        <w:rPr>
          <w:rFonts w:ascii="Times New Roman" w:hAnsi="Times New Roman" w:cs="Times New Roman" w:eastAsia="Times New Roman" w:hint="default"/>
          <w:b/>
          <w:bCs/>
        </w:rPr>
        <w:t>5</w:t>
      </w:r>
      <w:r>
        <w:rPr>
          <w:rFonts w:ascii="宋体" w:hAnsi="宋体" w:cs="宋体" w:eastAsia="宋体" w:hint="default"/>
          <w:b/>
          <w:bCs/>
        </w:rPr>
        <w:t>、关于相关利益者</w:t>
      </w:r>
      <w:r>
        <w:rPr>
          <w:rFonts w:ascii="宋体" w:hAnsi="宋体" w:cs="宋体" w:eastAsia="宋体" w:hint="default"/>
          <w:b/>
          <w:bCs/>
          <w:w w:val="99"/>
        </w:rPr>
        <w:t> </w:t>
      </w:r>
      <w:r>
        <w:rPr>
          <w:spacing w:val="-2"/>
        </w:rPr>
        <w:t>公司能够充分尊重和维护客户、股东、员工等相关利益者的合法权益，积极与相关利益者合作，加强与各方的沟通和交</w:t>
      </w:r>
    </w:p>
    <w:p>
      <w:pPr>
        <w:spacing w:after="0" w:line="451" w:lineRule="auto"/>
        <w:jc w:val="left"/>
        <w:sectPr>
          <w:pgSz w:w="11910" w:h="16840"/>
          <w:pgMar w:header="787" w:footer="1019" w:top="1100" w:bottom="1200" w:left="980" w:right="0"/>
        </w:sectPr>
      </w:pPr>
    </w:p>
    <w:p>
      <w:pPr>
        <w:spacing w:line="240" w:lineRule="auto" w:before="10"/>
        <w:rPr>
          <w:rFonts w:ascii="宋体" w:hAnsi="宋体" w:cs="宋体" w:eastAsia="宋体" w:hint="default"/>
          <w:sz w:val="28"/>
          <w:szCs w:val="28"/>
        </w:rPr>
      </w:pPr>
    </w:p>
    <w:p>
      <w:pPr>
        <w:pStyle w:val="BodyText"/>
        <w:spacing w:line="240" w:lineRule="auto" w:before="44"/>
        <w:ind w:right="0"/>
        <w:jc w:val="left"/>
      </w:pPr>
      <w:r>
        <w:rPr/>
        <w:t>流，实现股东、员工、社会等各方利益的均衡，以推动公司持续、稳定、健康地发展。</w:t>
      </w:r>
    </w:p>
    <w:p>
      <w:pPr>
        <w:spacing w:line="240" w:lineRule="auto" w:before="10"/>
        <w:rPr>
          <w:rFonts w:ascii="宋体" w:hAnsi="宋体" w:cs="宋体" w:eastAsia="宋体" w:hint="default"/>
          <w:sz w:val="17"/>
          <w:szCs w:val="17"/>
        </w:rPr>
      </w:pPr>
    </w:p>
    <w:p>
      <w:pPr>
        <w:spacing w:line="451" w:lineRule="auto" w:before="0"/>
        <w:ind w:left="514"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、公司信息披露与透明度情况</w:t>
      </w:r>
      <w:r>
        <w:rPr>
          <w:rFonts w:ascii="宋体" w:hAnsi="宋体" w:cs="宋体" w:eastAsia="宋体" w:hint="default"/>
          <w:b/>
          <w:bCs/>
          <w:w w:val="99"/>
          <w:sz w:val="18"/>
          <w:szCs w:val="18"/>
        </w:rPr>
        <w:t> </w:t>
      </w:r>
      <w:r>
        <w:rPr>
          <w:rFonts w:ascii="宋体" w:hAnsi="宋体" w:cs="宋体" w:eastAsia="宋体" w:hint="default"/>
          <w:spacing w:val="-2"/>
          <w:sz w:val="18"/>
          <w:szCs w:val="18"/>
        </w:rPr>
        <w:t>公司已建立《信息披露管理制度》及《重大信息内部报告制度》，公司重大事件的报告、传递、审核、披露程序均根据</w:t>
      </w:r>
    </w:p>
    <w:p>
      <w:pPr>
        <w:pStyle w:val="BodyText"/>
        <w:spacing w:line="477" w:lineRule="auto" w:before="74"/>
        <w:ind w:right="0"/>
        <w:jc w:val="left"/>
      </w:pPr>
      <w:r>
        <w:rPr>
          <w:spacing w:val="-2"/>
        </w:rPr>
        <w:t>《公司章程》、各项议事规则及上述制度的相关规定执行。公司所有信息披露均严格的审批程序，在中国证监会指定信息披</w:t>
      </w:r>
      <w:r>
        <w:rPr>
          <w:spacing w:val="-66"/>
        </w:rPr>
        <w:t> </w:t>
      </w:r>
      <w:r>
        <w:rPr>
          <w:spacing w:val="-66"/>
        </w:rPr>
      </w:r>
      <w:r>
        <w:rPr/>
        <w:t>露媒体上真实、准确、完整、及时地披露，确保所有投资者公平获取公司信息。</w:t>
      </w:r>
    </w:p>
    <w:p>
      <w:pPr>
        <w:pStyle w:val="BodyText"/>
        <w:spacing w:line="451" w:lineRule="auto" w:before="54"/>
        <w:ind w:left="514" w:right="0"/>
        <w:jc w:val="left"/>
      </w:pPr>
      <w:r>
        <w:rPr>
          <w:rFonts w:ascii="Times New Roman" w:hAnsi="Times New Roman" w:cs="Times New Roman" w:eastAsia="Times New Roman" w:hint="default"/>
          <w:b/>
          <w:bCs/>
        </w:rPr>
        <w:t>7</w:t>
      </w:r>
      <w:r>
        <w:rPr>
          <w:rFonts w:ascii="宋体" w:hAnsi="宋体" w:cs="宋体" w:eastAsia="宋体" w:hint="default"/>
          <w:b/>
          <w:bCs/>
        </w:rPr>
        <w:t>、公司与投资者</w:t>
      </w:r>
      <w:r>
        <w:rPr>
          <w:rFonts w:ascii="宋体" w:hAnsi="宋体" w:cs="宋体" w:eastAsia="宋体" w:hint="default"/>
          <w:b/>
          <w:bCs/>
          <w:w w:val="99"/>
        </w:rPr>
        <w:t> </w:t>
      </w:r>
      <w:r>
        <w:rPr/>
        <w:t>公司指定董事会秘书为投资者关系工作的第一负责人，并将每月的</w:t>
      </w:r>
      <w:r>
        <w:rPr>
          <w:rFonts w:ascii="Times New Roman" w:hAnsi="Times New Roman" w:cs="Times New Roman" w:eastAsia="Times New Roman" w:hint="default"/>
        </w:rPr>
        <w:t>8</w:t>
      </w:r>
      <w:r>
        <w:rPr/>
        <w:t>日作为</w:t>
      </w:r>
      <w:r>
        <w:rPr>
          <w:rFonts w:ascii="Times New Roman" w:hAnsi="Times New Roman" w:cs="Times New Roman" w:eastAsia="Times New Roman" w:hint="default"/>
        </w:rPr>
        <w:t>“</w:t>
      </w:r>
      <w:r>
        <w:rPr/>
        <w:t>投资者接待日</w:t>
      </w:r>
      <w:r>
        <w:rPr>
          <w:rFonts w:ascii="Times New Roman" w:hAnsi="Times New Roman" w:cs="Times New Roman" w:eastAsia="Times New Roman" w:hint="default"/>
        </w:rPr>
        <w:t>”</w:t>
      </w:r>
      <w:r>
        <w:rPr/>
        <w:t>，充分与投资者进行交流。</w:t>
      </w:r>
    </w:p>
    <w:p>
      <w:pPr>
        <w:pStyle w:val="BodyText"/>
        <w:spacing w:line="240" w:lineRule="auto" w:before="43"/>
        <w:ind w:right="0"/>
        <w:jc w:val="left"/>
      </w:pPr>
      <w:r>
        <w:rPr/>
        <w:t>证券部负责投资者关系管理工作的日常事务，通过电话、实地及公司网站等多种渠道保持与投资者的顺利沟通。</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BodyText"/>
        <w:spacing w:line="240" w:lineRule="auto"/>
        <w:ind w:right="0"/>
        <w:jc w:val="left"/>
      </w:pPr>
      <w:r>
        <w:rPr/>
        <w:t>公司治理的实际状况与中国证监会发布的有关上市公司治理的规范性文件是否存在重大差异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13"/>
          <w:szCs w:val="13"/>
        </w:rPr>
      </w:pPr>
    </w:p>
    <w:p>
      <w:pPr>
        <w:pStyle w:val="BodyText"/>
        <w:spacing w:line="240" w:lineRule="auto"/>
        <w:ind w:left="514" w:right="0"/>
        <w:jc w:val="left"/>
      </w:pPr>
      <w:r>
        <w:rPr/>
        <w:t>公司治理的实际状况与中国证监会发布的有关上市公司治理的规范性文件不存在重大差异。</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0"/>
        <w:jc w:val="left"/>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032" w:firstLine="360"/>
        <w:jc w:val="left"/>
      </w:pPr>
      <w:r>
        <w:rPr/>
        <w:t>公司严格按照《公司法》、《证券法》等有关法律、法规和《公司章程》的要求规范运作，与控股股东在业务、人员、 资产、机构、财务等方面完全分开，具有独立完整的业务及自主经营能力。</w:t>
      </w:r>
    </w:p>
    <w:p>
      <w:pPr>
        <w:pStyle w:val="BodyText"/>
        <w:spacing w:line="451" w:lineRule="auto" w:before="54"/>
        <w:ind w:right="1122" w:firstLine="360"/>
        <w:jc w:val="left"/>
      </w:pPr>
      <w:r>
        <w:rPr>
          <w:rFonts w:ascii="Times New Roman" w:hAnsi="Times New Roman" w:cs="Times New Roman" w:eastAsia="Times New Roman" w:hint="default"/>
        </w:rPr>
        <w:t>1</w:t>
      </w:r>
      <w:r>
        <w:rPr/>
        <w:t>、业务方面：公司业务结构完整，自主独立经营，与控股股东之间无同业竞争，控股股东未曾利用控股股东地位干涉 公司决策和生产经营活动；</w:t>
      </w:r>
    </w:p>
    <w:p>
      <w:pPr>
        <w:pStyle w:val="BodyText"/>
        <w:spacing w:line="451" w:lineRule="auto" w:before="74"/>
        <w:ind w:right="1122" w:firstLine="360"/>
        <w:jc w:val="left"/>
      </w:pPr>
      <w:r>
        <w:rPr>
          <w:rFonts w:ascii="Times New Roman" w:hAnsi="Times New Roman" w:cs="Times New Roman" w:eastAsia="Times New Roman" w:hint="default"/>
        </w:rPr>
        <w:t>2</w:t>
      </w:r>
      <w:r>
        <w:rPr/>
        <w:t>、人员方面：公司在劳动、人事及工资管理等各方面均独立于控股股东。高级管理人员均在公司领取报酬，未在控股 股东或股东关联单位担任除董事以外的任何职务；</w:t>
      </w:r>
    </w:p>
    <w:p>
      <w:pPr>
        <w:pStyle w:val="BodyText"/>
        <w:spacing w:line="451" w:lineRule="auto" w:before="74"/>
        <w:ind w:right="1122" w:firstLine="360"/>
        <w:jc w:val="left"/>
      </w:pPr>
      <w:r>
        <w:rPr>
          <w:rFonts w:ascii="Times New Roman" w:hAnsi="Times New Roman" w:cs="Times New Roman" w:eastAsia="Times New Roman" w:hint="default"/>
        </w:rPr>
        <w:t>3</w:t>
      </w:r>
      <w:r>
        <w:rPr/>
        <w:t>、资产方面：公司生产经营场所及土地使用权情况、商标注册及使用情况独立，各发起人投入股份公司的资产权属明 确；</w:t>
      </w:r>
    </w:p>
    <w:p>
      <w:pPr>
        <w:pStyle w:val="BodyText"/>
        <w:spacing w:line="240" w:lineRule="auto" w:before="74"/>
        <w:ind w:left="514" w:right="0"/>
        <w:jc w:val="left"/>
      </w:pPr>
      <w:r>
        <w:rPr>
          <w:rFonts w:ascii="Times New Roman" w:hAnsi="Times New Roman" w:cs="Times New Roman" w:eastAsia="Times New Roman" w:hint="default"/>
        </w:rPr>
        <w:t>4</w:t>
      </w:r>
      <w:r>
        <w:rPr/>
        <w:t>、机构方面：公司组织体系健全，董事会、监事会、管理层及部门运作独立，不存在与控股股东之间的从属关系；</w:t>
      </w:r>
    </w:p>
    <w:p>
      <w:pPr>
        <w:spacing w:line="240" w:lineRule="auto" w:before="9"/>
        <w:rPr>
          <w:rFonts w:ascii="宋体" w:hAnsi="宋体" w:cs="宋体" w:eastAsia="宋体" w:hint="default"/>
          <w:sz w:val="16"/>
          <w:szCs w:val="16"/>
        </w:rPr>
      </w:pPr>
    </w:p>
    <w:p>
      <w:pPr>
        <w:pStyle w:val="BodyText"/>
        <w:spacing w:line="451" w:lineRule="auto"/>
        <w:ind w:left="514" w:right="1122"/>
        <w:jc w:val="left"/>
      </w:pPr>
      <w:r>
        <w:rPr>
          <w:rFonts w:ascii="Times New Roman" w:hAnsi="Times New Roman" w:cs="Times New Roman" w:eastAsia="Times New Roman" w:hint="default"/>
        </w:rPr>
        <w:t>5</w:t>
      </w:r>
      <w:r>
        <w:rPr/>
        <w:t>、财务方面：设有独立的财务部门，并建立了独立的会计核算体系和财务管理制度，独立在银行开户、并依法独立纳</w:t>
      </w:r>
      <w:r>
        <w:rPr>
          <w:spacing w:val="-83"/>
        </w:rPr>
        <w:t> </w:t>
      </w:r>
      <w:r>
        <w:rPr>
          <w:spacing w:val="-83"/>
        </w:rPr>
      </w:r>
      <w:r>
        <w:rPr/>
        <w:t>税。</w:t>
      </w:r>
    </w:p>
    <w:p>
      <w:pPr>
        <w:spacing w:line="240" w:lineRule="auto" w:before="0"/>
        <w:rPr>
          <w:rFonts w:ascii="宋体" w:hAnsi="宋体" w:cs="宋体" w:eastAsia="宋体" w:hint="default"/>
          <w:sz w:val="19"/>
          <w:szCs w:val="19"/>
        </w:rPr>
      </w:pPr>
    </w:p>
    <w:p>
      <w:pPr>
        <w:pStyle w:val="Heading2"/>
        <w:spacing w:line="240" w:lineRule="auto"/>
        <w:ind w:right="0"/>
        <w:jc w:val="left"/>
        <w:rPr>
          <w:b w:val="0"/>
          <w:bCs w:val="0"/>
        </w:rPr>
      </w:pPr>
      <w:bookmarkStart w:name="三、同业竞争情况" w:id="137"/>
      <w:bookmarkEnd w:id="137"/>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87" w:footer="1019" w:top="1100" w:bottom="1200" w:left="980" w:right="0"/>
        </w:sectPr>
      </w:pPr>
    </w:p>
    <w:p>
      <w:pPr>
        <w:spacing w:line="240" w:lineRule="auto" w:before="6"/>
        <w:rPr>
          <w:rFonts w:ascii="宋体" w:hAnsi="宋体" w:cs="宋体" w:eastAsia="宋体" w:hint="default"/>
          <w:sz w:val="20"/>
          <w:szCs w:val="20"/>
        </w:rPr>
      </w:pPr>
    </w:p>
    <w:p>
      <w:pPr>
        <w:pStyle w:val="Heading2"/>
        <w:spacing w:line="240" w:lineRule="auto" w:before="26"/>
        <w:ind w:right="0"/>
        <w:jc w:val="left"/>
        <w:rPr>
          <w:b w:val="0"/>
          <w:bCs w:val="0"/>
        </w:rPr>
      </w:pPr>
      <w:bookmarkStart w:name="四、报告期内召开的年度股东大会和临时股东大会的有关情况" w:id="138"/>
      <w:bookmarkEnd w:id="138"/>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本报告期股东大会情况" w:id="139"/>
      <w:bookmarkEnd w:id="139"/>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5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时股东大会决议公 </w:t>
            </w:r>
            <w:r>
              <w:rPr>
                <w:rFonts w:ascii="宋体" w:hAnsi="宋体" w:cs="宋体" w:eastAsia="宋体" w:hint="default"/>
                <w:spacing w:val="-12"/>
                <w:sz w:val="18"/>
                <w:szCs w:val="18"/>
              </w:rPr>
              <w:t>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7"/>
                <w:sz w:val="18"/>
                <w:szCs w:val="18"/>
              </w:rPr>
              <w:t>2018-002</w:t>
            </w:r>
            <w:r>
              <w:rPr>
                <w:rFonts w:ascii="宋体" w:hAnsi="宋体" w:cs="宋体" w:eastAsia="宋体" w:hint="default"/>
                <w:spacing w:val="-7"/>
                <w:sz w:val="18"/>
                <w:szCs w:val="18"/>
              </w:rPr>
              <w:t>），刊登于</w:t>
            </w:r>
          </w:p>
          <w:p>
            <w:pPr>
              <w:pStyle w:val="TableParagraph"/>
              <w:spacing w:line="240" w:lineRule="auto" w:before="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p>
            <w:pPr>
              <w:pStyle w:val="TableParagraph"/>
              <w:spacing w:line="319" w:lineRule="auto" w:before="63"/>
              <w:ind w:left="23" w:right="20"/>
              <w:jc w:val="both"/>
              <w:rPr>
                <w:rFonts w:ascii="宋体" w:hAnsi="宋体" w:cs="宋体" w:eastAsia="宋体" w:hint="default"/>
                <w:sz w:val="18"/>
                <w:szCs w:val="18"/>
              </w:rPr>
            </w:pPr>
            <w:r>
              <w:rPr>
                <w:rFonts w:ascii="宋体" w:hAnsi="宋体" w:cs="宋体" w:eastAsia="宋体" w:hint="default"/>
                <w:spacing w:val="-27"/>
                <w:sz w:val="18"/>
                <w:szCs w:val="18"/>
              </w:rPr>
              <w:t>《证券时报》、《中国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证券报》及巨潮资讯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w:t>
            </w:r>
          </w:p>
        </w:tc>
      </w:tr>
      <w:tr>
        <w:trPr>
          <w:trHeight w:val="22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4"/>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5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 时股东大会决议公 </w:t>
            </w:r>
            <w:r>
              <w:rPr>
                <w:rFonts w:ascii="宋体" w:hAnsi="宋体" w:cs="宋体" w:eastAsia="宋体" w:hint="default"/>
                <w:spacing w:val="-12"/>
                <w:sz w:val="18"/>
                <w:szCs w:val="18"/>
              </w:rPr>
              <w:t>告》（公告编号：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7"/>
                <w:sz w:val="18"/>
                <w:szCs w:val="18"/>
              </w:rPr>
              <w:t>2018-018</w:t>
            </w:r>
            <w:r>
              <w:rPr>
                <w:rFonts w:ascii="宋体" w:hAnsi="宋体" w:cs="宋体" w:eastAsia="宋体" w:hint="default"/>
                <w:spacing w:val="-7"/>
                <w:sz w:val="18"/>
                <w:szCs w:val="18"/>
              </w:rPr>
              <w:t>），刊登于</w:t>
            </w:r>
          </w:p>
          <w:p>
            <w:pPr>
              <w:pStyle w:val="TableParagraph"/>
              <w:spacing w:line="309" w:lineRule="auto" w:before="3"/>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pacing w:val="-30"/>
                <w:sz w:val="18"/>
                <w:szCs w:val="18"/>
              </w:rPr>
              <w:t>日《证</w:t>
            </w:r>
            <w:r>
              <w:rPr>
                <w:rFonts w:ascii="宋体" w:hAnsi="宋体" w:cs="宋体" w:eastAsia="宋体" w:hint="default"/>
                <w:sz w:val="18"/>
                <w:szCs w:val="18"/>
              </w:rPr>
              <w:t> </w:t>
            </w:r>
            <w:r>
              <w:rPr>
                <w:rFonts w:ascii="宋体" w:hAnsi="宋体" w:cs="宋体" w:eastAsia="宋体" w:hint="default"/>
                <w:spacing w:val="-27"/>
                <w:sz w:val="18"/>
                <w:szCs w:val="18"/>
              </w:rPr>
              <w:t>券时报》、《中国证券</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报》及巨潮资讯网</w:t>
            </w:r>
          </w:p>
        </w:tc>
      </w:tr>
      <w:tr>
        <w:trPr>
          <w:trHeight w:val="227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 </w:t>
            </w:r>
            <w:r>
              <w:rPr>
                <w:rFonts w:ascii="宋体" w:hAnsi="宋体" w:cs="宋体" w:eastAsia="宋体" w:hint="default"/>
                <w:spacing w:val="-10"/>
                <w:sz w:val="18"/>
                <w:szCs w:val="18"/>
              </w:rPr>
              <w:t>会决议公告》（公告</w:t>
            </w:r>
            <w:r>
              <w:rPr>
                <w:rFonts w:ascii="宋体" w:hAnsi="宋体" w:cs="宋体" w:eastAsia="宋体" w:hint="default"/>
                <w:sz w:val="18"/>
                <w:szCs w:val="18"/>
              </w:rPr>
              <w:t> </w:t>
            </w:r>
            <w:r>
              <w:rPr>
                <w:rFonts w:ascii="宋体" w:hAnsi="宋体" w:cs="宋体" w:eastAsia="宋体" w:hint="default"/>
                <w:spacing w:val="-14"/>
                <w:sz w:val="18"/>
                <w:szCs w:val="18"/>
              </w:rPr>
              <w:t>编号：</w:t>
            </w:r>
            <w:r>
              <w:rPr>
                <w:rFonts w:ascii="Times New Roman" w:hAnsi="Times New Roman" w:cs="Times New Roman" w:eastAsia="Times New Roman" w:hint="default"/>
                <w:spacing w:val="-14"/>
                <w:sz w:val="18"/>
                <w:szCs w:val="18"/>
              </w:rPr>
              <w:t>2018-050</w:t>
            </w:r>
            <w:r>
              <w:rPr>
                <w:rFonts w:ascii="宋体" w:hAnsi="宋体" w:cs="宋体" w:eastAsia="宋体" w:hint="default"/>
                <w:spacing w:val="-14"/>
                <w:sz w:val="18"/>
                <w:szCs w:val="18"/>
              </w:rPr>
              <w:t>），</w:t>
            </w:r>
            <w:r>
              <w:rPr>
                <w:rFonts w:ascii="宋体" w:hAnsi="宋体" w:cs="宋体" w:eastAsia="宋体" w:hint="default"/>
                <w:spacing w:val="-90"/>
                <w:sz w:val="18"/>
                <w:szCs w:val="18"/>
              </w:rPr>
              <w:t> </w:t>
            </w:r>
            <w:r>
              <w:rPr>
                <w:rFonts w:ascii="宋体" w:hAnsi="宋体" w:cs="宋体" w:eastAsia="宋体" w:hint="default"/>
                <w:sz w:val="18"/>
                <w:szCs w:val="18"/>
              </w:rPr>
              <w:t>刊登于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7"/>
              <w:ind w:left="23"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日《证券时报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9" w:lineRule="auto" w:before="63"/>
              <w:ind w:left="23" w:right="20"/>
              <w:jc w:val="left"/>
              <w:rPr>
                <w:rFonts w:ascii="宋体" w:hAnsi="宋体" w:cs="宋体" w:eastAsia="宋体" w:hint="default"/>
                <w:sz w:val="18"/>
                <w:szCs w:val="18"/>
              </w:rPr>
            </w:pPr>
            <w:r>
              <w:rPr>
                <w:rFonts w:ascii="宋体" w:hAnsi="宋体" w:cs="宋体" w:eastAsia="宋体" w:hint="default"/>
                <w:spacing w:val="-10"/>
                <w:sz w:val="18"/>
                <w:szCs w:val="18"/>
              </w:rPr>
              <w:t>《中国证券报》及巨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潮资讯网</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表决权恢复的优先股股东请求召开临时股东大会" w:id="140"/>
      <w:bookmarkEnd w:id="140"/>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41"/>
      <w:bookmarkEnd w:id="141"/>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42"/>
      <w:bookmarkEnd w:id="142"/>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王礼贵</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赵诚</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王晓东</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0"/>
        <w:jc w:val="left"/>
      </w:pPr>
      <w:r>
        <w:rPr/>
        <w:t>连续两次未亲自出席董事会的说明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独立董事对公司有关事项提出异议的情况" w:id="143"/>
      <w:bookmarkEnd w:id="14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13"/>
          <w:szCs w:val="13"/>
        </w:rPr>
      </w:pPr>
    </w:p>
    <w:p>
      <w:pPr>
        <w:pStyle w:val="BodyText"/>
        <w:spacing w:line="240" w:lineRule="auto"/>
        <w:ind w:left="574" w:right="0"/>
        <w:jc w:val="left"/>
      </w:pPr>
      <w:r>
        <w:rPr/>
        <w:t>报告期内独立董事对公司有关事项未提出异议。</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4"/>
        <w:spacing w:line="240" w:lineRule="auto"/>
        <w:ind w:right="0"/>
        <w:jc w:val="left"/>
        <w:rPr>
          <w:b w:val="0"/>
          <w:bCs w:val="0"/>
        </w:rPr>
      </w:pPr>
      <w:bookmarkStart w:name="3、独立董事履行职责的其他说明" w:id="144"/>
      <w:bookmarkEnd w:id="14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412" w:lineRule="auto" w:before="117"/>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477" w:lineRule="auto" w:before="141"/>
        <w:ind w:right="1129" w:firstLine="420"/>
        <w:jc w:val="both"/>
      </w:pPr>
      <w:r>
        <w:rPr>
          <w:spacing w:val="-4"/>
        </w:rPr>
        <w:t>报告期内，公司独立董事按照《公司章程》、《独立董事工作制度》等规定，忠实、勤勉地履行其职责，积极参加董事</w:t>
      </w:r>
      <w:r>
        <w:rPr/>
        <w:t> </w:t>
      </w:r>
      <w:r>
        <w:rPr>
          <w:spacing w:val="-2"/>
        </w:rPr>
        <w:t>会和股东大会会议，关注公司经营管理情况、检查公司财务状况、股权激励计划的实施等重大事项的进展情况，认真参与公</w:t>
      </w:r>
      <w:r>
        <w:rPr>
          <w:spacing w:val="-66"/>
        </w:rPr>
        <w:t> </w:t>
      </w:r>
      <w:r>
        <w:rPr>
          <w:spacing w:val="-66"/>
        </w:rPr>
      </w:r>
      <w:r>
        <w:rPr>
          <w:spacing w:val="-2"/>
        </w:rPr>
        <w:t>司决策，并依靠自己的专业知识和能力做出客观、公正、独立的判断，充分发挥了独立董事的作用，维护了公司、全体股东</w:t>
      </w:r>
      <w:r>
        <w:rPr>
          <w:spacing w:val="-68"/>
        </w:rPr>
        <w:t> </w:t>
      </w:r>
      <w:r>
        <w:rPr>
          <w:spacing w:val="-68"/>
        </w:rPr>
      </w:r>
      <w:r>
        <w:rPr>
          <w:spacing w:val="-2"/>
        </w:rPr>
        <w:t>尤其是中小股东的合法权益。报告期内，独立董事根据相关规定对公司的重大事项发表独立意见，对公司董事会审议事项及</w:t>
      </w:r>
      <w:r>
        <w:rPr>
          <w:spacing w:val="-66"/>
        </w:rPr>
        <w:t> </w:t>
      </w:r>
      <w:r>
        <w:rPr>
          <w:spacing w:val="-66"/>
        </w:rPr>
      </w:r>
      <w:r>
        <w:rPr/>
        <w:t>其他事项未提出过异议。</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6"/>
          <w:szCs w:val="26"/>
        </w:rPr>
      </w:pPr>
    </w:p>
    <w:p>
      <w:pPr>
        <w:pStyle w:val="Heading2"/>
        <w:spacing w:line="240" w:lineRule="auto"/>
        <w:ind w:right="0"/>
        <w:jc w:val="left"/>
        <w:rPr>
          <w:b w:val="0"/>
          <w:bCs w:val="0"/>
        </w:rPr>
      </w:pPr>
      <w:bookmarkStart w:name="六、董事会下设专门委员会在报告期内履行职责情况" w:id="145"/>
      <w:bookmarkEnd w:id="145"/>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170" w:firstLine="420"/>
        <w:jc w:val="both"/>
      </w:pPr>
      <w:r>
        <w:rPr>
          <w:spacing w:val="-4"/>
        </w:rPr>
        <w:t>报告期内，公司董事会下设的各专门委员会根据《上市公司治理准则》、《公司章程》和公司董事会各专业委员会工作</w:t>
      </w:r>
      <w:r>
        <w:rPr/>
        <w:t> 细则，切实履职，规范了公司治理结构，为公司发展献言建策。各专门委员会具体工作如下：</w:t>
      </w:r>
    </w:p>
    <w:p>
      <w:pPr>
        <w:pStyle w:val="BodyText"/>
        <w:spacing w:line="487" w:lineRule="auto" w:before="94"/>
        <w:ind w:left="574" w:right="1152"/>
        <w:jc w:val="left"/>
      </w:pPr>
      <w:r>
        <w:rPr>
          <w:rFonts w:ascii="Times New Roman" w:hAnsi="Times New Roman" w:cs="Times New Roman" w:eastAsia="Times New Roman" w:hint="default"/>
          <w:b/>
          <w:bCs/>
        </w:rPr>
        <w:t>1</w:t>
      </w:r>
      <w:r>
        <w:rPr>
          <w:rFonts w:ascii="宋体" w:hAnsi="宋体" w:cs="宋体" w:eastAsia="宋体" w:hint="default"/>
          <w:b/>
          <w:bCs/>
        </w:rPr>
        <w:t>、审计委员会</w:t>
      </w:r>
      <w:r>
        <w:rPr>
          <w:rFonts w:ascii="宋体" w:hAnsi="宋体" w:cs="宋体" w:eastAsia="宋体" w:hint="default"/>
          <w:b/>
          <w:bCs/>
          <w:w w:val="99"/>
        </w:rPr>
        <w:t> </w:t>
      </w:r>
      <w:r>
        <w:rPr/>
        <w:t>报告期内，审计委员会根据《审计委员会工作细则》及其他相关规定，积极开展工作，定期了解公司财务状况和经营</w:t>
      </w:r>
    </w:p>
    <w:p>
      <w:pPr>
        <w:pStyle w:val="BodyText"/>
        <w:spacing w:line="477" w:lineRule="auto" w:before="47"/>
        <w:ind w:right="1118"/>
        <w:jc w:val="left"/>
      </w:pPr>
      <w:r>
        <w:rPr>
          <w:spacing w:val="-2"/>
        </w:rPr>
        <w:t>情况，认真审阅公司内部审计部门工作计划及总结，督促和指导公司内审部门对公司经营运行情况进行检查。报告期内共召</w:t>
      </w:r>
      <w:r>
        <w:rPr>
          <w:spacing w:val="-66"/>
        </w:rPr>
        <w:t> </w:t>
      </w:r>
      <w:r>
        <w:rPr>
          <w:spacing w:val="-66"/>
        </w:rPr>
      </w:r>
      <w:r>
        <w:rPr/>
        <w:t>开会议</w:t>
      </w:r>
      <w:r>
        <w:rPr>
          <w:spacing w:val="-38"/>
        </w:rPr>
        <w:t> </w:t>
      </w: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spacing w:val="-2"/>
        </w:rPr>
        <w:t>次，对续聘会计师事务所、会计政策变更、计提商誉减值准备、往来账款管理情况、押金保证金及员工借款管理情</w:t>
      </w:r>
    </w:p>
    <w:p>
      <w:pPr>
        <w:pStyle w:val="BodyText"/>
        <w:spacing w:line="451" w:lineRule="auto" w:before="21"/>
        <w:ind w:right="1124"/>
        <w:jc w:val="left"/>
      </w:pPr>
      <w:r>
        <w:rPr/>
        <w:t>况等事项进行了检查及审计，同时，在</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年度报告编制过程中，认真听取管理层的经营情况汇报，积极与年审会计师进 行沟通，确保审计工作顺利进行，积极发挥审核和监督职能。</w:t>
      </w:r>
    </w:p>
    <w:p>
      <w:pPr>
        <w:pStyle w:val="BodyText"/>
        <w:spacing w:line="487" w:lineRule="auto" w:before="115"/>
        <w:ind w:left="574" w:right="1152"/>
        <w:jc w:val="left"/>
      </w:pPr>
      <w:r>
        <w:rPr>
          <w:rFonts w:ascii="Times New Roman" w:hAnsi="Times New Roman" w:cs="Times New Roman" w:eastAsia="Times New Roman" w:hint="default"/>
          <w:b/>
          <w:bCs/>
        </w:rPr>
        <w:t>2</w:t>
      </w:r>
      <w:r>
        <w:rPr>
          <w:rFonts w:ascii="宋体" w:hAnsi="宋体" w:cs="宋体" w:eastAsia="宋体" w:hint="default"/>
          <w:b/>
          <w:bCs/>
        </w:rPr>
        <w:t>、战略发展委员会</w:t>
      </w:r>
      <w:r>
        <w:rPr>
          <w:rFonts w:ascii="宋体" w:hAnsi="宋体" w:cs="宋体" w:eastAsia="宋体" w:hint="default"/>
          <w:b/>
          <w:bCs/>
          <w:w w:val="99"/>
        </w:rPr>
        <w:t> </w:t>
      </w:r>
      <w:r>
        <w:rPr/>
        <w:t>报告期内，战略与投资委员会依据《战略发展委员会工作细则》等相关规定规范运作，结合公司所处行业发展趋势及</w:t>
      </w:r>
    </w:p>
    <w:p>
      <w:pPr>
        <w:pStyle w:val="BodyText"/>
        <w:spacing w:line="240" w:lineRule="auto" w:before="47"/>
        <w:ind w:right="0"/>
        <w:jc w:val="left"/>
      </w:pPr>
      <w:r>
        <w:rPr>
          <w:spacing w:val="-4"/>
        </w:rPr>
        <w:t>经济环境变化，为公司战略规划发展提出建议。报告期内共召开会议 </w:t>
      </w:r>
      <w:r>
        <w:rPr>
          <w:rFonts w:ascii="Times New Roman" w:hAnsi="Times New Roman" w:cs="Times New Roman" w:eastAsia="Times New Roman" w:hint="default"/>
        </w:rPr>
        <w:t>3</w:t>
      </w:r>
      <w:r>
        <w:rPr>
          <w:rFonts w:ascii="Times New Roman" w:hAnsi="Times New Roman" w:cs="Times New Roman" w:eastAsia="Times New Roman" w:hint="default"/>
          <w:spacing w:val="-23"/>
        </w:rPr>
        <w:t> </w:t>
      </w:r>
      <w:r>
        <w:rPr>
          <w:spacing w:val="-3"/>
        </w:rPr>
        <w:t>次，对公司投资设立湖南桃江达实智慧医养有限公司、</w:t>
      </w:r>
    </w:p>
    <w:p>
      <w:pPr>
        <w:spacing w:after="0" w:line="240" w:lineRule="auto"/>
        <w:jc w:val="left"/>
        <w:sectPr>
          <w:pgSz w:w="11910" w:h="16840"/>
          <w:pgMar w:header="787" w:footer="1019" w:top="1100" w:bottom="1200" w:left="980" w:right="0"/>
        </w:sectPr>
      </w:pPr>
    </w:p>
    <w:p>
      <w:pPr>
        <w:spacing w:line="240" w:lineRule="auto" w:before="10"/>
        <w:rPr>
          <w:rFonts w:ascii="宋体" w:hAnsi="宋体" w:cs="宋体" w:eastAsia="宋体" w:hint="default"/>
          <w:sz w:val="28"/>
          <w:szCs w:val="28"/>
        </w:rPr>
      </w:pPr>
    </w:p>
    <w:p>
      <w:pPr>
        <w:pStyle w:val="BodyText"/>
        <w:spacing w:line="451" w:lineRule="auto" w:before="44"/>
        <w:ind w:right="1114"/>
        <w:jc w:val="left"/>
      </w:pPr>
      <w:r>
        <w:rPr/>
        <w:t>投资设立合肥达实信息科技有限公司、对外投资收购平行咨询有限公司</w:t>
      </w:r>
      <w:r>
        <w:rPr>
          <w:spacing w:val="-52"/>
        </w:rPr>
        <w:t> </w:t>
      </w:r>
      <w:r>
        <w:rPr>
          <w:rFonts w:ascii="Times New Roman" w:hAnsi="Times New Roman" w:cs="Times New Roman" w:eastAsia="Times New Roman" w:hint="default"/>
        </w:rPr>
        <w:t>100%</w:t>
      </w:r>
      <w:r>
        <w:rPr/>
        <w:t>股权等事项进行了审议，确保公司发展规划和 战略决策的科学性。</w:t>
      </w:r>
    </w:p>
    <w:p>
      <w:pPr>
        <w:pStyle w:val="BodyText"/>
        <w:spacing w:line="489" w:lineRule="auto" w:before="113"/>
        <w:ind w:left="574" w:right="1152"/>
        <w:jc w:val="left"/>
      </w:pPr>
      <w:r>
        <w:rPr>
          <w:rFonts w:ascii="Times New Roman" w:hAnsi="Times New Roman" w:cs="Times New Roman" w:eastAsia="Times New Roman" w:hint="default"/>
          <w:b/>
          <w:bCs/>
        </w:rPr>
        <w:t>3</w:t>
      </w:r>
      <w:r>
        <w:rPr>
          <w:rFonts w:ascii="宋体" w:hAnsi="宋体" w:cs="宋体" w:eastAsia="宋体" w:hint="default"/>
          <w:b/>
          <w:bCs/>
        </w:rPr>
        <w:t>、薪酬与考核委员会</w:t>
      </w:r>
      <w:r>
        <w:rPr>
          <w:rFonts w:ascii="宋体" w:hAnsi="宋体" w:cs="宋体" w:eastAsia="宋体" w:hint="default"/>
          <w:b/>
          <w:bCs/>
          <w:w w:val="99"/>
        </w:rPr>
        <w:t> </w:t>
      </w:r>
      <w:r>
        <w:rPr/>
        <w:t>报告期内，薪酬与考核委员会依据《董事会薪酬及考核委员会工作细则》的有关规定，积极开展相关工作，报告期内</w:t>
      </w:r>
    </w:p>
    <w:p>
      <w:pPr>
        <w:pStyle w:val="BodyText"/>
        <w:spacing w:line="451" w:lineRule="auto" w:before="45"/>
        <w:ind w:right="1119"/>
        <w:jc w:val="left"/>
      </w:pPr>
      <w:r>
        <w:rPr/>
        <w:t>共召开会议</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2"/>
        </w:rPr>
        <w:t>次，对公司董事及高级管理人员的薪酬、股权激励解锁情况进行审核，对公司完善绩效考核体系和激励约束机</w:t>
      </w:r>
      <w:r>
        <w:rPr/>
        <w:t> 制提出指导意见。</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七、监事会工作情况" w:id="146"/>
      <w:bookmarkEnd w:id="146"/>
      <w:r>
        <w:rPr>
          <w:b w:val="0"/>
          <w:bCs w:val="0"/>
        </w:rPr>
      </w:r>
      <w:r>
        <w:rPr/>
        <w:t>七、监事会工作情况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13"/>
          <w:szCs w:val="13"/>
        </w:rPr>
      </w:pPr>
    </w:p>
    <w:p>
      <w:pPr>
        <w:pStyle w:val="BodyText"/>
        <w:spacing w:line="240" w:lineRule="auto"/>
        <w:ind w:left="574" w:right="0"/>
        <w:jc w:val="left"/>
      </w:pPr>
      <w:r>
        <w:rPr/>
        <w:t>监事会对报告期内的监督事项无异议。</w:t>
      </w:r>
    </w:p>
    <w:p>
      <w:pPr>
        <w:spacing w:line="240" w:lineRule="auto" w:before="10"/>
        <w:rPr>
          <w:rFonts w:ascii="宋体" w:hAnsi="宋体" w:cs="宋体" w:eastAsia="宋体" w:hint="default"/>
          <w:sz w:val="20"/>
          <w:szCs w:val="20"/>
        </w:rPr>
      </w:pPr>
    </w:p>
    <w:p>
      <w:pPr>
        <w:pStyle w:val="BodyText"/>
        <w:spacing w:line="472" w:lineRule="auto"/>
        <w:ind w:right="1031" w:firstLine="420"/>
        <w:jc w:val="left"/>
        <w:rPr>
          <w:rFonts w:ascii="宋体" w:hAnsi="宋体" w:cs="宋体" w:eastAsia="宋体" w:hint="default"/>
        </w:rPr>
      </w:pPr>
      <w:r>
        <w:rPr>
          <w:spacing w:val="-6"/>
        </w:rPr>
        <w:t>按照《公司法》、《公司章程》及《监事会议事规则》等有关规定，</w:t>
      </w:r>
      <w:r>
        <w:rPr>
          <w:rFonts w:ascii="Times New Roman" w:hAnsi="Times New Roman" w:cs="Times New Roman" w:eastAsia="Times New Roman" w:hint="default"/>
          <w:spacing w:val="-6"/>
        </w:rPr>
        <w:t>2018</w:t>
      </w:r>
      <w:r>
        <w:rPr>
          <w:rFonts w:ascii="Times New Roman" w:hAnsi="Times New Roman" w:cs="Times New Roman" w:eastAsia="Times New Roman" w:hint="default"/>
          <w:spacing w:val="9"/>
        </w:rPr>
        <w:t> </w:t>
      </w:r>
      <w:r>
        <w:rPr>
          <w:spacing w:val="-1"/>
        </w:rPr>
        <w:t>年度，监事会本着恪尽职守、勤勉尽责的工作</w:t>
      </w:r>
      <w:r>
        <w:rPr/>
        <w:t> </w:t>
      </w:r>
      <w:r>
        <w:rPr>
          <w:spacing w:val="-2"/>
        </w:rPr>
        <w:t>态度，认真履行监督职责，依法独立行使职权，对公司股东大会、董事会的召开程序、决策程序，董事会对股东大会决议的</w:t>
      </w:r>
      <w:r>
        <w:rPr>
          <w:spacing w:val="-68"/>
        </w:rPr>
        <w:t> </w:t>
      </w:r>
      <w:r>
        <w:rPr>
          <w:spacing w:val="-68"/>
        </w:rPr>
      </w:r>
      <w:r>
        <w:rPr/>
        <w:t>执行情况，公司高级管理人员的执行职务情况及公司管理制度执行情况等进行了监督，督促公司董事会和管理层依法运作， </w:t>
      </w:r>
      <w:r>
        <w:rPr>
          <w:spacing w:val="-3"/>
        </w:rPr>
        <w:t>科学决策，保障了公司财务规范运行，切实维护公司利益和全体股东权益。现将公司监事会</w:t>
      </w:r>
      <w:r>
        <w:rPr>
          <w:spacing w:val="-3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6"/>
        </w:rPr>
        <w:t> </w:t>
      </w:r>
      <w:r>
        <w:rPr/>
        <w:t>年度的工作情况汇报如下：</w:t>
      </w:r>
      <w:r>
        <w:rPr>
          <w:spacing w:val="-87"/>
        </w:rPr>
        <w:t> </w:t>
      </w:r>
      <w:r>
        <w:rPr>
          <w:rFonts w:ascii="宋体" w:hAnsi="宋体" w:cs="宋体" w:eastAsia="宋体" w:hint="default"/>
          <w:b/>
          <w:bCs/>
        </w:rPr>
        <w:t>一、</w:t>
      </w:r>
      <w:r>
        <w:rPr>
          <w:rFonts w:ascii="Times New Roman" w:hAnsi="Times New Roman" w:cs="Times New Roman" w:eastAsia="Times New Roman" w:hint="default"/>
          <w:b/>
          <w:bCs/>
        </w:rPr>
        <w:t>2018</w:t>
      </w:r>
      <w:r>
        <w:rPr>
          <w:rFonts w:ascii="Times New Roman" w:hAnsi="Times New Roman" w:cs="Times New Roman" w:eastAsia="Times New Roman" w:hint="default"/>
          <w:b/>
          <w:bCs/>
          <w:spacing w:val="-3"/>
        </w:rPr>
        <w:t> </w:t>
      </w:r>
      <w:r>
        <w:rPr>
          <w:rFonts w:ascii="宋体" w:hAnsi="宋体" w:cs="宋体" w:eastAsia="宋体" w:hint="default"/>
          <w:b/>
          <w:bCs/>
        </w:rPr>
        <w:t>年度监事会日常运作情况</w:t>
      </w:r>
      <w:r>
        <w:rPr>
          <w:rFonts w:ascii="宋体" w:hAnsi="宋体" w:cs="宋体" w:eastAsia="宋体" w:hint="default"/>
        </w:rPr>
      </w:r>
    </w:p>
    <w:p>
      <w:pPr>
        <w:pStyle w:val="BodyText"/>
        <w:spacing w:line="240" w:lineRule="auto" w:before="65"/>
        <w:ind w:left="574"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年度，监事会共召开</w:t>
      </w:r>
      <w:r>
        <w:rPr>
          <w:spacing w:val="-46"/>
        </w:rPr>
        <w:t> </w:t>
      </w:r>
      <w:r>
        <w:rPr>
          <w:rFonts w:ascii="Times New Roman" w:hAnsi="Times New Roman" w:cs="Times New Roman" w:eastAsia="Times New Roman" w:hint="default"/>
        </w:rPr>
        <w:t>4 </w:t>
      </w:r>
      <w:r>
        <w:rPr/>
        <w:t>次会议，具体召开情况如下：</w:t>
      </w:r>
    </w:p>
    <w:p>
      <w:pPr>
        <w:spacing w:line="240" w:lineRule="auto" w:before="10"/>
        <w:rPr>
          <w:rFonts w:ascii="宋体" w:hAnsi="宋体" w:cs="宋体" w:eastAsia="宋体" w:hint="default"/>
          <w:sz w:val="19"/>
          <w:szCs w:val="19"/>
        </w:rPr>
      </w:pPr>
    </w:p>
    <w:p>
      <w:pPr>
        <w:pStyle w:val="BodyText"/>
        <w:spacing w:line="451" w:lineRule="auto"/>
        <w:ind w:right="1026" w:firstLine="42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日，公</w:t>
      </w:r>
      <w:r>
        <w:rPr>
          <w:spacing w:val="1"/>
        </w:rPr>
        <w:t>司</w:t>
      </w:r>
      <w:r>
        <w:rPr/>
        <w:t>召开了第六届监事会第九次会议，审议通过了《</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年度监事会工作报告</w:t>
      </w:r>
      <w:r>
        <w:rPr>
          <w:spacing w:val="-90"/>
        </w:rPr>
        <w:t>》、</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 财务决算报告</w:t>
      </w:r>
      <w:r>
        <w:rPr>
          <w:spacing w:val="-90"/>
        </w:rPr>
        <w:t>》</w:t>
      </w:r>
      <w:r>
        <w:rPr>
          <w:spacing w:val="-100"/>
        </w:rPr>
        <w:t>、</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w:t>
      </w:r>
      <w:r>
        <w:rPr>
          <w:spacing w:val="1"/>
        </w:rPr>
        <w:t>度</w:t>
      </w:r>
      <w:r>
        <w:rPr/>
        <w:t>报告全文</w:t>
      </w:r>
      <w:r>
        <w:rPr>
          <w:spacing w:val="-90"/>
        </w:rPr>
        <w:t>》</w:t>
      </w:r>
      <w:r>
        <w:rPr>
          <w:spacing w:val="-100"/>
        </w:rPr>
        <w:t>、</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年度利润分配预案</w:t>
      </w:r>
      <w:r>
        <w:rPr>
          <w:spacing w:val="-90"/>
        </w:rPr>
        <w:t>》</w:t>
      </w:r>
      <w:r>
        <w:rPr>
          <w:spacing w:val="-100"/>
        </w:rPr>
        <w:t>、</w:t>
      </w:r>
      <w:r>
        <w:rPr>
          <w:spacing w:val="-1"/>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年度内部控制评价报告</w:t>
      </w:r>
      <w:r>
        <w:rPr>
          <w:spacing w:val="-90"/>
        </w:rPr>
        <w:t>》</w:t>
      </w:r>
      <w:r>
        <w:rPr>
          <w:spacing w:val="-100"/>
        </w:rPr>
        <w:t>、</w:t>
      </w:r>
      <w:r>
        <w:rPr/>
        <w:t>《关于续聘会计</w:t>
      </w:r>
      <w:r>
        <w:rPr>
          <w:spacing w:val="1"/>
        </w:rPr>
        <w:t>师</w:t>
      </w:r>
      <w:r>
        <w:rPr/>
        <w:t>事</w:t>
      </w:r>
      <w:r>
        <w:rPr/>
        <w:t> 务所的议案</w:t>
      </w:r>
      <w:r>
        <w:rPr>
          <w:spacing w:val="-90"/>
        </w:rPr>
        <w:t>》、</w:t>
      </w:r>
      <w:r>
        <w:rPr/>
        <w:t>《关于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spacing w:val="1"/>
        </w:rPr>
        <w:t>年</w:t>
      </w:r>
      <w:r>
        <w:rPr/>
        <w:t>度监事薪酬的议案</w:t>
      </w:r>
      <w:r>
        <w:rPr>
          <w:spacing w:val="-90"/>
        </w:rPr>
        <w:t>》、</w:t>
      </w:r>
      <w:r>
        <w:rPr/>
        <w:t>《关于第二期限制性股票激励计划第三个解锁条件及预留股份第二个解锁</w:t>
      </w:r>
      <w:r>
        <w:rPr/>
        <w:t> 条件满足的议案</w:t>
      </w:r>
      <w:r>
        <w:rPr>
          <w:spacing w:val="-90"/>
        </w:rPr>
        <w:t>》</w:t>
      </w:r>
      <w:r>
        <w:rPr>
          <w:spacing w:val="-118"/>
        </w:rPr>
        <w:t>、</w:t>
      </w:r>
      <w:r>
        <w:rPr/>
        <w:t>《关于回购注销部分限制性股票的议案</w:t>
      </w:r>
      <w:r>
        <w:rPr>
          <w:spacing w:val="-90"/>
        </w:rPr>
        <w:t>》</w:t>
      </w:r>
      <w:r>
        <w:rPr>
          <w:spacing w:val="-118"/>
        </w:rPr>
        <w:t>、</w:t>
      </w:r>
      <w:r>
        <w:rPr/>
        <w:t>《关于会计政策变更的议案</w:t>
      </w:r>
      <w:r>
        <w:rPr>
          <w:spacing w:val="-90"/>
        </w:rPr>
        <w:t>》</w:t>
      </w:r>
      <w:r>
        <w:rPr>
          <w:spacing w:val="-118"/>
        </w:rPr>
        <w:t>、</w:t>
      </w:r>
      <w:r>
        <w:rPr/>
        <w:t>《关于计提商誉减值准备的议案</w:t>
      </w:r>
      <w:r>
        <w:rPr>
          <w:spacing w:val="-90"/>
        </w:rPr>
        <w:t>》</w:t>
      </w:r>
      <w:r>
        <w:rPr/>
        <w:t>；</w:t>
      </w:r>
    </w:p>
    <w:p>
      <w:pPr>
        <w:pStyle w:val="BodyText"/>
        <w:spacing w:line="240" w:lineRule="auto" w:before="113"/>
        <w:ind w:left="57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日，公</w:t>
      </w:r>
      <w:r>
        <w:rPr>
          <w:spacing w:val="1"/>
        </w:rPr>
        <w:t>司</w:t>
      </w:r>
      <w:r>
        <w:rPr/>
        <w:t>召开了第六届监事会第十次会议，审议通过了《</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年第一季度报告正文及全文</w:t>
      </w:r>
      <w:r>
        <w:rPr>
          <w:spacing w:val="-90"/>
        </w:rPr>
        <w:t>》</w:t>
      </w:r>
      <w:r>
        <w:rPr/>
        <w:t>；</w:t>
      </w:r>
    </w:p>
    <w:p>
      <w:pPr>
        <w:spacing w:line="240" w:lineRule="auto" w:before="9"/>
        <w:rPr>
          <w:rFonts w:ascii="宋体" w:hAnsi="宋体" w:cs="宋体" w:eastAsia="宋体" w:hint="default"/>
          <w:sz w:val="19"/>
          <w:szCs w:val="19"/>
        </w:rPr>
      </w:pPr>
    </w:p>
    <w:p>
      <w:pPr>
        <w:pStyle w:val="BodyText"/>
        <w:spacing w:line="451" w:lineRule="auto"/>
        <w:ind w:right="1120" w:firstLine="420"/>
        <w:jc w:val="left"/>
      </w:pPr>
      <w:r>
        <w:rPr>
          <w:rFonts w:ascii="Times New Roman" w:hAnsi="Times New Roman" w:cs="Times New Roman" w:eastAsia="Times New Roman" w:hint="default"/>
        </w:rPr>
        <w:t>3</w:t>
      </w:r>
      <w:r>
        <w:rPr>
          <w:spacing w:val="-16"/>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 </w:t>
      </w:r>
      <w:r>
        <w:rPr/>
        <w:t>月</w:t>
      </w:r>
      <w:r>
        <w:rPr>
          <w:spacing w:val="-46"/>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t>日</w:t>
      </w:r>
      <w:r>
        <w:rPr>
          <w:spacing w:val="-16"/>
        </w:rPr>
        <w:t>，</w:t>
      </w:r>
      <w:r>
        <w:rPr/>
        <w:t>公</w:t>
      </w:r>
      <w:r>
        <w:rPr>
          <w:spacing w:val="1"/>
        </w:rPr>
        <w:t>司</w:t>
      </w:r>
      <w:r>
        <w:rPr/>
        <w:t>召开了第六届监事会第十一次会议</w:t>
      </w:r>
      <w:r>
        <w:rPr>
          <w:spacing w:val="-16"/>
        </w:rPr>
        <w:t>，</w:t>
      </w:r>
      <w:r>
        <w:rPr/>
        <w:t>审议通过</w:t>
      </w:r>
      <w:r>
        <w:rPr>
          <w:spacing w:val="-16"/>
        </w:rPr>
        <w:t>了</w:t>
      </w:r>
      <w:r>
        <w:rPr/>
        <w:t>《</w:t>
      </w:r>
      <w:r>
        <w:rPr>
          <w:rFonts w:ascii="Times New Roman" w:hAnsi="Times New Roman" w:cs="Times New Roman" w:eastAsia="Times New Roman" w:hint="default"/>
        </w:rPr>
        <w:t>&lt;2018</w:t>
      </w:r>
      <w:r>
        <w:rPr>
          <w:rFonts w:ascii="Times New Roman" w:hAnsi="Times New Roman" w:cs="Times New Roman" w:eastAsia="Times New Roman" w:hint="default"/>
          <w:spacing w:val="1"/>
        </w:rPr>
        <w:t> </w:t>
      </w:r>
      <w:r>
        <w:rPr/>
        <w:t>年半年度报告全文</w:t>
      </w:r>
      <w:r>
        <w:rPr>
          <w:rFonts w:ascii="Times New Roman" w:hAnsi="Times New Roman" w:cs="Times New Roman" w:eastAsia="Times New Roman" w:hint="default"/>
        </w:rPr>
        <w:t>&gt;</w:t>
      </w:r>
      <w:r>
        <w:rPr/>
        <w:t>及摘要</w:t>
      </w:r>
      <w:r>
        <w:rPr>
          <w:spacing w:val="-90"/>
        </w:rPr>
        <w:t>》</w:t>
      </w:r>
      <w:r>
        <w:rPr>
          <w:spacing w:val="-106"/>
        </w:rPr>
        <w:t>、</w:t>
      </w:r>
      <w:r>
        <w:rPr/>
        <w:t>《关</w:t>
      </w:r>
      <w:r>
        <w:rPr/>
        <w:t> 于向控股子公司追加提供财务资助的议案</w:t>
      </w:r>
      <w:r>
        <w:rPr>
          <w:spacing w:val="-90"/>
        </w:rPr>
        <w:t>》</w:t>
      </w:r>
      <w:r>
        <w:rPr/>
        <w:t>；</w:t>
      </w:r>
    </w:p>
    <w:p>
      <w:pPr>
        <w:pStyle w:val="BodyText"/>
        <w:spacing w:line="451" w:lineRule="auto" w:before="113"/>
        <w:ind w:right="1119" w:firstLine="420"/>
        <w:jc w:val="left"/>
      </w:pPr>
      <w:r>
        <w:rPr>
          <w:rFonts w:ascii="Times New Roman" w:hAnsi="Times New Roman" w:cs="Times New Roman" w:eastAsia="Times New Roman" w:hint="default"/>
        </w:rPr>
        <w:t>4</w:t>
      </w:r>
      <w:r>
        <w:rPr>
          <w:spacing w:val="-29"/>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 </w:t>
      </w: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w:t>
      </w:r>
      <w:r>
        <w:rPr>
          <w:spacing w:val="-29"/>
        </w:rPr>
        <w:t>，</w:t>
      </w:r>
      <w:r>
        <w:rPr/>
        <w:t>公</w:t>
      </w:r>
      <w:r>
        <w:rPr>
          <w:spacing w:val="1"/>
        </w:rPr>
        <w:t>司</w:t>
      </w:r>
      <w:r>
        <w:rPr/>
        <w:t>召开了第六届监事会第十二次会议</w:t>
      </w:r>
      <w:r>
        <w:rPr>
          <w:spacing w:val="-29"/>
        </w:rPr>
        <w:t>，</w:t>
      </w:r>
      <w:r>
        <w:rPr/>
        <w:t>审议通过</w:t>
      </w:r>
      <w:r>
        <w:rPr>
          <w:spacing w:val="-29"/>
        </w:rPr>
        <w:t>了</w:t>
      </w:r>
      <w:r>
        <w:rPr/>
        <w:t>《</w:t>
      </w:r>
      <w:r>
        <w:rPr>
          <w:rFonts w:ascii="Times New Roman" w:hAnsi="Times New Roman" w:cs="Times New Roman" w:eastAsia="Times New Roman" w:hint="default"/>
        </w:rPr>
        <w:t>2018 </w:t>
      </w:r>
      <w:r>
        <w:rPr/>
        <w:t>年第三季度报告正文及全文</w:t>
      </w:r>
      <w:r>
        <w:rPr>
          <w:spacing w:val="-90"/>
        </w:rPr>
        <w:t>》</w:t>
      </w:r>
      <w:r>
        <w:rPr>
          <w:spacing w:val="-119"/>
        </w:rPr>
        <w:t>、</w:t>
      </w:r>
      <w:r>
        <w:rPr/>
        <w:t>《关</w:t>
      </w:r>
      <w:r>
        <w:rPr/>
        <w:t> 于开展应收账款资产证券化的议案</w:t>
      </w:r>
      <w:r>
        <w:rPr>
          <w:spacing w:val="-90"/>
        </w:rPr>
        <w:t>》</w:t>
      </w:r>
      <w:r>
        <w:rPr/>
        <w:t>。</w:t>
      </w:r>
    </w:p>
    <w:p>
      <w:pPr>
        <w:pStyle w:val="Heading6"/>
        <w:spacing w:line="240" w:lineRule="auto" w:before="114"/>
        <w:ind w:right="0"/>
        <w:jc w:val="left"/>
        <w:rPr>
          <w:b w:val="0"/>
          <w:bCs w:val="0"/>
        </w:rPr>
      </w:pPr>
      <w:r>
        <w:rPr/>
        <w:t>二、监事会对</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年度公司运作事项发表的核查意见</w:t>
      </w:r>
      <w:r>
        <w:rPr>
          <w:b w:val="0"/>
          <w:bCs w:val="0"/>
        </w:rPr>
      </w:r>
    </w:p>
    <w:p>
      <w:pPr>
        <w:spacing w:line="240" w:lineRule="auto" w:before="9"/>
        <w:rPr>
          <w:rFonts w:ascii="宋体" w:hAnsi="宋体" w:cs="宋体" w:eastAsia="宋体" w:hint="default"/>
          <w:b/>
          <w:bCs/>
          <w:sz w:val="19"/>
          <w:szCs w:val="19"/>
        </w:rPr>
      </w:pPr>
    </w:p>
    <w:p>
      <w:pPr>
        <w:pStyle w:val="BodyText"/>
        <w:spacing w:line="451" w:lineRule="auto"/>
        <w:ind w:right="1041" w:firstLine="420"/>
        <w:jc w:val="left"/>
      </w:pPr>
      <w:r>
        <w:rPr>
          <w:rFonts w:ascii="Times New Roman" w:hAnsi="Times New Roman" w:cs="Times New Roman" w:eastAsia="Times New Roman" w:hint="default"/>
          <w:spacing w:val="-3"/>
        </w:rPr>
        <w:t>1</w:t>
      </w:r>
      <w:r>
        <w:rPr>
          <w:spacing w:val="-3"/>
        </w:rPr>
        <w:t>、公司依法运作情况。监事会依照有关法律、法规的规定，认真履行职责，出席了公司股东大会，列席了部分董事会，</w:t>
      </w:r>
      <w:r>
        <w:rPr/>
        <w:t> 对会议的召集、召开、决策程序以及</w:t>
      </w:r>
      <w:r>
        <w:rPr>
          <w:spacing w:val="-46"/>
        </w:rPr>
        <w:t> </w:t>
      </w:r>
      <w:r>
        <w:rPr>
          <w:rFonts w:ascii="Times New Roman" w:hAnsi="Times New Roman" w:cs="Times New Roman" w:eastAsia="Times New Roman" w:hint="default"/>
        </w:rPr>
        <w:t>2018 </w:t>
      </w:r>
      <w:r>
        <w:rPr/>
        <w:t>年度董事会对股东大会决议的执行情况以及公司决策运作情况进行了监督。监事</w:t>
      </w:r>
    </w:p>
    <w:p>
      <w:pPr>
        <w:spacing w:after="0" w:line="451" w:lineRule="auto"/>
        <w:jc w:val="left"/>
        <w:sectPr>
          <w:pgSz w:w="11910" w:h="16840"/>
          <w:pgMar w:header="787" w:footer="1019" w:top="1100" w:bottom="1200" w:left="980" w:right="0"/>
        </w:sectPr>
      </w:pPr>
    </w:p>
    <w:p>
      <w:pPr>
        <w:spacing w:line="240" w:lineRule="auto" w:before="10"/>
        <w:rPr>
          <w:rFonts w:ascii="宋体" w:hAnsi="宋体" w:cs="宋体" w:eastAsia="宋体" w:hint="default"/>
          <w:sz w:val="28"/>
          <w:szCs w:val="28"/>
        </w:rPr>
      </w:pPr>
    </w:p>
    <w:p>
      <w:pPr>
        <w:pStyle w:val="BodyText"/>
        <w:spacing w:line="477" w:lineRule="auto" w:before="44"/>
        <w:ind w:right="1130"/>
        <w:jc w:val="both"/>
      </w:pPr>
      <w:r>
        <w:rPr>
          <w:spacing w:val="-2"/>
        </w:rPr>
        <w:t>会认为，公司董事会、股东大会的召开、决策程序合法有效，董事会能够认真执行股东大会的各项决议，公司董事、高级管</w:t>
      </w:r>
      <w:r>
        <w:rPr>
          <w:spacing w:val="-68"/>
        </w:rPr>
        <w:t> </w:t>
      </w:r>
      <w:r>
        <w:rPr>
          <w:spacing w:val="-68"/>
        </w:rPr>
      </w:r>
      <w:r>
        <w:rPr>
          <w:spacing w:val="-2"/>
        </w:rPr>
        <w:t>理人员在履行公司职务时，均能够勤勉尽职，遵守国家法律法规和公司相关规定，不存在违反法律、法规、公司章程或损害</w:t>
      </w:r>
      <w:r>
        <w:rPr>
          <w:spacing w:val="-66"/>
        </w:rPr>
        <w:t> </w:t>
      </w:r>
      <w:r>
        <w:rPr>
          <w:spacing w:val="-66"/>
        </w:rPr>
      </w:r>
      <w:r>
        <w:rPr/>
        <w:t>公司利益的行为。</w:t>
      </w:r>
    </w:p>
    <w:p>
      <w:pPr>
        <w:pStyle w:val="BodyText"/>
        <w:spacing w:line="465" w:lineRule="auto" w:before="93"/>
        <w:ind w:right="1118" w:firstLine="420"/>
        <w:jc w:val="left"/>
      </w:pPr>
      <w:r>
        <w:rPr>
          <w:rFonts w:ascii="Times New Roman" w:hAnsi="Times New Roman" w:cs="Times New Roman" w:eastAsia="Times New Roman" w:hint="default"/>
        </w:rPr>
        <w:t>2</w:t>
      </w:r>
      <w:r>
        <w:rPr/>
        <w:t>、公司财务情况。</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年度，监事会通过查阅公司财务报表、财务状况和内控制度等进行了监督检查。监事会认为 </w:t>
      </w:r>
      <w:r>
        <w:rPr>
          <w:spacing w:val="-2"/>
        </w:rPr>
        <w:t>公司财务管理和内控制度健全，严格执行了企业会计准则，会计无重大遗漏和虚假记载，中勤万信会计师事务所（特殊普通</w:t>
      </w:r>
      <w:r>
        <w:rPr>
          <w:spacing w:val="-66"/>
        </w:rPr>
        <w:t> </w:t>
      </w:r>
      <w:r>
        <w:rPr>
          <w:spacing w:val="-66"/>
        </w:rPr>
      </w:r>
      <w:r>
        <w:rPr/>
        <w:t>合伙）对公司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年度财务报告出具了标准无保留意见的审计报告，真实、公正地反映了公司的财务状况和经营成果。</w:t>
      </w:r>
    </w:p>
    <w:p>
      <w:pPr>
        <w:pStyle w:val="BodyText"/>
        <w:spacing w:line="460" w:lineRule="auto" w:before="71"/>
        <w:ind w:right="1133" w:firstLine="420"/>
        <w:jc w:val="both"/>
      </w:pPr>
      <w:r>
        <w:rPr>
          <w:rFonts w:ascii="Times New Roman" w:hAnsi="Times New Roman" w:cs="Times New Roman" w:eastAsia="Times New Roman" w:hint="default"/>
        </w:rPr>
        <w:t>3</w:t>
      </w:r>
      <w:r>
        <w:rPr/>
        <w:t>、公司对外投资情况。</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年度，公司实施了多笔对外投资，包括投资设立湖南桃江达实智慧医养有限公司、投资 设立合肥达实智慧医疗有限公司。经核查，上述对外投资均履行了必要的审批程序，符合公司的发展战略需要</w:t>
      </w:r>
      <w:r>
        <w:rPr>
          <w:rFonts w:ascii="Times New Roman" w:hAnsi="Times New Roman" w:cs="Times New Roman" w:eastAsia="Times New Roman" w:hint="default"/>
        </w:rPr>
        <w:t>,</w:t>
      </w:r>
      <w:r>
        <w:rPr/>
        <w:t>交易遵循了 </w:t>
      </w:r>
      <w:r>
        <w:rPr>
          <w:spacing w:val="-2"/>
        </w:rPr>
        <w:t>公开、公平、公正的原则，交易价格公允，未发现有侵害中小股东利益的行为和情况，符合中国证监会和深圳证券交易所的</w:t>
      </w:r>
      <w:r>
        <w:rPr>
          <w:spacing w:val="-66"/>
        </w:rPr>
        <w:t> </w:t>
      </w:r>
      <w:r>
        <w:rPr>
          <w:spacing w:val="-66"/>
        </w:rPr>
      </w:r>
      <w:r>
        <w:rPr/>
        <w:t>有关规定。</w:t>
      </w:r>
    </w:p>
    <w:p>
      <w:pPr>
        <w:pStyle w:val="BodyText"/>
        <w:spacing w:line="470" w:lineRule="auto" w:before="105"/>
        <w:ind w:right="1131" w:firstLine="420"/>
        <w:jc w:val="both"/>
      </w:pPr>
      <w:r>
        <w:rPr>
          <w:rFonts w:ascii="Times New Roman" w:hAnsi="Times New Roman" w:cs="Times New Roman" w:eastAsia="Times New Roman" w:hint="default"/>
          <w:spacing w:val="-2"/>
        </w:rPr>
        <w:t>4</w:t>
      </w:r>
      <w:r>
        <w:rPr>
          <w:spacing w:val="-2"/>
        </w:rPr>
        <w:t>、公司内控制度情况。公司的内部控制活动涵盖了管理控制、生产过程控制、财务管理控制、人事和信息披露等公司</w:t>
      </w:r>
      <w:r>
        <w:rPr/>
        <w:t> </w:t>
      </w:r>
      <w:r>
        <w:rPr>
          <w:spacing w:val="-2"/>
        </w:rPr>
        <w:t>所有营运环节，公司各职能部门以及相关岗位具有明确的目标、职责、权限，公司的架构设置保证了公司董事会及管理层下</w:t>
      </w:r>
      <w:r>
        <w:rPr>
          <w:spacing w:val="-66"/>
        </w:rPr>
        <w:t> </w:t>
      </w:r>
      <w:r>
        <w:rPr>
          <w:spacing w:val="-66"/>
        </w:rPr>
      </w:r>
      <w:r>
        <w:rPr>
          <w:spacing w:val="-2"/>
        </w:rPr>
        <w:t>达的指令被有效执行、经营活动健康地运行及控制目标的实现。监事会认为公司内控制度体系的设计与运行符合我国有关法</w:t>
      </w:r>
      <w:r>
        <w:rPr>
          <w:spacing w:val="-64"/>
        </w:rPr>
        <w:t> </w:t>
      </w:r>
      <w:r>
        <w:rPr>
          <w:spacing w:val="-64"/>
        </w:rPr>
      </w:r>
      <w:r>
        <w:rPr>
          <w:spacing w:val="-2"/>
        </w:rPr>
        <w:t>规和监管部门的要求，符合公司自身经营特点，在所有重大管理工作方面中制定了健全、合理的内部控制制度，并得到了有</w:t>
      </w:r>
      <w:r>
        <w:rPr>
          <w:spacing w:val="-66"/>
        </w:rPr>
        <w:t> </w:t>
      </w:r>
      <w:r>
        <w:rPr>
          <w:spacing w:val="-66"/>
        </w:rPr>
      </w:r>
      <w:r>
        <w:rPr/>
        <w:t>效遵循。</w:t>
      </w:r>
    </w:p>
    <w:p>
      <w:pPr>
        <w:pStyle w:val="BodyText"/>
        <w:spacing w:line="465" w:lineRule="auto" w:before="98"/>
        <w:ind w:right="1133" w:firstLine="420"/>
        <w:jc w:val="both"/>
      </w:pPr>
      <w:r>
        <w:rPr>
          <w:rFonts w:ascii="Times New Roman" w:hAnsi="Times New Roman" w:cs="Times New Roman" w:eastAsia="Times New Roman" w:hint="default"/>
          <w:spacing w:val="-2"/>
        </w:rPr>
        <w:t>5</w:t>
      </w:r>
      <w:r>
        <w:rPr>
          <w:spacing w:val="-2"/>
        </w:rPr>
        <w:t>、公司建立和实施内幕信息知情人管理制度情况。公司已建立《内幕信息知情人登记制度》，所有重大事项均能按照</w:t>
      </w:r>
      <w:r>
        <w:rPr/>
        <w:t> </w:t>
      </w:r>
      <w:r>
        <w:rPr>
          <w:spacing w:val="-2"/>
        </w:rPr>
        <w:t>制度要求履行登记、备案程序。公司重大资产重组对所有知情人、事项进程均严格进行了登记、确认，并上报至中国证监会</w:t>
      </w:r>
      <w:r>
        <w:rPr>
          <w:spacing w:val="-66"/>
        </w:rPr>
        <w:t> </w:t>
      </w:r>
      <w:r>
        <w:rPr>
          <w:spacing w:val="-66"/>
        </w:rPr>
      </w:r>
      <w:r>
        <w:rPr/>
        <w:t>及深圳证券交易所通过了审核。</w:t>
      </w:r>
    </w:p>
    <w:p>
      <w:pPr>
        <w:pStyle w:val="BodyText"/>
        <w:spacing w:line="240" w:lineRule="auto" w:before="104"/>
        <w:ind w:left="574"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年，监事会将按照上市公司治理要求，以提高监督水平为核心，持续推动公司各项法人治理结构的完善。</w:t>
      </w:r>
    </w:p>
    <w:p>
      <w:pPr>
        <w:spacing w:line="240" w:lineRule="auto" w:before="0"/>
        <w:rPr>
          <w:rFonts w:ascii="宋体" w:hAnsi="宋体" w:cs="宋体" w:eastAsia="宋体" w:hint="default"/>
          <w:sz w:val="18"/>
          <w:szCs w:val="18"/>
        </w:rPr>
      </w:pPr>
    </w:p>
    <w:p>
      <w:pPr>
        <w:pStyle w:val="Heading2"/>
        <w:spacing w:line="240" w:lineRule="auto" w:before="155"/>
        <w:ind w:right="0"/>
        <w:jc w:val="both"/>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133" w:firstLine="420"/>
        <w:jc w:val="both"/>
      </w:pPr>
      <w:r>
        <w:rPr/>
        <w:t>根据《上市公司治理准则》的要求，公司建立了《董事、监事及高级管理人员薪酬管理制度》及考核激励体系，高级 </w:t>
      </w:r>
      <w:r>
        <w:rPr>
          <w:spacing w:val="-2"/>
        </w:rPr>
        <w:t>管理人员全部由董事会聘任，直接对董事会负责，承担董事会下达的经营指标。董事会下设的薪酬与考核委员会负责对高级</w:t>
      </w:r>
      <w:r>
        <w:rPr>
          <w:spacing w:val="-66"/>
        </w:rPr>
        <w:t> </w:t>
      </w:r>
      <w:r>
        <w:rPr>
          <w:spacing w:val="-66"/>
        </w:rPr>
      </w:r>
      <w:r>
        <w:rPr/>
        <w:t>管理人员的工作能力、履职情况、责任目标完成情况等进行年终考评，制定薪酬方案并报董事会审批。</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Heading2"/>
        <w:spacing w:line="240" w:lineRule="auto"/>
        <w:ind w:right="0"/>
        <w:jc w:val="both"/>
        <w:rPr>
          <w:b w:val="0"/>
          <w:bCs w:val="0"/>
        </w:rPr>
      </w:pPr>
      <w:bookmarkStart w:name="九、内部控制评价报告" w:id="148"/>
      <w:bookmarkEnd w:id="148"/>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both"/>
        <w:rPr>
          <w:b w:val="0"/>
          <w:bCs w:val="0"/>
        </w:rPr>
      </w:pPr>
      <w:bookmarkStart w:name="1、报告期内发现的内部控制重大缺陷的具体情况" w:id="149"/>
      <w:bookmarkEnd w:id="14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both"/>
        <w:sectPr>
          <w:pgSz w:w="11910" w:h="16840"/>
          <w:pgMar w:header="787" w:footer="1019" w:top="1100" w:bottom="1200" w:left="980" w:right="0"/>
        </w:sectPr>
      </w:pPr>
    </w:p>
    <w:p>
      <w:pPr>
        <w:spacing w:line="240" w:lineRule="auto" w:before="7"/>
        <w:rPr>
          <w:rFonts w:ascii="宋体" w:hAnsi="宋体" w:cs="宋体" w:eastAsia="宋体" w:hint="default"/>
          <w:sz w:val="21"/>
          <w:szCs w:val="21"/>
        </w:rPr>
      </w:pPr>
      <w:r>
        <w:rPr/>
        <w:pict>
          <v:group style="position:absolute;margin-left:383.980011pt;margin-top:612.519958pt;width:149.8pt;height:31.2pt;mso-position-horizontal-relative:page;mso-position-vertical-relative:page;z-index:-1176256" coordorigin="7680,12250" coordsize="2996,624">
            <v:group style="position:absolute;left:7680;top:12250;width:2996;height:312" coordorigin="7680,12250" coordsize="2996,312">
              <v:shape style="position:absolute;left:7680;top:12250;width:2996;height:312" coordorigin="7680,12250" coordsize="2996,312" path="m7680,12562l10675,12562,10675,12250,7680,12250,7680,12562xe" filled="true" fillcolor="#ffffff" stroked="false">
                <v:path arrowok="t"/>
                <v:fill type="solid"/>
              </v:shape>
            </v:group>
            <v:group style="position:absolute;left:7680;top:12562;width:2996;height:312" coordorigin="7680,12562" coordsize="2996,312">
              <v:shape style="position:absolute;left:7680;top:12562;width:2996;height:312" coordorigin="7680,12562" coordsize="2996,312" path="m7680,12874l10675,12874,10675,12562,7680,12562,7680,12874xe" filled="true" fillcolor="#ffffff" stroked="false">
                <v:path arrowok="t"/>
                <v:fill type="solid"/>
              </v:shape>
            </v:group>
            <w10:wrap type="none"/>
          </v:group>
        </w:pict>
      </w:r>
    </w:p>
    <w:p>
      <w:pPr>
        <w:pStyle w:val="Heading4"/>
        <w:spacing w:line="240" w:lineRule="auto" w:before="35"/>
        <w:ind w:right="0"/>
        <w:jc w:val="left"/>
        <w:rPr>
          <w:b w:val="0"/>
          <w:bCs w:val="0"/>
        </w:rPr>
      </w:pPr>
      <w:bookmarkStart w:name="2、内控自我评价报告" w:id="150"/>
      <w:bookmarkEnd w:id="15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年度内部控制评价报告</w:t>
            </w:r>
            <w:r>
              <w:rPr>
                <w:rFonts w:ascii="宋体" w:hAnsi="宋体" w:cs="宋体" w:eastAsia="宋体" w:hint="default"/>
                <w:spacing w:val="-90"/>
                <w:sz w:val="18"/>
                <w:szCs w:val="18"/>
              </w:rPr>
              <w:t>》</w:t>
            </w:r>
            <w:r>
              <w:rPr>
                <w:rFonts w:ascii="宋体" w:hAnsi="宋体" w:cs="宋体" w:eastAsia="宋体" w:hint="default"/>
                <w:sz w:val="18"/>
                <w:szCs w:val="18"/>
              </w:rPr>
              <w:t>，刊登于巨潮资讯网（</w:t>
            </w:r>
            <w:r>
              <w:rPr>
                <w:rFonts w:ascii="Times New Roman" w:hAnsi="Times New Roman" w:cs="Times New Roman" w:eastAsia="Times New Roman" w:hint="default"/>
                <w:w w:val="99"/>
                <w:sz w:val="18"/>
                <w:szCs w:val="18"/>
              </w:rPr>
              <w:t>ww</w:t>
            </w:r>
            <w:r>
              <w:rPr>
                <w:rFonts w:ascii="Times New Roman" w:hAnsi="Times New Roman" w:cs="Times New Roman" w:eastAsia="Times New Roman" w:hint="default"/>
                <w:spacing w:val="-12"/>
                <w:w w:val="99"/>
                <w:sz w:val="18"/>
                <w:szCs w:val="18"/>
              </w:rPr>
              <w:t>w</w:t>
            </w:r>
            <w:r>
              <w:rPr>
                <w:rFonts w:ascii="Times New Roman" w:hAnsi="Times New Roman" w:cs="Times New Roman" w:eastAsia="Times New Roman" w:hint="default"/>
                <w:sz w:val="18"/>
                <w:szCs w:val="18"/>
              </w:rPr>
              <w:t>.cninfo</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com.c</w:t>
            </w:r>
            <w:r>
              <w:rPr>
                <w:rFonts w:ascii="Times New Roman" w:hAnsi="Times New Roman" w:cs="Times New Roman" w:eastAsia="Times New Roman" w:hint="default"/>
                <w:spacing w:val="-2"/>
                <w:sz w:val="18"/>
                <w:szCs w:val="18"/>
              </w:rPr>
              <w:t>n</w:t>
            </w:r>
            <w:r>
              <w:rPr>
                <w:rFonts w:ascii="Times New Roman" w:hAnsi="Times New Roman" w:cs="Times New Roman" w:eastAsia="Times New Roman" w:hint="default"/>
                <w:sz w:val="18"/>
                <w:szCs w:val="18"/>
              </w:rPr>
              <w:t>)</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657"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财务报告重大缺陷的迹象包括：①控制环 境无效；②公司董事、监事和高级管理人 员舞弊并给企业造成重大损失和不利影 响；③注册会计师发现当期财务报告存在 重大错报，而内部控制在运行过程中未能 发现该错报；④公司审计委员会和内部审 计机构对内部控制的监督无效；⑤已经发 现并报告给管理层的重大缺陷在合理的时 间后未加以改正。财务报告重要缺陷的迹 象包括：①未依照公认会计准则选择和应 用会计政策；②未建立反舞弊程序和控制 措施；③对于非常规或特殊交易的账务处 理没有建立相应的控制机制或没有实施且 没有相应的补偿性控制；</w:t>
            </w:r>
            <w:r>
              <w:rPr>
                <w:rFonts w:ascii="宋体" w:hAnsi="宋体" w:cs="宋体" w:eastAsia="宋体" w:hint="default"/>
                <w:spacing w:val="-64"/>
                <w:sz w:val="18"/>
                <w:szCs w:val="18"/>
              </w:rPr>
              <w:t> </w:t>
            </w:r>
            <w:r>
              <w:rPr>
                <w:rFonts w:ascii="宋体" w:hAnsi="宋体" w:cs="宋体" w:eastAsia="宋体" w:hint="default"/>
                <w:sz w:val="18"/>
                <w:szCs w:val="18"/>
              </w:rPr>
              <w:t>④对于期末财务</w:t>
            </w:r>
            <w:r>
              <w:rPr>
                <w:rFonts w:ascii="宋体" w:hAnsi="宋体" w:cs="宋体" w:eastAsia="宋体" w:hint="default"/>
                <w:sz w:val="18"/>
                <w:szCs w:val="18"/>
              </w:rPr>
              <w:t> 报告过程的控制存在一项或多项缺陷且不 能合理保证编制的财务报表达到真实、完 整的目标。一般缺陷是指除上述重大缺陷 或重要缺陷之外的其他内部控制缺陷。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43"/>
              <w:jc w:val="left"/>
              <w:rPr>
                <w:rFonts w:ascii="宋体" w:hAnsi="宋体" w:cs="宋体" w:eastAsia="宋体" w:hint="default"/>
                <w:sz w:val="18"/>
                <w:szCs w:val="18"/>
              </w:rPr>
            </w:pPr>
            <w:r>
              <w:rPr>
                <w:rFonts w:ascii="宋体" w:hAnsi="宋体" w:cs="宋体" w:eastAsia="宋体" w:hint="default"/>
                <w:sz w:val="18"/>
                <w:szCs w:val="18"/>
              </w:rPr>
              <w:t>非财务报告内部控制重大缺陷的迹象 </w:t>
            </w:r>
            <w:r>
              <w:rPr>
                <w:rFonts w:ascii="宋体" w:hAnsi="宋体" w:cs="宋体" w:eastAsia="宋体" w:hint="default"/>
                <w:spacing w:val="-4"/>
                <w:sz w:val="18"/>
                <w:szCs w:val="18"/>
              </w:rPr>
              <w:t>包括：①违反国家法律、法规或规范性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文件；②决策程序不科学导致重大决策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失误；③重要业务制度性缺失或系统性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失效；④重大或重要缺陷不能得到有效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整改；⑤安全、环保事故对公司造成重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大负面影响的情形；⑥其他对公司产生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重大负面影响的情形。非财务报告内部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控制重要缺陷的迹象包括：①重要业务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制度或系统存在缺陷；②内部控制内部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监督发现的重要缺陷未及时整改；③其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他对公司产生较大负面影响的情形。 非财务报告内部控制一般缺陷迹象包 括：①一般业务制度或系统存在缺陷；</w:t>
            </w:r>
          </w:p>
          <w:p>
            <w:pPr>
              <w:pStyle w:val="TableParagraph"/>
              <w:spacing w:line="319" w:lineRule="auto" w:before="19"/>
              <w:ind w:left="22" w:right="136"/>
              <w:jc w:val="left"/>
              <w:rPr>
                <w:rFonts w:ascii="宋体" w:hAnsi="宋体" w:cs="宋体" w:eastAsia="宋体" w:hint="default"/>
                <w:sz w:val="18"/>
                <w:szCs w:val="18"/>
              </w:rPr>
            </w:pPr>
            <w:r>
              <w:rPr>
                <w:rFonts w:ascii="宋体" w:hAnsi="宋体" w:cs="宋体" w:eastAsia="宋体" w:hint="default"/>
                <w:sz w:val="18"/>
                <w:szCs w:val="18"/>
              </w:rPr>
              <w:t>②内部控制内部监督发现的一般缺陷 未及时整改。</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657"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1253"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9" w:space="0" w:color="FFFFFF"/>
            </w:tcBorders>
          </w:tcPr>
          <w:p>
            <w:pPr>
              <w:pStyle w:val="TableParagraph"/>
              <w:spacing w:line="300" w:lineRule="auto" w:before="51"/>
              <w:ind w:left="22" w:right="13"/>
              <w:jc w:val="left"/>
              <w:rPr>
                <w:rFonts w:ascii="Times New Roman" w:hAnsi="Times New Roman" w:cs="Times New Roman" w:eastAsia="Times New Roman" w:hint="default"/>
                <w:sz w:val="18"/>
                <w:szCs w:val="18"/>
              </w:rPr>
            </w:pPr>
            <w:r>
              <w:rPr>
                <w:rFonts w:ascii="宋体" w:hAnsi="宋体" w:cs="宋体" w:eastAsia="宋体" w:hint="default"/>
                <w:sz w:val="18"/>
                <w:szCs w:val="18"/>
              </w:rPr>
              <w:t>重大缺陷：错报金额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或错 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或错报金额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净利润的</w:t>
            </w:r>
            <w:r>
              <w:rPr>
                <w:rFonts w:ascii="宋体" w:hAnsi="宋体" w:cs="宋体" w:eastAsia="宋体" w:hint="default"/>
                <w:spacing w:val="-50"/>
                <w:sz w:val="18"/>
                <w:szCs w:val="18"/>
              </w:rPr>
              <w:t>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；重要缺陷：资产总额的</w:t>
            </w:r>
            <w:r>
              <w:rPr>
                <w:rFonts w:ascii="宋体" w:hAnsi="宋体" w:cs="宋体" w:eastAsia="宋体" w:hint="default"/>
                <w:spacing w:val="-51"/>
                <w:sz w:val="18"/>
                <w:szCs w:val="18"/>
              </w:rPr>
              <w:t> </w:t>
            </w:r>
            <w:r>
              <w:rPr>
                <w:rFonts w:ascii="Times New Roman" w:hAnsi="Times New Roman" w:cs="Times New Roman" w:eastAsia="Times New Roman" w:hint="default"/>
                <w:w w:val="100"/>
                <w:sz w:val="18"/>
                <w:szCs w:val="18"/>
              </w:rPr>
              <w:t>3%</w:t>
            </w:r>
            <w:r>
              <w:rPr>
                <w:rFonts w:ascii="Times New Roman" w:hAnsi="Times New Roman" w:cs="Times New Roman" w:eastAsia="Times New Roman" w:hint="default"/>
                <w:w w:val="100"/>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错报金额＜资产总额的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或营业收入总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300" w:lineRule="auto" w:before="13"/>
              <w:ind w:left="22" w:right="15"/>
              <w:jc w:val="left"/>
              <w:rPr>
                <w:rFonts w:ascii="宋体" w:hAnsi="宋体" w:cs="宋体" w:eastAsia="宋体" w:hint="default"/>
                <w:sz w:val="18"/>
                <w:szCs w:val="18"/>
              </w:rPr>
            </w:pPr>
            <w:r>
              <w:rPr>
                <w:rFonts w:ascii="宋体" w:hAnsi="宋体" w:cs="宋体" w:eastAsia="宋体" w:hint="default"/>
                <w:sz w:val="18"/>
                <w:szCs w:val="18"/>
              </w:rPr>
              <w:t>或净利润的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错报金额＜净利润的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 </w:t>
            </w:r>
            <w:r>
              <w:rPr>
                <w:rFonts w:ascii="宋体" w:hAnsi="宋体" w:cs="宋体" w:eastAsia="宋体" w:hint="default"/>
                <w:spacing w:val="-6"/>
                <w:sz w:val="18"/>
                <w:szCs w:val="18"/>
              </w:rPr>
              <w:t>一般缺陷：错报金额＜资产总额的</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或错</w:t>
            </w:r>
            <w:r>
              <w:rPr>
                <w:rFonts w:ascii="宋体" w:hAnsi="宋体" w:cs="宋体" w:eastAsia="宋体" w:hint="default"/>
                <w:spacing w:val="-86"/>
                <w:sz w:val="18"/>
                <w:szCs w:val="18"/>
              </w:rPr>
              <w:t> </w:t>
            </w:r>
            <w:r>
              <w:rPr>
                <w:rFonts w:ascii="宋体" w:hAnsi="宋体" w:cs="宋体" w:eastAsia="宋体" w:hint="default"/>
                <w:sz w:val="18"/>
                <w:szCs w:val="18"/>
              </w:rPr>
              <w:t>报金额＜营业收入总额的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或错报金额</w:t>
            </w:r>
          </w:p>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＜净利润的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051" w:type="dxa"/>
            <w:vMerge w:val="restart"/>
            <w:tcBorders>
              <w:top w:val="single" w:sz="4" w:space="0" w:color="000000"/>
              <w:left w:val="single" w:sz="9" w:space="0" w:color="FFFFFF"/>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312" w:lineRule="exact"/>
              <w:ind w:left="16" w:right="-42"/>
              <w:jc w:val="left"/>
              <w:rPr>
                <w:rFonts w:ascii="宋体" w:hAnsi="宋体" w:cs="宋体" w:eastAsia="宋体" w:hint="default"/>
                <w:sz w:val="18"/>
                <w:szCs w:val="18"/>
              </w:rPr>
            </w:pPr>
            <w:r>
              <w:rPr>
                <w:rFonts w:ascii="宋体" w:hAnsi="宋体" w:cs="宋体" w:eastAsia="宋体" w:hint="default"/>
                <w:sz w:val="18"/>
                <w:szCs w:val="18"/>
              </w:rPr>
              <w:t>重大缺陷：损失</w:t>
            </w:r>
            <w:r>
              <w:rPr>
                <w:rFonts w:ascii="Times New Roman" w:hAnsi="Times New Roman" w:cs="Times New Roman" w:eastAsia="Times New Roman" w:hint="default"/>
                <w:sz w:val="18"/>
                <w:szCs w:val="18"/>
              </w:rPr>
              <w:t>&gt;1000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万元，对公司造</w:t>
            </w:r>
            <w:r>
              <w:rPr>
                <w:rFonts w:ascii="宋体" w:hAnsi="宋体" w:cs="宋体" w:eastAsia="宋体" w:hint="default"/>
                <w:sz w:val="18"/>
                <w:szCs w:val="18"/>
              </w:rPr>
              <w:t> 成较大负面影响并以公告形式对外披 露； </w:t>
            </w:r>
            <w:r>
              <w:rPr>
                <w:rFonts w:ascii="宋体" w:hAnsi="宋体" w:cs="宋体" w:eastAsia="宋体" w:hint="default"/>
                <w:spacing w:val="-5"/>
                <w:sz w:val="18"/>
                <w:szCs w:val="18"/>
              </w:rPr>
              <w:t>重要缺陷：</w:t>
            </w:r>
            <w:r>
              <w:rPr>
                <w:rFonts w:ascii="Times New Roman" w:hAnsi="Times New Roman" w:cs="Times New Roman" w:eastAsia="Times New Roman" w:hint="default"/>
                <w:spacing w:val="-5"/>
                <w:sz w:val="18"/>
                <w:szCs w:val="18"/>
              </w:rPr>
              <w:t>100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万元＜损失</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1000 </w:t>
            </w:r>
            <w:r>
              <w:rPr>
                <w:rFonts w:ascii="宋体" w:hAnsi="宋体" w:cs="宋体" w:eastAsia="宋体" w:hint="default"/>
                <w:spacing w:val="-4"/>
                <w:sz w:val="18"/>
                <w:szCs w:val="18"/>
              </w:rPr>
              <w:t>万元，受到省级以上政府部门处罚但未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对本公司定期报告披露造成负面影响；</w:t>
            </w:r>
          </w:p>
          <w:p>
            <w:pPr>
              <w:pStyle w:val="TableParagraph"/>
              <w:spacing w:line="79"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6" w:right="0"/>
              <w:jc w:val="left"/>
              <w:rPr>
                <w:rFonts w:ascii="宋体" w:hAnsi="宋体" w:cs="宋体" w:eastAsia="宋体" w:hint="default"/>
                <w:sz w:val="18"/>
                <w:szCs w:val="18"/>
              </w:rPr>
            </w:pPr>
            <w:r>
              <w:rPr>
                <w:rFonts w:ascii="宋体" w:hAnsi="宋体" w:cs="宋体" w:eastAsia="宋体" w:hint="default"/>
                <w:sz w:val="18"/>
                <w:szCs w:val="18"/>
              </w:rPr>
              <w:t>一般缺陷：损失</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万元，受到省级</w:t>
            </w:r>
          </w:p>
          <w:p>
            <w:pPr>
              <w:pStyle w:val="TableParagraph"/>
              <w:spacing w:line="319" w:lineRule="auto" w:before="63"/>
              <w:ind w:left="16" w:right="21"/>
              <w:jc w:val="left"/>
              <w:rPr>
                <w:rFonts w:ascii="宋体" w:hAnsi="宋体" w:cs="宋体" w:eastAsia="宋体" w:hint="default"/>
                <w:sz w:val="18"/>
                <w:szCs w:val="18"/>
              </w:rPr>
            </w:pPr>
            <w:r>
              <w:rPr>
                <w:rFonts w:ascii="宋体" w:hAnsi="宋体" w:cs="宋体" w:eastAsia="宋体" w:hint="default"/>
                <w:spacing w:val="-4"/>
                <w:sz w:val="18"/>
                <w:szCs w:val="18"/>
              </w:rPr>
              <w:t>（含省级）以下政府部门处罚，但未对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本公司定期报告披露造成负面影响。</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9" w:space="0" w:color="FFFFFF"/>
            </w:tcBorders>
          </w:tcPr>
          <w:p>
            <w:pPr/>
          </w:p>
        </w:tc>
        <w:tc>
          <w:tcPr>
            <w:tcW w:w="3051" w:type="dxa"/>
            <w:vMerge/>
            <w:tcBorders>
              <w:left w:val="single" w:sz="9" w:space="0" w:color="FFFFFF"/>
              <w:right w:val="single" w:sz="4" w:space="0" w:color="000000"/>
            </w:tcBorders>
          </w:tcPr>
          <w:p>
            <w:pPr/>
          </w:p>
        </w:tc>
      </w:tr>
      <w:tr>
        <w:trPr>
          <w:trHeight w:val="1253"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9" w:space="0" w:color="FFFFFF"/>
            </w:tcBorders>
          </w:tcPr>
          <w:p>
            <w:pPr/>
          </w:p>
        </w:tc>
        <w:tc>
          <w:tcPr>
            <w:tcW w:w="3051" w:type="dxa"/>
            <w:vMerge/>
            <w:tcBorders>
              <w:left w:val="single" w:sz="9" w:space="0" w:color="FFFFFF"/>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8"/>
        <w:rPr>
          <w:rFonts w:ascii="宋体" w:hAnsi="宋体" w:cs="宋体" w:eastAsia="宋体" w:hint="default"/>
          <w:b/>
          <w:bCs/>
          <w:sz w:val="20"/>
          <w:szCs w:val="20"/>
        </w:rPr>
      </w:pPr>
    </w:p>
    <w:p>
      <w:pPr>
        <w:pStyle w:val="Heading2"/>
        <w:spacing w:line="240" w:lineRule="auto" w:before="26"/>
        <w:ind w:right="0"/>
        <w:jc w:val="left"/>
        <w:rPr>
          <w:b w:val="0"/>
          <w:bCs w:val="0"/>
        </w:rPr>
      </w:pPr>
      <w:bookmarkStart w:name="十、内部控制审计报告或鉴证报告" w:id="151"/>
      <w:bookmarkEnd w:id="151"/>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8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126" w:right="0"/>
        <w:jc w:val="left"/>
        <w:rPr>
          <w:b w:val="0"/>
          <w:bCs w:val="0"/>
        </w:rPr>
      </w:pPr>
      <w:bookmarkStart w:name="第十节 公司债券相关情况" w:id="152"/>
      <w:bookmarkEnd w:id="152"/>
      <w:r>
        <w:rPr>
          <w:b w:val="0"/>
          <w:bCs w:val="0"/>
        </w:rPr>
      </w:r>
      <w:bookmarkStart w:name="_bookmark8" w:id="153"/>
      <w:bookmarkEnd w:id="153"/>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8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608" w:right="0"/>
        <w:jc w:val="left"/>
        <w:rPr>
          <w:b w:val="0"/>
          <w:bCs w:val="0"/>
        </w:rPr>
      </w:pPr>
      <w:bookmarkStart w:name="第十一节 财务报告" w:id="154"/>
      <w:bookmarkEnd w:id="154"/>
      <w:r>
        <w:rPr>
          <w:b w:val="0"/>
          <w:bCs w:val="0"/>
        </w:rPr>
      </w:r>
      <w:bookmarkStart w:name="_bookmark9" w:id="155"/>
      <w:bookmarkEnd w:id="155"/>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6"/>
      <w:bookmarkEnd w:id="15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中勤万信会计师事务所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勤信审字【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潘忠民、蔡宏亮</w:t>
            </w:r>
          </w:p>
        </w:tc>
      </w:tr>
    </w:tbl>
    <w:p>
      <w:pPr>
        <w:spacing w:after="0" w:line="240" w:lineRule="auto"/>
        <w:jc w:val="left"/>
        <w:rPr>
          <w:rFonts w:ascii="宋体" w:hAnsi="宋体" w:cs="宋体" w:eastAsia="宋体" w:hint="default"/>
          <w:sz w:val="18"/>
          <w:szCs w:val="18"/>
        </w:rPr>
        <w:sectPr>
          <w:pgSz w:w="11910" w:h="16840"/>
          <w:pgMar w:header="787" w:footer="1019" w:top="1100" w:bottom="1200" w:left="980" w:right="0"/>
        </w:sectPr>
      </w:pPr>
    </w:p>
    <w:p>
      <w:pPr>
        <w:spacing w:line="240" w:lineRule="auto" w:before="12"/>
        <w:rPr>
          <w:rFonts w:ascii="宋体" w:hAnsi="宋体" w:cs="宋体" w:eastAsia="宋体" w:hint="default"/>
          <w:b/>
          <w:bCs/>
          <w:sz w:val="26"/>
          <w:szCs w:val="26"/>
        </w:rPr>
      </w:pPr>
    </w:p>
    <w:p>
      <w:pPr>
        <w:pStyle w:val="Heading2"/>
        <w:spacing w:line="312" w:lineRule="auto"/>
        <w:ind w:left="636" w:right="0" w:hanging="483"/>
        <w:jc w:val="left"/>
        <w:rPr>
          <w:b w:val="0"/>
          <w:bCs w:val="0"/>
        </w:rPr>
      </w:pPr>
      <w:r>
        <w:rPr>
          <w:w w:val="95"/>
        </w:rPr>
        <w:t>深圳达实智能股份有限公司全体股东</w:t>
      </w:r>
      <w:r>
        <w:rPr>
          <w:rFonts w:ascii="Times New Roman" w:hAnsi="Times New Roman" w:cs="Times New Roman" w:eastAsia="Times New Roman" w:hint="default"/>
          <w:w w:val="95"/>
        </w:rPr>
        <w:t>:</w:t>
      </w:r>
      <w:r>
        <w:rPr>
          <w:rFonts w:ascii="Times New Roman" w:hAnsi="Times New Roman" w:cs="Times New Roman" w:eastAsia="Times New Roman" w:hint="default"/>
          <w:spacing w:val="14"/>
          <w:w w:val="95"/>
        </w:rPr>
        <w:t> </w:t>
      </w:r>
      <w:r>
        <w:rPr/>
        <w:t>一、</w:t>
      </w:r>
      <w:r>
        <w:rPr>
          <w:spacing w:val="-23"/>
        </w:rPr>
        <w:t> </w:t>
      </w:r>
      <w:r>
        <w:rPr/>
        <w:t>审计意见</w:t>
      </w:r>
      <w:r>
        <w:rPr>
          <w:b w:val="0"/>
          <w:bCs w:val="0"/>
        </w:rPr>
      </w:r>
    </w:p>
    <w:p>
      <w:pPr>
        <w:pStyle w:val="BodyText"/>
        <w:spacing w:line="240" w:lineRule="auto" w:before="51"/>
        <w:ind w:left="153" w:right="0"/>
        <w:jc w:val="left"/>
      </w:pPr>
      <w:r>
        <w:rPr/>
        <w:br w:type="column"/>
      </w:r>
      <w:r>
        <w:rPr/>
        <w:t>审计报告正文</w:t>
      </w:r>
    </w:p>
    <w:p>
      <w:pPr>
        <w:spacing w:after="0" w:line="240" w:lineRule="auto"/>
        <w:jc w:val="left"/>
        <w:sectPr>
          <w:type w:val="continuous"/>
          <w:pgSz w:w="11910" w:h="16840"/>
          <w:pgMar w:top="1100" w:bottom="1200" w:left="980" w:right="0"/>
          <w:cols w:num="2" w:equalWidth="0">
            <w:col w:w="4091" w:space="189"/>
            <w:col w:w="6650"/>
          </w:cols>
        </w:sectPr>
      </w:pPr>
    </w:p>
    <w:p>
      <w:pPr>
        <w:pStyle w:val="Heading3"/>
        <w:spacing w:line="322" w:lineRule="exact" w:before="46"/>
        <w:ind w:left="634" w:right="0"/>
        <w:jc w:val="left"/>
        <w:rPr>
          <w:rFonts w:ascii="Times New Roman" w:hAnsi="Times New Roman" w:cs="Times New Roman" w:eastAsia="Times New Roman" w:hint="default"/>
        </w:rPr>
      </w:pPr>
      <w:r>
        <w:rPr/>
        <w:t>我们审计了深圳达实智能股份有限公司（以下简称</w:t>
      </w:r>
      <w:r>
        <w:rPr>
          <w:rFonts w:ascii="Times New Roman" w:hAnsi="Times New Roman" w:cs="Times New Roman" w:eastAsia="Times New Roman" w:hint="default"/>
        </w:rPr>
        <w:t>“</w:t>
      </w:r>
      <w:r>
        <w:rPr/>
        <w:t>达实智能</w:t>
      </w:r>
      <w:r>
        <w:rPr>
          <w:rFonts w:ascii="Times New Roman" w:hAnsi="Times New Roman" w:cs="Times New Roman" w:eastAsia="Times New Roman" w:hint="default"/>
        </w:rPr>
        <w:t>”</w:t>
      </w:r>
      <w:r>
        <w:rPr/>
        <w:t>）的财务报表，包括</w:t>
      </w:r>
      <w:r>
        <w:rPr>
          <w:spacing w:val="-57"/>
        </w:rPr>
        <w:t> </w:t>
      </w:r>
      <w:r>
        <w:rPr>
          <w:rFonts w:ascii="Times New Roman" w:hAnsi="Times New Roman" w:cs="Times New Roman" w:eastAsia="Times New Roman" w:hint="default"/>
        </w:rPr>
        <w:t>2018</w:t>
      </w:r>
    </w:p>
    <w:p>
      <w:pPr>
        <w:pStyle w:val="Heading3"/>
        <w:spacing w:line="312" w:lineRule="exact" w:before="20"/>
        <w:ind w:right="1116"/>
        <w:jc w:val="left"/>
      </w:pP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27"/>
        </w:rPr>
        <w:t> </w:t>
      </w:r>
      <w:r>
        <w:rPr>
          <w:spacing w:val="-3"/>
        </w:rPr>
        <w:t>日的合并及公司资产负债表，</w:t>
      </w:r>
      <w:r>
        <w:rPr>
          <w:rFonts w:ascii="Times New Roman" w:hAnsi="Times New Roman" w:cs="Times New Roman" w:eastAsia="Times New Roman" w:hint="default"/>
          <w:spacing w:val="-3"/>
        </w:rPr>
        <w:t>2018</w:t>
      </w:r>
      <w:r>
        <w:rPr>
          <w:spacing w:val="-3"/>
        </w:rPr>
        <w:t>年度的合并及公司利润表、合并及公司现金流</w:t>
      </w:r>
      <w:r>
        <w:rPr/>
        <w:t> 量表、合并及公司股东权益变动表以及财务报表附注。</w:t>
      </w:r>
    </w:p>
    <w:p>
      <w:pPr>
        <w:pStyle w:val="Heading3"/>
        <w:spacing w:line="232" w:lineRule="auto" w:before="97"/>
        <w:ind w:right="1128" w:firstLine="480"/>
        <w:jc w:val="both"/>
      </w:pPr>
      <w:r>
        <w:rPr/>
        <w:t>我们认为，后附的达实智能财务报表在所有重大方面按照企业会计准则的规定编制，公 </w:t>
      </w:r>
      <w:r>
        <w:rPr>
          <w:spacing w:val="2"/>
        </w:rPr>
        <w:t>允反映了达实智能</w:t>
      </w:r>
      <w:r>
        <w:rPr>
          <w:rFonts w:ascii="Times New Roman" w:hAnsi="Times New Roman" w:cs="Times New Roman" w:eastAsia="Times New Roman" w:hint="default"/>
          <w:spacing w:val="2"/>
        </w:rPr>
        <w:t>2018</w:t>
      </w:r>
      <w:r>
        <w:rPr>
          <w:spacing w:val="2"/>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2"/>
        </w:rPr>
        <w:t>日的合并及公司财务状况以及</w:t>
      </w:r>
      <w:r>
        <w:rPr>
          <w:rFonts w:ascii="Times New Roman" w:hAnsi="Times New Roman" w:cs="Times New Roman" w:eastAsia="Times New Roman" w:hint="default"/>
          <w:spacing w:val="2"/>
        </w:rPr>
        <w:t>2018</w:t>
      </w:r>
      <w:r>
        <w:rPr>
          <w:spacing w:val="2"/>
        </w:rPr>
        <w:t>年度的合并及公司经</w:t>
      </w:r>
      <w:r>
        <w:rPr>
          <w:spacing w:val="3"/>
        </w:rPr>
        <w:t> </w:t>
      </w:r>
      <w:r>
        <w:rPr/>
        <w:t>营成果和现金流量。</w:t>
      </w:r>
    </w:p>
    <w:p>
      <w:pPr>
        <w:spacing w:line="432" w:lineRule="exact" w:before="53"/>
        <w:ind w:left="634" w:right="1123" w:firstLine="2"/>
        <w:jc w:val="lef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pacing w:val="-19"/>
          <w:sz w:val="24"/>
          <w:szCs w:val="24"/>
        </w:rPr>
        <w:t> </w:t>
      </w:r>
      <w:r>
        <w:rPr>
          <w:rFonts w:ascii="宋体" w:hAnsi="宋体" w:cs="宋体" w:eastAsia="宋体" w:hint="default"/>
          <w:b/>
          <w:bCs/>
          <w:sz w:val="24"/>
          <w:szCs w:val="24"/>
        </w:rPr>
        <w:t>形成审计意见的基础</w:t>
      </w:r>
      <w:r>
        <w:rPr>
          <w:rFonts w:ascii="宋体" w:hAnsi="宋体" w:cs="宋体" w:eastAsia="宋体" w:hint="default"/>
          <w:b/>
          <w:bCs/>
          <w:w w:val="99"/>
          <w:sz w:val="24"/>
          <w:szCs w:val="24"/>
        </w:rPr>
        <w:t> </w:t>
      </w:r>
      <w:r>
        <w:rPr>
          <w:rFonts w:ascii="宋体" w:hAnsi="宋体" w:cs="宋体" w:eastAsia="宋体" w:hint="default"/>
          <w:spacing w:val="-2"/>
          <w:sz w:val="24"/>
          <w:szCs w:val="24"/>
        </w:rPr>
        <w:t>我们按照中国注册会计师审计准则的规定执行了审计工作。审计报告的</w:t>
      </w:r>
      <w:r>
        <w:rPr>
          <w:rFonts w:ascii="Times New Roman" w:hAnsi="Times New Roman" w:cs="Times New Roman" w:eastAsia="Times New Roman" w:hint="default"/>
          <w:spacing w:val="-2"/>
          <w:sz w:val="24"/>
          <w:szCs w:val="24"/>
        </w:rPr>
        <w:t>“</w:t>
      </w:r>
      <w:r>
        <w:rPr>
          <w:rFonts w:ascii="宋体" w:hAnsi="宋体" w:cs="宋体" w:eastAsia="宋体" w:hint="default"/>
          <w:spacing w:val="-2"/>
          <w:sz w:val="24"/>
          <w:szCs w:val="24"/>
        </w:rPr>
        <w:t>注册会计师对财</w:t>
      </w:r>
    </w:p>
    <w:p>
      <w:pPr>
        <w:pStyle w:val="Heading3"/>
        <w:spacing w:line="267" w:lineRule="exact"/>
        <w:ind w:right="0"/>
        <w:jc w:val="left"/>
      </w:pPr>
      <w:r>
        <w:rPr/>
        <w:t>务报表审计的责任</w:t>
      </w:r>
      <w:r>
        <w:rPr>
          <w:rFonts w:ascii="Times New Roman" w:hAnsi="Times New Roman" w:cs="Times New Roman" w:eastAsia="Times New Roman" w:hint="default"/>
        </w:rPr>
        <w:t>”</w:t>
      </w:r>
      <w:r>
        <w:rPr/>
        <w:t>部分进一步阐述了我们在这些准则下的责任。按照中国注册会计师职业道</w:t>
      </w:r>
    </w:p>
    <w:p>
      <w:pPr>
        <w:pStyle w:val="Heading3"/>
        <w:spacing w:line="312" w:lineRule="exact" w:before="20"/>
        <w:ind w:right="0"/>
        <w:jc w:val="left"/>
      </w:pPr>
      <w:r>
        <w:rPr/>
        <w:t>德守则，我们独立于达实智能，并履行了职业道德方面的其他责任。我们相信，我们获取的 审计证据是充分、适当的，为发表审计意见提供了基础。</w:t>
      </w:r>
    </w:p>
    <w:p>
      <w:pPr>
        <w:spacing w:line="331" w:lineRule="auto" w:before="89"/>
        <w:ind w:left="634" w:right="0" w:firstLine="2"/>
        <w:jc w:val="left"/>
        <w:rPr>
          <w:rFonts w:ascii="宋体" w:hAnsi="宋体" w:cs="宋体" w:eastAsia="宋体" w:hint="default"/>
          <w:sz w:val="24"/>
          <w:szCs w:val="24"/>
        </w:rPr>
      </w:pPr>
      <w:r>
        <w:rPr>
          <w:rFonts w:ascii="宋体" w:hAnsi="宋体" w:cs="宋体" w:eastAsia="宋体" w:hint="default"/>
          <w:b/>
          <w:bCs/>
          <w:sz w:val="24"/>
          <w:szCs w:val="24"/>
        </w:rPr>
        <w:t>三、</w:t>
      </w:r>
      <w:r>
        <w:rPr>
          <w:rFonts w:ascii="宋体" w:hAnsi="宋体" w:cs="宋体" w:eastAsia="宋体" w:hint="default"/>
          <w:b/>
          <w:bCs/>
          <w:spacing w:val="-19"/>
          <w:sz w:val="24"/>
          <w:szCs w:val="24"/>
        </w:rPr>
        <w:t> </w:t>
      </w:r>
      <w:r>
        <w:rPr>
          <w:rFonts w:ascii="宋体" w:hAnsi="宋体" w:cs="宋体" w:eastAsia="宋体" w:hint="default"/>
          <w:b/>
          <w:bCs/>
          <w:sz w:val="24"/>
          <w:szCs w:val="24"/>
        </w:rPr>
        <w:t>关键审计事项</w:t>
      </w:r>
      <w:r>
        <w:rPr>
          <w:rFonts w:ascii="宋体" w:hAnsi="宋体" w:cs="宋体" w:eastAsia="宋体" w:hint="default"/>
          <w:b/>
          <w:bCs/>
          <w:spacing w:val="1"/>
          <w:w w:val="99"/>
          <w:sz w:val="24"/>
          <w:szCs w:val="24"/>
        </w:rPr>
        <w:t> </w:t>
      </w:r>
      <w:r>
        <w:rPr>
          <w:rFonts w:ascii="宋体" w:hAnsi="宋体" w:cs="宋体" w:eastAsia="宋体" w:hint="default"/>
          <w:sz w:val="24"/>
          <w:szCs w:val="24"/>
        </w:rPr>
        <w:t>关键审计事项是根据我们的职业判断，认为对本期财务报表审计最为重要的事项。这些</w:t>
      </w:r>
    </w:p>
    <w:p>
      <w:pPr>
        <w:pStyle w:val="Heading3"/>
        <w:spacing w:line="220" w:lineRule="exact"/>
        <w:ind w:right="0"/>
        <w:jc w:val="left"/>
      </w:pPr>
      <w:r>
        <w:rPr/>
        <w:t>事项的应对以对财务报表整体进行审计并形成审计意见为背景，我们不对这些事项单独发表</w:t>
      </w:r>
    </w:p>
    <w:p>
      <w:pPr>
        <w:pStyle w:val="Heading3"/>
        <w:spacing w:line="313" w:lineRule="exact"/>
        <w:ind w:right="0"/>
        <w:jc w:val="left"/>
      </w:pPr>
      <w:r>
        <w:rPr/>
        <w:t>意见。我们确定下列事项是需要在审计报告中沟通的关键审计事项。</w:t>
      </w:r>
    </w:p>
    <w:p>
      <w:pPr>
        <w:pStyle w:val="Heading3"/>
        <w:spacing w:line="240" w:lineRule="auto" w:before="118"/>
        <w:ind w:left="634" w:right="0"/>
        <w:jc w:val="left"/>
      </w:pPr>
      <w:r>
        <w:rPr/>
        <w:t>（一）完工百分比法确认建造合同收入</w:t>
      </w:r>
    </w:p>
    <w:p>
      <w:pPr>
        <w:pStyle w:val="Heading3"/>
        <w:spacing w:line="240" w:lineRule="auto" w:before="118"/>
        <w:ind w:left="634" w:right="0"/>
        <w:jc w:val="left"/>
      </w:pPr>
      <w:r>
        <w:rPr>
          <w:rFonts w:ascii="Times New Roman" w:hAnsi="Times New Roman" w:cs="Times New Roman" w:eastAsia="Times New Roman" w:hint="default"/>
        </w:rPr>
        <w:t>1</w:t>
      </w:r>
      <w:r>
        <w:rPr/>
        <w:t>、事项描述</w:t>
      </w:r>
    </w:p>
    <w:p>
      <w:pPr>
        <w:pStyle w:val="Heading3"/>
        <w:spacing w:line="312" w:lineRule="exact" w:before="130"/>
        <w:ind w:right="0" w:firstLine="480"/>
        <w:jc w:val="left"/>
      </w:pPr>
      <w:r>
        <w:rPr>
          <w:rFonts w:ascii="Times New Roman" w:hAnsi="Times New Roman" w:cs="Times New Roman" w:eastAsia="Times New Roman" w:hint="default"/>
          <w:spacing w:val="-2"/>
        </w:rPr>
        <w:t>2018</w:t>
      </w:r>
      <w:r>
        <w:rPr>
          <w:spacing w:val="-2"/>
        </w:rPr>
        <w:t>年度达实智能营业收入为</w:t>
      </w:r>
      <w:r>
        <w:rPr>
          <w:rFonts w:ascii="Times New Roman" w:hAnsi="Times New Roman" w:cs="Times New Roman" w:eastAsia="Times New Roman" w:hint="default"/>
          <w:spacing w:val="-2"/>
        </w:rPr>
        <w:t>2,527,415,275.10</w:t>
      </w:r>
      <w:r>
        <w:rPr>
          <w:spacing w:val="-2"/>
        </w:rPr>
        <w:t>元，其中智慧建筑及智慧节能、智慧交通、</w:t>
      </w:r>
      <w:r>
        <w:rPr/>
        <w:t> 智慧医疗三个主要业务板块均主要采用完工百分比法确认建造合同收入，所占比例重大。</w:t>
      </w:r>
    </w:p>
    <w:p>
      <w:pPr>
        <w:pStyle w:val="Heading3"/>
        <w:spacing w:line="237" w:lineRule="auto" w:before="92"/>
        <w:ind w:right="0" w:firstLine="480"/>
        <w:jc w:val="left"/>
      </w:pPr>
      <w:r>
        <w:rPr/>
        <w:t>达实智能的建造合同业务，依据客户或第三方监理确认的工程完工进度单或关键节点的 正式报告（如工程竣工报告及工程结算报告），确定建造合同业务工作量的完工百分比。完 </w:t>
      </w:r>
      <w:r>
        <w:rPr>
          <w:spacing w:val="-3"/>
        </w:rPr>
        <w:t>工百分比法涉及管理层的重大判断和估计，包括对完工的进度、合同总成本、尚未完工成本、</w:t>
      </w:r>
      <w:r>
        <w:rPr>
          <w:spacing w:val="-81"/>
        </w:rPr>
        <w:t> </w:t>
      </w:r>
      <w:r>
        <w:rPr>
          <w:spacing w:val="-81"/>
        </w:rPr>
      </w:r>
      <w:r>
        <w:rPr/>
        <w:t>合同总收入和合同风险的估计，相应收入成本是否完整计入恰当的会计期间可能存在重大错 报风险，因此我们将完工百分比法确认的建造合同收入作为关键审计事项。</w:t>
      </w:r>
    </w:p>
    <w:p>
      <w:pPr>
        <w:spacing w:after="0" w:line="237" w:lineRule="auto"/>
        <w:jc w:val="left"/>
        <w:sectPr>
          <w:type w:val="continuous"/>
          <w:pgSz w:w="11910" w:h="16840"/>
          <w:pgMar w:top="1100" w:bottom="1200" w:left="980" w:right="0"/>
        </w:sectPr>
      </w:pPr>
    </w:p>
    <w:p>
      <w:pPr>
        <w:spacing w:line="240" w:lineRule="auto" w:before="5"/>
        <w:rPr>
          <w:rFonts w:ascii="宋体" w:hAnsi="宋体" w:cs="宋体" w:eastAsia="宋体" w:hint="default"/>
          <w:sz w:val="20"/>
          <w:szCs w:val="20"/>
        </w:rPr>
      </w:pPr>
    </w:p>
    <w:p>
      <w:pPr>
        <w:pStyle w:val="Heading3"/>
        <w:spacing w:line="312" w:lineRule="auto" w:before="26"/>
        <w:ind w:left="634" w:right="3072"/>
        <w:jc w:val="left"/>
      </w:pPr>
      <w:r>
        <w:rPr>
          <w:rFonts w:ascii="Times New Roman" w:hAnsi="Times New Roman" w:cs="Times New Roman" w:eastAsia="Times New Roman" w:hint="default"/>
        </w:rPr>
        <w:t>2</w:t>
      </w:r>
      <w:r>
        <w:rPr/>
        <w:t>、审计应对 我们针对完工百分比法确认建造合同收入执行的主要审计程序包括：</w:t>
      </w:r>
    </w:p>
    <w:p>
      <w:pPr>
        <w:pStyle w:val="Heading3"/>
        <w:spacing w:line="248" w:lineRule="exact"/>
        <w:ind w:left="634" w:right="0"/>
        <w:jc w:val="left"/>
      </w:pPr>
      <w:r>
        <w:rPr>
          <w:spacing w:val="-3"/>
        </w:rPr>
        <w:t>（</w:t>
      </w:r>
      <w:r>
        <w:rPr>
          <w:rFonts w:ascii="Times New Roman" w:hAnsi="Times New Roman" w:cs="Times New Roman" w:eastAsia="Times New Roman" w:hint="default"/>
          <w:spacing w:val="-3"/>
        </w:rPr>
        <w:t>1</w:t>
      </w:r>
      <w:r>
        <w:rPr>
          <w:spacing w:val="-3"/>
        </w:rPr>
        <w:t>）评价和测试了达实智能核算建造合同项目收入、项目成本及完工进度计算流程的内</w:t>
      </w:r>
    </w:p>
    <w:p>
      <w:pPr>
        <w:pStyle w:val="Heading3"/>
        <w:spacing w:line="303" w:lineRule="exact"/>
        <w:ind w:right="0"/>
        <w:jc w:val="left"/>
      </w:pPr>
      <w:r>
        <w:rPr/>
        <w:t>部控制；</w:t>
      </w:r>
    </w:p>
    <w:p>
      <w:pPr>
        <w:pStyle w:val="Heading3"/>
        <w:spacing w:line="321" w:lineRule="exact"/>
        <w:ind w:left="634" w:right="0"/>
        <w:jc w:val="left"/>
      </w:pPr>
      <w:r>
        <w:rPr/>
        <w:t>（</w:t>
      </w:r>
      <w:r>
        <w:rPr>
          <w:rFonts w:ascii="Times New Roman" w:hAnsi="Times New Roman" w:cs="Times New Roman" w:eastAsia="Times New Roman" w:hint="default"/>
        </w:rPr>
        <w:t>2</w:t>
      </w:r>
      <w:r>
        <w:rPr/>
        <w:t>）评价了管理层与确定预计合同总成本时所采用的判断和估计；</w:t>
      </w:r>
    </w:p>
    <w:p>
      <w:pPr>
        <w:pStyle w:val="Heading3"/>
        <w:spacing w:line="312" w:lineRule="exact"/>
        <w:ind w:left="634" w:right="0"/>
        <w:jc w:val="left"/>
      </w:pPr>
      <w:r>
        <w:rPr/>
        <w:t>（</w:t>
      </w:r>
      <w:r>
        <w:rPr>
          <w:rFonts w:ascii="Times New Roman" w:hAnsi="Times New Roman" w:cs="Times New Roman" w:eastAsia="Times New Roman" w:hint="default"/>
        </w:rPr>
        <w:t>3</w:t>
      </w:r>
      <w:r>
        <w:rPr/>
        <w:t>）对主要项目的毛利率进行了分析复核程序；</w:t>
      </w:r>
    </w:p>
    <w:p>
      <w:pPr>
        <w:pStyle w:val="Heading3"/>
        <w:spacing w:line="312" w:lineRule="exact"/>
        <w:ind w:left="634" w:right="0"/>
        <w:jc w:val="left"/>
      </w:pPr>
      <w:r>
        <w:rPr/>
        <w:t>（</w:t>
      </w:r>
      <w:r>
        <w:rPr>
          <w:rFonts w:ascii="Times New Roman" w:hAnsi="Times New Roman" w:cs="Times New Roman" w:eastAsia="Times New Roman" w:hint="default"/>
        </w:rPr>
        <w:t>4</w:t>
      </w:r>
      <w:r>
        <w:rPr/>
        <w:t>）抽样检查了相关文件验证已发生的项目成本；</w:t>
      </w:r>
    </w:p>
    <w:p>
      <w:pPr>
        <w:pStyle w:val="Heading3"/>
        <w:spacing w:line="312" w:lineRule="exact"/>
        <w:ind w:left="634" w:right="0"/>
        <w:jc w:val="left"/>
      </w:pPr>
      <w:r>
        <w:rPr/>
        <w:t>（</w:t>
      </w:r>
      <w:r>
        <w:rPr>
          <w:rFonts w:ascii="Times New Roman" w:hAnsi="Times New Roman" w:cs="Times New Roman" w:eastAsia="Times New Roman" w:hint="default"/>
        </w:rPr>
        <w:t>5</w:t>
      </w:r>
      <w:r>
        <w:rPr/>
        <w:t>）获取了重大业务合同，复核合同的关键条款，并与所确认的收入进行交叉核对；</w:t>
      </w:r>
    </w:p>
    <w:p>
      <w:pPr>
        <w:pStyle w:val="Heading3"/>
        <w:spacing w:line="312" w:lineRule="exact"/>
        <w:ind w:left="634" w:right="0"/>
        <w:jc w:val="left"/>
      </w:pPr>
      <w:r>
        <w:rPr/>
        <w:t>（</w:t>
      </w:r>
      <w:r>
        <w:rPr>
          <w:rFonts w:ascii="Times New Roman" w:hAnsi="Times New Roman" w:cs="Times New Roman" w:eastAsia="Times New Roman" w:hint="default"/>
        </w:rPr>
        <w:t>6</w:t>
      </w:r>
      <w:r>
        <w:rPr/>
        <w:t>）抽样检查了业经客户或第三方监理确认的完工进度单；</w:t>
      </w:r>
    </w:p>
    <w:p>
      <w:pPr>
        <w:pStyle w:val="Heading3"/>
        <w:spacing w:line="322" w:lineRule="exact"/>
        <w:ind w:left="634" w:right="0"/>
        <w:jc w:val="left"/>
      </w:pPr>
      <w:r>
        <w:rPr/>
        <w:t>（</w:t>
      </w:r>
      <w:r>
        <w:rPr>
          <w:rFonts w:ascii="Times New Roman" w:hAnsi="Times New Roman" w:cs="Times New Roman" w:eastAsia="Times New Roman" w:hint="default"/>
        </w:rPr>
        <w:t>7</w:t>
      </w:r>
      <w:r>
        <w:rPr/>
        <w:t>）对本期收入重大的工程项目进行现场观察、盘点。</w:t>
      </w:r>
    </w:p>
    <w:p>
      <w:pPr>
        <w:pStyle w:val="Heading3"/>
        <w:spacing w:line="240" w:lineRule="auto" w:before="99"/>
        <w:ind w:left="634" w:right="0"/>
        <w:jc w:val="left"/>
      </w:pPr>
      <w:r>
        <w:rPr/>
        <w:t>（二）商誉减值</w:t>
      </w:r>
    </w:p>
    <w:p>
      <w:pPr>
        <w:pStyle w:val="Heading3"/>
        <w:spacing w:line="312" w:lineRule="auto" w:before="118"/>
        <w:ind w:left="634" w:right="0"/>
        <w:jc w:val="left"/>
      </w:pPr>
      <w:r>
        <w:rPr>
          <w:rFonts w:ascii="Times New Roman" w:hAnsi="Times New Roman" w:cs="Times New Roman" w:eastAsia="Times New Roman" w:hint="default"/>
        </w:rPr>
        <w:t>1</w:t>
      </w:r>
      <w:r>
        <w:rPr/>
        <w:t>、事项描述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日，达实智能合并资产负债表中商誉账面原值扣除累计减值准备后的</w:t>
      </w:r>
    </w:p>
    <w:p>
      <w:pPr>
        <w:pStyle w:val="Heading3"/>
        <w:spacing w:line="222" w:lineRule="exact"/>
        <w:ind w:right="0"/>
        <w:jc w:val="left"/>
      </w:pPr>
      <w:r>
        <w:rPr/>
        <w:t>净值为人民币</w:t>
      </w:r>
      <w:r>
        <w:rPr>
          <w:rFonts w:ascii="Times New Roman" w:hAnsi="Times New Roman" w:cs="Times New Roman" w:eastAsia="Times New Roman" w:hint="default"/>
        </w:rPr>
        <w:t>625,287,609.96</w:t>
      </w:r>
      <w:r>
        <w:rPr/>
        <w:t>元。企业合并形成的商誉，达实智能至少在每年年度终了进行减</w:t>
      </w:r>
    </w:p>
    <w:p>
      <w:pPr>
        <w:pStyle w:val="Heading3"/>
        <w:spacing w:line="304" w:lineRule="exact"/>
        <w:ind w:right="0"/>
        <w:jc w:val="left"/>
      </w:pPr>
      <w:r>
        <w:rPr/>
        <w:t>值测试。</w:t>
      </w:r>
    </w:p>
    <w:p>
      <w:pPr>
        <w:pStyle w:val="Heading3"/>
        <w:spacing w:line="237" w:lineRule="auto" w:before="120"/>
        <w:ind w:right="1139" w:firstLine="480"/>
        <w:jc w:val="both"/>
      </w:pPr>
      <w:r>
        <w:rPr/>
        <w:t>减值测试要求估计包含商誉的相关资产组的可收回金额，即相关资产组的公允价值减去 处置费用后的净额与相关资产组预计未来现金流量的现值两者之中的较高者。在确定相关资 产组预计未来现金流量的现值时，达实智能需要恰当的预测相关资产组未来现金流的长期平 均增长率和合理的确定计算相关资产组预计未来现金流量现值所采用的折现率，这涉及管理 层运用重大会计估计和判断，同时考虑商誉对于财务报表整体的重要性，因此我们将商誉减 值作为关键审计事项。</w:t>
      </w:r>
    </w:p>
    <w:p>
      <w:pPr>
        <w:pStyle w:val="Heading3"/>
        <w:spacing w:line="312" w:lineRule="auto" w:before="118"/>
        <w:ind w:left="634" w:right="5232"/>
        <w:jc w:val="left"/>
      </w:pPr>
      <w:r>
        <w:rPr>
          <w:rFonts w:ascii="Times New Roman" w:hAnsi="Times New Roman" w:cs="Times New Roman" w:eastAsia="Times New Roman" w:hint="default"/>
        </w:rPr>
        <w:t>2</w:t>
      </w:r>
      <w:r>
        <w:rPr/>
        <w:t>、审计应对 我们针对商誉的减值执行的主要审计程序包括：</w:t>
      </w:r>
    </w:p>
    <w:p>
      <w:pPr>
        <w:pStyle w:val="Heading3"/>
        <w:spacing w:line="248" w:lineRule="exact"/>
        <w:ind w:left="63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t>了解并测试达实智能与商誉减值相关的关键内部控制；</w:t>
      </w:r>
    </w:p>
    <w:p>
      <w:pPr>
        <w:pStyle w:val="Heading3"/>
        <w:spacing w:line="312" w:lineRule="exact"/>
        <w:ind w:left="658"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评价独立评估师的胜任能力、专业素质和客观性；</w:t>
      </w:r>
    </w:p>
    <w:p>
      <w:pPr>
        <w:pStyle w:val="Heading3"/>
        <w:spacing w:line="312" w:lineRule="exact"/>
        <w:ind w:left="63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t>评估减值测试方法的适当性；</w:t>
      </w:r>
    </w:p>
    <w:p>
      <w:pPr>
        <w:pStyle w:val="Heading3"/>
        <w:spacing w:line="312" w:lineRule="exact" w:before="20"/>
        <w:ind w:right="1117" w:firstLine="480"/>
        <w:jc w:val="left"/>
      </w:pPr>
      <w:r>
        <w:rPr>
          <w:rFonts w:ascii="Times New Roman" w:hAnsi="Times New Roman" w:cs="Times New Roman" w:eastAsia="Times New Roman" w:hint="default"/>
          <w:w w:val="99"/>
        </w:rPr>
        <w:t>(4)</w:t>
      </w:r>
      <w:r>
        <w:rPr>
          <w:rFonts w:ascii="Times New Roman" w:hAnsi="Times New Roman" w:cs="Times New Roman" w:eastAsia="Times New Roman" w:hint="default"/>
          <w:spacing w:val="46"/>
          <w:w w:val="99"/>
        </w:rPr>
        <w:t> </w:t>
      </w:r>
      <w:r>
        <w:rPr>
          <w:spacing w:val="-3"/>
          <w:w w:val="99"/>
        </w:rPr>
        <w:t>测试管理层减值测试所依据的基础数据，评估管理层减值测试中所采用关键假设及判</w:t>
      </w:r>
      <w:r>
        <w:rPr>
          <w:w w:val="99"/>
        </w:rPr>
        <w:t> </w:t>
      </w:r>
      <w:r>
        <w:rPr/>
        <w:t>断的合理性，以及了解和评价管理层利用其估值专家的工作；</w:t>
      </w:r>
    </w:p>
    <w:p>
      <w:pPr>
        <w:pStyle w:val="Heading3"/>
        <w:spacing w:line="302" w:lineRule="exact"/>
        <w:ind w:left="634"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4"/>
        </w:rPr>
        <w:t> </w:t>
      </w:r>
      <w:r>
        <w:rPr/>
        <w:t>验证商誉减值测试模型的计算准确性。</w:t>
      </w:r>
    </w:p>
    <w:p>
      <w:pPr>
        <w:pStyle w:val="Heading2"/>
        <w:spacing w:line="240" w:lineRule="auto" w:before="99"/>
        <w:ind w:left="636" w:right="0"/>
        <w:jc w:val="left"/>
        <w:rPr>
          <w:b w:val="0"/>
          <w:bCs w:val="0"/>
        </w:rPr>
      </w:pPr>
      <w:r>
        <w:rPr/>
        <w:t>四、</w:t>
      </w:r>
      <w:r>
        <w:rPr>
          <w:spacing w:val="-23"/>
        </w:rPr>
        <w:t> </w:t>
      </w:r>
      <w:r>
        <w:rPr/>
        <w:t>其他信息</w:t>
      </w:r>
      <w:r>
        <w:rPr>
          <w:b w:val="0"/>
          <w:bCs w:val="0"/>
        </w:rPr>
      </w:r>
    </w:p>
    <w:p>
      <w:pPr>
        <w:pStyle w:val="Heading3"/>
        <w:spacing w:line="312" w:lineRule="exact" w:before="148"/>
        <w:ind w:right="1111" w:firstLine="480"/>
        <w:jc w:val="left"/>
      </w:pPr>
      <w:r>
        <w:rPr/>
        <w:t>管理层对其他信息负责。其他信息包括达实智能</w:t>
      </w:r>
      <w:r>
        <w:rPr>
          <w:spacing w:val="-79"/>
        </w:rPr>
        <w:t> </w:t>
      </w:r>
      <w:r>
        <w:rPr>
          <w:rFonts w:ascii="Times New Roman" w:hAnsi="Times New Roman" w:cs="Times New Roman" w:eastAsia="Times New Roman" w:hint="default"/>
        </w:rPr>
        <w:t>2018</w:t>
      </w:r>
      <w:r>
        <w:rPr/>
        <w:t>年年度报告中涵盖的信息，但不包 括财务报表和我们的审计报告。</w:t>
      </w:r>
    </w:p>
    <w:p>
      <w:pPr>
        <w:pStyle w:val="Heading3"/>
        <w:spacing w:line="312" w:lineRule="exact" w:before="120"/>
        <w:ind w:right="0" w:firstLine="480"/>
        <w:jc w:val="left"/>
      </w:pPr>
      <w:r>
        <w:rPr/>
        <w:t>我们对财务报表发表的审计意见不涵盖其他信息，我们也不对其他信息发表任何形式的 鉴证结论。</w:t>
      </w:r>
    </w:p>
    <w:p>
      <w:pPr>
        <w:pStyle w:val="Heading3"/>
        <w:spacing w:line="312" w:lineRule="exact" w:before="120"/>
        <w:ind w:right="0" w:firstLine="480"/>
        <w:jc w:val="left"/>
      </w:pPr>
      <w:r>
        <w:rPr/>
        <w:t>结合我们对财务报表的审计，我们的责任是阅读其他信息，在此过程中，考虑其他信息 是否与财务报表或我们在审计过程中了解到的情况存在重大不一致或者似乎存在重大错报。</w:t>
      </w:r>
    </w:p>
    <w:p>
      <w:pPr>
        <w:pStyle w:val="Heading3"/>
        <w:spacing w:line="312" w:lineRule="exact" w:before="120"/>
        <w:ind w:right="0" w:firstLine="480"/>
        <w:jc w:val="left"/>
      </w:pPr>
      <w:r>
        <w:rPr>
          <w:spacing w:val="-3"/>
        </w:rPr>
        <w:t>基于我们已经执行的工作，如果我们确定其他信息存在重大错报，我们应当报告该事实。</w:t>
      </w:r>
      <w:r>
        <w:rPr/>
        <w:t> 在这方面，我们无任何事项需要报告。</w:t>
      </w:r>
    </w:p>
    <w:p>
      <w:pPr>
        <w:pStyle w:val="Heading2"/>
        <w:spacing w:line="240" w:lineRule="auto" w:before="89"/>
        <w:ind w:left="636" w:right="0"/>
        <w:jc w:val="left"/>
        <w:rPr>
          <w:b w:val="0"/>
          <w:bCs w:val="0"/>
        </w:rPr>
      </w:pPr>
      <w:r>
        <w:rPr/>
        <w:t>五、</w:t>
      </w:r>
      <w:r>
        <w:rPr>
          <w:spacing w:val="-33"/>
        </w:rPr>
        <w:t> </w:t>
      </w:r>
      <w:r>
        <w:rPr/>
        <w:t>管理层和治理层对财务报表的责任</w:t>
      </w:r>
      <w:r>
        <w:rPr>
          <w:b w:val="0"/>
          <w:bCs w:val="0"/>
        </w:rPr>
      </w:r>
    </w:p>
    <w:p>
      <w:pPr>
        <w:spacing w:after="0" w:line="240" w:lineRule="auto"/>
        <w:jc w:val="left"/>
        <w:sectPr>
          <w:pgSz w:w="11910" w:h="16840"/>
          <w:pgMar w:header="787" w:footer="1019" w:top="1100" w:bottom="1200" w:left="980" w:right="0"/>
        </w:sectPr>
      </w:pPr>
    </w:p>
    <w:p>
      <w:pPr>
        <w:spacing w:line="240" w:lineRule="auto" w:before="5"/>
        <w:rPr>
          <w:rFonts w:ascii="宋体" w:hAnsi="宋体" w:cs="宋体" w:eastAsia="宋体" w:hint="default"/>
          <w:b/>
          <w:bCs/>
          <w:sz w:val="20"/>
          <w:szCs w:val="20"/>
        </w:rPr>
      </w:pPr>
    </w:p>
    <w:p>
      <w:pPr>
        <w:pStyle w:val="Heading3"/>
        <w:spacing w:line="312" w:lineRule="exact" w:before="56"/>
        <w:ind w:right="1138" w:firstLine="480"/>
        <w:jc w:val="both"/>
      </w:pPr>
      <w:r>
        <w:rPr/>
        <w:t>达实智能管理层（以下简称</w:t>
      </w:r>
      <w:r>
        <w:rPr>
          <w:rFonts w:ascii="Times New Roman" w:hAnsi="Times New Roman" w:cs="Times New Roman" w:eastAsia="Times New Roman" w:hint="default"/>
        </w:rPr>
        <w:t>“</w:t>
      </w:r>
      <w:r>
        <w:rPr/>
        <w:t>管理层</w:t>
      </w:r>
      <w:r>
        <w:rPr>
          <w:rFonts w:ascii="Times New Roman" w:hAnsi="Times New Roman" w:cs="Times New Roman" w:eastAsia="Times New Roman" w:hint="default"/>
        </w:rPr>
        <w:t>”</w:t>
      </w:r>
      <w:r>
        <w:rPr/>
        <w:t>）负责按照企业会计准则的规定编制财务报表，使 其实现公允反映，并设计、执行和维护必要的内部控制，以使财务报表不存在由于舞弊或错 误导致的重大错报。</w:t>
      </w:r>
    </w:p>
    <w:p>
      <w:pPr>
        <w:pStyle w:val="Heading3"/>
        <w:spacing w:line="237" w:lineRule="auto" w:before="92"/>
        <w:ind w:right="1139" w:firstLine="480"/>
        <w:jc w:val="both"/>
      </w:pPr>
      <w:r>
        <w:rPr/>
        <w:t>在编制财务报表时，管理层负责评估达实智能的持续经营能力，披露与持续经营相关的 事项（如适用），并运用持续经营假设，除非管理层计划清算达实智能、终止运营或别无其 他现实的选择。</w:t>
      </w:r>
    </w:p>
    <w:p>
      <w:pPr>
        <w:spacing w:line="312" w:lineRule="auto" w:before="118"/>
        <w:ind w:left="636" w:right="2380" w:hanging="3"/>
        <w:jc w:val="left"/>
        <w:rPr>
          <w:rFonts w:ascii="宋体" w:hAnsi="宋体" w:cs="宋体" w:eastAsia="宋体" w:hint="default"/>
          <w:sz w:val="24"/>
          <w:szCs w:val="24"/>
        </w:rPr>
      </w:pPr>
      <w:r>
        <w:rPr>
          <w:rFonts w:ascii="宋体" w:hAnsi="宋体" w:cs="宋体" w:eastAsia="宋体" w:hint="default"/>
          <w:sz w:val="24"/>
          <w:szCs w:val="24"/>
        </w:rPr>
        <w:t>达实智能治理层（以下简称</w:t>
      </w:r>
      <w:r>
        <w:rPr>
          <w:rFonts w:ascii="Times New Roman" w:hAnsi="Times New Roman" w:cs="Times New Roman" w:eastAsia="Times New Roman" w:hint="default"/>
          <w:sz w:val="24"/>
          <w:szCs w:val="24"/>
        </w:rPr>
        <w:t>“</w:t>
      </w:r>
      <w:r>
        <w:rPr>
          <w:rFonts w:ascii="宋体" w:hAnsi="宋体" w:cs="宋体" w:eastAsia="宋体" w:hint="default"/>
          <w:sz w:val="24"/>
          <w:szCs w:val="24"/>
        </w:rPr>
        <w:t>治理层</w:t>
      </w:r>
      <w:r>
        <w:rPr>
          <w:rFonts w:ascii="Times New Roman" w:hAnsi="Times New Roman" w:cs="Times New Roman" w:eastAsia="Times New Roman" w:hint="default"/>
          <w:sz w:val="24"/>
          <w:szCs w:val="24"/>
        </w:rPr>
        <w:t>”</w:t>
      </w:r>
      <w:r>
        <w:rPr>
          <w:rFonts w:ascii="宋体" w:hAnsi="宋体" w:cs="宋体" w:eastAsia="宋体" w:hint="default"/>
          <w:sz w:val="24"/>
          <w:szCs w:val="24"/>
        </w:rPr>
        <w:t>）负责监督达实智能的财务报告过程。 </w:t>
      </w:r>
      <w:r>
        <w:rPr>
          <w:rFonts w:ascii="宋体" w:hAnsi="宋体" w:cs="宋体" w:eastAsia="宋体" w:hint="default"/>
          <w:b/>
          <w:bCs/>
          <w:sz w:val="24"/>
          <w:szCs w:val="24"/>
        </w:rPr>
        <w:t>六、</w:t>
      </w:r>
      <w:r>
        <w:rPr>
          <w:rFonts w:ascii="宋体" w:hAnsi="宋体" w:cs="宋体" w:eastAsia="宋体" w:hint="default"/>
          <w:b/>
          <w:bCs/>
          <w:spacing w:val="-33"/>
          <w:sz w:val="24"/>
          <w:szCs w:val="24"/>
        </w:rPr>
        <w:t> </w:t>
      </w:r>
      <w:r>
        <w:rPr>
          <w:rFonts w:ascii="宋体" w:hAnsi="宋体" w:cs="宋体" w:eastAsia="宋体" w:hint="default"/>
          <w:b/>
          <w:bCs/>
          <w:sz w:val="24"/>
          <w:szCs w:val="24"/>
        </w:rPr>
        <w:t>注册会计师对财务报表审计的责任</w:t>
      </w:r>
      <w:r>
        <w:rPr>
          <w:rFonts w:ascii="宋体" w:hAnsi="宋体" w:cs="宋体" w:eastAsia="宋体" w:hint="default"/>
          <w:sz w:val="24"/>
          <w:szCs w:val="24"/>
        </w:rPr>
      </w:r>
    </w:p>
    <w:p>
      <w:pPr>
        <w:pStyle w:val="Heading3"/>
        <w:spacing w:line="312" w:lineRule="exact" w:before="76"/>
        <w:ind w:right="1132" w:firstLine="480"/>
        <w:jc w:val="both"/>
      </w:pPr>
      <w:r>
        <w:rPr>
          <w:spacing w:val="6"/>
        </w:rPr>
        <w:t>我们的目标是对财务报表整体是否不存在由于舞弊或错误导致的重大错报获取合理保</w:t>
      </w:r>
      <w:r>
        <w:rPr/>
        <w:t> 证，并出具包含审计意见的审计报告。合理保证是高水平的保证，但并不能保证按照审计准 则执行的审计在某一重大错报存在时总能发现。错报可能由于舞弊或错误所导致，如果合理</w:t>
      </w:r>
      <w:r>
        <w:rPr>
          <w:spacing w:val="-113"/>
        </w:rPr>
        <w:t> </w:t>
      </w:r>
      <w:r>
        <w:rPr>
          <w:spacing w:val="-113"/>
        </w:rPr>
      </w:r>
      <w:r>
        <w:rPr/>
        <w:t>预期错报单独或汇总起来可能影响财务报表使用者依据财务报表作出的经济决策，则通常认 为错报是重大的。</w:t>
      </w:r>
    </w:p>
    <w:p>
      <w:pPr>
        <w:pStyle w:val="Heading3"/>
        <w:spacing w:line="312" w:lineRule="exact" w:before="120"/>
        <w:ind w:right="1140" w:firstLine="480"/>
        <w:jc w:val="both"/>
      </w:pPr>
      <w:r>
        <w:rPr/>
        <w:t>在按照审计准则执行审计的过程中，我们运用了职业判断，并保持了职业怀疑。同时， 我们也执行以下工作：</w:t>
      </w:r>
    </w:p>
    <w:p>
      <w:pPr>
        <w:pStyle w:val="Heading3"/>
        <w:spacing w:line="312" w:lineRule="exact" w:before="120"/>
        <w:ind w:right="1139" w:firstLine="480"/>
        <w:jc w:val="both"/>
      </w:pPr>
      <w:r>
        <w:rPr/>
        <w:t>（一）识别和评估由于舞弊或错误导致的财务报表重大错报风险，设计和实施审计程序 以应对这些风险，并获取充分、适当的审计证据，作为发表审计意见的基础。由于舞弊可能 涉及串通、伪造、故意遗漏、虚假陈述或凌驾于内部控制之上，未能发现由于舞弊导致的重 大错报的风险高于未能发现由于错误导致的重大错报的风险。</w:t>
      </w:r>
    </w:p>
    <w:p>
      <w:pPr>
        <w:pStyle w:val="Heading3"/>
        <w:spacing w:line="240" w:lineRule="auto" w:before="89"/>
        <w:ind w:left="634" w:right="0"/>
        <w:jc w:val="left"/>
      </w:pPr>
      <w:r>
        <w:rPr/>
        <w:t>（二）了解与审计相关的内部控制，以设计恰当的审计程序。</w:t>
      </w:r>
    </w:p>
    <w:p>
      <w:pPr>
        <w:pStyle w:val="Heading3"/>
        <w:spacing w:line="240" w:lineRule="auto" w:before="118"/>
        <w:ind w:left="634" w:right="0"/>
        <w:jc w:val="left"/>
      </w:pPr>
      <w:r>
        <w:rPr/>
        <w:t>（三）评价管理层选用会计政策的恰当性和作出会计估计及相关披露的合理性。</w:t>
      </w:r>
    </w:p>
    <w:p>
      <w:pPr>
        <w:pStyle w:val="Heading3"/>
        <w:spacing w:line="312" w:lineRule="exact" w:before="148"/>
        <w:ind w:right="1129" w:firstLine="480"/>
        <w:jc w:val="both"/>
      </w:pPr>
      <w:r>
        <w:rPr/>
        <w:t>（四）对管理层使用持续经营假设的恰当性得出结论。同时，根据获取的审计证据，就 可能导致对达实智能持续经营能力产生重大疑虑的事项或情况是否存在重大不确定性得出结 论。如果我们得出结论认为存在重大不确定性，审计准则要求我们在审计报告中提请报表使 用者注意财务报表中的相关披露；如果披露不充分，我们应当发表非无保留意见。我们的结 论基于截至审计报告日可获得的信息。然而，未来的事项或情况可能导致达实智能不能持续</w:t>
      </w:r>
      <w:r>
        <w:rPr>
          <w:spacing w:val="-109"/>
        </w:rPr>
        <w:t> </w:t>
      </w:r>
      <w:r>
        <w:rPr>
          <w:spacing w:val="-109"/>
        </w:rPr>
      </w:r>
      <w:r>
        <w:rPr/>
        <w:t>经营。</w:t>
      </w:r>
    </w:p>
    <w:p>
      <w:pPr>
        <w:pStyle w:val="Heading3"/>
        <w:spacing w:line="312" w:lineRule="exact" w:before="120"/>
        <w:ind w:right="1140" w:firstLine="480"/>
        <w:jc w:val="both"/>
      </w:pPr>
      <w:r>
        <w:rPr/>
        <w:t>（五）评价财务报表的总体列报、结构和内容（包括披露），并评价财务报表是否公允 反映相关交易和事项。</w:t>
      </w:r>
    </w:p>
    <w:p>
      <w:pPr>
        <w:pStyle w:val="Heading3"/>
        <w:spacing w:line="312" w:lineRule="exact" w:before="120"/>
        <w:ind w:right="1140" w:firstLine="480"/>
        <w:jc w:val="both"/>
      </w:pPr>
      <w:r>
        <w:rPr/>
        <w:t>（六）就达实智能中实体或业务活动的财务信息获取充分、适当的审计证据，以对财务 报表发表意见。我们负责指导、监督和执行集团审计。我们对审计意见承担全部责任。</w:t>
      </w:r>
    </w:p>
    <w:p>
      <w:pPr>
        <w:pStyle w:val="Heading3"/>
        <w:spacing w:line="312" w:lineRule="exact" w:before="120"/>
        <w:ind w:right="1140" w:firstLine="480"/>
        <w:jc w:val="both"/>
      </w:pPr>
      <w:r>
        <w:rPr/>
        <w:t>我们与治理层就计划的审计范围、时间安排和重大审计发现等事项进行沟通，包括沟通 我们在审计中识别出的值得关注的内部控制缺陷。</w:t>
      </w:r>
    </w:p>
    <w:p>
      <w:pPr>
        <w:pStyle w:val="Heading3"/>
        <w:spacing w:line="312" w:lineRule="exact" w:before="120"/>
        <w:ind w:right="1140" w:firstLine="480"/>
        <w:jc w:val="both"/>
      </w:pPr>
      <w:r>
        <w:rPr/>
        <w:t>我们还就已遵守与独立性相关的职业道德要求向治理层提供声明，并与治理层沟通可能 被合理认为影响我们独立性的所有关系和其他事项，以及相关的防范措施。</w:t>
      </w:r>
    </w:p>
    <w:p>
      <w:pPr>
        <w:pStyle w:val="Heading3"/>
        <w:spacing w:line="312" w:lineRule="exact" w:before="120"/>
        <w:ind w:right="1139" w:firstLine="480"/>
        <w:jc w:val="both"/>
      </w:pPr>
      <w:r>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spacing w:after="0" w:line="312" w:lineRule="exact"/>
        <w:jc w:val="both"/>
        <w:sectPr>
          <w:pgSz w:w="11910" w:h="16840"/>
          <w:pgMar w:header="787" w:footer="1019" w:top="1100" w:bottom="120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Heading3"/>
        <w:tabs>
          <w:tab w:pos="4732" w:val="left" w:leader="none"/>
          <w:tab w:pos="8055" w:val="left" w:leader="none"/>
        </w:tabs>
        <w:spacing w:line="322" w:lineRule="exact" w:before="26"/>
        <w:ind w:right="0"/>
        <w:jc w:val="left"/>
        <w:rPr>
          <w:rFonts w:ascii="Times New Roman" w:hAnsi="Times New Roman" w:cs="Times New Roman" w:eastAsia="Times New Roman" w:hint="default"/>
        </w:rPr>
      </w:pPr>
      <w:r>
        <w:rPr/>
        <w:t>中勤万信会计师事务所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tab/>
      </w:r>
      <w:r>
        <w:rPr/>
        <w:t>中国注册会计师： </w:t>
      </w:r>
      <w:r>
        <w:rPr>
          <w:spacing w:val="-48"/>
        </w:rPr>
        <w:t> </w:t>
      </w:r>
      <w:r>
        <w:rPr>
          <w:rFonts w:ascii="Times New Roman" w:hAnsi="Times New Roman" w:cs="Times New Roman" w:eastAsia="Times New Roman" w:hint="default"/>
          <w:spacing w:val="-48"/>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pStyle w:val="Heading3"/>
        <w:spacing w:line="304" w:lineRule="exact"/>
        <w:ind w:left="4697" w:right="0"/>
        <w:jc w:val="left"/>
      </w:pPr>
      <w:r>
        <w:rPr/>
        <w:t>（项目合伙人）</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3"/>
          <w:szCs w:val="23"/>
        </w:rPr>
      </w:pPr>
    </w:p>
    <w:p>
      <w:pPr>
        <w:pStyle w:val="Heading3"/>
        <w:tabs>
          <w:tab w:pos="4621" w:val="left" w:leader="none"/>
          <w:tab w:pos="7944" w:val="left" w:leader="none"/>
        </w:tabs>
        <w:spacing w:line="240" w:lineRule="auto"/>
        <w:ind w:left="634" w:right="0"/>
        <w:jc w:val="left"/>
        <w:rPr>
          <w:rFonts w:ascii="Times New Roman" w:hAnsi="Times New Roman" w:cs="Times New Roman" w:eastAsia="Times New Roman" w:hint="default"/>
        </w:rPr>
      </w:pPr>
      <w:r>
        <w:rPr/>
        <w:t>二〇一九年四月二十九日</w:t>
        <w:tab/>
        <w:t>中国注册会计师： </w:t>
      </w:r>
      <w:r>
        <w:rPr>
          <w:spacing w:val="-48"/>
        </w:rPr>
        <w:t> </w:t>
      </w:r>
      <w:r>
        <w:rPr>
          <w:rFonts w:ascii="Times New Roman" w:hAnsi="Times New Roman" w:cs="Times New Roman" w:eastAsia="Times New Roman" w:hint="default"/>
          <w:spacing w:val="-48"/>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rPr>
      </w:r>
    </w:p>
    <w:p>
      <w:pPr>
        <w:spacing w:line="240" w:lineRule="auto" w:before="10"/>
        <w:rPr>
          <w:rFonts w:ascii="Times New Roman" w:hAnsi="Times New Roman" w:cs="Times New Roman" w:eastAsia="Times New Roman" w:hint="default"/>
          <w:sz w:val="23"/>
          <w:szCs w:val="23"/>
        </w:rPr>
      </w:pPr>
    </w:p>
    <w:p>
      <w:pPr>
        <w:pStyle w:val="Heading2"/>
        <w:spacing w:line="240" w:lineRule="auto" w:before="26"/>
        <w:ind w:right="0"/>
        <w:jc w:val="left"/>
        <w:rPr>
          <w:b w:val="0"/>
          <w:bCs w:val="0"/>
        </w:rPr>
      </w:pPr>
      <w:bookmarkStart w:name="二、财务报表" w:id="157"/>
      <w:bookmarkEnd w:id="157"/>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合并资产负债表" w:id="158"/>
      <w:bookmarkEnd w:id="15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87" w:footer="1019" w:top="1100" w:bottom="1200" w:left="980" w:right="0"/>
        </w:sectPr>
      </w:pPr>
    </w:p>
    <w:p>
      <w:pPr>
        <w:pStyle w:val="BodyText"/>
        <w:spacing w:line="240" w:lineRule="auto" w:before="44"/>
        <w:ind w:right="-20"/>
        <w:jc w:val="left"/>
      </w:pPr>
      <w:r>
        <w:rPr/>
        <w:t>编制单位：深圳达实智能股份有限公司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100" w:bottom="1200" w:left="980" w:right="0"/>
          <w:cols w:num="3" w:equalWidth="0">
            <w:col w:w="3215" w:space="86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892,377,916.11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710,989,421.21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9"/>
              <w:jc w:val="righ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2,650,396,966.43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2,184,811,704.84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511,416,550.30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426,173,544.05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2,138,980,416.13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1,758,638,160.79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186,157,869.65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140,594,202.80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221,127,062.28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89,191,358.87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613,333.33</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332,054,359.62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286,340,219.90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177,889,773.87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129,023,981.98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107,778,935.20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40,490,615.85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4,567,782,883.16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3,581,441,505.45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85,975,000.00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23,075,000.00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314,916,651.31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299,562,717.39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29,455,567.84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28,798,842.88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44,627,022.66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66,115,847.38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162,304,668.60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166,620,641.28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686,874,782.19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384,916,055.78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161,174,716.92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110,236,498.32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30,388,342.47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2,356,852.88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625,287,609.96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757,993,230.40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11,220,062.64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9,676,277.43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44,993,600.37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26,461,871.74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2,197,218,024.96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1,875,813,835.48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6,765,000,908.12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5,457,255,340.93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844,127,043.58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368,490,150.22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1,221,820,566.83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1,099,197,083.59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68,675,383.71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106,773,201.15</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52,461,683.54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51,582,871.93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42,315,087.70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58,927,644.78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101,236,695.47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116,889,633.85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2,806,333.53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739,282.77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1,032,156.25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38,649,302.70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33,832,239.79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135,982,245.92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94,207,565.63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2,505,268,009.45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1,929,900,390.94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860,943,033.42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233,163,273.86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37,271,912.83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9,351,212.98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34,906,067.70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933,121,013.95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262,534,486.84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3,438,389,023.40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2,192,434,877.78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1,902,159,229.00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1,923,597,501.00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153,415,558.41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220,908,695.57</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407"/>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38,525,177.00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96,417,455.37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75,593,568.46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1,054,820,247.30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915,758,650.75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3,206,812,490.08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3,097,333,238.78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119,799,394.64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167,487,224.37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3,326,611,884.72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3,264,820,463.15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6,765,000,908.12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5,457,255,340.93</w:t>
            </w:r>
          </w:p>
        </w:tc>
      </w:tr>
    </w:tbl>
    <w:p>
      <w:pPr>
        <w:spacing w:line="240" w:lineRule="auto" w:before="3"/>
        <w:rPr>
          <w:rFonts w:ascii="Times New Roman" w:hAnsi="Times New Roman" w:cs="Times New Roman" w:eastAsia="Times New Roman" w:hint="default"/>
          <w:sz w:val="23"/>
          <w:szCs w:val="23"/>
        </w:rPr>
      </w:pPr>
    </w:p>
    <w:p>
      <w:pPr>
        <w:pStyle w:val="BodyText"/>
        <w:tabs>
          <w:tab w:pos="3330" w:val="left" w:leader="none"/>
          <w:tab w:pos="7561" w:val="left" w:leader="none"/>
        </w:tabs>
        <w:spacing w:line="240" w:lineRule="auto" w:before="44"/>
        <w:ind w:left="0" w:right="1229"/>
        <w:jc w:val="right"/>
      </w:pPr>
      <w:r>
        <w:rPr/>
        <w:t>法定代表人：刘磅</w:t>
        <w:tab/>
        <w:t>主管会计工作负责人：黄天朗</w:t>
        <w:tab/>
        <w:t>会计机构负责人：黄庆明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59"/>
      <w:bookmarkEnd w:id="15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449,380,563.33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229,269,251.86</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1,697,423,326.99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1,415,222,003.38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296,943,998.40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86,181,475.28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1,400,479,328.59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1,329,040,528.10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27,701,779.26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21,226,799.81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434,748,913.43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48,709,696.95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214,810,389.76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175,341,272.16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1,704,608.42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3,942,766.88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2,825,769,581.19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1,893,711,791.04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85,975,000.00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23,075,000.00</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83,354,608.42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1,524,762,203.63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1,692,876,677.50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454,056.12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67,717.88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92,783,784.90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83,291,209.39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11,445,697.53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8,560,139.11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37,442,693.42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15,530,115.96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22,860,169.66</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5,774,993.19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7,174,187.36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18,320,825.66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17,251,970.54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1,799,819,424.11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1,931,181,626.16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4,625,589,005.30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3,824,893,417.20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622,790,000.00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849,062,474.08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738,982,332.99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36,272,708.31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37,846,952.63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31,574,853.84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27,016,793.70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18,412,958.82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32,314,993.12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63,628,433.85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89,161,240.96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1,062,741.95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209,266.39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1,032,156.25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19,049,302.74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16,332,239.83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64,057,464.22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56,253,158.43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1,704,848,195.86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1,147,907,711.66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37,271,912.83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9,351,212.98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34,906,067.70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172,177,980.53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29,371,212.98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1,877,026,176.39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1,177,278,924.64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1,902,159,229.00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1,923,597,501.00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154,732,501.26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222,225,638.42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38,525,177.00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96,257,087.78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75,433,200.87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595,414,010.87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464,883,329.27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2,748,562,828.91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2,647,614,492.56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4,625,589,005.30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3,824,893,417.20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3、合并利润表" w:id="160"/>
      <w:bookmarkEnd w:id="16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2,527,415,275.10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2,572,487,726.02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2,527,415,275.10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2,572,487,726.02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2,281,177,436.08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2,201,570,717.87</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1,719,623,943.94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1,735,580,804.22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8,831,616.49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8,829,538.16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253,769,209.28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202,093,511.85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136,147,800.18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143,520,387.52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47,573,406.42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67,055,041.33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26,575,526.70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4,914,072.04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29,888,739.08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12,431,341.16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6,009,102.95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8,144,217.52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88,655,933.07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39,577,362.75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28,821,457.86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19,217,258.52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-15,546,223.82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-332,511.89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701,495.18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-329,995.02</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140,347.93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-274,190.11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4"/>
              <w:jc w:val="right"/>
              <w:rPr>
                <w:rFonts w:ascii="宋体" w:hAnsi="宋体" w:cs="宋体" w:eastAsia="宋体" w:hint="default"/>
                <w:sz w:val="18"/>
                <w:szCs w:val="18"/>
              </w:rPr>
            </w:pPr>
            <w:r>
              <w:rPr>
                <w:rFonts w:ascii="宋体" w:hAnsi="宋体" w:cs="宋体" w:eastAsia="宋体" w:hint="default"/>
                <w:spacing w:val="-1"/>
                <w:sz w:val="18"/>
                <w:szCs w:val="18"/>
              </w:rPr>
              <w:t>三、营业利润（亏损以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259,653,420.99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389,527,564.67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1,012,453.18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924,153.63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5,111,322.05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549,691.33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255,554,552.12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389,902,026.97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41,741,956.23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56,623,230.56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4"/>
              <w:jc w:val="right"/>
              <w:rPr>
                <w:rFonts w:ascii="宋体" w:hAnsi="宋体" w:cs="宋体" w:eastAsia="宋体" w:hint="default"/>
                <w:sz w:val="18"/>
                <w:szCs w:val="18"/>
              </w:rPr>
            </w:pPr>
            <w:r>
              <w:rPr>
                <w:rFonts w:ascii="宋体" w:hAnsi="宋体" w:cs="宋体" w:eastAsia="宋体" w:hint="default"/>
                <w:spacing w:val="-1"/>
                <w:sz w:val="18"/>
                <w:szCs w:val="18"/>
              </w:rPr>
              <w:t>五、净利润（净亏损以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213,812,595.89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333,278,796.41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213,812,595.89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333,278,796.41</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216,769,784.07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311,825,825.86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-2,957,188.18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21,452,970.55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213,812,595.89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333,278,796.41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216,769,784.07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311,825,825.86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-2,957,188.18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21,452,970.55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0.1137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0.1133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0.1620</w:t>
            </w:r>
          </w:p>
        </w:tc>
      </w:tr>
    </w:tbl>
    <w:p>
      <w:pPr>
        <w:pStyle w:val="BodyText"/>
        <w:tabs>
          <w:tab w:pos="3484" w:val="left" w:leader="none"/>
          <w:tab w:pos="7715" w:val="left" w:leader="none"/>
        </w:tabs>
        <w:spacing w:line="590" w:lineRule="auto" w:before="51"/>
        <w:ind w:right="1229"/>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18"/>
        </w:rPr>
        <w:t> </w:t>
      </w:r>
      <w:r>
        <w:rPr/>
        <w:t>元。 法定代表人：刘磅</w:t>
        <w:tab/>
        <w:t>主管会计工作负责人：黄天朗</w:t>
        <w:tab/>
        <w:t>会计机构负责人：黄庆明</w:t>
      </w:r>
    </w:p>
    <w:p>
      <w:pPr>
        <w:spacing w:after="0" w:line="590" w:lineRule="auto"/>
        <w:jc w:val="left"/>
        <w:sectPr>
          <w:pgSz w:w="11910" w:h="16840"/>
          <w:pgMar w:header="787" w:footer="1019" w:top="1100" w:bottom="1200" w:left="980" w:right="0"/>
        </w:sectPr>
      </w:pPr>
    </w:p>
    <w:p>
      <w:pPr>
        <w:spacing w:line="240" w:lineRule="auto" w:before="7"/>
        <w:rPr>
          <w:rFonts w:ascii="宋体" w:hAnsi="宋体" w:cs="宋体" w:eastAsia="宋体" w:hint="default"/>
          <w:sz w:val="21"/>
          <w:szCs w:val="21"/>
        </w:rPr>
      </w:pPr>
    </w:p>
    <w:p>
      <w:pPr>
        <w:pStyle w:val="Heading4"/>
        <w:spacing w:line="240" w:lineRule="auto" w:before="35"/>
        <w:ind w:right="0"/>
        <w:jc w:val="left"/>
        <w:rPr>
          <w:b w:val="0"/>
          <w:bCs w:val="0"/>
        </w:rPr>
      </w:pPr>
      <w:bookmarkStart w:name="4、母公司利润表" w:id="161"/>
      <w:bookmarkEnd w:id="161"/>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1,609,062,291.59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1,539,039,797.07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1,187,345,833.70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1,128,987,250.34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3,509,366.34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2,626,590.60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155,978,253.33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130,297,869.39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42,804,478.58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39,833,648.33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8,345,181.01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28,741,324.34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16,902,496.50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660,806.77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24,202,103.10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8,790,756.17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8,991,722.43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8,236,677.02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10,149,078.59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29,309,820.18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14,878,497.27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7,358,924.81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42,318,891.76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6,645,004.98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701,495.18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-329,995.02</w:t>
            </w:r>
            <w:r>
              <w:rPr>
                <w:rFonts w:ascii="Times New Roman"/>
                <w:sz w:val="18"/>
              </w:rPr>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-27,386.82</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-59,413.36</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241,197,605.75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192,527,003.55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219,799.54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364,801.60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3,742,726.99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237,674,678.30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192,521,805.15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29,435,809.18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24,944,918.88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208,238,869.12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167,576,886.27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208,238,869.12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167,576,886.27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208,238,869.12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167,576,886.27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合并现金流量表" w:id="162"/>
      <w:bookmarkEnd w:id="16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2,079,476,370.28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8" w:right="0"/>
              <w:jc w:val="left"/>
              <w:rPr>
                <w:rFonts w:ascii="Times New Roman" w:hAnsi="Times New Roman" w:cs="Times New Roman" w:eastAsia="Times New Roman" w:hint="default"/>
                <w:sz w:val="18"/>
                <w:szCs w:val="18"/>
              </w:rPr>
            </w:pPr>
            <w:r>
              <w:rPr>
                <w:rFonts w:ascii="Times New Roman"/>
                <w:sz w:val="18"/>
              </w:rPr>
              <w:t>2,362,625,064.46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14,068,289.74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8,420,908.93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50,180,943.51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48,930,688.96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2,143,725,603.53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2,419,976,662.35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1,703,592,093.13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1,658,431,115.66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295,699,382.80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285,584,411.00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128,845,681.28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118,797,113.69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206,563,464.84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147,036,676.46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2,334,700,622.05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2,209,849,316.81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-190,975,018.52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210,127,345.54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195,207,382.84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504,216,783.33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2,240,636.15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36,732.87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452,030.00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709,012,495.32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320,054,925.38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906,912,544.31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824,309,891.58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463,221,849.92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203,500,099.31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335,438,797.24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561,671,066.37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2,506,662.18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755,907,657.78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215,625,809.92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1,557,074,967.12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980,796,975.60</w:t>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10" w:h="16840"/>
          <w:pgMar w:footer="1019" w:header="787"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-650,162,422.81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-156,487,084.02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1,479,450,059.52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723,499,940.48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5,028,059.53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1,525,950,059.52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728,528,000.01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313,416,687.61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532,435,216.67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97,924,324.82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84,346,538.26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116,166,974.35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10,197,583.08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527,507,986.78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626,979,338.01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998,442,072.74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101,548,662.00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202,528.14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-283,503.29</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157,507,159.55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154,905,420.23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662,555,637.29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507,650,217.06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820,062,796.84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662,555,637.29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6、母公司现金流量表" w:id="163"/>
      <w:bookmarkEnd w:id="16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1,446,815,298.66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1,266,873,589.30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2,400,744.52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151,190.00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18,455,974.60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25,338,038.33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1,467,672,017.78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1,292,362,817.63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1,151,812,343.98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983,234,744.14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147,593,747.42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139,871,843.57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53,694,050.24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37,466,008.10</w:t>
            </w:r>
          </w:p>
        </w:tc>
      </w:tr>
    </w:tbl>
    <w:p>
      <w:pPr>
        <w:spacing w:after="0" w:line="240" w:lineRule="auto"/>
        <w:jc w:val="right"/>
        <w:rPr>
          <w:rFonts w:ascii="Times New Roman" w:hAnsi="Times New Roman" w:cs="Times New Roman" w:eastAsia="Times New Roman" w:hint="default"/>
          <w:sz w:val="18"/>
          <w:szCs w:val="18"/>
        </w:rPr>
        <w:sectPr>
          <w:footerReference w:type="default" r:id="rId19"/>
          <w:pgSz w:w="11910" w:h="16840"/>
          <w:pgMar w:footer="1019" w:header="787" w:top="1100" w:bottom="1200" w:left="980" w:right="0"/>
          <w:pgNumType w:start="101"/>
        </w:sectPr>
      </w:pPr>
    </w:p>
    <w:p>
      <w:pPr>
        <w:spacing w:line="240" w:lineRule="auto" w:before="10"/>
        <w:rPr>
          <w:rFonts w:ascii="Times New Roman" w:hAnsi="Times New Roman" w:cs="Times New Roman" w:eastAsia="Times New Roman"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106,525,025.63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50,902,476.95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1,459,625,167.27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1,211,475,072.76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8,046,850.51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80,887,744.87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51,033,365.63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233,510,664.83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130,415,118.53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284,544,630.46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150,316,468.53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112,933,003.86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26,399,407.65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14,194,607.00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85,780,000.00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508,977,610.86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202,179,407.65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-224,432,980.40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-51,862,939.12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620,790,000.00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626,790,000.00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16,346,387.65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175,532,434.94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81,265,084.40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66,067,032.04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106,166,974.35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7,700,873.58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203,778,446.40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249,300,340.56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423,011,553.60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-99,300,340.56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202,509.32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-276,946.68</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206,827,933.03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-70,552,481.49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214,312,140.04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284,864,621.53</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421,140,073.07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214,312,140.04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7、合并所有者权益变动表" w:id="164"/>
      <w:bookmarkEnd w:id="16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5"/>
        <w:gridCol w:w="574"/>
        <w:gridCol w:w="530"/>
        <w:gridCol w:w="532"/>
        <w:gridCol w:w="530"/>
        <w:gridCol w:w="665"/>
        <w:gridCol w:w="665"/>
        <w:gridCol w:w="665"/>
        <w:gridCol w:w="665"/>
        <w:gridCol w:w="664"/>
        <w:gridCol w:w="666"/>
        <w:gridCol w:w="665"/>
        <w:gridCol w:w="665"/>
        <w:gridCol w:w="65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15"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15"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15"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15"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15"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1,923,</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597,50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1.00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220,908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,695.57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38,525,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177.00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75,593,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568.46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915,758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,650.75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167,487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,224.37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20,463.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15</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1,923,</w:t>
            </w:r>
          </w:p>
          <w:p>
            <w:pPr>
              <w:pStyle w:val="TableParagraph"/>
              <w:spacing w:line="240" w:lineRule="auto" w:before="105"/>
              <w:ind w:left="18" w:right="0"/>
              <w:jc w:val="center"/>
              <w:rPr>
                <w:rFonts w:ascii="Times New Roman" w:hAnsi="Times New Roman" w:cs="Times New Roman" w:eastAsia="Times New Roman" w:hint="default"/>
                <w:sz w:val="18"/>
                <w:szCs w:val="18"/>
              </w:rPr>
            </w:pPr>
            <w:r>
              <w:rPr>
                <w:rFonts w:ascii="Times New Roman"/>
                <w:sz w:val="18"/>
              </w:rPr>
              <w:t>597,50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1.00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220,908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,695.57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38,525,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177.00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75,593,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568.46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915,758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,650.75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167,487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,224.37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3,264,8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20,463.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15</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9"/>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-21,43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8,272.</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-67,493,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137.16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-38,525,</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177.00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20,823,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886.91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139,061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,596.55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-47,687,</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829.73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61,791,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421.57</w:t>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216,769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,784.07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-2,957,1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88.18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213,812</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,595.89</w:t>
            </w: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-21,43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8,272.</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-67,493,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137.16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-38,525,</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177.00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-34,440,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641.55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-84,846,</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873.71</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-21,43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8,272.</w:t>
            </w:r>
          </w:p>
          <w:p>
            <w:pPr>
              <w:pStyle w:val="TableParagraph"/>
              <w:spacing w:line="240" w:lineRule="auto" w:before="106"/>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-83,650,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728.24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-5,883,8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23.50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40,500,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-58,705,</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176.74</w:t>
            </w:r>
          </w:p>
        </w:tc>
      </w:tr>
      <w:tr>
        <w:trPr>
          <w:trHeight w:val="704"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71"/>
              <w:ind w:left="11"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16,157,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591.08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-32,641,</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353.50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48,798,</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944.58</w:t>
            </w:r>
          </w:p>
        </w:tc>
      </w:tr>
    </w:tbl>
    <w:p>
      <w:pPr>
        <w:spacing w:after="0" w:line="240" w:lineRule="auto"/>
        <w:jc w:val="lef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-74,940,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641.55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-74,940,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641.55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20,823,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886.91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-77,708,</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187.52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-10,290,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-67,174,</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300.61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20,823,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886.91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-20,823,</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886.91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-56,884,</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300.61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-10,290,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-67,174,</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300.61</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1,902,</w:t>
            </w:r>
          </w:p>
          <w:p>
            <w:pPr>
              <w:pStyle w:val="TableParagraph"/>
              <w:spacing w:line="240" w:lineRule="auto" w:before="104"/>
              <w:ind w:left="14" w:right="0"/>
              <w:jc w:val="center"/>
              <w:rPr>
                <w:rFonts w:ascii="Times New Roman" w:hAnsi="Times New Roman" w:cs="Times New Roman" w:eastAsia="Times New Roman" w:hint="default"/>
                <w:sz w:val="18"/>
                <w:szCs w:val="18"/>
              </w:rPr>
            </w:pPr>
            <w:r>
              <w:rPr>
                <w:rFonts w:ascii="Times New Roman"/>
                <w:sz w:val="18"/>
              </w:rPr>
              <w:t>159,22</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9.00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153,415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,558.41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96,417,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455.37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1,054,8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20,247.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119,799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,394.64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3,326,6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2"/>
                <w:sz w:val="18"/>
              </w:rPr>
              <w:t>11,884.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72</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9" w:lineRule="auto"/>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1,926,</w:t>
            </w:r>
          </w:p>
          <w:p>
            <w:pPr>
              <w:pStyle w:val="TableParagraph"/>
              <w:spacing w:line="240" w:lineRule="auto" w:before="105"/>
              <w:ind w:left="13" w:right="0"/>
              <w:jc w:val="center"/>
              <w:rPr>
                <w:rFonts w:ascii="Times New Roman" w:hAnsi="Times New Roman" w:cs="Times New Roman" w:eastAsia="Times New Roman" w:hint="default"/>
                <w:sz w:val="18"/>
                <w:szCs w:val="18"/>
              </w:rPr>
            </w:pPr>
            <w:r>
              <w:rPr>
                <w:rFonts w:ascii="Times New Roman"/>
                <w:sz w:val="18"/>
              </w:rPr>
              <w:t>729,57</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6.00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216,362</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,642.02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69,951,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962.00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58,835,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879.83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678,378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,928.30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165,350</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,408.23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05,472.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1,926,</w:t>
            </w:r>
          </w:p>
          <w:p>
            <w:pPr>
              <w:pStyle w:val="TableParagraph"/>
              <w:spacing w:line="240" w:lineRule="auto" w:before="105"/>
              <w:ind w:left="13" w:right="0"/>
              <w:jc w:val="center"/>
              <w:rPr>
                <w:rFonts w:ascii="Times New Roman" w:hAnsi="Times New Roman" w:cs="Times New Roman" w:eastAsia="Times New Roman" w:hint="default"/>
                <w:sz w:val="18"/>
                <w:szCs w:val="18"/>
              </w:rPr>
            </w:pPr>
            <w:r>
              <w:rPr>
                <w:rFonts w:ascii="Times New Roman"/>
                <w:sz w:val="18"/>
              </w:rPr>
              <w:t>729,57</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6.00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216,362</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,642.02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69,951,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962.00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58,835,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879.83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678,378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,928.30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165,350</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,408.23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2,975,7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05,472.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4,546,0</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53.55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-31,426,</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785.00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16,757,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688.63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237,379</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,722.45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2,136,8</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16.14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289,114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,990.77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311,825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,825.86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21,452,</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970.55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333,278</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,796.41</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4,546,0</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53.55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-31,426,</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785.00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-4,616,</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154.41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28,224,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609.14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-4,621,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781.60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-4,621,7</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81.60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,075.0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4,546,0</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53.55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-31,426,</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785.00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5,627.1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32,846,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390.74</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16,757,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688.63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-74,446,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103.41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-14,700</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-72,388,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414.78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16,757,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688.63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-16,757,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688.63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-57,688,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414.78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-14,700</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-72,388,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414.78</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8"/>
                <w:sz w:val="18"/>
                <w:szCs w:val="18"/>
              </w:rPr>
              <w:t>（四）所有者权益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1,923,</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597,50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1.00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220,908</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,695.57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38,525,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177.00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75,593,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568.46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915,758</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,650.75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167,487</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,224.37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3,264,8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20,463.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8、母公司所有者权益变动表" w:id="165"/>
      <w:bookmarkEnd w:id="16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1,923,59</w:t>
            </w:r>
          </w:p>
          <w:p>
            <w:pPr>
              <w:pStyle w:val="TableParagraph"/>
              <w:spacing w:line="240" w:lineRule="auto" w:before="105"/>
              <w:ind w:left="32" w:right="0"/>
              <w:jc w:val="left"/>
              <w:rPr>
                <w:rFonts w:ascii="Times New Roman" w:hAnsi="Times New Roman" w:cs="Times New Roman" w:eastAsia="Times New Roman" w:hint="default"/>
                <w:sz w:val="18"/>
                <w:szCs w:val="18"/>
              </w:rPr>
            </w:pPr>
            <w:r>
              <w:rPr>
                <w:rFonts w:ascii="Times New Roman"/>
                <w:sz w:val="18"/>
              </w:rPr>
              <w:t>7,501.00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222,225,6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38.42</w:t>
            </w:r>
          </w:p>
        </w:tc>
        <w:tc>
          <w:tcPr>
            <w:tcW w:w="798" w:type="dxa"/>
            <w:vMerge w:val="restart"/>
            <w:tcBorders>
              <w:top w:val="single" w:sz="18" w:space="0" w:color="D2D2D2"/>
              <w:left w:val="single" w:sz="4" w:space="0" w:color="000000"/>
              <w:right w:val="single" w:sz="4" w:space="0" w:color="000000"/>
            </w:tcBorders>
          </w:tcPr>
          <w:p>
            <w:pPr>
              <w:pStyle w:val="TableParagraph"/>
              <w:spacing w:line="240" w:lineRule="auto" w:before="73"/>
              <w:ind w:left="45" w:right="0"/>
              <w:jc w:val="left"/>
              <w:rPr>
                <w:rFonts w:ascii="Times New Roman" w:hAnsi="Times New Roman" w:cs="Times New Roman" w:eastAsia="Times New Roman" w:hint="default"/>
                <w:sz w:val="18"/>
                <w:szCs w:val="18"/>
              </w:rPr>
            </w:pPr>
            <w:r>
              <w:rPr>
                <w:rFonts w:ascii="Times New Roman"/>
                <w:sz w:val="18"/>
              </w:rPr>
              <w:t>38,525,17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7.00</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75,433,20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0.87</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464,883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,329.27</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4" w:right="0"/>
              <w:jc w:val="center"/>
              <w:rPr>
                <w:rFonts w:ascii="Times New Roman" w:hAnsi="Times New Roman" w:cs="Times New Roman" w:eastAsia="Times New Roman" w:hint="default"/>
                <w:sz w:val="18"/>
                <w:szCs w:val="18"/>
              </w:rPr>
            </w:pPr>
            <w:r>
              <w:rPr>
                <w:rFonts w:ascii="Times New Roman"/>
                <w:sz w:val="18"/>
              </w:rPr>
              <w:t>2,647,614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,492.56</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1,923,59</w:t>
            </w:r>
          </w:p>
          <w:p>
            <w:pPr>
              <w:pStyle w:val="TableParagraph"/>
              <w:spacing w:line="240" w:lineRule="auto" w:before="105"/>
              <w:ind w:left="32" w:right="0"/>
              <w:jc w:val="left"/>
              <w:rPr>
                <w:rFonts w:ascii="Times New Roman" w:hAnsi="Times New Roman" w:cs="Times New Roman" w:eastAsia="Times New Roman" w:hint="default"/>
                <w:sz w:val="18"/>
                <w:szCs w:val="18"/>
              </w:rPr>
            </w:pPr>
            <w:r>
              <w:rPr>
                <w:rFonts w:ascii="Times New Roman"/>
                <w:sz w:val="18"/>
              </w:rPr>
              <w:t>7,501.00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222,225,6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38.42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38,525,17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75,433,20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0.87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464,883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,329.27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2,647,614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,492.56</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-21,438,</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272.00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-67,493,1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37.16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-38,525,1</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77.00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20,823,88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6.91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130,530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,681.60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100,948,3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36.35</w:t>
            </w:r>
          </w:p>
        </w:tc>
      </w:tr>
    </w:tbl>
    <w:p>
      <w:pPr>
        <w:spacing w:after="0" w:line="240" w:lineRule="auto"/>
        <w:jc w:val="lef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208,238</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,869.12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208,238,8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69.12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-21,438,</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272.00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-67,493,1</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37.16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-38,525,1</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77.00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-50,406,2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32.16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-21,438,</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272.00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-83,650,7</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28.24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-5,883,82</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-99,205,1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76.74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16,157,59</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-32,641,3</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53.50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48,798,94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4.58</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20,823,88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6.91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-77,708,</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187.52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-56,884,3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00.61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20,823,88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6.91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-20,823,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886.91</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-56,884,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300.61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-56,884,3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00.61</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1,902,15</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9,229.00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154,732,5</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01.26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96,257,08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7.78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595,414</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,010.87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2,748,562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,828.91</w:t>
            </w:r>
          </w:p>
        </w:tc>
      </w:tr>
    </w:tbl>
    <w:p>
      <w:pPr>
        <w:pStyle w:val="BodyText"/>
        <w:spacing w:line="240" w:lineRule="auto" w:before="51"/>
        <w:ind w:right="0"/>
        <w:jc w:val="left"/>
      </w:pPr>
      <w:r>
        <w:rPr/>
        <w:t>上期金额</w:t>
      </w:r>
    </w:p>
    <w:p>
      <w:pPr>
        <w:spacing w:after="0" w:line="240" w:lineRule="auto"/>
        <w:jc w:val="left"/>
        <w:sectPr>
          <w:pgSz w:w="11910" w:h="16840"/>
          <w:pgMar w:header="787" w:footer="1019" w:top="1100" w:bottom="1200" w:left="980" w:right="0"/>
        </w:sectPr>
      </w:pPr>
    </w:p>
    <w:p>
      <w:pPr>
        <w:spacing w:line="240" w:lineRule="auto" w:before="11"/>
        <w:rPr>
          <w:rFonts w:ascii="宋体" w:hAnsi="宋体" w:cs="宋体" w:eastAsia="宋体" w:hint="default"/>
          <w:sz w:val="22"/>
          <w:szCs w:val="22"/>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1,926,72</w:t>
            </w:r>
          </w:p>
          <w:p>
            <w:pPr>
              <w:pStyle w:val="TableParagraph"/>
              <w:spacing w:line="240" w:lineRule="auto" w:before="105"/>
              <w:ind w:left="20" w:right="0"/>
              <w:jc w:val="left"/>
              <w:rPr>
                <w:rFonts w:ascii="Times New Roman" w:hAnsi="Times New Roman" w:cs="Times New Roman" w:eastAsia="Times New Roman" w:hint="default"/>
                <w:sz w:val="18"/>
                <w:szCs w:val="18"/>
              </w:rPr>
            </w:pPr>
            <w:r>
              <w:rPr>
                <w:rFonts w:ascii="Times New Roman"/>
                <w:sz w:val="18"/>
              </w:rPr>
              <w:t>9,576.00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217,894,7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60.25</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70"/>
              <w:ind w:left="45" w:right="0"/>
              <w:jc w:val="left"/>
              <w:rPr>
                <w:rFonts w:ascii="Times New Roman" w:hAnsi="Times New Roman" w:cs="Times New Roman" w:eastAsia="Times New Roman" w:hint="default"/>
                <w:sz w:val="18"/>
                <w:szCs w:val="18"/>
              </w:rPr>
            </w:pPr>
            <w:r>
              <w:rPr>
                <w:rFonts w:ascii="Times New Roman"/>
                <w:sz w:val="18"/>
              </w:rPr>
              <w:t>69,951,96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58,675,51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2.24</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371,752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,546.41</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sz w:val="18"/>
              </w:rPr>
              <w:t>2,505,100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,432.90</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1,926,72</w:t>
            </w:r>
          </w:p>
          <w:p>
            <w:pPr>
              <w:pStyle w:val="TableParagraph"/>
              <w:spacing w:line="240" w:lineRule="auto" w:before="105"/>
              <w:ind w:left="20" w:right="0"/>
              <w:jc w:val="left"/>
              <w:rPr>
                <w:rFonts w:ascii="Times New Roman" w:hAnsi="Times New Roman" w:cs="Times New Roman" w:eastAsia="Times New Roman" w:hint="default"/>
                <w:sz w:val="18"/>
                <w:szCs w:val="18"/>
              </w:rPr>
            </w:pPr>
            <w:r>
              <w:rPr>
                <w:rFonts w:ascii="Times New Roman"/>
                <w:sz w:val="18"/>
              </w:rPr>
              <w:t>9,576.00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217,894,7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60.25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69,951,96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58,675,51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2.24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371,752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,546.41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2,505,100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,432.90</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-3,132,0</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4,330,878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-31,426,7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16,757,68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8.63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93,130,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782.86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142,514,0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59.66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167,576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,886.27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167,576,8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86.27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-3,132,0</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4,330,878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left"/>
              <w:rPr>
                <w:rFonts w:ascii="Times New Roman" w:hAnsi="Times New Roman" w:cs="Times New Roman" w:eastAsia="Times New Roman" w:hint="default"/>
                <w:sz w:val="18"/>
                <w:szCs w:val="18"/>
              </w:rPr>
            </w:pPr>
            <w:r>
              <w:rPr>
                <w:rFonts w:ascii="Times New Roman"/>
                <w:sz w:val="18"/>
              </w:rPr>
              <w:t>-31,426,7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32,625,58</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8.17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-3,132,0</w:t>
            </w:r>
          </w:p>
          <w:p>
            <w:pPr>
              <w:pStyle w:val="TableParagraph"/>
              <w:spacing w:line="240" w:lineRule="auto" w:before="105"/>
              <w:ind w:left="218" w:right="0"/>
              <w:jc w:val="center"/>
              <w:rPr>
                <w:rFonts w:ascii="Times New Roman" w:hAnsi="Times New Roman" w:cs="Times New Roman" w:eastAsia="Times New Roman" w:hint="default"/>
                <w:sz w:val="18"/>
                <w:szCs w:val="18"/>
              </w:rPr>
            </w:pPr>
            <w:r>
              <w:rPr>
                <w:rFonts w:ascii="Times New Roman"/>
                <w:sz w:val="18"/>
              </w:rPr>
              <w:t>75.00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4,330,878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-31,426,7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85.00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32,625,58</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8.17</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16,757,68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8.63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-74,446,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103.41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-57,688,4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14.78</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16,757,68</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8.63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-16,757,</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688.63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-57,688,</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414.78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-57,688,4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14.78</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1,923,59</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7,501.00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222,225,6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38.42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38,525,17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75,433,20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0.87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464,883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,329.27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2,647,614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,492.56</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公司基本情况" w:id="166"/>
      <w:bookmarkEnd w:id="166"/>
      <w:r>
        <w:rPr>
          <w:b w:val="0"/>
          <w:bCs w:val="0"/>
        </w:rPr>
      </w:r>
      <w:r>
        <w:rPr/>
        <w:t>三、公司基本情况</w:t>
      </w:r>
      <w:r>
        <w:rPr>
          <w:b w:val="0"/>
          <w:bCs w:val="0"/>
        </w:rPr>
      </w:r>
    </w:p>
    <w:p>
      <w:pPr>
        <w:spacing w:line="240" w:lineRule="auto" w:before="7"/>
        <w:rPr>
          <w:rFonts w:ascii="宋体" w:hAnsi="宋体" w:cs="宋体" w:eastAsia="宋体" w:hint="default"/>
          <w:b/>
          <w:bCs/>
          <w:sz w:val="24"/>
          <w:szCs w:val="24"/>
        </w:rPr>
      </w:pPr>
    </w:p>
    <w:p>
      <w:pPr>
        <w:pStyle w:val="Heading5"/>
        <w:spacing w:line="256" w:lineRule="auto" w:before="0"/>
        <w:ind w:left="577" w:right="0"/>
        <w:jc w:val="left"/>
      </w:pPr>
      <w:r>
        <w:rPr>
          <w:rFonts w:ascii="Times New Roman" w:hAnsi="Times New Roman" w:cs="Times New Roman" w:eastAsia="Times New Roman" w:hint="default"/>
        </w:rPr>
        <w:t>1</w:t>
      </w:r>
      <w:r>
        <w:rPr/>
        <w:t>．企业注册地和总部地址。 深圳达实智能股份有限公司（以下简称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达实智能</w:t>
      </w:r>
      <w:r>
        <w:rPr>
          <w:rFonts w:ascii="Times New Roman" w:hAnsi="Times New Roman" w:cs="Times New Roman" w:eastAsia="Times New Roman" w:hint="default"/>
        </w:rPr>
        <w:t>”</w:t>
      </w:r>
      <w:r>
        <w:rPr/>
        <w:t>），持深圳市市场监督管理局</w:t>
      </w:r>
    </w:p>
    <w:p>
      <w:pPr>
        <w:pStyle w:val="Heading5"/>
        <w:spacing w:line="261" w:lineRule="auto" w:before="5"/>
        <w:ind w:left="577" w:right="4243" w:hanging="424"/>
        <w:jc w:val="left"/>
      </w:pPr>
      <w:r>
        <w:rPr/>
        <w:t>核发的统一社会信用代码为</w:t>
      </w:r>
      <w:r>
        <w:rPr>
          <w:rFonts w:ascii="Times New Roman" w:hAnsi="Times New Roman" w:cs="Times New Roman" w:eastAsia="Times New Roman" w:hint="default"/>
        </w:rPr>
        <w:t>914403006188861815</w:t>
      </w:r>
      <w:r>
        <w:rPr/>
        <w:t>的企业法人营业执照。 公司注册地址：深圳市南山区高新技术工业村</w:t>
      </w:r>
      <w:r>
        <w:rPr>
          <w:rFonts w:ascii="Times New Roman" w:hAnsi="Times New Roman" w:cs="Times New Roman" w:eastAsia="Times New Roman" w:hint="default"/>
        </w:rPr>
        <w:t>W1</w:t>
      </w:r>
      <w:r>
        <w:rPr/>
        <w:t>栋</w:t>
      </w:r>
      <w:r>
        <w:rPr>
          <w:rFonts w:ascii="Times New Roman" w:hAnsi="Times New Roman" w:cs="Times New Roman" w:eastAsia="Times New Roman" w:hint="default"/>
        </w:rPr>
        <w:t>A</w:t>
      </w:r>
      <w:r>
        <w:rPr/>
        <w:t>座五楼 公司总部地址：深圳市南山区高新技术产业园达实智能大厦 法定代表人：刘磅</w:t>
      </w:r>
    </w:p>
    <w:p>
      <w:pPr>
        <w:pStyle w:val="Heading5"/>
        <w:spacing w:line="261" w:lineRule="auto" w:before="18"/>
        <w:ind w:left="577" w:right="7336"/>
        <w:jc w:val="left"/>
      </w:pPr>
      <w:r>
        <w:rPr/>
        <w:t>注册资本：</w:t>
      </w:r>
      <w:r>
        <w:rPr>
          <w:rFonts w:ascii="Times New Roman" w:hAnsi="Times New Roman" w:cs="Times New Roman" w:eastAsia="Times New Roman" w:hint="default"/>
        </w:rPr>
        <w:t>190215.9229</w:t>
      </w:r>
      <w:r>
        <w:rPr/>
        <w:t>万人民币 </w:t>
      </w:r>
      <w:r>
        <w:rPr>
          <w:rFonts w:ascii="Times New Roman" w:hAnsi="Times New Roman" w:cs="Times New Roman" w:eastAsia="Times New Roman" w:hint="default"/>
        </w:rPr>
        <w:t>2</w:t>
      </w:r>
      <w:r>
        <w:rPr/>
        <w:t>．企业的业务性质 信息技术服务业 </w:t>
      </w:r>
      <w:r>
        <w:rPr>
          <w:rFonts w:ascii="Times New Roman" w:hAnsi="Times New Roman" w:cs="Times New Roman" w:eastAsia="Times New Roman" w:hint="default"/>
        </w:rPr>
        <w:t>3</w:t>
      </w:r>
      <w:r>
        <w:rPr/>
        <w:t>．主要经营活动</w:t>
      </w:r>
    </w:p>
    <w:p>
      <w:pPr>
        <w:pStyle w:val="Heading5"/>
        <w:spacing w:line="273" w:lineRule="auto" w:before="0"/>
        <w:ind w:right="1131" w:firstLine="423"/>
        <w:jc w:val="both"/>
      </w:pPr>
      <w:r>
        <w:rPr>
          <w:spacing w:val="-1"/>
        </w:rPr>
        <w:t>公司经营范围：互联网、云计算软件与平台服务；物联网系统研发与应用服务；智慧医疗信息系统研</w:t>
      </w:r>
      <w:r>
        <w:rPr/>
        <w:t> </w:t>
      </w:r>
      <w:r>
        <w:rPr>
          <w:spacing w:val="-1"/>
        </w:rPr>
        <w:t>发与集成服务；医疗大数据开发与应用服务；医疗专业系统咨询、设计、集成服务；医疗投资管理；智能</w:t>
      </w:r>
      <w:r>
        <w:rPr>
          <w:spacing w:val="-83"/>
        </w:rPr>
        <w:t> </w:t>
      </w:r>
      <w:r>
        <w:rPr>
          <w:spacing w:val="-83"/>
        </w:rPr>
      </w:r>
      <w:r>
        <w:rPr>
          <w:spacing w:val="-1"/>
        </w:rPr>
        <w:t>交通含轨道交通信号监控系统开发、技术咨询设计、销售与集成服务；智能建筑系统开发与集成、技术咨</w:t>
      </w:r>
      <w:r>
        <w:rPr>
          <w:spacing w:val="-86"/>
        </w:rPr>
        <w:t> </w:t>
      </w:r>
      <w:r>
        <w:rPr>
          <w:spacing w:val="-86"/>
        </w:rPr>
      </w:r>
      <w:r>
        <w:rPr>
          <w:spacing w:val="-1"/>
        </w:rPr>
        <w:t>询设计；机电总包服务；智能卡、智能管控、安防监控等终端设备与软件的研发、销售及应用服务；能源</w:t>
      </w:r>
      <w:r>
        <w:rPr>
          <w:spacing w:val="-83"/>
        </w:rPr>
        <w:t> </w:t>
      </w:r>
      <w:r>
        <w:rPr>
          <w:spacing w:val="-83"/>
        </w:rPr>
      </w:r>
      <w:r>
        <w:rPr>
          <w:spacing w:val="-1"/>
        </w:rPr>
        <w:t>监测与节能服务；合同能源管理服务；新能源技术开发和咨询设计服务；电力销售业务；电力网络增量配</w:t>
      </w:r>
      <w:r>
        <w:rPr>
          <w:spacing w:val="-86"/>
        </w:rPr>
        <w:t> </w:t>
      </w:r>
      <w:r>
        <w:rPr>
          <w:spacing w:val="-86"/>
        </w:rPr>
      </w:r>
      <w:r>
        <w:rPr>
          <w:spacing w:val="-1"/>
        </w:rPr>
        <w:t>电网投资建设服务；相关领域境内及境外工程设计、安装及技术咨询。（法律、行政法规、国务院决定禁</w:t>
      </w:r>
      <w:r>
        <w:rPr>
          <w:spacing w:val="-83"/>
        </w:rPr>
        <w:t> </w:t>
      </w:r>
      <w:r>
        <w:rPr>
          <w:spacing w:val="-83"/>
        </w:rPr>
      </w:r>
      <w:r>
        <w:rPr/>
        <w:t>止的项目除外，限制的项目须取得许可后方可经营）互联网医疗服务。</w:t>
      </w:r>
    </w:p>
    <w:p>
      <w:pPr>
        <w:pStyle w:val="Heading5"/>
        <w:spacing w:line="256" w:lineRule="auto"/>
        <w:ind w:left="577" w:right="5289"/>
        <w:jc w:val="left"/>
      </w:pPr>
      <w:r>
        <w:rPr>
          <w:rFonts w:ascii="Times New Roman" w:hAnsi="Times New Roman" w:cs="Times New Roman" w:eastAsia="Times New Roman" w:hint="default"/>
        </w:rPr>
        <w:t>4</w:t>
      </w:r>
      <w:r>
        <w:rPr/>
        <w:t>．财务报告的批准报出日 本财务报表经公司董事会于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04</w:t>
      </w:r>
      <w:r>
        <w:rPr/>
        <w:t>月</w:t>
      </w:r>
      <w:r>
        <w:rPr>
          <w:rFonts w:ascii="Times New Roman" w:hAnsi="Times New Roman" w:cs="Times New Roman" w:eastAsia="Times New Roman" w:hint="default"/>
        </w:rPr>
        <w:t>29</w:t>
      </w:r>
      <w:r>
        <w:rPr/>
        <w:t>日批准报出。</w:t>
      </w:r>
    </w:p>
    <w:p>
      <w:pPr>
        <w:spacing w:line="240" w:lineRule="auto" w:before="3"/>
        <w:rPr>
          <w:rFonts w:ascii="宋体" w:hAnsi="宋体" w:cs="宋体" w:eastAsia="宋体" w:hint="default"/>
          <w:sz w:val="24"/>
          <w:szCs w:val="24"/>
        </w:rPr>
      </w:pPr>
    </w:p>
    <w:p>
      <w:pPr>
        <w:pStyle w:val="Heading5"/>
        <w:spacing w:line="256" w:lineRule="auto" w:before="0"/>
        <w:ind w:right="1131" w:firstLine="423"/>
        <w:jc w:val="both"/>
      </w:pPr>
      <w:r>
        <w:rPr>
          <w:spacing w:val="-1"/>
        </w:rPr>
        <w:t>截至报告期末，纳入合并财务报表范围的子公司及所属公司共计</w:t>
      </w:r>
      <w:r>
        <w:rPr>
          <w:rFonts w:ascii="Times New Roman" w:hAnsi="Times New Roman" w:cs="Times New Roman" w:eastAsia="Times New Roman" w:hint="default"/>
          <w:spacing w:val="-1"/>
        </w:rPr>
        <w:t>24</w:t>
      </w:r>
      <w:r>
        <w:rPr>
          <w:spacing w:val="-1"/>
        </w:rPr>
        <w:t>家，详见本附注九、在其他主体中</w:t>
      </w:r>
      <w:r>
        <w:rPr/>
        <w:t> 的权益。</w:t>
      </w:r>
    </w:p>
    <w:p>
      <w:pPr>
        <w:pStyle w:val="Heading5"/>
        <w:spacing w:line="240" w:lineRule="auto" w:before="22"/>
        <w:ind w:left="574" w:right="0"/>
        <w:jc w:val="left"/>
      </w:pPr>
      <w:r>
        <w:rPr/>
        <w:t>本报告期合并财务报表范围变化情况详见本附注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w:t>
      </w:r>
      <w:r>
        <w:rPr/>
        <w:t>。</w:t>
      </w:r>
    </w:p>
    <w:p>
      <w:pPr>
        <w:spacing w:after="0" w:line="240" w:lineRule="auto"/>
        <w:jc w:val="left"/>
        <w:sectPr>
          <w:pgSz w:w="11910" w:h="16840"/>
          <w:pgMar w:header="787" w:footer="1019" w:top="1100" w:bottom="1200" w:left="980" w:right="0"/>
        </w:sectPr>
      </w:pPr>
    </w:p>
    <w:p>
      <w:pPr>
        <w:spacing w:line="240" w:lineRule="auto" w:before="8"/>
        <w:rPr>
          <w:rFonts w:ascii="宋体" w:hAnsi="宋体" w:cs="宋体" w:eastAsia="宋体" w:hint="default"/>
          <w:sz w:val="20"/>
          <w:szCs w:val="20"/>
        </w:rPr>
      </w:pPr>
    </w:p>
    <w:p>
      <w:pPr>
        <w:pStyle w:val="Heading2"/>
        <w:spacing w:line="240" w:lineRule="auto" w:before="26"/>
        <w:ind w:right="0"/>
        <w:jc w:val="left"/>
        <w:rPr>
          <w:b w:val="0"/>
          <w:bCs w:val="0"/>
        </w:rPr>
      </w:pPr>
      <w:bookmarkStart w:name="四、财务报表的编制基础" w:id="167"/>
      <w:bookmarkEnd w:id="167"/>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编制基础" w:id="168"/>
      <w:bookmarkEnd w:id="16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8"/>
        <w:rPr>
          <w:rFonts w:ascii="宋体" w:hAnsi="宋体" w:cs="宋体" w:eastAsia="宋体" w:hint="default"/>
          <w:b/>
          <w:bCs/>
          <w:sz w:val="24"/>
          <w:szCs w:val="24"/>
        </w:rPr>
      </w:pPr>
    </w:p>
    <w:p>
      <w:pPr>
        <w:pStyle w:val="Heading5"/>
        <w:spacing w:line="261" w:lineRule="auto" w:before="0"/>
        <w:ind w:right="1126" w:firstLine="420"/>
        <w:jc w:val="both"/>
      </w:pPr>
      <w:r>
        <w:rPr>
          <w:spacing w:val="-1"/>
        </w:rPr>
        <w:t>本公司财务报表以持续经营假设为基础，根据实际发生的交易和事项，按照财政部发布的《企业会计</w:t>
      </w:r>
      <w:r>
        <w:rPr/>
        <w:t> 准则</w:t>
      </w:r>
      <w:r>
        <w:rPr>
          <w:rFonts w:ascii="Times New Roman" w:hAnsi="Times New Roman" w:cs="Times New Roman" w:eastAsia="Times New Roman" w:hint="default"/>
        </w:rPr>
        <w:t>——</w:t>
      </w:r>
      <w:r>
        <w:rPr/>
        <w:t>基本准则》（财政部令第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w:t>
      </w:r>
      <w:r>
        <w:rPr>
          <w:spacing w:val="-34"/>
        </w:rPr>
        <w:t> </w:t>
      </w:r>
      <w:r>
        <w:rPr>
          <w:spacing w:val="-34"/>
        </w:rPr>
      </w:r>
      <w:r>
        <w:rPr/>
        <w:t>订的</w:t>
      </w:r>
      <w:r>
        <w:rPr>
          <w:rFonts w:ascii="Times New Roman" w:hAnsi="Times New Roman" w:cs="Times New Roman" w:eastAsia="Times New Roman" w:hint="default"/>
        </w:rPr>
        <w:t>42</w:t>
      </w:r>
      <w:r>
        <w:rPr/>
        <w:t>项具体会计准则、企业会计准则应用指南、企业会计准则解释及其他相关规定（以下合称</w:t>
      </w:r>
      <w:r>
        <w:rPr>
          <w:rFonts w:ascii="Times New Roman" w:hAnsi="Times New Roman" w:cs="Times New Roman" w:eastAsia="Times New Roman" w:hint="default"/>
        </w:rPr>
        <w:t>“</w:t>
      </w:r>
      <w:r>
        <w:rPr/>
        <w:t>企业会</w:t>
      </w:r>
      <w:r>
        <w:rPr>
          <w:spacing w:val="-12"/>
        </w:rPr>
        <w:t> </w:t>
      </w:r>
      <w:r>
        <w:rPr/>
        <w:t>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w:t>
      </w:r>
      <w:r>
        <w:rPr>
          <w:spacing w:val="-17"/>
        </w:rPr>
        <w:t> </w:t>
      </w:r>
      <w:r>
        <w:rPr/>
        <w:t>的一般规定》（</w:t>
      </w:r>
      <w:r>
        <w:rPr>
          <w:rFonts w:ascii="Times New Roman" w:hAnsi="Times New Roman" w:cs="Times New Roman" w:eastAsia="Times New Roman" w:hint="default"/>
        </w:rPr>
        <w:t>2014</w:t>
      </w:r>
      <w:r>
        <w:rPr/>
        <w:t>年修订）的披露规定编制。</w:t>
      </w:r>
    </w:p>
    <w:p>
      <w:pPr>
        <w:pStyle w:val="Heading5"/>
        <w:spacing w:line="273" w:lineRule="auto" w:before="0"/>
        <w:ind w:right="1131" w:firstLine="420"/>
        <w:jc w:val="both"/>
      </w:pPr>
      <w:r>
        <w:rPr>
          <w:spacing w:val="-1"/>
        </w:rPr>
        <w:t>根据企业会计准则的相关规定，本公司会计核算以权责发生制为基础。除某些金融工具外，本财务报</w:t>
      </w:r>
      <w:r>
        <w:rPr/>
        <w:t> 表均以历史成本为计量基础。资产如果发生减值，则按照相关规定计提相应的减值准备。</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line="496" w:lineRule="auto" w:before="0"/>
        <w:ind w:left="154" w:right="2352" w:firstLine="0"/>
        <w:jc w:val="left"/>
        <w:rPr>
          <w:rFonts w:ascii="宋体" w:hAnsi="宋体" w:cs="宋体" w:eastAsia="宋体" w:hint="default"/>
          <w:sz w:val="24"/>
          <w:szCs w:val="24"/>
        </w:rPr>
      </w:pPr>
      <w:bookmarkStart w:name="2、持续经营" w:id="169"/>
      <w:bookmarkEnd w:id="16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b/>
          <w:bCs/>
          <w:w w:val="99"/>
          <w:sz w:val="21"/>
          <w:szCs w:val="21"/>
        </w:rPr>
        <w:t> </w:t>
      </w:r>
      <w:r>
        <w:rPr>
          <w:rFonts w:ascii="宋体" w:hAnsi="宋体" w:cs="宋体" w:eastAsia="宋体" w:hint="default"/>
          <w:sz w:val="21"/>
          <w:szCs w:val="21"/>
        </w:rPr>
        <w:t>本公司自本报告期末起</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个月内不存在对本公司持续经营能力产生重大疑虑的事项或情况。 </w:t>
      </w:r>
      <w:bookmarkStart w:name="五、重要会计政策及会计估计" w:id="170"/>
      <w:bookmarkEnd w:id="170"/>
      <w:r>
        <w:rPr>
          <w:rFonts w:ascii="宋体" w:hAnsi="宋体" w:cs="宋体" w:eastAsia="宋体" w:hint="default"/>
          <w:sz w:val="21"/>
          <w:szCs w:val="21"/>
        </w:rPr>
      </w:r>
      <w:r>
        <w:rPr>
          <w:rFonts w:ascii="宋体" w:hAnsi="宋体" w:cs="宋体" w:eastAsia="宋体" w:hint="default"/>
          <w:b/>
          <w:bCs/>
          <w:sz w:val="24"/>
          <w:szCs w:val="24"/>
        </w:rPr>
        <w:t>五、重要会计政策及会计估计</w:t>
      </w:r>
      <w:r>
        <w:rPr>
          <w:rFonts w:ascii="宋体" w:hAnsi="宋体" w:cs="宋体" w:eastAsia="宋体" w:hint="default"/>
          <w:sz w:val="24"/>
          <w:szCs w:val="24"/>
        </w:rPr>
      </w:r>
    </w:p>
    <w:p>
      <w:pPr>
        <w:pStyle w:val="BodyText"/>
        <w:spacing w:line="360" w:lineRule="auto" w:before="91"/>
        <w:ind w:right="7692"/>
        <w:jc w:val="left"/>
      </w:pPr>
      <w:r>
        <w:rPr/>
        <w:t>公司是否需要遵守特殊行业的披露要求 是</w:t>
      </w:r>
    </w:p>
    <w:p>
      <w:pPr>
        <w:pStyle w:val="BodyText"/>
        <w:spacing w:line="357" w:lineRule="auto" w:before="26"/>
        <w:ind w:right="8232"/>
        <w:jc w:val="left"/>
      </w:pPr>
      <w:r>
        <w:rPr/>
        <w:t>软件与信息技术服务业 具体会计政策和会计估计提示：</w:t>
      </w:r>
    </w:p>
    <w:p>
      <w:pPr>
        <w:pStyle w:val="Heading5"/>
        <w:spacing w:line="273" w:lineRule="auto" w:before="2"/>
        <w:ind w:right="1131" w:firstLine="420"/>
        <w:jc w:val="both"/>
      </w:pPr>
      <w:r>
        <w:rPr>
          <w:spacing w:val="-1"/>
        </w:rPr>
        <w:t>本公司及各子公司根据实际生产经营特点，依据相关企业会计准则的规定，对收入确认、建造合同完</w:t>
      </w:r>
      <w:r>
        <w:rPr/>
        <w:t> </w:t>
      </w:r>
      <w:r>
        <w:rPr>
          <w:spacing w:val="-1"/>
        </w:rPr>
        <w:t>工百分比确定等交易和事项制定了若干项具体会计政策和会计估计，详见本附注各项描述。关于管理层所</w:t>
      </w:r>
      <w:r>
        <w:rPr>
          <w:spacing w:val="-81"/>
        </w:rPr>
        <w:t> </w:t>
      </w:r>
      <w:r>
        <w:rPr>
          <w:spacing w:val="-81"/>
        </w:rPr>
      </w:r>
      <w:r>
        <w:rPr/>
        <w:t>作出的重大会计判断和估计的说明，请参阅本附注</w:t>
      </w:r>
      <w:r>
        <w:rPr>
          <w:rFonts w:ascii="Times New Roman" w:hAnsi="Times New Roman" w:cs="Times New Roman" w:eastAsia="Times New Roman" w:hint="default"/>
        </w:rPr>
        <w:t>“</w:t>
      </w:r>
      <w:r>
        <w:rPr/>
        <w:t>五、</w:t>
      </w:r>
      <w:r>
        <w:rPr>
          <w:rFonts w:ascii="Times New Roman" w:hAnsi="Times New Roman" w:cs="Times New Roman" w:eastAsia="Times New Roman" w:hint="default"/>
        </w:rPr>
        <w:t>32</w:t>
      </w:r>
      <w:r>
        <w:rPr/>
        <w:t>、其他重要的会计政策和会计估计</w:t>
      </w:r>
      <w:r>
        <w:rPr>
          <w:rFonts w:ascii="Times New Roman" w:hAnsi="Times New Roman" w:cs="Times New Roman" w:eastAsia="Times New Roman" w:hint="default"/>
        </w:rPr>
        <w:t>”</w:t>
      </w:r>
      <w:r>
        <w:rPr/>
        <w:t>。</w:t>
      </w:r>
    </w:p>
    <w:p>
      <w:pPr>
        <w:spacing w:line="612" w:lineRule="exact" w:before="45"/>
        <w:ind w:left="574" w:right="0" w:hanging="420"/>
        <w:jc w:val="left"/>
        <w:rPr>
          <w:rFonts w:ascii="宋体" w:hAnsi="宋体" w:cs="宋体" w:eastAsia="宋体" w:hint="default"/>
          <w:sz w:val="21"/>
          <w:szCs w:val="21"/>
        </w:rPr>
      </w:pPr>
      <w:bookmarkStart w:name="1、遵循企业会计准则的声明" w:id="171"/>
      <w:bookmarkEnd w:id="171"/>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本公司编制的财务报表符合企业会计准则的要求，真实、完整地反映了本公司</w:t>
      </w:r>
      <w:r>
        <w:rPr>
          <w:rFonts w:ascii="Times New Roman" w:hAnsi="Times New Roman" w:cs="Times New Roman" w:eastAsia="Times New Roman" w:hint="default"/>
          <w:spacing w:val="-1"/>
          <w:sz w:val="21"/>
          <w:szCs w:val="21"/>
        </w:rPr>
        <w:t>2018</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12</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31</w:t>
      </w:r>
      <w:r>
        <w:rPr>
          <w:rFonts w:ascii="宋体" w:hAnsi="宋体" w:cs="宋体" w:eastAsia="宋体" w:hint="default"/>
          <w:spacing w:val="-1"/>
          <w:sz w:val="21"/>
          <w:szCs w:val="21"/>
        </w:rPr>
        <w:t>日的财务</w:t>
      </w:r>
    </w:p>
    <w:p>
      <w:pPr>
        <w:pStyle w:val="Heading5"/>
        <w:spacing w:line="235" w:lineRule="exact" w:before="0"/>
        <w:ind w:right="0"/>
        <w:jc w:val="left"/>
      </w:pPr>
      <w:r>
        <w:rPr/>
        <w:t>状况及</w:t>
      </w:r>
      <w:r>
        <w:rPr>
          <w:rFonts w:ascii="Times New Roman" w:hAnsi="Times New Roman" w:cs="Times New Roman" w:eastAsia="Times New Roman" w:hint="default"/>
        </w:rPr>
        <w:t>2018</w:t>
      </w:r>
      <w:r>
        <w:rPr/>
        <w:t>年度的经营成果和现金流量等有关信息。此外，本公司的财务报表在所有重大方面符合中国证</w:t>
      </w:r>
    </w:p>
    <w:p>
      <w:pPr>
        <w:pStyle w:val="Heading5"/>
        <w:spacing w:line="256" w:lineRule="auto" w:before="21"/>
        <w:ind w:right="1092"/>
        <w:jc w:val="left"/>
      </w:pPr>
      <w:r>
        <w:rPr/>
        <w:t>券监督管理委员会</w:t>
      </w:r>
      <w:r>
        <w:rPr>
          <w:rFonts w:ascii="Times New Roman" w:hAnsi="Times New Roman" w:cs="Times New Roman" w:eastAsia="Times New Roman" w:hint="default"/>
        </w:rPr>
        <w:t>2014</w:t>
      </w:r>
      <w:r>
        <w:rPr/>
        <w:t>年修订的《公开发行证券的公司信息披露编报规则第</w:t>
      </w:r>
      <w:r>
        <w:rPr>
          <w:rFonts w:ascii="Times New Roman" w:hAnsi="Times New Roman" w:cs="Times New Roman" w:eastAsia="Times New Roman" w:hint="default"/>
        </w:rPr>
        <w:t>15</w:t>
      </w:r>
      <w:r>
        <w:rPr/>
        <w:t>号－财务报告的一般规定》 有关财务报表及其附注的披露要求。</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4"/>
        <w:spacing w:line="240" w:lineRule="auto"/>
        <w:ind w:right="0"/>
        <w:jc w:val="left"/>
        <w:rPr>
          <w:b w:val="0"/>
          <w:bCs w:val="0"/>
        </w:rPr>
      </w:pPr>
      <w:bookmarkStart w:name="2、会计期间" w:id="172"/>
      <w:bookmarkEnd w:id="172"/>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Heading5"/>
        <w:spacing w:line="273" w:lineRule="auto" w:before="0"/>
        <w:ind w:right="1131" w:firstLine="420"/>
        <w:jc w:val="both"/>
      </w:pPr>
      <w:r>
        <w:rPr>
          <w:spacing w:val="-1"/>
        </w:rPr>
        <w:t>本公司的会计期间分为年度和中期，会计中期指短于一个完整的会计年度的报告期间。本公司会计年</w:t>
      </w:r>
      <w:r>
        <w:rPr/>
        <w:t> 度采用公历年度，即每年自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4"/>
          <w:szCs w:val="24"/>
        </w:rPr>
      </w:pPr>
    </w:p>
    <w:p>
      <w:pPr>
        <w:pStyle w:val="Heading4"/>
        <w:spacing w:line="240" w:lineRule="auto"/>
        <w:ind w:right="0"/>
        <w:jc w:val="left"/>
        <w:rPr>
          <w:b w:val="0"/>
          <w:bCs w:val="0"/>
        </w:rPr>
      </w:pPr>
      <w:bookmarkStart w:name="3、营业周期" w:id="173"/>
      <w:bookmarkEnd w:id="173"/>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Heading5"/>
        <w:spacing w:line="240" w:lineRule="auto" w:before="0"/>
        <w:ind w:left="574" w:right="0"/>
        <w:jc w:val="left"/>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w:t>
      </w:r>
    </w:p>
    <w:p>
      <w:pPr>
        <w:spacing w:after="0" w:line="240" w:lineRule="auto"/>
        <w:jc w:val="left"/>
        <w:sectPr>
          <w:pgSz w:w="11910" w:h="16840"/>
          <w:pgMar w:header="787" w:footer="1019" w:top="1100" w:bottom="1200" w:left="980" w:right="0"/>
        </w:sectPr>
      </w:pPr>
    </w:p>
    <w:p>
      <w:pPr>
        <w:spacing w:line="240" w:lineRule="auto" w:before="7"/>
        <w:rPr>
          <w:rFonts w:ascii="宋体" w:hAnsi="宋体" w:cs="宋体" w:eastAsia="宋体" w:hint="default"/>
          <w:sz w:val="21"/>
          <w:szCs w:val="21"/>
        </w:rPr>
      </w:pPr>
    </w:p>
    <w:p>
      <w:pPr>
        <w:pStyle w:val="Heading5"/>
        <w:spacing w:line="240" w:lineRule="auto" w:before="35"/>
        <w:ind w:right="0"/>
        <w:jc w:val="left"/>
      </w:pPr>
      <w:r>
        <w:rPr/>
        <w:t>作为一个营业周期，并以其作为资产和负债的流动性划分标准。</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0"/>
        <w:jc w:val="left"/>
        <w:rPr>
          <w:b w:val="0"/>
          <w:bCs w:val="0"/>
        </w:rPr>
      </w:pPr>
      <w:bookmarkStart w:name="4、记账本位币" w:id="174"/>
      <w:bookmarkEnd w:id="17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8"/>
        <w:rPr>
          <w:rFonts w:ascii="宋体" w:hAnsi="宋体" w:cs="宋体" w:eastAsia="宋体" w:hint="default"/>
          <w:b/>
          <w:bCs/>
          <w:sz w:val="24"/>
          <w:szCs w:val="24"/>
        </w:rPr>
      </w:pPr>
    </w:p>
    <w:p>
      <w:pPr>
        <w:pStyle w:val="Heading5"/>
        <w:spacing w:line="240" w:lineRule="auto" w:before="0"/>
        <w:ind w:left="574" w:right="0"/>
        <w:jc w:val="left"/>
      </w:pPr>
      <w:r>
        <w:rPr/>
        <w:t>本公司编制本财务报表时所采用的货币为人民币。</w:t>
      </w:r>
    </w:p>
    <w:p>
      <w:pPr>
        <w:spacing w:line="240" w:lineRule="auto" w:before="11"/>
        <w:rPr>
          <w:rFonts w:ascii="宋体" w:hAnsi="宋体" w:cs="宋体" w:eastAsia="宋体" w:hint="default"/>
          <w:sz w:val="26"/>
          <w:szCs w:val="26"/>
        </w:rPr>
      </w:pPr>
    </w:p>
    <w:p>
      <w:pPr>
        <w:spacing w:line="590" w:lineRule="atLeast" w:before="0"/>
        <w:ind w:left="576" w:right="0" w:hanging="423"/>
        <w:jc w:val="left"/>
        <w:rPr>
          <w:rFonts w:ascii="宋体" w:hAnsi="宋体" w:cs="宋体" w:eastAsia="宋体" w:hint="default"/>
          <w:sz w:val="21"/>
          <w:szCs w:val="21"/>
        </w:rPr>
      </w:pPr>
      <w:bookmarkStart w:name="5、同一控制下和非同一控制下企业合并的会计处理方法" w:id="175"/>
      <w:bookmarkEnd w:id="17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企业合并，是指将两个或两个以上单独的企业合并形成一个报告主体的交易或事项。企业合并分为同</w:t>
      </w:r>
    </w:p>
    <w:p>
      <w:pPr>
        <w:pStyle w:val="Heading5"/>
        <w:spacing w:line="240" w:lineRule="auto" w:before="37"/>
        <w:ind w:left="156" w:right="0"/>
        <w:jc w:val="left"/>
      </w:pPr>
      <w:r>
        <w:rPr/>
        <w:t>一控制下企业合并和非同一控制下企业合并。</w:t>
      </w:r>
    </w:p>
    <w:p>
      <w:pPr>
        <w:pStyle w:val="Heading5"/>
        <w:spacing w:line="256" w:lineRule="auto" w:before="37"/>
        <w:ind w:left="574" w:right="0"/>
        <w:jc w:val="left"/>
      </w:pPr>
      <w:r>
        <w:rPr/>
        <w:t>（</w:t>
      </w:r>
      <w:r>
        <w:rPr>
          <w:rFonts w:ascii="Times New Roman" w:hAnsi="Times New Roman" w:cs="Times New Roman" w:eastAsia="Times New Roman" w:hint="default"/>
        </w:rPr>
        <w:t>1</w:t>
      </w:r>
      <w:r>
        <w:rPr/>
        <w:t>）同一控制下企业合并 </w:t>
      </w:r>
      <w:r>
        <w:rPr>
          <w:spacing w:val="-1"/>
        </w:rPr>
        <w:t>参与合并的企业在合并前后均受同一方或相同的多方最终控制，且该控制并非暂时性的，为同一控制</w:t>
      </w:r>
    </w:p>
    <w:p>
      <w:pPr>
        <w:pStyle w:val="Heading5"/>
        <w:spacing w:line="273" w:lineRule="auto" w:before="22"/>
        <w:ind w:right="0"/>
        <w:jc w:val="left"/>
      </w:pPr>
      <w:r>
        <w:rPr>
          <w:spacing w:val="-1"/>
        </w:rPr>
        <w:t>下的企业合并。同一控制下的企业合并，在合并日取得对其他参与合并企业控制权的一方为合并方，参与</w:t>
      </w:r>
      <w:r>
        <w:rPr>
          <w:spacing w:val="-83"/>
        </w:rPr>
        <w:t> </w:t>
      </w:r>
      <w:r>
        <w:rPr>
          <w:spacing w:val="-83"/>
        </w:rPr>
      </w:r>
      <w:r>
        <w:rPr/>
        <w:t>合并的其他企业为被合并方。合并日，是指合并方实际取得对被合并方控制权的日期。</w:t>
      </w:r>
    </w:p>
    <w:p>
      <w:pPr>
        <w:pStyle w:val="Heading5"/>
        <w:spacing w:line="273" w:lineRule="auto"/>
        <w:ind w:right="1132" w:firstLine="420"/>
        <w:jc w:val="both"/>
      </w:pPr>
      <w:r>
        <w:rPr>
          <w:spacing w:val="-1"/>
        </w:rPr>
        <w:t>合并方取得的资产和负债均按合并日在被合并方的账面价值计量。合并方取得的净资产账面价值与支</w:t>
      </w:r>
      <w:r>
        <w:rPr/>
        <w:t> </w:t>
      </w:r>
      <w:r>
        <w:rPr>
          <w:spacing w:val="-1"/>
        </w:rPr>
        <w:t>付的合并对价账面价值（或发行股份面值总额）的差额，调整资本公积（股本溢价）；资本公积（股本溢</w:t>
      </w:r>
      <w:r>
        <w:rPr>
          <w:spacing w:val="-85"/>
        </w:rPr>
        <w:t> </w:t>
      </w:r>
      <w:r>
        <w:rPr>
          <w:spacing w:val="-85"/>
        </w:rPr>
      </w:r>
      <w:r>
        <w:rPr/>
        <w:t>价）不足以冲减的，调整留存收益。</w:t>
      </w:r>
    </w:p>
    <w:p>
      <w:pPr>
        <w:pStyle w:val="Heading5"/>
        <w:spacing w:line="240" w:lineRule="auto"/>
        <w:ind w:left="574" w:right="0"/>
        <w:jc w:val="left"/>
      </w:pPr>
      <w:r>
        <w:rPr/>
        <w:t>合并方为进行企业合并发生的各项直接费用，于发生时计入当期损益。</w:t>
      </w:r>
    </w:p>
    <w:p>
      <w:pPr>
        <w:pStyle w:val="Heading5"/>
        <w:spacing w:line="256" w:lineRule="auto" w:before="37"/>
        <w:ind w:left="574" w:right="0"/>
        <w:jc w:val="left"/>
      </w:pPr>
      <w:r>
        <w:rPr/>
        <w:t>（</w:t>
      </w:r>
      <w:r>
        <w:rPr>
          <w:rFonts w:ascii="Times New Roman" w:hAnsi="Times New Roman" w:cs="Times New Roman" w:eastAsia="Times New Roman" w:hint="default"/>
        </w:rPr>
        <w:t>2</w:t>
      </w:r>
      <w:r>
        <w:rPr/>
        <w:t>）非同一控制下企业合并 </w:t>
      </w:r>
      <w:r>
        <w:rPr>
          <w:spacing w:val="-1"/>
        </w:rPr>
        <w:t>参与合并的企业在合并前后不受同一方或相同的多方最终控制的，为非同一控制下的企业合并。非同</w:t>
      </w:r>
    </w:p>
    <w:p>
      <w:pPr>
        <w:pStyle w:val="Heading5"/>
        <w:spacing w:line="273" w:lineRule="auto" w:before="23"/>
        <w:ind w:right="0"/>
        <w:jc w:val="left"/>
      </w:pPr>
      <w:r>
        <w:rPr>
          <w:spacing w:val="-1"/>
        </w:rPr>
        <w:t>一控制下的企业合并，在购买日取得对其他参与合并企业控制权的一方为购买方，参与合并的其他企业为</w:t>
      </w:r>
      <w:r>
        <w:rPr>
          <w:spacing w:val="-81"/>
        </w:rPr>
        <w:t> </w:t>
      </w:r>
      <w:r>
        <w:rPr>
          <w:spacing w:val="-81"/>
        </w:rPr>
      </w:r>
      <w:r>
        <w:rPr/>
        <w:t>被购买方。购买日，是指为购买方实际取得对被购买方控制权的日期。</w:t>
      </w:r>
    </w:p>
    <w:p>
      <w:pPr>
        <w:pStyle w:val="Heading5"/>
        <w:spacing w:line="271" w:lineRule="auto"/>
        <w:ind w:right="1023" w:firstLine="420"/>
        <w:jc w:val="left"/>
      </w:pPr>
      <w:r>
        <w:rPr>
          <w:spacing w:val="3"/>
        </w:rPr>
        <w:t>对于非同一控制下的企业合并，合并成本包含购买日购买方为取得对被购买方的控制权而付出的资</w:t>
      </w:r>
      <w:r>
        <w:rPr/>
        <w:t> 产、发生或承担的负债以及发行的权益性证券的公允价值，为企业合并发生的审计、法律服务、评估咨询 等中介费用以及其他管理费用于发生时计入当期损益。购买方作为合并对价发行的权益性证券或债务性证 券的交易费用，计入权益性证券或债务性证券的初始确认金额。所涉及的或有对价按其在购买日的公允价 </w:t>
      </w:r>
      <w:r>
        <w:rPr>
          <w:spacing w:val="3"/>
        </w:rPr>
        <w:t>值计入合并成本，购买日后</w:t>
      </w:r>
      <w:r>
        <w:rPr>
          <w:rFonts w:ascii="Times New Roman" w:hAnsi="Times New Roman" w:cs="Times New Roman" w:eastAsia="Times New Roman" w:hint="default"/>
          <w:spacing w:val="3"/>
        </w:rPr>
        <w:t>12</w:t>
      </w:r>
      <w:r>
        <w:rPr>
          <w:spacing w:val="3"/>
        </w:rPr>
        <w:t>个月内出现对购买日已存在情况的新的或进一步证据而需要调整或有对价</w:t>
      </w:r>
      <w:r>
        <w:rPr>
          <w:spacing w:val="-82"/>
        </w:rPr>
        <w:t> </w:t>
      </w:r>
      <w:r>
        <w:rPr>
          <w:spacing w:val="-82"/>
        </w:rPr>
      </w:r>
      <w:r>
        <w:rPr>
          <w:spacing w:val="-3"/>
        </w:rPr>
        <w:t>的，相应调整合并商誉。购买方发生的合并成本及在合并中取得的可辨认净资产按购买日的公允价值计量。</w:t>
      </w:r>
      <w:r>
        <w:rPr>
          <w:spacing w:val="-92"/>
        </w:rPr>
        <w:t> </w:t>
      </w:r>
      <w:r>
        <w:rPr>
          <w:spacing w:val="-92"/>
        </w:rPr>
      </w:r>
      <w:r>
        <w:rPr/>
        <w:t>合并成本大于合并中取得的被购买方于购买日可辨认净资产公允价值份额的差额，确认为商誉。合并成本</w:t>
      </w:r>
      <w:r>
        <w:rPr/>
        <w:t> 小于合并中取得的被购买方可辨认净资产公允价值份额的，首先对取得的被购买方各项可辨认资产、负债 及或有负债的公允价值以及合并成本的计量进行复核，复核后合并成本仍小于合并中取得的被购买方可辨 认净资产公允价值份额的，其差额计入当期损益。</w:t>
      </w:r>
    </w:p>
    <w:p>
      <w:pPr>
        <w:pStyle w:val="Heading5"/>
        <w:spacing w:line="268" w:lineRule="auto" w:before="10"/>
        <w:ind w:right="1110" w:firstLine="420"/>
        <w:jc w:val="both"/>
      </w:pPr>
      <w:r>
        <w:rPr>
          <w:spacing w:val="3"/>
        </w:rPr>
        <w:t>购买方取得被购买方的可抵扣暂时性差异，在购买日因不符合递延所得税资产确认条件而未予确认</w:t>
      </w:r>
      <w:r>
        <w:rPr/>
        <w:t> </w:t>
      </w:r>
      <w:r>
        <w:rPr>
          <w:spacing w:val="-1"/>
        </w:rPr>
        <w:t>的，在购买日后</w:t>
      </w:r>
      <w:r>
        <w:rPr>
          <w:rFonts w:ascii="Times New Roman" w:hAnsi="Times New Roman" w:cs="Times New Roman" w:eastAsia="Times New Roman" w:hint="default"/>
          <w:spacing w:val="-1"/>
        </w:rPr>
        <w:t>12</w:t>
      </w:r>
      <w:r>
        <w:rPr>
          <w:spacing w:val="-1"/>
        </w:rPr>
        <w:t>个月内，如取得新的或进一步的信息表明购买日的相关情况已经存在，预期被购买方在</w:t>
      </w:r>
      <w:r>
        <w:rPr>
          <w:spacing w:val="-84"/>
        </w:rPr>
        <w:t> </w:t>
      </w:r>
      <w:r>
        <w:rPr>
          <w:spacing w:val="-84"/>
        </w:rPr>
      </w:r>
      <w:r>
        <w:rPr>
          <w:spacing w:val="-1"/>
        </w:rPr>
        <w:t>购买日可抵扣暂时性差异带来的经济利益能够实现的，则确认相关的递延所得税资产，同时减少商誉，商</w:t>
      </w:r>
      <w:r>
        <w:rPr>
          <w:spacing w:val="-83"/>
        </w:rPr>
        <w:t> </w:t>
      </w:r>
      <w:r>
        <w:rPr>
          <w:spacing w:val="-83"/>
        </w:rPr>
      </w:r>
      <w:r>
        <w:rPr/>
        <w:t>誉不足冲减的，差额部分确认为当期损益；除上述情况以外，确认与企业合并相关的递延所得税资产的， 计入当期损益。</w:t>
      </w:r>
    </w:p>
    <w:p>
      <w:pPr>
        <w:pStyle w:val="Heading5"/>
        <w:spacing w:line="256" w:lineRule="auto" w:before="12"/>
        <w:ind w:right="1034" w:firstLine="420"/>
        <w:jc w:val="left"/>
      </w:pPr>
      <w:r>
        <w:rPr/>
        <w:t>通过多次交易分步实现的非同一控制下企业合并，根据《财政部关于印发企业会计准则解释第</w:t>
      </w:r>
      <w:r>
        <w:rPr>
          <w:rFonts w:ascii="Times New Roman" w:hAnsi="Times New Roman" w:cs="Times New Roman" w:eastAsia="Times New Roman" w:hint="default"/>
        </w:rPr>
        <w:t>5</w:t>
      </w:r>
      <w:r>
        <w:rPr/>
        <w:t>号的</w:t>
      </w:r>
      <w:r>
        <w:rPr>
          <w:spacing w:val="2"/>
        </w:rPr>
        <w:t> </w:t>
      </w:r>
      <w:r>
        <w:rPr/>
        <w:t>通知》（财会〔</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的判断标准（参见本附注</w:t>
      </w:r>
      <w:r>
        <w:rPr>
          <w:rFonts w:ascii="Times New Roman" w:hAnsi="Times New Roman" w:cs="Times New Roman" w:eastAsia="Times New Roman" w:hint="default"/>
        </w:rPr>
        <w:t>“</w:t>
      </w:r>
      <w:r>
        <w:rPr/>
        <w:t>五、</w:t>
      </w:r>
      <w:r>
        <w:rPr>
          <w:rFonts w:ascii="Times New Roman" w:hAnsi="Times New Roman" w:cs="Times New Roman" w:eastAsia="Times New Roman" w:hint="default"/>
        </w:rPr>
        <w:t>6</w:t>
      </w:r>
      <w:r>
        <w:rPr/>
        <w:t>、合并财务报表的编制方法</w:t>
      </w:r>
      <w:r>
        <w:rPr>
          <w:rFonts w:ascii="Times New Roman" w:hAnsi="Times New Roman" w:cs="Times New Roman" w:eastAsia="Times New Roman" w:hint="default"/>
        </w:rPr>
        <w:t>”</w:t>
      </w:r>
      <w:r>
        <w:rPr/>
        <w:t>），判断该多次交易是否属于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 </w:t>
      </w:r>
      <w:r>
        <w:rPr>
          <w:spacing w:val="-6"/>
        </w:rPr>
        <w:t>属于</w:t>
      </w:r>
      <w:r>
        <w:rPr>
          <w:rFonts w:ascii="Times New Roman" w:hAnsi="Times New Roman" w:cs="Times New Roman" w:eastAsia="Times New Roman" w:hint="default"/>
          <w:spacing w:val="-6"/>
        </w:rPr>
        <w:t>“</w:t>
      </w:r>
      <w:r>
        <w:rPr>
          <w:spacing w:val="-6"/>
        </w:rPr>
        <w:t>一揽子交易</w:t>
      </w:r>
      <w:r>
        <w:rPr>
          <w:rFonts w:ascii="Times New Roman" w:hAnsi="Times New Roman" w:cs="Times New Roman" w:eastAsia="Times New Roman" w:hint="default"/>
          <w:spacing w:val="-6"/>
        </w:rPr>
        <w:t>”</w:t>
      </w:r>
      <w:r>
        <w:rPr>
          <w:spacing w:val="-6"/>
        </w:rPr>
        <w:t>的，参考本部分前面各段描述及本附注</w:t>
      </w:r>
      <w:r>
        <w:rPr>
          <w:rFonts w:ascii="Times New Roman" w:hAnsi="Times New Roman" w:cs="Times New Roman" w:eastAsia="Times New Roman" w:hint="default"/>
          <w:spacing w:val="-6"/>
        </w:rPr>
        <w:t>“</w:t>
      </w:r>
      <w:r>
        <w:rPr>
          <w:spacing w:val="-6"/>
        </w:rPr>
        <w:t>五、</w:t>
      </w:r>
      <w:r>
        <w:rPr>
          <w:rFonts w:ascii="Times New Roman" w:hAnsi="Times New Roman" w:cs="Times New Roman" w:eastAsia="Times New Roman" w:hint="default"/>
          <w:spacing w:val="-6"/>
        </w:rPr>
        <w:t>14</w:t>
      </w:r>
      <w:r>
        <w:rPr>
          <w:spacing w:val="-6"/>
        </w:rPr>
        <w:t>、长期股权投资</w:t>
      </w:r>
      <w:r>
        <w:rPr>
          <w:rFonts w:ascii="Times New Roman" w:hAnsi="Times New Roman" w:cs="Times New Roman" w:eastAsia="Times New Roman" w:hint="default"/>
          <w:spacing w:val="-6"/>
        </w:rPr>
        <w:t>”</w:t>
      </w:r>
      <w:r>
        <w:rPr>
          <w:spacing w:val="-6"/>
        </w:rPr>
        <w:t>进行会计处理；不属于</w:t>
      </w:r>
      <w:r>
        <w:rPr>
          <w:rFonts w:ascii="Times New Roman" w:hAnsi="Times New Roman" w:cs="Times New Roman" w:eastAsia="Times New Roman" w:hint="default"/>
          <w:spacing w:val="-6"/>
        </w:rPr>
        <w:t>“</w:t>
      </w:r>
      <w:r>
        <w:rPr>
          <w:spacing w:val="-6"/>
        </w:rPr>
        <w:t>一</w:t>
      </w:r>
      <w:r>
        <w:rPr>
          <w:spacing w:val="-83"/>
        </w:rPr>
        <w:t> </w:t>
      </w:r>
      <w:r>
        <w:rPr/>
        <w:t>揽子交易</w:t>
      </w:r>
      <w:r>
        <w:rPr>
          <w:rFonts w:ascii="Times New Roman" w:hAnsi="Times New Roman" w:cs="Times New Roman" w:eastAsia="Times New Roman" w:hint="default"/>
        </w:rPr>
        <w:t>”</w:t>
      </w:r>
      <w:r>
        <w:rPr/>
        <w:t>的，区分个别财务报表和合并财务报表进行相关会计处理：</w:t>
      </w:r>
    </w:p>
    <w:p>
      <w:pPr>
        <w:spacing w:after="0" w:line="256" w:lineRule="auto"/>
        <w:jc w:val="left"/>
        <w:sectPr>
          <w:pgSz w:w="11910" w:h="16840"/>
          <w:pgMar w:header="787" w:footer="1019" w:top="1100" w:bottom="1200" w:left="980" w:right="0"/>
        </w:sectPr>
      </w:pPr>
    </w:p>
    <w:p>
      <w:pPr>
        <w:spacing w:line="240" w:lineRule="auto" w:before="7"/>
        <w:rPr>
          <w:rFonts w:ascii="宋体" w:hAnsi="宋体" w:cs="宋体" w:eastAsia="宋体" w:hint="default"/>
          <w:sz w:val="21"/>
          <w:szCs w:val="21"/>
        </w:rPr>
      </w:pPr>
    </w:p>
    <w:p>
      <w:pPr>
        <w:pStyle w:val="Heading5"/>
        <w:spacing w:line="273" w:lineRule="auto" w:before="35"/>
        <w:ind w:right="1110" w:firstLine="420"/>
        <w:jc w:val="both"/>
      </w:pPr>
      <w:r>
        <w:rPr/>
        <w:t>在个别财务报表中，以购买日之前所持被购买方的股权投资的账面价值与购买日新增投资成本之和， </w:t>
      </w:r>
      <w:r>
        <w:rPr>
          <w:spacing w:val="-1"/>
        </w:rPr>
        <w:t>作为该项投资的初始投资成本；购买日之前持有的被购买方的股权涉及其他综合收益的，在处置该项投资</w:t>
      </w:r>
      <w:r>
        <w:rPr>
          <w:spacing w:val="-81"/>
        </w:rPr>
        <w:t> </w:t>
      </w:r>
      <w:r>
        <w:rPr>
          <w:spacing w:val="-81"/>
        </w:rPr>
      </w:r>
      <w:r>
        <w:rPr>
          <w:spacing w:val="-1"/>
        </w:rPr>
        <w:t>时将与其相关的其他综合收益采用与被购买方直接处置相关资产或负债相同的基础进行会计处理（即，除</w:t>
      </w:r>
      <w:r>
        <w:rPr>
          <w:spacing w:val="-81"/>
        </w:rPr>
        <w:t> </w:t>
      </w:r>
      <w:r>
        <w:rPr>
          <w:spacing w:val="-81"/>
        </w:rPr>
      </w:r>
      <w:r>
        <w:rPr>
          <w:spacing w:val="-1"/>
        </w:rPr>
        <w:t>了按照权益法核算的在被购买方重新计量设定受益计划净负债或净资产导致的变动中的相应份额以外，其</w:t>
      </w:r>
      <w:r>
        <w:rPr>
          <w:spacing w:val="-81"/>
        </w:rPr>
        <w:t> </w:t>
      </w:r>
      <w:r>
        <w:rPr>
          <w:spacing w:val="-81"/>
        </w:rPr>
      </w:r>
      <w:r>
        <w:rPr/>
        <w:t>余转入当期投资收益）。</w:t>
      </w:r>
    </w:p>
    <w:p>
      <w:pPr>
        <w:pStyle w:val="Heading5"/>
        <w:spacing w:line="273" w:lineRule="auto"/>
        <w:ind w:right="1131" w:firstLine="420"/>
        <w:jc w:val="both"/>
      </w:pPr>
      <w:r>
        <w:rPr>
          <w:spacing w:val="-1"/>
        </w:rPr>
        <w:t>在合并财务报表中，对于购买日之前持有的被购买方的股权，按照该股权在购买日的公允价值进行重</w:t>
      </w:r>
      <w:r>
        <w:rPr/>
        <w:t> </w:t>
      </w:r>
      <w:r>
        <w:rPr>
          <w:spacing w:val="-1"/>
        </w:rPr>
        <w:t>新计量，公允价值与其账面价值的差额计入当期投资收益；购买日之前持有的被购买方的股权涉及其他综</w:t>
      </w:r>
      <w:r>
        <w:rPr>
          <w:spacing w:val="-81"/>
        </w:rPr>
        <w:t> </w:t>
      </w:r>
      <w:r>
        <w:rPr>
          <w:spacing w:val="-81"/>
        </w:rPr>
      </w:r>
      <w:r>
        <w:rPr>
          <w:spacing w:val="-1"/>
        </w:rPr>
        <w:t>合收益的，与其相关的其他综合收益应当采用与被购买方直接处置相关资产或负债相同的基础进行会计处</w:t>
      </w:r>
      <w:r>
        <w:rPr>
          <w:spacing w:val="-81"/>
        </w:rPr>
        <w:t> </w:t>
      </w:r>
      <w:r>
        <w:rPr>
          <w:spacing w:val="-81"/>
        </w:rPr>
      </w:r>
      <w:r>
        <w:rPr>
          <w:spacing w:val="-1"/>
        </w:rPr>
        <w:t>理（即，除了按照权益法核算的在被购买方重新计量设定受益计划净负债或净资产导致的变动中的相应份</w:t>
      </w:r>
      <w:r>
        <w:rPr>
          <w:spacing w:val="-81"/>
        </w:rPr>
        <w:t> </w:t>
      </w:r>
      <w:r>
        <w:rPr>
          <w:spacing w:val="-81"/>
        </w:rPr>
      </w:r>
      <w:r>
        <w:rPr/>
        <w:t>额以外，其余转为购买日所属当期投资收益）。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both"/>
        <w:rPr>
          <w:b w:val="0"/>
          <w:bCs w:val="0"/>
        </w:rPr>
      </w:pPr>
      <w:bookmarkStart w:name="6、合并财务报表的编制方法" w:id="176"/>
      <w:bookmarkEnd w:id="17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Heading5"/>
        <w:spacing w:line="256" w:lineRule="auto" w:before="0"/>
        <w:ind w:left="574" w:right="0"/>
        <w:jc w:val="left"/>
      </w:pPr>
      <w:r>
        <w:rPr/>
        <w:t>（</w:t>
      </w:r>
      <w:r>
        <w:rPr>
          <w:rFonts w:ascii="Times New Roman" w:hAnsi="Times New Roman" w:cs="Times New Roman" w:eastAsia="Times New Roman" w:hint="default"/>
        </w:rPr>
        <w:t>1</w:t>
      </w:r>
      <w:r>
        <w:rPr/>
        <w:t>）合并财务报表范围的确定原则 </w:t>
      </w:r>
      <w:r>
        <w:rPr>
          <w:spacing w:val="-1"/>
        </w:rPr>
        <w:t>合并财务报表的合并范围以控制为基础予以确定。控制是指本公司拥有对被投资方的权力，通过参与</w:t>
      </w:r>
    </w:p>
    <w:p>
      <w:pPr>
        <w:pStyle w:val="Heading5"/>
        <w:spacing w:line="273" w:lineRule="auto" w:before="22"/>
        <w:ind w:right="1131"/>
        <w:jc w:val="both"/>
      </w:pPr>
      <w:r>
        <w:rPr>
          <w:spacing w:val="-1"/>
        </w:rPr>
        <w:t>被投资方的相关活动而享有可变回报，并且有能力运用对被投资方的权力影响该回报金额。合并范围包括</w:t>
      </w:r>
      <w:r>
        <w:rPr>
          <w:spacing w:val="-81"/>
        </w:rPr>
        <w:t> </w:t>
      </w:r>
      <w:r>
        <w:rPr>
          <w:spacing w:val="-81"/>
        </w:rPr>
      </w:r>
      <w:r>
        <w:rPr/>
        <w:t>本公司及全部子公司。子公司，是指被本公司控制的主体。</w:t>
      </w:r>
    </w:p>
    <w:p>
      <w:pPr>
        <w:pStyle w:val="Heading5"/>
        <w:spacing w:line="240" w:lineRule="auto"/>
        <w:ind w:left="574" w:right="0"/>
        <w:jc w:val="left"/>
      </w:pPr>
      <w:r>
        <w:rPr/>
        <w:t>一旦相关事实和情况的变化导致上述控制定义涉及的相关要素发生了变化，本公司将进行重新评估。</w:t>
      </w:r>
    </w:p>
    <w:p>
      <w:pPr>
        <w:pStyle w:val="Heading5"/>
        <w:spacing w:line="256" w:lineRule="auto" w:before="37"/>
        <w:ind w:left="574" w:right="0"/>
        <w:jc w:val="left"/>
      </w:pPr>
      <w:r>
        <w:rPr/>
        <w:t>（</w:t>
      </w:r>
      <w:r>
        <w:rPr>
          <w:rFonts w:ascii="Times New Roman" w:hAnsi="Times New Roman" w:cs="Times New Roman" w:eastAsia="Times New Roman" w:hint="default"/>
        </w:rPr>
        <w:t>2</w:t>
      </w:r>
      <w:r>
        <w:rPr/>
        <w:t>）合并财务报表编制的方法 </w:t>
      </w:r>
      <w:r>
        <w:rPr>
          <w:spacing w:val="-1"/>
        </w:rPr>
        <w:t>从取得子公司的净资产和生产经营决策的实际控制权之日起，本公司开始将其纳入合并范围；从丧失</w:t>
      </w:r>
    </w:p>
    <w:p>
      <w:pPr>
        <w:pStyle w:val="Heading5"/>
        <w:spacing w:line="273" w:lineRule="auto" w:before="22"/>
        <w:ind w:right="1131"/>
        <w:jc w:val="both"/>
      </w:pPr>
      <w:r>
        <w:rPr>
          <w:spacing w:val="-1"/>
        </w:rPr>
        <w:t>实际控制权之日起停止纳入合并范围。对于处置的子公司，处置日前的经营成果和现金流量已经适当地包</w:t>
      </w:r>
      <w:r>
        <w:rPr>
          <w:spacing w:val="-81"/>
        </w:rPr>
        <w:t> </w:t>
      </w:r>
      <w:r>
        <w:rPr>
          <w:spacing w:val="-81"/>
        </w:rPr>
      </w:r>
      <w:r>
        <w:rPr>
          <w:spacing w:val="-1"/>
        </w:rPr>
        <w:t>括在合并利润表和合并现金流量表中；当期处置的子公司，不调整合并资产负债表的期初数。非同一控制</w:t>
      </w:r>
      <w:r>
        <w:rPr>
          <w:spacing w:val="-83"/>
        </w:rPr>
        <w:t> </w:t>
      </w:r>
      <w:r>
        <w:rPr>
          <w:spacing w:val="-83"/>
        </w:rPr>
      </w:r>
      <w:r>
        <w:rPr>
          <w:spacing w:val="-1"/>
        </w:rPr>
        <w:t>下企业合并增加的子公司，其购买日后的经营成果及现金流量已经适当地包括在合并利润表和合并现金流</w:t>
      </w:r>
      <w:r>
        <w:rPr>
          <w:spacing w:val="-81"/>
        </w:rPr>
        <w:t> </w:t>
      </w:r>
      <w:r>
        <w:rPr>
          <w:spacing w:val="-81"/>
        </w:rPr>
      </w:r>
      <w:r>
        <w:rPr>
          <w:spacing w:val="-1"/>
        </w:rPr>
        <w:t>量表中，且不调整合并财务报表的期初数和对比数。同一控制下企业合并增加的子公司，其自合并当期期</w:t>
      </w:r>
      <w:r>
        <w:rPr>
          <w:spacing w:val="-83"/>
        </w:rPr>
        <w:t> </w:t>
      </w:r>
      <w:r>
        <w:rPr>
          <w:spacing w:val="-83"/>
        </w:rPr>
      </w:r>
      <w:r>
        <w:rPr>
          <w:spacing w:val="-1"/>
        </w:rPr>
        <w:t>初至合并日的经营成果和现金流量已经适当地包括在合并利润表和合并现金流量表中，并且同时调整合并</w:t>
      </w:r>
      <w:r>
        <w:rPr>
          <w:spacing w:val="-81"/>
        </w:rPr>
        <w:t> </w:t>
      </w:r>
      <w:r>
        <w:rPr>
          <w:spacing w:val="-81"/>
        </w:rPr>
      </w:r>
      <w:r>
        <w:rPr/>
        <w:t>财务报表的对比数。</w:t>
      </w:r>
    </w:p>
    <w:p>
      <w:pPr>
        <w:pStyle w:val="Heading5"/>
        <w:spacing w:line="273" w:lineRule="auto"/>
        <w:ind w:right="1131" w:firstLine="420"/>
        <w:jc w:val="both"/>
      </w:pPr>
      <w:r>
        <w:rPr>
          <w:spacing w:val="-1"/>
        </w:rPr>
        <w:t>在编制合并财务报表时，子公司与本公司采用的会计政策或会计期间不一致的，按照本公司的会计政</w:t>
      </w:r>
      <w:r>
        <w:rPr/>
        <w:t> </w:t>
      </w:r>
      <w:r>
        <w:rPr>
          <w:spacing w:val="-1"/>
        </w:rPr>
        <w:t>策和会计期间对子公司财务报表进行必要的调整。对于非同一控制下企业合并取得的子公司，以购买日可</w:t>
      </w:r>
      <w:r>
        <w:rPr>
          <w:spacing w:val="-81"/>
        </w:rPr>
        <w:t> </w:t>
      </w:r>
      <w:r>
        <w:rPr>
          <w:spacing w:val="-81"/>
        </w:rPr>
      </w:r>
      <w:r>
        <w:rPr/>
        <w:t>辨认净资产公允价值为基础对其财务报表进行调整。</w:t>
      </w:r>
    </w:p>
    <w:p>
      <w:pPr>
        <w:pStyle w:val="Heading5"/>
        <w:spacing w:line="273" w:lineRule="auto"/>
        <w:ind w:left="574" w:right="0"/>
        <w:jc w:val="left"/>
      </w:pPr>
      <w:r>
        <w:rPr/>
        <w:t>公司内所有重大往来余额、交易及未实现利润在合并财务报表编制时予以抵销。 </w:t>
      </w:r>
      <w:r>
        <w:rPr>
          <w:spacing w:val="3"/>
        </w:rPr>
        <w:t>子公司的股东权益及当期净损益中不属于本公司所拥有的部分分别作为少数股东权益及少数股东损</w:t>
      </w:r>
    </w:p>
    <w:p>
      <w:pPr>
        <w:pStyle w:val="Heading5"/>
        <w:spacing w:line="264" w:lineRule="auto"/>
        <w:ind w:right="1131"/>
        <w:jc w:val="both"/>
      </w:pPr>
      <w:r>
        <w:rPr>
          <w:spacing w:val="-1"/>
        </w:rPr>
        <w:t>益在合并财务报表中股东权益及净利润项下单独列示。子公司当期净损益中属于少数股东权益的份额，在</w:t>
      </w:r>
      <w:r>
        <w:rPr>
          <w:spacing w:val="-81"/>
        </w:rPr>
        <w:t> </w:t>
      </w:r>
      <w:r>
        <w:rPr>
          <w:spacing w:val="-81"/>
        </w:rPr>
      </w:r>
      <w:r>
        <w:rPr/>
        <w:t>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项目列示。少数股东分担的子公司的亏损超过了少数股东在 该子公司期初股东权益中所享有的份额，仍冲减少数股东权益。</w:t>
      </w:r>
    </w:p>
    <w:p>
      <w:pPr>
        <w:pStyle w:val="Heading5"/>
        <w:spacing w:line="268" w:lineRule="auto" w:before="16"/>
        <w:ind w:right="1023" w:firstLine="420"/>
        <w:jc w:val="left"/>
      </w:pPr>
      <w:r>
        <w:rPr/>
        <w:t>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与原有子公司股权投资相关的其他综合收益，在丧失控制权时采用与被购买方直接处置相关资产或负债相 </w:t>
      </w:r>
      <w:r>
        <w:rPr>
          <w:spacing w:val="-3"/>
        </w:rPr>
        <w:t>同的基础进行会计处理（即，除了在该原有子公司重新计量设定受益计划净负债或净资产导致的变动以外，</w:t>
      </w:r>
      <w:r>
        <w:rPr>
          <w:spacing w:val="-92"/>
        </w:rPr>
        <w:t> </w:t>
      </w:r>
      <w:r>
        <w:rPr>
          <w:spacing w:val="-92"/>
        </w:rPr>
      </w:r>
      <w:r>
        <w:rPr/>
        <w:t>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 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w:t>
      </w:r>
      <w:r>
        <w:rPr>
          <w:rFonts w:ascii="Times New Roman" w:hAnsi="Times New Roman" w:cs="Times New Roman" w:eastAsia="Times New Roman" w:hint="default"/>
        </w:rPr>
        <w:t>“</w:t>
      </w:r>
      <w:r>
        <w:rPr/>
        <w:t>五、</w:t>
      </w:r>
      <w:r>
        <w:rPr>
          <w:rFonts w:ascii="Times New Roman" w:hAnsi="Times New Roman" w:cs="Times New Roman" w:eastAsia="Times New Roman" w:hint="default"/>
        </w:rPr>
        <w:t>14</w:t>
      </w:r>
      <w:r>
        <w:rPr/>
        <w:t>、长 期股权投资</w:t>
      </w:r>
      <w:r>
        <w:rPr>
          <w:rFonts w:ascii="Times New Roman" w:hAnsi="Times New Roman" w:cs="Times New Roman" w:eastAsia="Times New Roman" w:hint="default"/>
        </w:rPr>
        <w:t>”</w:t>
      </w:r>
      <w:r>
        <w:rPr/>
        <w:t>或本附注</w:t>
      </w:r>
      <w:r>
        <w:rPr>
          <w:rFonts w:ascii="Times New Roman" w:hAnsi="Times New Roman" w:cs="Times New Roman" w:eastAsia="Times New Roman" w:hint="default"/>
        </w:rPr>
        <w:t>“</w:t>
      </w:r>
      <w:r>
        <w:rPr/>
        <w:t>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Heading5"/>
        <w:spacing w:line="268" w:lineRule="exact" w:before="0"/>
        <w:ind w:left="574" w:right="0"/>
        <w:jc w:val="left"/>
      </w:pPr>
      <w:r>
        <w:rPr/>
        <w:t>本公司通过多次交易分步处置对子公司股权投资直至丧失控制权的，需区分处置对子公司股权投资直</w:t>
      </w:r>
    </w:p>
    <w:p>
      <w:pPr>
        <w:spacing w:after="0" w:line="268" w:lineRule="exact"/>
        <w:jc w:val="left"/>
        <w:sectPr>
          <w:pgSz w:w="11910" w:h="16840"/>
          <w:pgMar w:header="787" w:footer="1019" w:top="1100" w:bottom="1200" w:left="980" w:right="0"/>
        </w:sectPr>
      </w:pPr>
    </w:p>
    <w:p>
      <w:pPr>
        <w:spacing w:line="240" w:lineRule="auto" w:before="7"/>
        <w:rPr>
          <w:rFonts w:ascii="宋体" w:hAnsi="宋体" w:cs="宋体" w:eastAsia="宋体" w:hint="default"/>
          <w:sz w:val="21"/>
          <w:szCs w:val="21"/>
        </w:rPr>
      </w:pPr>
    </w:p>
    <w:p>
      <w:pPr>
        <w:pStyle w:val="Heading5"/>
        <w:spacing w:line="273" w:lineRule="auto" w:before="35"/>
        <w:ind w:right="0"/>
        <w:jc w:val="left"/>
      </w:pPr>
      <w:r>
        <w:rPr>
          <w:spacing w:val="-1"/>
        </w:rPr>
        <w:t>至丧失控制权的各项交易是否属于一揽子交易。处置对子公司股权投资的各项交易的条款、条件以及经济</w:t>
      </w:r>
      <w:r>
        <w:rPr>
          <w:spacing w:val="-81"/>
        </w:rPr>
        <w:t> </w:t>
      </w:r>
      <w:r>
        <w:rPr>
          <w:spacing w:val="-81"/>
        </w:rPr>
      </w:r>
      <w:r>
        <w:rPr/>
        <w:t>影响符合以下一种或多种情况，通常表明应将多次交易事项作为一揽子交易进行会计处理：</w:t>
      </w:r>
    </w:p>
    <w:p>
      <w:pPr>
        <w:pStyle w:val="Heading5"/>
        <w:spacing w:line="240" w:lineRule="auto"/>
        <w:ind w:left="574" w:right="0"/>
        <w:jc w:val="left"/>
      </w:pPr>
      <w:r>
        <w:rPr/>
        <w:t>①这些交易是同时或者在考虑了彼此影响的情况下订立的；</w:t>
      </w:r>
    </w:p>
    <w:p>
      <w:pPr>
        <w:pStyle w:val="Heading5"/>
        <w:spacing w:line="240" w:lineRule="auto" w:before="37"/>
        <w:ind w:left="574" w:right="0"/>
        <w:jc w:val="left"/>
      </w:pPr>
      <w:r>
        <w:rPr/>
        <w:t>②这些交易整体才能达成一项完整的商业结果；</w:t>
      </w:r>
    </w:p>
    <w:p>
      <w:pPr>
        <w:pStyle w:val="Heading5"/>
        <w:spacing w:line="240" w:lineRule="auto" w:before="37"/>
        <w:ind w:left="574" w:right="0"/>
        <w:jc w:val="left"/>
      </w:pPr>
      <w:r>
        <w:rPr/>
        <w:t>③一项交易的发生取决于其他至少一项交易的发生；</w:t>
      </w:r>
    </w:p>
    <w:p>
      <w:pPr>
        <w:pStyle w:val="Heading5"/>
        <w:spacing w:line="273" w:lineRule="auto" w:before="37"/>
        <w:ind w:left="574" w:right="1209"/>
        <w:jc w:val="left"/>
      </w:pPr>
      <w:r>
        <w:rPr/>
        <w:t>④一项交易单独看是不经济的，但是和其他交易一并考虑时是经济的。 不属于一揽子交易的，对其中的每一项交易视情况分别按照</w:t>
      </w:r>
      <w:r>
        <w:rPr>
          <w:rFonts w:ascii="Times New Roman" w:hAnsi="Times New Roman" w:cs="Times New Roman" w:eastAsia="Times New Roman" w:hint="default"/>
        </w:rPr>
        <w:t>“</w:t>
      </w:r>
      <w:r>
        <w:rPr/>
        <w:t>不丧失控制权的情况下部分处置对子公</w:t>
      </w:r>
    </w:p>
    <w:p>
      <w:pPr>
        <w:pStyle w:val="Heading5"/>
        <w:spacing w:line="264" w:lineRule="auto" w:before="0"/>
        <w:ind w:right="1120"/>
        <w:jc w:val="left"/>
      </w:pPr>
      <w:r>
        <w:rPr>
          <w:spacing w:val="-2"/>
        </w:rPr>
        <w:t>司的长期股权投资</w:t>
      </w:r>
      <w:r>
        <w:rPr>
          <w:rFonts w:ascii="Times New Roman" w:hAnsi="Times New Roman" w:cs="Times New Roman" w:eastAsia="Times New Roman" w:hint="default"/>
          <w:spacing w:val="-2"/>
        </w:rPr>
        <w:t>”</w:t>
      </w:r>
      <w:r>
        <w:rPr>
          <w:spacing w:val="-2"/>
        </w:rPr>
        <w:t>（详见本附注</w:t>
      </w:r>
      <w:r>
        <w:rPr>
          <w:rFonts w:ascii="Times New Roman" w:hAnsi="Times New Roman" w:cs="Times New Roman" w:eastAsia="Times New Roman" w:hint="default"/>
          <w:spacing w:val="-2"/>
        </w:rPr>
        <w:t>“</w:t>
      </w:r>
      <w:r>
        <w:rPr>
          <w:spacing w:val="-2"/>
        </w:rPr>
        <w:t>五、</w:t>
      </w:r>
      <w:r>
        <w:rPr>
          <w:rFonts w:ascii="Times New Roman" w:hAnsi="Times New Roman" w:cs="Times New Roman" w:eastAsia="Times New Roman" w:hint="default"/>
          <w:spacing w:val="-2"/>
        </w:rPr>
        <w:t>14</w:t>
      </w:r>
      <w:r>
        <w:rPr>
          <w:spacing w:val="-2"/>
        </w:rPr>
        <w:t>、长期股权投资）和</w:t>
      </w:r>
      <w:r>
        <w:rPr>
          <w:rFonts w:ascii="Times New Roman" w:hAnsi="Times New Roman" w:cs="Times New Roman" w:eastAsia="Times New Roman" w:hint="default"/>
          <w:spacing w:val="-2"/>
        </w:rPr>
        <w:t>“</w:t>
      </w:r>
      <w:r>
        <w:rPr>
          <w:spacing w:val="-2"/>
        </w:rPr>
        <w:t>因处置部分股权投资或其他原因丧失了对原</w:t>
      </w:r>
      <w:r>
        <w:rPr>
          <w:spacing w:val="-101"/>
        </w:rPr>
        <w:t> </w:t>
      </w:r>
      <w:r>
        <w:rPr/>
        <w:t>有子公司的控制权</w:t>
      </w:r>
      <w:r>
        <w:rPr>
          <w:rFonts w:ascii="Times New Roman" w:hAnsi="Times New Roman" w:cs="Times New Roman" w:eastAsia="Times New Roman" w:hint="default"/>
        </w:rPr>
        <w:t>”</w:t>
      </w:r>
      <w:r>
        <w:rPr/>
        <w:t>（详见前段）适用的原则进行会计处理。处置对子公司股权投资直至丧失控制权的各 </w:t>
      </w:r>
      <w:r>
        <w:rPr>
          <w:spacing w:val="-1"/>
        </w:rPr>
        <w:t>项交易属于一揽子交易的，将各项交易作为一项处置子公司并丧失控制权的交易进行会计处理；但是，在</w:t>
      </w:r>
      <w:r>
        <w:rPr>
          <w:spacing w:val="-83"/>
        </w:rPr>
        <w:t> </w:t>
      </w:r>
      <w:r>
        <w:rPr>
          <w:spacing w:val="-83"/>
        </w:rPr>
      </w:r>
      <w:r>
        <w:rPr>
          <w:spacing w:val="-1"/>
        </w:rPr>
        <w:t>丧失控制权之前每一次处置价款与处置投资对应的享有该子公司净资产份额的差额，在合并财务报表中确</w:t>
      </w:r>
      <w:r>
        <w:rPr>
          <w:spacing w:val="-81"/>
        </w:rPr>
        <w:t> </w:t>
      </w:r>
      <w:r>
        <w:rPr>
          <w:spacing w:val="-81"/>
        </w:rPr>
      </w:r>
      <w:r>
        <w:rPr/>
        <w:t>认为其他综合收益，在丧失控制权时一并转入丧失控制权当期的损益。</w:t>
      </w:r>
    </w:p>
    <w:p>
      <w:pPr>
        <w:spacing w:line="240" w:lineRule="auto" w:before="3"/>
        <w:rPr>
          <w:rFonts w:ascii="宋体" w:hAnsi="宋体" w:cs="宋体" w:eastAsia="宋体" w:hint="default"/>
          <w:sz w:val="25"/>
          <w:szCs w:val="25"/>
        </w:rPr>
      </w:pPr>
    </w:p>
    <w:p>
      <w:pPr>
        <w:spacing w:line="590" w:lineRule="atLeast" w:before="0"/>
        <w:ind w:left="574" w:right="0" w:hanging="420"/>
        <w:jc w:val="left"/>
        <w:rPr>
          <w:rFonts w:ascii="宋体" w:hAnsi="宋体" w:cs="宋体" w:eastAsia="宋体" w:hint="default"/>
          <w:sz w:val="21"/>
          <w:szCs w:val="21"/>
        </w:rPr>
      </w:pPr>
      <w:bookmarkStart w:name="7、合营安排分类及共同经营会计处理方法" w:id="177"/>
      <w:bookmarkEnd w:id="177"/>
      <w:r>
        <w:rPr/>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、合营安排分类及共同经营会计处理方法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合营安排，是指一项由两个或两个以上的参与方共同控制的安排。本公司根据在合营安排中享有的权</w:t>
      </w:r>
    </w:p>
    <w:p>
      <w:pPr>
        <w:pStyle w:val="Heading5"/>
        <w:spacing w:line="273" w:lineRule="auto" w:before="37"/>
        <w:ind w:right="0"/>
        <w:jc w:val="left"/>
      </w:pPr>
      <w:r>
        <w:rPr>
          <w:spacing w:val="-1"/>
        </w:rPr>
        <w:t>利和承担的义务，将合营安排分为共同经营和合营企业。共同经营，是指本公司享有该安排相关资产且承</w:t>
      </w:r>
      <w:r>
        <w:rPr>
          <w:spacing w:val="-83"/>
        </w:rPr>
        <w:t> </w:t>
      </w:r>
      <w:r>
        <w:rPr>
          <w:spacing w:val="-83"/>
        </w:rPr>
      </w:r>
      <w:r>
        <w:rPr/>
        <w:t>担该安排相关负债的合营安排。合营企业，是指本公司仅对该安排的净资产享有权利的合营安排。</w:t>
      </w:r>
    </w:p>
    <w:p>
      <w:pPr>
        <w:pStyle w:val="Heading5"/>
        <w:spacing w:line="256" w:lineRule="auto"/>
        <w:ind w:right="1132" w:firstLine="420"/>
        <w:jc w:val="both"/>
      </w:pPr>
      <w:r>
        <w:rPr/>
        <w:t>本公司对合营企业的投资采用权益法核算，按照本附注</w:t>
      </w:r>
      <w:r>
        <w:rPr>
          <w:rFonts w:ascii="Times New Roman" w:hAnsi="Times New Roman" w:cs="Times New Roman" w:eastAsia="Times New Roman" w:hint="default"/>
        </w:rPr>
        <w:t>“</w:t>
      </w:r>
      <w:r>
        <w:rPr/>
        <w:t>五、</w:t>
      </w:r>
      <w:r>
        <w:rPr>
          <w:rFonts w:ascii="Times New Roman" w:hAnsi="Times New Roman" w:cs="Times New Roman" w:eastAsia="Times New Roman" w:hint="default"/>
        </w:rPr>
        <w:t>14</w:t>
      </w:r>
      <w:r>
        <w:rPr/>
        <w:t>、长期股权投资</w:t>
      </w:r>
      <w:r>
        <w:rPr>
          <w:rFonts w:ascii="Times New Roman" w:hAnsi="Times New Roman" w:cs="Times New Roman" w:eastAsia="Times New Roman" w:hint="default"/>
        </w:rPr>
        <w:t>”</w:t>
      </w:r>
      <w:r>
        <w:rPr/>
        <w:t>中所述的会计政策处 理。</w:t>
      </w:r>
    </w:p>
    <w:p>
      <w:pPr>
        <w:pStyle w:val="Heading5"/>
        <w:spacing w:line="273" w:lineRule="auto" w:before="22"/>
        <w:ind w:right="1131" w:firstLine="420"/>
        <w:jc w:val="both"/>
      </w:pPr>
      <w:r>
        <w:rPr>
          <w:spacing w:val="-1"/>
        </w:rPr>
        <w:t>本公司作为合营方对共同经营，确认本公司单独持有的资产、单独所承担的负债，以及按本公司份额</w:t>
      </w:r>
      <w:r>
        <w:rPr/>
        <w:t> </w:t>
      </w:r>
      <w:r>
        <w:rPr>
          <w:spacing w:val="-1"/>
        </w:rPr>
        <w:t>确认共同持有的资产和共同承担的负债；确认出售本公司享有的共同经营产出份额所产生的收入；按本公</w:t>
      </w:r>
      <w:r>
        <w:rPr>
          <w:spacing w:val="-81"/>
        </w:rPr>
        <w:t> </w:t>
      </w:r>
      <w:r>
        <w:rPr>
          <w:spacing w:val="-81"/>
        </w:rPr>
      </w:r>
      <w:r>
        <w:rPr>
          <w:spacing w:val="-1"/>
        </w:rPr>
        <w:t>司份额确认共同经营因出售产出所产生的收入；确认本公司单独所发生的费用，以及按本公司份额确认共</w:t>
      </w:r>
      <w:r>
        <w:rPr>
          <w:spacing w:val="-81"/>
        </w:rPr>
        <w:t> </w:t>
      </w:r>
      <w:r>
        <w:rPr>
          <w:spacing w:val="-81"/>
        </w:rPr>
      </w:r>
      <w:r>
        <w:rPr/>
        <w:t>同经营发生的费用。</w:t>
      </w:r>
    </w:p>
    <w:p>
      <w:pPr>
        <w:spacing w:line="240" w:lineRule="auto" w:before="8"/>
        <w:rPr>
          <w:rFonts w:ascii="宋体" w:hAnsi="宋体" w:cs="宋体" w:eastAsia="宋体" w:hint="default"/>
          <w:sz w:val="24"/>
          <w:szCs w:val="24"/>
        </w:rPr>
      </w:pPr>
    </w:p>
    <w:p>
      <w:pPr>
        <w:spacing w:line="590" w:lineRule="atLeast" w:before="0"/>
        <w:ind w:left="574" w:right="0" w:hanging="420"/>
        <w:jc w:val="left"/>
        <w:rPr>
          <w:rFonts w:ascii="宋体" w:hAnsi="宋体" w:cs="宋体" w:eastAsia="宋体" w:hint="default"/>
          <w:sz w:val="21"/>
          <w:szCs w:val="21"/>
        </w:rPr>
      </w:pPr>
      <w:bookmarkStart w:name="8、现金及现金等价物的确定标准" w:id="178"/>
      <w:bookmarkEnd w:id="17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本公司现金及现金等价物包括库存现金、可以随时用于支付的存款以及本公司持有的期限短（一般为</w:t>
      </w:r>
    </w:p>
    <w:p>
      <w:pPr>
        <w:pStyle w:val="Heading5"/>
        <w:spacing w:line="240" w:lineRule="auto" w:before="37"/>
        <w:ind w:right="0"/>
        <w:jc w:val="left"/>
      </w:pPr>
      <w:r>
        <w:rPr/>
        <w:t>从购买日起三个月内到期）、流动性强、易于转换为已知金额现金、价值变动风险很小的投资。</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0"/>
        <w:jc w:val="left"/>
        <w:rPr>
          <w:b w:val="0"/>
          <w:bCs w:val="0"/>
        </w:rPr>
      </w:pPr>
      <w:bookmarkStart w:name="9、外币业务和外币报表折算" w:id="179"/>
      <w:bookmarkEnd w:id="17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5"/>
        <w:spacing w:line="256" w:lineRule="auto" w:before="0"/>
        <w:ind w:left="574" w:right="0"/>
        <w:jc w:val="left"/>
      </w:pPr>
      <w:r>
        <w:rPr/>
        <w:t>（</w:t>
      </w:r>
      <w:r>
        <w:rPr>
          <w:rFonts w:ascii="Times New Roman" w:hAnsi="Times New Roman" w:cs="Times New Roman" w:eastAsia="Times New Roman" w:hint="default"/>
        </w:rPr>
        <w:t>1</w:t>
      </w:r>
      <w:r>
        <w:rPr/>
        <w:t>）外币交易的折算方法 </w:t>
      </w:r>
      <w:r>
        <w:rPr>
          <w:spacing w:val="-1"/>
        </w:rPr>
        <w:t>本公司发生的外币交易在初始确认时，按交易日的即期汇率折算为记账本位币金额，但公司发生的外</w:t>
      </w:r>
    </w:p>
    <w:p>
      <w:pPr>
        <w:pStyle w:val="Heading5"/>
        <w:spacing w:line="240" w:lineRule="auto" w:before="22"/>
        <w:ind w:right="0"/>
        <w:jc w:val="left"/>
      </w:pPr>
      <w:r>
        <w:rPr/>
        <w:t>币兑换业务或涉及外币兑换的交易事项，按照实际采用的汇率折算为记账本位币金额。</w:t>
      </w:r>
    </w:p>
    <w:p>
      <w:pPr>
        <w:pStyle w:val="Heading5"/>
        <w:spacing w:line="256" w:lineRule="auto" w:before="37"/>
        <w:ind w:left="574" w:right="0"/>
        <w:jc w:val="left"/>
      </w:pPr>
      <w:r>
        <w:rPr/>
        <w:t>（</w:t>
      </w:r>
      <w:r>
        <w:rPr>
          <w:rFonts w:ascii="Times New Roman" w:hAnsi="Times New Roman" w:cs="Times New Roman" w:eastAsia="Times New Roman" w:hint="default"/>
        </w:rPr>
        <w:t>2</w:t>
      </w:r>
      <w:r>
        <w:rPr/>
        <w:t>）对于外币货币性项目和外币非货币性项目的折算方法 </w:t>
      </w:r>
      <w:r>
        <w:rPr>
          <w:spacing w:val="-1"/>
        </w:rPr>
        <w:t>资产负债表日，对于外币货币性项目采用资产负债表日即期汇率折算，由此产生的汇兑差额，除：①</w:t>
      </w:r>
    </w:p>
    <w:p>
      <w:pPr>
        <w:pStyle w:val="Heading5"/>
        <w:spacing w:line="240" w:lineRule="auto" w:before="23"/>
        <w:ind w:right="0"/>
        <w:jc w:val="left"/>
      </w:pPr>
      <w:r>
        <w:rPr/>
        <w:t>属于与购建符合资本化条件的资产相关的外币专门借款产生的汇兑差额按照借款费用资本化的原则处理；</w:t>
      </w:r>
    </w:p>
    <w:p>
      <w:pPr>
        <w:pStyle w:val="Heading5"/>
        <w:spacing w:line="273" w:lineRule="auto" w:before="37"/>
        <w:ind w:right="0"/>
        <w:jc w:val="left"/>
      </w:pPr>
      <w:r>
        <w:rPr>
          <w:spacing w:val="3"/>
        </w:rPr>
        <w:t>②可供出售的外币货币性项目除摊余成本之外的其他账面余额变动产生的汇兑差额计入其他综合收益之</w:t>
      </w:r>
      <w:r>
        <w:rPr>
          <w:spacing w:val="-82"/>
        </w:rPr>
        <w:t> </w:t>
      </w:r>
      <w:r>
        <w:rPr>
          <w:spacing w:val="-82"/>
        </w:rPr>
      </w:r>
      <w:r>
        <w:rPr/>
        <w:t>外，均计入当期损益。</w:t>
      </w:r>
    </w:p>
    <w:p>
      <w:pPr>
        <w:pStyle w:val="Heading5"/>
        <w:spacing w:line="273" w:lineRule="auto"/>
        <w:ind w:right="1131" w:firstLine="420"/>
        <w:jc w:val="both"/>
      </w:pPr>
      <w:r>
        <w:rPr>
          <w:spacing w:val="-1"/>
        </w:rPr>
        <w:t>以历史成本计量的外币非货币性项目，仍采用交易发生日的即期汇率折算的记账本位币金额计量。以</w:t>
      </w:r>
      <w:r>
        <w:rPr/>
        <w:t> </w:t>
      </w:r>
      <w:r>
        <w:rPr>
          <w:spacing w:val="-1"/>
        </w:rPr>
        <w:t>公允价值计量的外币非货币性项目，采用公允价值确定日的即期汇率折算，折算后的记账本位币金额与原</w:t>
      </w:r>
    </w:p>
    <w:p>
      <w:pPr>
        <w:spacing w:after="0" w:line="273" w:lineRule="auto"/>
        <w:jc w:val="both"/>
        <w:sectPr>
          <w:pgSz w:w="11910" w:h="16840"/>
          <w:pgMar w:header="787" w:footer="1019" w:top="1100" w:bottom="1200" w:left="980" w:right="0"/>
        </w:sectPr>
      </w:pPr>
    </w:p>
    <w:p>
      <w:pPr>
        <w:spacing w:line="240" w:lineRule="auto" w:before="7"/>
        <w:rPr>
          <w:rFonts w:ascii="宋体" w:hAnsi="宋体" w:cs="宋体" w:eastAsia="宋体" w:hint="default"/>
          <w:sz w:val="21"/>
          <w:szCs w:val="21"/>
        </w:rPr>
      </w:pPr>
    </w:p>
    <w:p>
      <w:pPr>
        <w:pStyle w:val="Heading5"/>
        <w:spacing w:line="240" w:lineRule="auto" w:before="35"/>
        <w:ind w:right="0"/>
        <w:jc w:val="both"/>
      </w:pPr>
      <w:r>
        <w:rPr/>
        <w:t>记账本位币金额的差额，作为公允价值变动（含汇率变动）处理，计入当期损益或确认为其他综合收益。</w:t>
      </w:r>
    </w:p>
    <w:p>
      <w:pPr>
        <w:pStyle w:val="Heading5"/>
        <w:spacing w:line="256" w:lineRule="auto" w:before="37"/>
        <w:ind w:left="574" w:right="0"/>
        <w:jc w:val="left"/>
      </w:pPr>
      <w:r>
        <w:rPr/>
        <w:t>（</w:t>
      </w:r>
      <w:r>
        <w:rPr>
          <w:rFonts w:ascii="Times New Roman" w:hAnsi="Times New Roman" w:cs="Times New Roman" w:eastAsia="Times New Roman" w:hint="default"/>
        </w:rPr>
        <w:t>3</w:t>
      </w:r>
      <w:r>
        <w:rPr/>
        <w:t>）外币财务报表的折算方法 </w:t>
      </w:r>
      <w:r>
        <w:rPr>
          <w:spacing w:val="-1"/>
        </w:rPr>
        <w:t>编制合并财务报表涉及境外经营的，如有实质上构成对境外经营净投资的外币货币性项目，因汇率变</w:t>
      </w:r>
    </w:p>
    <w:p>
      <w:pPr>
        <w:pStyle w:val="Heading5"/>
        <w:spacing w:line="256" w:lineRule="auto" w:before="22"/>
        <w:ind w:right="1132"/>
        <w:jc w:val="both"/>
      </w:pPr>
      <w:r>
        <w:rPr/>
        <w:t>动而产生的汇兑差额，作为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 益。</w:t>
      </w:r>
    </w:p>
    <w:p>
      <w:pPr>
        <w:pStyle w:val="Heading5"/>
        <w:spacing w:line="271" w:lineRule="auto" w:before="22"/>
        <w:ind w:right="1023" w:firstLine="420"/>
        <w:jc w:val="left"/>
      </w:pPr>
      <w:r>
        <w:rPr/>
        <w:t>境外经营的外币财务报表按以下方法折算为人民币报表：资产负债表中的资产和负债项目，采用资产 </w:t>
      </w:r>
      <w:r>
        <w:rPr>
          <w:spacing w:val="-3"/>
        </w:rPr>
        <w:t>负债表日的即期汇率折算；股东权益类项目除</w:t>
      </w:r>
      <w:r>
        <w:rPr>
          <w:rFonts w:ascii="Times New Roman" w:hAnsi="Times New Roman" w:cs="Times New Roman" w:eastAsia="Times New Roman" w:hint="default"/>
          <w:spacing w:val="-3"/>
        </w:rPr>
        <w:t>“</w:t>
      </w:r>
      <w:r>
        <w:rPr>
          <w:spacing w:val="-3"/>
        </w:rPr>
        <w:t>未分配利润</w:t>
      </w:r>
      <w:r>
        <w:rPr>
          <w:rFonts w:ascii="Times New Roman" w:hAnsi="Times New Roman" w:cs="Times New Roman" w:eastAsia="Times New Roman" w:hint="default"/>
          <w:spacing w:val="-3"/>
        </w:rPr>
        <w:t>”</w:t>
      </w:r>
      <w:r>
        <w:rPr>
          <w:spacing w:val="-3"/>
        </w:rPr>
        <w:t>项目外，其他项目采用发生时的即期汇率折算。</w:t>
      </w:r>
      <w:r>
        <w:rPr>
          <w:spacing w:val="-65"/>
        </w:rPr>
        <w:t> </w:t>
      </w:r>
      <w:r>
        <w:rPr>
          <w:spacing w:val="-65"/>
        </w:rPr>
      </w:r>
      <w:r>
        <w:rPr/>
        <w:t>利润表中的收入和费用项目，采用交易发生日的即期汇率折算。年初未分配利润为上一年折算后的年末未</w:t>
      </w:r>
      <w:r>
        <w:rPr/>
        <w:t> 分配利润；年末未分配利润按折算后的利润分配各项目计算列示；折算后资产类项目与负债类项目和股东 </w:t>
      </w:r>
      <w:r>
        <w:rPr>
          <w:spacing w:val="-3"/>
        </w:rPr>
        <w:t>权益类项目合计数的差额，作为外币报表折算差额，确认为其他综合收益。处置境外经营并丧失控制权时，</w:t>
      </w:r>
      <w:r>
        <w:rPr>
          <w:spacing w:val="-90"/>
        </w:rPr>
        <w:t> </w:t>
      </w:r>
      <w:r>
        <w:rPr>
          <w:spacing w:val="-90"/>
        </w:rPr>
      </w:r>
      <w:r>
        <w:rPr/>
        <w:t>将资产负债表中股东权益项目下列示的、与该境外经营相关的外币报表折算差额，全部或按处置该境外经</w:t>
      </w:r>
      <w:r>
        <w:rPr/>
        <w:t> 营的比例转入处置当期损益。</w:t>
      </w:r>
    </w:p>
    <w:p>
      <w:pPr>
        <w:pStyle w:val="Heading5"/>
        <w:spacing w:line="273" w:lineRule="auto" w:before="10"/>
        <w:ind w:right="1131" w:firstLine="420"/>
        <w:jc w:val="both"/>
      </w:pPr>
      <w:r>
        <w:rPr>
          <w:spacing w:val="-1"/>
        </w:rPr>
        <w:t>外币现金流量，采用现金流量发生日的即期汇率折算。汇率变动对现金的影响额作为调节项目，在现</w:t>
      </w:r>
      <w:r>
        <w:rPr/>
        <w:t> 金流量表中单独列报。</w:t>
      </w:r>
    </w:p>
    <w:p>
      <w:pPr>
        <w:pStyle w:val="Heading5"/>
        <w:spacing w:line="240" w:lineRule="auto"/>
        <w:ind w:left="574" w:right="0"/>
        <w:jc w:val="left"/>
      </w:pPr>
      <w:r>
        <w:rPr/>
        <w:t>年初数和上年实际数按照上年财务报表折算后的数额列示。</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0"/>
        <w:jc w:val="both"/>
        <w:rPr>
          <w:b w:val="0"/>
          <w:bCs w:val="0"/>
        </w:rPr>
      </w:pPr>
      <w:bookmarkStart w:name="10、金融工具" w:id="180"/>
      <w:bookmarkEnd w:id="18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Heading5"/>
        <w:spacing w:line="273" w:lineRule="auto" w:before="0"/>
        <w:ind w:right="1131" w:firstLine="420"/>
        <w:jc w:val="both"/>
      </w:pPr>
      <w:r>
        <w:rPr>
          <w:spacing w:val="-1"/>
        </w:rPr>
        <w:t>在本公司成为金融工具合同的一方时确认一项金融资产或金融负债。金融资产和金融负债在初始确认</w:t>
      </w:r>
      <w:r>
        <w:rPr/>
        <w:t> </w:t>
      </w:r>
      <w:r>
        <w:rPr>
          <w:spacing w:val="-1"/>
        </w:rPr>
        <w:t>时以公允价值计量。对于以公允价值计量且其变动计入当期损益的金融资产和金融负债，相关的交易费用</w:t>
      </w:r>
      <w:r>
        <w:rPr>
          <w:spacing w:val="-81"/>
        </w:rPr>
        <w:t> </w:t>
      </w:r>
      <w:r>
        <w:rPr>
          <w:spacing w:val="-81"/>
        </w:rPr>
      </w:r>
      <w:r>
        <w:rPr/>
        <w:t>直接计入损益；对于其他类别的金融资产和金融负债，相关交易费用计入初始确认金额。</w:t>
      </w:r>
    </w:p>
    <w:p>
      <w:pPr>
        <w:pStyle w:val="Heading5"/>
        <w:spacing w:line="256" w:lineRule="auto" w:before="8"/>
        <w:ind w:left="574" w:right="0"/>
        <w:jc w:val="left"/>
      </w:pPr>
      <w:r>
        <w:rPr/>
        <w:t>（</w:t>
      </w:r>
      <w:r>
        <w:rPr>
          <w:rFonts w:ascii="Times New Roman" w:hAnsi="Times New Roman" w:cs="Times New Roman" w:eastAsia="Times New Roman" w:hint="default"/>
        </w:rPr>
        <w:t>1</w:t>
      </w:r>
      <w:r>
        <w:rPr/>
        <w:t>）金融资产和金融负债的公允价值确定方法 </w:t>
      </w:r>
      <w:r>
        <w:rPr>
          <w:spacing w:val="-1"/>
        </w:rPr>
        <w:t>公允价值，是指市场参与者在计量日发生的有序交易中，出售一项资产所能收到或者转移一项负债所</w:t>
      </w:r>
    </w:p>
    <w:p>
      <w:pPr>
        <w:pStyle w:val="Heading5"/>
        <w:spacing w:line="273" w:lineRule="auto" w:before="22"/>
        <w:ind w:right="1131"/>
        <w:jc w:val="both"/>
      </w:pPr>
      <w:r>
        <w:rPr>
          <w:spacing w:val="-1"/>
        </w:rPr>
        <w:t>需支付的价格。金融工具存在活跃市场的，本公司采用活跃市场中的报价确定其公允价值。活跃市场中的</w:t>
      </w:r>
      <w:r>
        <w:rPr>
          <w:spacing w:val="-83"/>
        </w:rPr>
        <w:t> </w:t>
      </w:r>
      <w:r>
        <w:rPr>
          <w:spacing w:val="-83"/>
        </w:rPr>
      </w:r>
      <w:r>
        <w:rPr>
          <w:spacing w:val="-1"/>
        </w:rPr>
        <w:t>报价是指易于定期从交易所、经纪商、行业协会、定价服务机构等获得的价格，且代表了在公平交易中实</w:t>
      </w:r>
      <w:r>
        <w:rPr>
          <w:spacing w:val="-86"/>
        </w:rPr>
        <w:t> </w:t>
      </w:r>
      <w:r>
        <w:rPr>
          <w:spacing w:val="-86"/>
        </w:rPr>
      </w:r>
      <w:r>
        <w:rPr>
          <w:spacing w:val="-1"/>
        </w:rPr>
        <w:t>际发生的市场交易的价格。金融工具不存在活跃市场的，本公司采用估值技术确定其公允价值。估值技术</w:t>
      </w:r>
      <w:r>
        <w:rPr>
          <w:spacing w:val="-83"/>
        </w:rPr>
        <w:t> </w:t>
      </w:r>
      <w:r>
        <w:rPr>
          <w:spacing w:val="-83"/>
        </w:rPr>
      </w:r>
      <w:r>
        <w:rPr>
          <w:spacing w:val="-1"/>
        </w:rPr>
        <w:t>包括参考熟悉情况并自愿交易的各方最近进行的市场交易中使用的价格、参照实质上相同的其他金融工具</w:t>
      </w:r>
      <w:r>
        <w:rPr>
          <w:spacing w:val="-81"/>
        </w:rPr>
        <w:t> </w:t>
      </w:r>
      <w:r>
        <w:rPr>
          <w:spacing w:val="-81"/>
        </w:rPr>
      </w:r>
      <w:r>
        <w:rPr/>
        <w:t>当前的公允价值、现金流量折现法和期权定价模型等。</w:t>
      </w:r>
    </w:p>
    <w:p>
      <w:pPr>
        <w:pStyle w:val="Heading5"/>
        <w:spacing w:line="256" w:lineRule="auto"/>
        <w:ind w:left="574" w:right="0"/>
        <w:jc w:val="left"/>
      </w:pPr>
      <w:r>
        <w:rPr/>
        <w:t>（</w:t>
      </w:r>
      <w:r>
        <w:rPr>
          <w:rFonts w:ascii="Times New Roman" w:hAnsi="Times New Roman" w:cs="Times New Roman" w:eastAsia="Times New Roman" w:hint="default"/>
        </w:rPr>
        <w:t>2</w:t>
      </w:r>
      <w:r>
        <w:rPr/>
        <w:t>）金融资产的分类、确认和计量 </w:t>
      </w:r>
      <w:r>
        <w:rPr>
          <w:spacing w:val="-1"/>
        </w:rPr>
        <w:t>以常规方式买卖金融资产，按交易日进行会计确认和终止确认。金融资产在初始确认时划分为以公允</w:t>
      </w:r>
    </w:p>
    <w:p>
      <w:pPr>
        <w:pStyle w:val="Heading5"/>
        <w:spacing w:line="240" w:lineRule="auto" w:before="22"/>
        <w:ind w:right="0"/>
        <w:jc w:val="both"/>
      </w:pPr>
      <w:r>
        <w:rPr/>
        <w:t>价值计量且其变动计入当期损益的金融资产、持有至到期投资、贷款和应收款项以及可供出售金融资产。</w:t>
      </w:r>
    </w:p>
    <w:p>
      <w:pPr>
        <w:pStyle w:val="Heading5"/>
        <w:spacing w:line="273" w:lineRule="auto" w:before="37"/>
        <w:ind w:left="574" w:right="0"/>
        <w:jc w:val="left"/>
      </w:pPr>
      <w:r>
        <w:rPr/>
        <w:t>①以公允价值计量且其变动计入当期损益的金融资产 包括交易性金融资产和指定为以公允价值计量且其变动计入当期损益的金融资产。 </w:t>
      </w:r>
      <w:r>
        <w:rPr>
          <w:spacing w:val="-1"/>
        </w:rPr>
        <w:t>交易性金融资产是指满足下列条件之一的金融资产：</w:t>
      </w:r>
      <w:r>
        <w:rPr>
          <w:rFonts w:ascii="Times New Roman" w:hAnsi="Times New Roman" w:cs="Times New Roman" w:eastAsia="Times New Roman" w:hint="default"/>
          <w:spacing w:val="-1"/>
        </w:rPr>
        <w:t>A.</w:t>
      </w:r>
      <w:r>
        <w:rPr>
          <w:spacing w:val="-1"/>
        </w:rPr>
        <w:t>取得该金融资产的目的，主要是为了近期内出</w:t>
      </w:r>
    </w:p>
    <w:p>
      <w:pPr>
        <w:pStyle w:val="Heading5"/>
        <w:spacing w:line="261" w:lineRule="auto" w:before="0"/>
        <w:ind w:right="1131"/>
        <w:jc w:val="both"/>
      </w:pPr>
      <w:r>
        <w:rPr>
          <w:spacing w:val="-1"/>
        </w:rPr>
        <w:t>售；</w:t>
      </w:r>
      <w:r>
        <w:rPr>
          <w:rFonts w:ascii="Times New Roman" w:hAnsi="Times New Roman" w:cs="Times New Roman" w:eastAsia="Times New Roman" w:hint="default"/>
          <w:spacing w:val="-1"/>
        </w:rPr>
        <w:t>B.</w:t>
      </w:r>
      <w:r>
        <w:rPr>
          <w:spacing w:val="-1"/>
        </w:rPr>
        <w:t>属于进行集中管理的可辨认金融工具组合的一部分，且有客观证据表明本公司近期采用短期获利方</w:t>
      </w:r>
      <w:r>
        <w:rPr>
          <w:spacing w:val="-64"/>
        </w:rPr>
        <w:t> </w:t>
      </w:r>
      <w:r>
        <w:rPr>
          <w:spacing w:val="-64"/>
        </w:rPr>
      </w:r>
      <w:r>
        <w:rPr>
          <w:spacing w:val="-1"/>
        </w:rPr>
        <w:t>式对该组合进行管理；</w:t>
      </w:r>
      <w:r>
        <w:rPr>
          <w:rFonts w:ascii="Times New Roman" w:hAnsi="Times New Roman" w:cs="Times New Roman" w:eastAsia="Times New Roman" w:hint="default"/>
          <w:spacing w:val="-1"/>
        </w:rPr>
        <w:t>C.</w:t>
      </w:r>
      <w:r>
        <w:rPr>
          <w:spacing w:val="-1"/>
        </w:rPr>
        <w:t>属于衍生工具，但是，被指定且为有效套期工具的衍生工具、属于财务担保合同</w:t>
      </w:r>
      <w:r>
        <w:rPr>
          <w:spacing w:val="-65"/>
        </w:rPr>
        <w:t> </w:t>
      </w:r>
      <w:r>
        <w:rPr>
          <w:spacing w:val="-65"/>
        </w:rPr>
      </w:r>
      <w:r>
        <w:rPr>
          <w:spacing w:val="-1"/>
        </w:rPr>
        <w:t>的衍生工具、与在活跃市场中没有报价且其公允价值不能可靠计量的权益工具投资挂钩并须通过交付该权</w:t>
      </w:r>
      <w:r>
        <w:rPr>
          <w:spacing w:val="-81"/>
        </w:rPr>
        <w:t> </w:t>
      </w:r>
      <w:r>
        <w:rPr>
          <w:spacing w:val="-81"/>
        </w:rPr>
      </w:r>
      <w:r>
        <w:rPr/>
        <w:t>益工具结算的衍生工具除外。</w:t>
      </w:r>
    </w:p>
    <w:p>
      <w:pPr>
        <w:pStyle w:val="Heading5"/>
        <w:spacing w:line="261" w:lineRule="auto" w:before="18"/>
        <w:ind w:right="1131" w:firstLine="420"/>
        <w:jc w:val="both"/>
      </w:pPr>
      <w:r>
        <w:rPr>
          <w:spacing w:val="-1"/>
        </w:rPr>
        <w:t>符合下述条件之一的金融资产，在初始确认时可指定为以公允价值计量且其变动计入当期损益的金融</w:t>
      </w:r>
      <w:r>
        <w:rPr/>
        <w:t> </w:t>
      </w:r>
      <w:r>
        <w:rPr>
          <w:spacing w:val="-1"/>
        </w:rPr>
        <w:t>资产：</w:t>
      </w:r>
      <w:r>
        <w:rPr>
          <w:rFonts w:ascii="Times New Roman" w:hAnsi="Times New Roman" w:cs="Times New Roman" w:eastAsia="Times New Roman" w:hint="default"/>
          <w:spacing w:val="-1"/>
        </w:rPr>
        <w:t>A.</w:t>
      </w:r>
      <w:r>
        <w:rPr>
          <w:spacing w:val="-1"/>
        </w:rPr>
        <w:t>该指定可以消除或明显减少由于该金融资产的计量基础不同所导致的相关利得或损失在确认或计</w:t>
      </w:r>
      <w:r>
        <w:rPr>
          <w:spacing w:val="-76"/>
        </w:rPr>
        <w:t> </w:t>
      </w:r>
      <w:r>
        <w:rPr>
          <w:spacing w:val="-1"/>
        </w:rPr>
        <w:t>量方面不一致的情况；</w:t>
      </w:r>
      <w:r>
        <w:rPr>
          <w:rFonts w:ascii="Times New Roman" w:hAnsi="Times New Roman" w:cs="Times New Roman" w:eastAsia="Times New Roman" w:hint="default"/>
          <w:spacing w:val="-1"/>
        </w:rPr>
        <w:t>B.</w:t>
      </w:r>
      <w:r>
        <w:rPr>
          <w:spacing w:val="-1"/>
        </w:rPr>
        <w:t>本公司风险管理或投资策略的正式书面文件已载明，对该金融资产所在的金融资</w:t>
      </w:r>
      <w:r>
        <w:rPr>
          <w:spacing w:val="-63"/>
        </w:rPr>
        <w:t> </w:t>
      </w:r>
      <w:r>
        <w:rPr>
          <w:spacing w:val="-63"/>
        </w:rPr>
      </w:r>
      <w:r>
        <w:rPr/>
        <w:t>产组合或金融资产和金融负债组合以公允价值为基础进行管理、评价并向关键管理人员报告。</w:t>
      </w:r>
    </w:p>
    <w:p>
      <w:pPr>
        <w:pStyle w:val="Heading5"/>
        <w:spacing w:line="240" w:lineRule="auto" w:before="18"/>
        <w:ind w:left="574" w:right="0"/>
        <w:jc w:val="left"/>
      </w:pPr>
      <w:r>
        <w:rPr/>
        <w:t>以公允价值计量且其变动计入当期损益的金融资产采用公允价值进行后续计量，公允价值变动形成的</w:t>
      </w:r>
    </w:p>
    <w:p>
      <w:pPr>
        <w:spacing w:after="0" w:line="240" w:lineRule="auto"/>
        <w:jc w:val="left"/>
        <w:sectPr>
          <w:pgSz w:w="11910" w:h="16840"/>
          <w:pgMar w:header="787" w:footer="1019" w:top="1100" w:bottom="1200" w:left="980" w:right="0"/>
        </w:sectPr>
      </w:pPr>
    </w:p>
    <w:p>
      <w:pPr>
        <w:spacing w:line="240" w:lineRule="auto" w:before="7"/>
        <w:rPr>
          <w:rFonts w:ascii="宋体" w:hAnsi="宋体" w:cs="宋体" w:eastAsia="宋体" w:hint="default"/>
          <w:sz w:val="21"/>
          <w:szCs w:val="21"/>
        </w:rPr>
      </w:pPr>
    </w:p>
    <w:p>
      <w:pPr>
        <w:pStyle w:val="Heading5"/>
        <w:spacing w:line="240" w:lineRule="auto" w:before="35"/>
        <w:ind w:right="0"/>
        <w:jc w:val="left"/>
      </w:pPr>
      <w:r>
        <w:rPr/>
        <w:t>利得或损失以及与该等金融资产相关的股利和利息收入计入当期损益。</w:t>
      </w:r>
    </w:p>
    <w:p>
      <w:pPr>
        <w:pStyle w:val="Heading5"/>
        <w:spacing w:line="273" w:lineRule="auto" w:before="37"/>
        <w:ind w:left="574" w:right="1017"/>
        <w:jc w:val="left"/>
      </w:pPr>
      <w:r>
        <w:rPr/>
        <w:t>②持有至到期投资 </w:t>
      </w:r>
      <w:r>
        <w:rPr>
          <w:spacing w:val="-3"/>
        </w:rPr>
        <w:t>是指到期日固定、回收金额固定或可确定，且本公司有明确意图和能力持有至到期的非衍生金融资产。</w:t>
      </w:r>
      <w:r>
        <w:rPr>
          <w:spacing w:val="-98"/>
        </w:rPr>
        <w:t> </w:t>
      </w:r>
      <w:r>
        <w:rPr>
          <w:spacing w:val="-98"/>
        </w:rPr>
      </w:r>
      <w:r>
        <w:rPr/>
        <w:t>持有至到期投资采用实际利率法，按摊余成本进行后续计量，在终止确认、发生减值或摊销时产生的</w:t>
      </w:r>
    </w:p>
    <w:p>
      <w:pPr>
        <w:pStyle w:val="Heading5"/>
        <w:spacing w:line="273" w:lineRule="auto" w:before="8"/>
        <w:ind w:left="574" w:right="0" w:hanging="420"/>
        <w:jc w:val="left"/>
      </w:pPr>
      <w:r>
        <w:rPr/>
        <w:t>利得或损失，计入当期损益。 </w:t>
      </w:r>
      <w:r>
        <w:rPr>
          <w:spacing w:val="-1"/>
        </w:rPr>
        <w:t>实际利率法是指按照金融资产或金融负债（含一组金融资产或金融负债）的实际利率计算其摊余成本</w:t>
      </w:r>
    </w:p>
    <w:p>
      <w:pPr>
        <w:pStyle w:val="Heading5"/>
        <w:spacing w:line="273" w:lineRule="auto"/>
        <w:ind w:right="0"/>
        <w:jc w:val="left"/>
      </w:pPr>
      <w:r>
        <w:rPr>
          <w:spacing w:val="-1"/>
        </w:rPr>
        <w:t>及各期利息收入或支出的方法。实际利率是指将金融资产或金融负债在预期存续期间或适用的更短期间内</w:t>
      </w:r>
      <w:r>
        <w:rPr>
          <w:spacing w:val="-81"/>
        </w:rPr>
        <w:t> </w:t>
      </w:r>
      <w:r>
        <w:rPr>
          <w:spacing w:val="-81"/>
        </w:rPr>
      </w:r>
      <w:r>
        <w:rPr/>
        <w:t>的未来现金流量，折现为该金融资产或金融负债当前账面价值所使用的利率。</w:t>
      </w:r>
    </w:p>
    <w:p>
      <w:pPr>
        <w:pStyle w:val="Heading5"/>
        <w:spacing w:line="240" w:lineRule="auto"/>
        <w:ind w:left="574" w:right="0"/>
        <w:jc w:val="left"/>
      </w:pPr>
      <w:r>
        <w:rPr/>
        <w:t>在计算实际利率时，本公司将在考虑金融资产或金融负债所有合同条款的基础上预计未来现金流量</w:t>
      </w:r>
    </w:p>
    <w:p>
      <w:pPr>
        <w:pStyle w:val="Heading5"/>
        <w:spacing w:line="273" w:lineRule="auto" w:before="37"/>
        <w:ind w:right="0"/>
        <w:jc w:val="left"/>
      </w:pPr>
      <w:r>
        <w:rPr>
          <w:spacing w:val="-1"/>
        </w:rPr>
        <w:t>（不考虑未来的信用损失），同时还将考虑金融资产或金融负债合同各方之间支付或收取的、属于实际利</w:t>
      </w:r>
      <w:r>
        <w:rPr>
          <w:spacing w:val="-83"/>
        </w:rPr>
        <w:t> </w:t>
      </w:r>
      <w:r>
        <w:rPr>
          <w:spacing w:val="-83"/>
        </w:rPr>
      </w:r>
      <w:r>
        <w:rPr/>
        <w:t>率组成部分的各项收费、交易费用及折价或溢价等。</w:t>
      </w:r>
    </w:p>
    <w:p>
      <w:pPr>
        <w:pStyle w:val="Heading5"/>
        <w:spacing w:line="273" w:lineRule="auto"/>
        <w:ind w:left="574" w:right="0"/>
        <w:jc w:val="left"/>
      </w:pPr>
      <w:r>
        <w:rPr/>
        <w:t>③贷款和应收款项 </w:t>
      </w:r>
      <w:r>
        <w:rPr>
          <w:spacing w:val="-1"/>
        </w:rPr>
        <w:t>是指在活跃市场中没有报价、回收金额固定或可确定的非衍生金融资产。本公司划分为贷款和应收款</w:t>
      </w:r>
    </w:p>
    <w:p>
      <w:pPr>
        <w:pStyle w:val="Heading5"/>
        <w:spacing w:line="273" w:lineRule="auto"/>
        <w:ind w:left="574" w:right="0" w:hanging="420"/>
        <w:jc w:val="left"/>
      </w:pPr>
      <w:r>
        <w:rPr/>
        <w:t>的金融资产包括应收票据、应收账款、应收利息、应收股利及其他应收款等。 </w:t>
      </w:r>
      <w:r>
        <w:rPr>
          <w:spacing w:val="-1"/>
        </w:rPr>
        <w:t>贷款和应收款项采用实际利率法，按摊余成本进行后续计量，在终止确认、发生减值或摊销时产生的</w:t>
      </w:r>
    </w:p>
    <w:p>
      <w:pPr>
        <w:pStyle w:val="Heading5"/>
        <w:spacing w:line="240" w:lineRule="auto"/>
        <w:ind w:right="0"/>
        <w:jc w:val="left"/>
      </w:pPr>
      <w:r>
        <w:rPr/>
        <w:t>利得或损失，计入当期损益。</w:t>
      </w:r>
    </w:p>
    <w:p>
      <w:pPr>
        <w:pStyle w:val="Heading5"/>
        <w:spacing w:line="273" w:lineRule="auto" w:before="37"/>
        <w:ind w:left="574" w:right="0"/>
        <w:jc w:val="left"/>
      </w:pPr>
      <w:r>
        <w:rPr/>
        <w:t>④可供出售金融资产 </w:t>
      </w:r>
      <w:r>
        <w:rPr>
          <w:spacing w:val="-1"/>
        </w:rPr>
        <w:t>包括初始确认时即被指定为可供出售的非衍生金融资产，以及除了以公允价值计量且其变动计入当期</w:t>
      </w:r>
    </w:p>
    <w:p>
      <w:pPr>
        <w:pStyle w:val="Heading5"/>
        <w:spacing w:line="273" w:lineRule="auto"/>
        <w:ind w:left="574" w:right="0" w:hanging="420"/>
        <w:jc w:val="left"/>
      </w:pPr>
      <w:r>
        <w:rPr/>
        <w:t>损益的金融资产、贷款和应收款项、持有至到期投资以外的金融资产。 </w:t>
      </w:r>
      <w:r>
        <w:rPr>
          <w:spacing w:val="-1"/>
        </w:rPr>
        <w:t>可供出售债务工具投资的期末成本按照摊余成本法确定，即初始确认金额扣除已偿还的本金，加上或</w:t>
      </w:r>
    </w:p>
    <w:p>
      <w:pPr>
        <w:pStyle w:val="Heading5"/>
        <w:spacing w:line="273" w:lineRule="auto"/>
        <w:ind w:right="0"/>
        <w:jc w:val="left"/>
      </w:pPr>
      <w:r>
        <w:rPr>
          <w:spacing w:val="-1"/>
        </w:rPr>
        <w:t>减去采用实际利率法将该初始确认金额与到期日金额之间的差额进行摊销形成的累计摊销额，并扣除已发</w:t>
      </w:r>
      <w:r>
        <w:rPr>
          <w:spacing w:val="-81"/>
        </w:rPr>
        <w:t> </w:t>
      </w:r>
      <w:r>
        <w:rPr>
          <w:spacing w:val="-81"/>
        </w:rPr>
      </w:r>
      <w:r>
        <w:rPr/>
        <w:t>生的减值损失后的金额。可供出售权益工具投资的期末成本为其初始取得成本。</w:t>
      </w:r>
    </w:p>
    <w:p>
      <w:pPr>
        <w:pStyle w:val="Heading5"/>
        <w:spacing w:line="273" w:lineRule="auto" w:before="8"/>
        <w:ind w:right="1131" w:firstLine="420"/>
        <w:jc w:val="both"/>
      </w:pPr>
      <w:r>
        <w:rPr>
          <w:spacing w:val="-1"/>
        </w:rPr>
        <w:t>可供出售金融资产采用公允价值进行后续计量，公允价值变动形成的利得或损失，除减值损失和外币</w:t>
      </w:r>
      <w:r>
        <w:rPr/>
        <w:t> </w:t>
      </w:r>
      <w:r>
        <w:rPr>
          <w:spacing w:val="-1"/>
        </w:rPr>
        <w:t>货币性金融资产与摊余成本相关的汇兑差额计入当期损益外，确认为其他综合收益，在该金融资产终止确</w:t>
      </w:r>
      <w:r>
        <w:rPr>
          <w:spacing w:val="-81"/>
        </w:rPr>
        <w:t> </w:t>
      </w:r>
      <w:r>
        <w:rPr>
          <w:spacing w:val="-81"/>
        </w:rPr>
      </w:r>
      <w:r>
        <w:rPr>
          <w:spacing w:val="-1"/>
        </w:rPr>
        <w:t>认时转出，计入当期损益。但是，在活跃市场中没有报价且其公允价值不能可靠计量的权益工具投资，以</w:t>
      </w:r>
      <w:r>
        <w:rPr>
          <w:spacing w:val="-85"/>
        </w:rPr>
        <w:t> </w:t>
      </w:r>
      <w:r>
        <w:rPr>
          <w:spacing w:val="-85"/>
        </w:rPr>
      </w:r>
      <w:r>
        <w:rPr/>
        <w:t>及与该权益工具挂钩并须通过交付该权益工具结算的衍生金融资产，按照成本进行后续计量。</w:t>
      </w:r>
    </w:p>
    <w:p>
      <w:pPr>
        <w:pStyle w:val="Heading5"/>
        <w:spacing w:line="240" w:lineRule="auto"/>
        <w:ind w:left="574" w:right="0"/>
        <w:jc w:val="left"/>
      </w:pPr>
      <w:r>
        <w:rPr/>
        <w:t>可供出售金融资产持有期间取得的利息及被投资单位宣告发放的现金股利，计入投资收益。</w:t>
      </w:r>
    </w:p>
    <w:p>
      <w:pPr>
        <w:pStyle w:val="Heading5"/>
        <w:spacing w:line="256" w:lineRule="auto" w:before="37"/>
        <w:ind w:left="574" w:right="0"/>
        <w:jc w:val="left"/>
      </w:pPr>
      <w:r>
        <w:rPr/>
        <w:t>（</w:t>
      </w:r>
      <w:r>
        <w:rPr>
          <w:rFonts w:ascii="Times New Roman" w:hAnsi="Times New Roman" w:cs="Times New Roman" w:eastAsia="Times New Roman" w:hint="default"/>
        </w:rPr>
        <w:t>3</w:t>
      </w:r>
      <w:r>
        <w:rPr/>
        <w:t>）金融资产减值 </w:t>
      </w:r>
      <w:r>
        <w:rPr>
          <w:spacing w:val="-1"/>
        </w:rPr>
        <w:t>除了以公允价值计量且其变动计入当期损益的金融资产外，本公司在每个资产负债表日对其他金融资</w:t>
      </w:r>
    </w:p>
    <w:p>
      <w:pPr>
        <w:pStyle w:val="Heading5"/>
        <w:spacing w:line="273" w:lineRule="auto" w:before="22"/>
        <w:ind w:left="574" w:right="0" w:hanging="420"/>
        <w:jc w:val="left"/>
      </w:pPr>
      <w:r>
        <w:rPr/>
        <w:t>产的账面价值进行检查，有客观证据表明金融资产发生减值的，计提减值准备。 </w:t>
      </w:r>
      <w:r>
        <w:rPr>
          <w:spacing w:val="-1"/>
        </w:rPr>
        <w:t>本公司对单项金额重大的金融资产单独进行减值测试；对单项金额不重大的金融资产，单独进行减值</w:t>
      </w:r>
    </w:p>
    <w:p>
      <w:pPr>
        <w:pStyle w:val="Heading5"/>
        <w:spacing w:line="240" w:lineRule="auto"/>
        <w:ind w:right="0"/>
        <w:jc w:val="left"/>
      </w:pPr>
      <w:r>
        <w:rPr/>
        <w:t>测试或包括在具有类似信用风险特征的金融资产组合中进行减值测试。单独测试未发生减值的金融资产</w:t>
      </w:r>
    </w:p>
    <w:p>
      <w:pPr>
        <w:pStyle w:val="Heading5"/>
        <w:spacing w:line="273" w:lineRule="auto" w:before="37"/>
        <w:ind w:right="1023"/>
        <w:jc w:val="left"/>
      </w:pPr>
      <w:r>
        <w:rPr/>
        <w:t>（包括单项金额重大和不重大的金融资产），包括在具有类似信用风险特征的金融资产组合中再进行减值 </w:t>
      </w:r>
      <w:r>
        <w:rPr>
          <w:spacing w:val="-3"/>
        </w:rPr>
        <w:t>测试。已单项确认减值损失的金融资产，不包括在具有类似信用风险特征的金融资产组合中进行减值测试。</w:t>
      </w:r>
    </w:p>
    <w:p>
      <w:pPr>
        <w:pStyle w:val="Heading5"/>
        <w:spacing w:line="273" w:lineRule="auto"/>
        <w:ind w:left="574" w:right="0"/>
        <w:jc w:val="left"/>
      </w:pPr>
      <w:r>
        <w:rPr/>
        <w:t>①持有至到期投资、贷款和应收款项减值 </w:t>
      </w:r>
      <w:r>
        <w:rPr>
          <w:spacing w:val="-1"/>
        </w:rPr>
        <w:t>以成本或摊余成本计量的金融资产将其账面价值减记至预计未来现金流量现值，减记金额确认为减值</w:t>
      </w:r>
    </w:p>
    <w:p>
      <w:pPr>
        <w:pStyle w:val="Heading5"/>
        <w:spacing w:line="273" w:lineRule="auto"/>
        <w:ind w:right="1131"/>
        <w:jc w:val="both"/>
      </w:pPr>
      <w:r>
        <w:rPr>
          <w:spacing w:val="-1"/>
        </w:rPr>
        <w:t>损失，计入当期损益。金融资产在确认减值损失后，如有客观证据表明该金融资产价值已恢复，且客观上</w:t>
      </w:r>
      <w:r>
        <w:rPr>
          <w:spacing w:val="-86"/>
        </w:rPr>
        <w:t> </w:t>
      </w:r>
      <w:r>
        <w:rPr>
          <w:spacing w:val="-86"/>
        </w:rPr>
      </w:r>
      <w:r>
        <w:rPr>
          <w:spacing w:val="-1"/>
        </w:rPr>
        <w:t>与确认该损失后发生的事项有关，原确认的减值损失予以转回，金融资产转回减值损失后的账面价值不超</w:t>
      </w:r>
      <w:r>
        <w:rPr>
          <w:spacing w:val="-81"/>
        </w:rPr>
        <w:t> </w:t>
      </w:r>
      <w:r>
        <w:rPr>
          <w:spacing w:val="-81"/>
        </w:rPr>
      </w:r>
      <w:r>
        <w:rPr/>
        <w:t>过假定不计提减值准备情况下该金融资产在转回日的摊余成本。</w:t>
      </w:r>
    </w:p>
    <w:p>
      <w:pPr>
        <w:pStyle w:val="Heading5"/>
        <w:spacing w:line="273" w:lineRule="auto"/>
        <w:ind w:left="574" w:right="0"/>
        <w:jc w:val="left"/>
      </w:pPr>
      <w:r>
        <w:rPr/>
        <w:t>②可供出售金融资产减值 </w:t>
      </w:r>
      <w:r>
        <w:rPr>
          <w:spacing w:val="-1"/>
        </w:rPr>
        <w:t>当综合相关因素判断可供出售权益工具投资公允价值下跌是严重或非暂时性下跌时，表明该可供出售</w:t>
      </w:r>
    </w:p>
    <w:p>
      <w:pPr>
        <w:pStyle w:val="Heading5"/>
        <w:spacing w:line="256" w:lineRule="auto"/>
        <w:ind w:right="0"/>
        <w:jc w:val="left"/>
      </w:pPr>
      <w:r>
        <w:rPr/>
        <w:t>权益工具投资发生减值。其中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w:t>
      </w:r>
      <w:r>
        <w:rPr>
          <w:spacing w:val="-59"/>
        </w:rPr>
        <w:t> </w:t>
      </w:r>
      <w:r>
        <w:rPr>
          <w:spacing w:val="-59"/>
        </w:rPr>
      </w:r>
      <w:r>
        <w:rPr/>
        <w:t>价值连续下跌时间超过</w:t>
      </w:r>
      <w:r>
        <w:rPr>
          <w:rFonts w:ascii="Times New Roman" w:hAnsi="Times New Roman" w:cs="Times New Roman" w:eastAsia="Times New Roman" w:hint="default"/>
        </w:rPr>
        <w:t>12</w:t>
      </w:r>
      <w:r>
        <w:rPr/>
        <w:t>个月。</w:t>
      </w:r>
    </w:p>
    <w:p>
      <w:pPr>
        <w:pStyle w:val="Heading5"/>
        <w:spacing w:line="240" w:lineRule="auto" w:before="5"/>
        <w:ind w:left="574" w:right="0"/>
        <w:jc w:val="left"/>
      </w:pPr>
      <w:r>
        <w:rPr/>
        <w:t>可供出售金融资产发生减值时，将原计入其他综合收益的因公允价值下降形成的累计损失予以转出并</w:t>
      </w:r>
    </w:p>
    <w:p>
      <w:pPr>
        <w:spacing w:after="0" w:line="240" w:lineRule="auto"/>
        <w:jc w:val="left"/>
        <w:sectPr>
          <w:pgSz w:w="11910" w:h="16840"/>
          <w:pgMar w:header="787" w:footer="1019" w:top="1100" w:bottom="1200" w:left="980" w:right="0"/>
        </w:sectPr>
      </w:pPr>
    </w:p>
    <w:p>
      <w:pPr>
        <w:spacing w:line="240" w:lineRule="auto" w:before="7"/>
        <w:rPr>
          <w:rFonts w:ascii="宋体" w:hAnsi="宋体" w:cs="宋体" w:eastAsia="宋体" w:hint="default"/>
          <w:sz w:val="21"/>
          <w:szCs w:val="21"/>
        </w:rPr>
      </w:pPr>
    </w:p>
    <w:p>
      <w:pPr>
        <w:pStyle w:val="Heading5"/>
        <w:spacing w:line="273" w:lineRule="auto" w:before="35"/>
        <w:ind w:right="0"/>
        <w:jc w:val="left"/>
      </w:pPr>
      <w:r>
        <w:rPr>
          <w:spacing w:val="-1"/>
        </w:rPr>
        <w:t>计入当期损益，该转出的累计损失为该资产初始取得成本扣除已收回本金和已摊销金额、当前公允价值和</w:t>
      </w:r>
      <w:r>
        <w:rPr>
          <w:spacing w:val="-81"/>
        </w:rPr>
        <w:t> </w:t>
      </w:r>
      <w:r>
        <w:rPr>
          <w:spacing w:val="-81"/>
        </w:rPr>
      </w:r>
      <w:r>
        <w:rPr/>
        <w:t>原已计入损益的减值损失后的余额。</w:t>
      </w:r>
    </w:p>
    <w:p>
      <w:pPr>
        <w:pStyle w:val="Heading5"/>
        <w:spacing w:line="273" w:lineRule="auto"/>
        <w:ind w:right="1131" w:firstLine="420"/>
        <w:jc w:val="both"/>
      </w:pPr>
      <w:r>
        <w:rPr>
          <w:spacing w:val="-1"/>
        </w:rPr>
        <w:t>在确认减值损失后，期后如有客观证据表明该金融资产价值已恢复，且客观上与确认该损失后发生的</w:t>
      </w:r>
      <w:r>
        <w:rPr/>
        <w:t> </w:t>
      </w:r>
      <w:r>
        <w:rPr>
          <w:spacing w:val="-1"/>
        </w:rPr>
        <w:t>事项有关，原确认的减值损失予以转回，可供出售权益工具投资的减值损失转回确认为其他综合收益，可</w:t>
      </w:r>
      <w:r>
        <w:rPr>
          <w:spacing w:val="-83"/>
        </w:rPr>
        <w:t> </w:t>
      </w:r>
      <w:r>
        <w:rPr>
          <w:spacing w:val="-83"/>
        </w:rPr>
      </w:r>
      <w:r>
        <w:rPr/>
        <w:t>供出售债务工具的减值损失转回计入当期损益。</w:t>
      </w:r>
    </w:p>
    <w:p>
      <w:pPr>
        <w:pStyle w:val="Heading5"/>
        <w:spacing w:line="273" w:lineRule="auto"/>
        <w:ind w:right="1132" w:firstLine="420"/>
        <w:jc w:val="both"/>
      </w:pPr>
      <w:r>
        <w:rPr>
          <w:spacing w:val="-1"/>
        </w:rPr>
        <w:t>在活跃市场中没有报价且其公允价值不能可靠计量的权益工具投资，或与该权益工具挂钩并须通过交</w:t>
      </w:r>
      <w:r>
        <w:rPr/>
        <w:t> 付该权益工具结算的衍生金融资产的减值损失，不予转回。</w:t>
      </w:r>
    </w:p>
    <w:p>
      <w:pPr>
        <w:pStyle w:val="Heading5"/>
        <w:spacing w:line="256" w:lineRule="auto"/>
        <w:ind w:left="574" w:right="0"/>
        <w:jc w:val="left"/>
      </w:pPr>
      <w:r>
        <w:rPr/>
        <w:t>（</w:t>
      </w:r>
      <w:r>
        <w:rPr>
          <w:rFonts w:ascii="Times New Roman" w:hAnsi="Times New Roman" w:cs="Times New Roman" w:eastAsia="Times New Roman" w:hint="default"/>
        </w:rPr>
        <w:t>4</w:t>
      </w:r>
      <w:r>
        <w:rPr/>
        <w:t>）金融资产转移的确认依据和计量方法 </w:t>
      </w:r>
      <w:r>
        <w:rPr>
          <w:spacing w:val="-1"/>
        </w:rPr>
        <w:t>满足下列条件之一的金融资产，予以终止确认：①收取该金融资产现金流量的合同权利终止；②该金</w:t>
      </w:r>
    </w:p>
    <w:p>
      <w:pPr>
        <w:pStyle w:val="Heading5"/>
        <w:spacing w:line="273" w:lineRule="auto" w:before="22"/>
        <w:ind w:left="0" w:right="1110"/>
        <w:jc w:val="right"/>
      </w:pPr>
      <w:r>
        <w:rPr>
          <w:spacing w:val="-1"/>
        </w:rPr>
        <w:t>融资产已转移，且将金融资产所有权上几乎所有的风险和报酬转移给转入方；③该金融资产已转移，虽然</w:t>
      </w:r>
      <w:r>
        <w:rPr/>
        <w:t> 企业既没有转移也没有保留金融资产所有权上几乎所有的风险和报酬，但是放弃了对该金融资产的控制。 </w:t>
      </w:r>
      <w:r>
        <w:rPr>
          <w:spacing w:val="-1"/>
        </w:rPr>
        <w:t>若企业既没有转移也没有保留金融资产所有权上几乎所有的风险和报酬，且未放弃对该金融资产的控</w:t>
      </w:r>
      <w:r>
        <w:rPr/>
        <w:t> </w:t>
      </w:r>
      <w:r>
        <w:rPr>
          <w:spacing w:val="-1"/>
        </w:rPr>
        <w:t>制的，则按照继续涉入所转移金融资产的程度确认有关金融资产，并相应确认有关负债。继续涉入所转移</w:t>
      </w:r>
    </w:p>
    <w:p>
      <w:pPr>
        <w:pStyle w:val="Heading5"/>
        <w:spacing w:line="273" w:lineRule="auto"/>
        <w:ind w:left="574" w:right="0" w:hanging="420"/>
        <w:jc w:val="left"/>
      </w:pPr>
      <w:r>
        <w:rPr/>
        <w:t>金融资产的程度，是指该金融资产价值变动使企业面临的风险水平。 </w:t>
      </w:r>
      <w:r>
        <w:rPr>
          <w:spacing w:val="-1"/>
        </w:rPr>
        <w:t>金融资产整体转移满足终止确认条件的，将所转移金融资产的账面价值及因转移而收到的对价与原计</w:t>
      </w:r>
    </w:p>
    <w:p>
      <w:pPr>
        <w:pStyle w:val="Heading5"/>
        <w:spacing w:line="273" w:lineRule="auto"/>
        <w:ind w:left="574" w:right="0" w:hanging="420"/>
        <w:jc w:val="left"/>
      </w:pPr>
      <w:r>
        <w:rPr/>
        <w:t>入其他综合收益的公允价值变动累计额之和的差额计入当期损益。 </w:t>
      </w:r>
      <w:r>
        <w:rPr>
          <w:spacing w:val="-1"/>
        </w:rPr>
        <w:t>金融资产部分转移满足终止确认条件的，将所转移金融资产的账面价值在终止确认及未终止确认部分</w:t>
      </w:r>
    </w:p>
    <w:p>
      <w:pPr>
        <w:pStyle w:val="Heading5"/>
        <w:spacing w:line="273" w:lineRule="auto"/>
        <w:ind w:right="0"/>
        <w:jc w:val="left"/>
      </w:pPr>
      <w:r>
        <w:rPr>
          <w:spacing w:val="-1"/>
        </w:rPr>
        <w:t>之间按其相对的公允价值进行分摊，并将因转移而收到的对价与应分摊至终止确认部分的原计入其他综合</w:t>
      </w:r>
      <w:r>
        <w:rPr>
          <w:spacing w:val="-81"/>
        </w:rPr>
        <w:t> </w:t>
      </w:r>
      <w:r>
        <w:rPr>
          <w:spacing w:val="-81"/>
        </w:rPr>
      </w:r>
      <w:r>
        <w:rPr/>
        <w:t>收益的公允价值变动累计额之和与分摊的前述账面金额之差额计入当期损益。</w:t>
      </w:r>
    </w:p>
    <w:p>
      <w:pPr>
        <w:pStyle w:val="Heading5"/>
        <w:spacing w:line="273" w:lineRule="auto"/>
        <w:ind w:right="1110" w:firstLine="420"/>
        <w:jc w:val="both"/>
      </w:pPr>
      <w:r>
        <w:rPr>
          <w:spacing w:val="-1"/>
        </w:rPr>
        <w:t>本公司对采用附追索权方式出售的金融资产，或将持有的金融资产背书转让，需确定该金融资产所有</w:t>
      </w:r>
      <w:r>
        <w:rPr/>
        <w:t> </w:t>
      </w:r>
      <w:r>
        <w:rPr>
          <w:spacing w:val="-1"/>
        </w:rPr>
        <w:t>权上几乎所有的风险和报酬是否已经转移。已将该金融资产所有权上几乎所有的风险和报酬转移给转入方</w:t>
      </w:r>
      <w:r>
        <w:rPr>
          <w:spacing w:val="-81"/>
        </w:rPr>
        <w:t> </w:t>
      </w:r>
      <w:r>
        <w:rPr>
          <w:spacing w:val="-81"/>
        </w:rPr>
      </w:r>
      <w:r>
        <w:rPr/>
        <w:t>的，终止确认该金融资产；保留了金融资产所有权上几乎所有的风险和报酬的，不终止确认该金融资产； </w:t>
      </w:r>
      <w:r>
        <w:rPr>
          <w:spacing w:val="-1"/>
        </w:rPr>
        <w:t>既没有转移也没有保留金融资产所有权上几乎所有的风险和报酬的，则继续判断企业是否对该资产保留了</w:t>
      </w:r>
      <w:r>
        <w:rPr>
          <w:spacing w:val="-81"/>
        </w:rPr>
        <w:t> </w:t>
      </w:r>
      <w:r>
        <w:rPr>
          <w:spacing w:val="-81"/>
        </w:rPr>
      </w:r>
      <w:r>
        <w:rPr/>
        <w:t>控制，并根据前面各段所述的原则进行会计处理。</w:t>
      </w:r>
    </w:p>
    <w:p>
      <w:pPr>
        <w:pStyle w:val="Heading5"/>
        <w:spacing w:line="256" w:lineRule="auto"/>
        <w:ind w:left="574" w:right="0"/>
        <w:jc w:val="left"/>
      </w:pPr>
      <w:r>
        <w:rPr/>
        <w:t>（</w:t>
      </w:r>
      <w:r>
        <w:rPr>
          <w:rFonts w:ascii="Times New Roman" w:hAnsi="Times New Roman" w:cs="Times New Roman" w:eastAsia="Times New Roman" w:hint="default"/>
        </w:rPr>
        <w:t>5</w:t>
      </w:r>
      <w:r>
        <w:rPr/>
        <w:t>）金融负债的分类和计量 </w:t>
      </w:r>
      <w:r>
        <w:rPr>
          <w:spacing w:val="-1"/>
        </w:rPr>
        <w:t>金融负债在初始确认时划分为以公允价值计量且其变动计入当期损益的金融负债和其他金融负债。初</w:t>
      </w:r>
    </w:p>
    <w:p>
      <w:pPr>
        <w:pStyle w:val="Heading5"/>
        <w:spacing w:line="273" w:lineRule="auto" w:before="22"/>
        <w:ind w:right="0"/>
        <w:jc w:val="left"/>
      </w:pPr>
      <w:r>
        <w:rPr>
          <w:spacing w:val="-1"/>
        </w:rPr>
        <w:t>始确认金融负债，以公允价值计量。对于以公允价值计量且其变动计入当期损益的金融负债，相关的交易</w:t>
      </w:r>
      <w:r>
        <w:rPr>
          <w:spacing w:val="-83"/>
        </w:rPr>
        <w:t> </w:t>
      </w:r>
      <w:r>
        <w:rPr>
          <w:spacing w:val="-83"/>
        </w:rPr>
      </w:r>
      <w:r>
        <w:rPr/>
        <w:t>费用直接计入当期损益；对于其他金融负债，相关交易费用计入初始确认金额。</w:t>
      </w:r>
    </w:p>
    <w:p>
      <w:pPr>
        <w:pStyle w:val="Heading5"/>
        <w:spacing w:line="273" w:lineRule="auto"/>
        <w:ind w:left="574" w:right="1302"/>
        <w:jc w:val="left"/>
      </w:pPr>
      <w:r>
        <w:rPr/>
        <w:t>①以公允价值计量且其变动计入当期损益的金融负债 分类为交易性金融负债和在初始确认时指定为以公允价值计量且其变动计入当期损益的金融负债的</w:t>
      </w:r>
    </w:p>
    <w:p>
      <w:pPr>
        <w:pStyle w:val="Heading5"/>
        <w:spacing w:line="273" w:lineRule="auto"/>
        <w:ind w:right="1302"/>
        <w:jc w:val="left"/>
      </w:pPr>
      <w:r>
        <w:rPr/>
        <w:t>条件与分类为交易性金融资产和在初始确认时指定为以公允价值计量且其变动计入当期损益的金融资产 的条件一致。</w:t>
      </w:r>
    </w:p>
    <w:p>
      <w:pPr>
        <w:pStyle w:val="Heading5"/>
        <w:spacing w:line="273" w:lineRule="auto"/>
        <w:ind w:right="1132" w:firstLine="420"/>
        <w:jc w:val="both"/>
      </w:pPr>
      <w:r>
        <w:rPr>
          <w:spacing w:val="-1"/>
        </w:rPr>
        <w:t>以公允价值计量且其变动计入当期损益的金融负债采用公允价值进行后续计量，公允价值的变动形成</w:t>
      </w:r>
      <w:r>
        <w:rPr/>
        <w:t> 的利得或损失以及与该等金融负债相关的股利和利息支出计入当期损益。</w:t>
      </w:r>
    </w:p>
    <w:p>
      <w:pPr>
        <w:pStyle w:val="Heading5"/>
        <w:spacing w:line="273" w:lineRule="auto"/>
        <w:ind w:left="574" w:right="0"/>
        <w:jc w:val="left"/>
      </w:pPr>
      <w:r>
        <w:rPr/>
        <w:t>②其他金融负债 </w:t>
      </w:r>
      <w:r>
        <w:rPr>
          <w:spacing w:val="-1"/>
        </w:rPr>
        <w:t>与在活跃市场中没有报价、公允价值不能可靠计量的权益工具挂钩并须通过交付该权益工具结算的衍</w:t>
      </w:r>
    </w:p>
    <w:p>
      <w:pPr>
        <w:pStyle w:val="Heading5"/>
        <w:spacing w:line="273" w:lineRule="auto"/>
        <w:ind w:right="0"/>
        <w:jc w:val="left"/>
      </w:pPr>
      <w:r>
        <w:rPr>
          <w:spacing w:val="-1"/>
        </w:rPr>
        <w:t>生金融负债，按照成本进行后续计量。其他金融负债采用实际利率法，按摊余成本进行后续计量，终止确</w:t>
      </w:r>
      <w:r>
        <w:rPr>
          <w:spacing w:val="-86"/>
        </w:rPr>
        <w:t> </w:t>
      </w:r>
      <w:r>
        <w:rPr>
          <w:spacing w:val="-86"/>
        </w:rPr>
      </w:r>
      <w:r>
        <w:rPr/>
        <w:t>认或摊销产生的利得或损失计入当期损益。</w:t>
      </w:r>
    </w:p>
    <w:p>
      <w:pPr>
        <w:pStyle w:val="Heading5"/>
        <w:spacing w:line="256" w:lineRule="auto"/>
        <w:ind w:left="574" w:right="1017"/>
        <w:jc w:val="left"/>
      </w:pPr>
      <w:r>
        <w:rPr/>
        <w:t>（</w:t>
      </w:r>
      <w:r>
        <w:rPr>
          <w:rFonts w:ascii="Times New Roman" w:hAnsi="Times New Roman" w:cs="Times New Roman" w:eastAsia="Times New Roman" w:hint="default"/>
        </w:rPr>
        <w:t>6</w:t>
      </w:r>
      <w:r>
        <w:rPr/>
        <w:t>）金融负债的终止确认 </w:t>
      </w:r>
      <w:r>
        <w:rPr>
          <w:spacing w:val="-3"/>
        </w:rPr>
        <w:t>金融负债的现时义务全部或部分已经解除的，才能终止确认该金融负债或其一部分。本公司（债务人）</w:t>
      </w:r>
    </w:p>
    <w:p>
      <w:pPr>
        <w:pStyle w:val="Heading5"/>
        <w:spacing w:line="273" w:lineRule="auto" w:before="23"/>
        <w:ind w:right="0"/>
        <w:jc w:val="left"/>
      </w:pPr>
      <w:r>
        <w:rPr>
          <w:spacing w:val="-1"/>
        </w:rPr>
        <w:t>与债权人之间签订协议，以承担新金融负债方式替换现存金融负债，且新金融负债与现存金融负债的合同</w:t>
      </w:r>
      <w:r>
        <w:rPr>
          <w:spacing w:val="-81"/>
        </w:rPr>
        <w:t> </w:t>
      </w:r>
      <w:r>
        <w:rPr>
          <w:spacing w:val="-81"/>
        </w:rPr>
      </w:r>
      <w:r>
        <w:rPr/>
        <w:t>条款实质上不同的，终止确认现存金融负债，并同时确认新金融负债。</w:t>
      </w:r>
    </w:p>
    <w:p>
      <w:pPr>
        <w:pStyle w:val="Heading5"/>
        <w:spacing w:line="273" w:lineRule="auto"/>
        <w:ind w:right="1131" w:firstLine="420"/>
        <w:jc w:val="both"/>
      </w:pPr>
      <w:r>
        <w:rPr>
          <w:spacing w:val="-1"/>
        </w:rPr>
        <w:t>金融负债全部或部分终止确认的，将终止确认部分的账面价值与支付的对价（包括转出的非现金资产</w:t>
      </w:r>
      <w:r>
        <w:rPr/>
        <w:t> 或承担的新金融负债）之间的差额，计入当期损益。</w:t>
      </w:r>
    </w:p>
    <w:p>
      <w:pPr>
        <w:spacing w:after="0" w:line="273" w:lineRule="auto"/>
        <w:jc w:val="both"/>
        <w:sectPr>
          <w:pgSz w:w="11910" w:h="16840"/>
          <w:pgMar w:header="787" w:footer="1019" w:top="1100" w:bottom="1200" w:left="980" w:right="0"/>
        </w:sectPr>
      </w:pPr>
    </w:p>
    <w:p>
      <w:pPr>
        <w:spacing w:line="240" w:lineRule="auto" w:before="7"/>
        <w:rPr>
          <w:rFonts w:ascii="宋体" w:hAnsi="宋体" w:cs="宋体" w:eastAsia="宋体" w:hint="default"/>
          <w:sz w:val="21"/>
          <w:szCs w:val="21"/>
        </w:rPr>
      </w:pPr>
    </w:p>
    <w:p>
      <w:pPr>
        <w:pStyle w:val="Heading5"/>
        <w:spacing w:line="256" w:lineRule="auto" w:before="35"/>
        <w:ind w:left="574" w:right="0"/>
        <w:jc w:val="left"/>
      </w:pPr>
      <w:r>
        <w:rPr/>
        <w:t>（</w:t>
      </w:r>
      <w:r>
        <w:rPr>
          <w:rFonts w:ascii="Times New Roman" w:hAnsi="Times New Roman" w:cs="Times New Roman" w:eastAsia="Times New Roman" w:hint="default"/>
        </w:rPr>
        <w:t>7</w:t>
      </w:r>
      <w:r>
        <w:rPr/>
        <w:t>）金融资产和金融负债的抵销 </w:t>
      </w:r>
      <w:r>
        <w:rPr>
          <w:spacing w:val="-1"/>
        </w:rPr>
        <w:t>当本公司具有抵销已确认金融资产和金融负债的法定权利，且目前可执行该种法定权利，同时本公司</w:t>
      </w:r>
    </w:p>
    <w:p>
      <w:pPr>
        <w:pStyle w:val="Heading5"/>
        <w:spacing w:line="273" w:lineRule="auto" w:before="22"/>
        <w:ind w:right="0"/>
        <w:jc w:val="left"/>
      </w:pPr>
      <w:r>
        <w:rPr>
          <w:spacing w:val="-1"/>
        </w:rPr>
        <w:t>计划以净额结算或同时变现该金融资产和清偿该金融负债时，金融资产和金融负债以相互抵销后的金额在</w:t>
      </w:r>
      <w:r>
        <w:rPr>
          <w:spacing w:val="-81"/>
        </w:rPr>
        <w:t> </w:t>
      </w:r>
      <w:r>
        <w:rPr>
          <w:spacing w:val="-81"/>
        </w:rPr>
      </w:r>
      <w:r>
        <w:rPr/>
        <w:t>资产负债表内列示。除此以外，金融资产和金融负债在资产负债表内分别列示，不予相互抵销。</w:t>
      </w:r>
    </w:p>
    <w:p>
      <w:pPr>
        <w:pStyle w:val="Heading5"/>
        <w:spacing w:line="256" w:lineRule="auto" w:before="8"/>
        <w:ind w:left="574" w:right="0"/>
        <w:jc w:val="left"/>
      </w:pPr>
      <w:r>
        <w:rPr/>
        <w:t>（</w:t>
      </w:r>
      <w:r>
        <w:rPr>
          <w:rFonts w:ascii="Times New Roman" w:hAnsi="Times New Roman" w:cs="Times New Roman" w:eastAsia="Times New Roman" w:hint="default"/>
        </w:rPr>
        <w:t>8</w:t>
      </w:r>
      <w:r>
        <w:rPr/>
        <w:t>）权益工具 </w:t>
      </w:r>
      <w:r>
        <w:rPr>
          <w:spacing w:val="-1"/>
        </w:rPr>
        <w:t>权益工具是指能证明拥有本公司在扣除所有负债后的资产中的剩余权益的合同。本公司发行（含再融</w:t>
      </w:r>
    </w:p>
    <w:p>
      <w:pPr>
        <w:pStyle w:val="Heading5"/>
        <w:spacing w:line="273" w:lineRule="auto" w:before="22"/>
        <w:ind w:right="0"/>
        <w:jc w:val="left"/>
      </w:pPr>
      <w:r>
        <w:rPr/>
        <w:t>资）、回购、出售或注销权益工具作为权益的变动处理。与权益性交易相关的交易费用从权益中扣减。 </w:t>
      </w:r>
      <w:r>
        <w:rPr>
          <w:spacing w:val="-1"/>
        </w:rPr>
        <w:t>本公司对权益工具持有方的各种分配（不包括股票股利），减少股东权益。本公司不确认权益工具的公允</w:t>
      </w:r>
      <w:r>
        <w:rPr>
          <w:spacing w:val="-86"/>
        </w:rPr>
        <w:t> </w:t>
      </w:r>
      <w:r>
        <w:rPr>
          <w:spacing w:val="-86"/>
        </w:rPr>
      </w:r>
      <w:r>
        <w:rPr/>
        <w:t>价值变动额。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left"/>
        <w:rPr>
          <w:b w:val="0"/>
          <w:bCs w:val="0"/>
        </w:rPr>
      </w:pPr>
      <w:bookmarkStart w:name="11、应收票据及应收账款" w:id="181"/>
      <w:bookmarkEnd w:id="181"/>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单项金额重大并单独计提坏账准备的应收款项" w:id="182"/>
      <w:bookmarkEnd w:id="182"/>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单项金额重大的应收账款标准为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万元，单项金额重大的</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其他应收款标准为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单独进行减值测试，如有客观证据表明其发生了减值的，根 据其未来现金流量现值低于其账面价值的差额，确认减值损 失，计提坏账准备。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按信用风险特征组合计提坏账准备的应收款项" w:id="183"/>
      <w:bookmarkEnd w:id="183"/>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pStyle w:val="BodyText"/>
        <w:spacing w:line="240" w:lineRule="auto" w:before="51"/>
        <w:ind w:right="0"/>
        <w:jc w:val="left"/>
      </w:pPr>
      <w:r>
        <w:rPr/>
        <w:t>组合中，采用余额百分比法计提坏账准备的：</w:t>
      </w:r>
    </w:p>
    <w:p>
      <w:pPr>
        <w:pStyle w:val="BodyText"/>
        <w:spacing w:line="338" w:lineRule="auto" w:before="117"/>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87" w:footer="1019" w:top="1100" w:bottom="1200" w:left="980" w:right="0"/>
        </w:sectPr>
      </w:pPr>
    </w:p>
    <w:p>
      <w:pPr>
        <w:spacing w:line="240" w:lineRule="auto" w:before="7"/>
        <w:rPr>
          <w:rFonts w:ascii="宋体" w:hAnsi="宋体" w:cs="宋体" w:eastAsia="宋体" w:hint="default"/>
          <w:sz w:val="21"/>
          <w:szCs w:val="21"/>
        </w:rPr>
      </w:pPr>
    </w:p>
    <w:p>
      <w:pPr>
        <w:pStyle w:val="Heading4"/>
        <w:spacing w:line="240" w:lineRule="auto" w:before="35"/>
        <w:ind w:right="0"/>
        <w:jc w:val="left"/>
        <w:rPr>
          <w:b w:val="0"/>
          <w:bCs w:val="0"/>
        </w:rPr>
      </w:pPr>
      <w:bookmarkStart w:name="（3）单项金额不重大但单独计提坏账准备的应收款项" w:id="184"/>
      <w:bookmarkEnd w:id="184"/>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有客观原因表明未来现金流量现值有可能低于其账面价值。</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值的差额，确认减值损失，计提坏账准备。</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12、存货" w:id="185"/>
      <w:bookmarkEnd w:id="185"/>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left"/>
      </w:pPr>
      <w:r>
        <w:rPr/>
        <w:t>软件与信息技术服务业</w:t>
      </w:r>
    </w:p>
    <w:p>
      <w:pPr>
        <w:pStyle w:val="Heading5"/>
        <w:spacing w:line="256" w:lineRule="auto" w:before="89"/>
        <w:ind w:left="574" w:right="1092"/>
        <w:jc w:val="left"/>
      </w:pPr>
      <w:r>
        <w:rPr/>
        <w:t>（</w:t>
      </w:r>
      <w:r>
        <w:rPr>
          <w:rFonts w:ascii="Times New Roman" w:hAnsi="Times New Roman" w:cs="Times New Roman" w:eastAsia="Times New Roman" w:hint="default"/>
        </w:rPr>
        <w:t>1</w:t>
      </w:r>
      <w:r>
        <w:rPr/>
        <w:t>）存货的分类 存货主要包括原材料、生产成本、工程施工、库存商品、发出商品、低值易耗品、委托加工材料等。</w:t>
      </w:r>
    </w:p>
    <w:p>
      <w:pPr>
        <w:pStyle w:val="Heading5"/>
        <w:spacing w:line="256" w:lineRule="auto" w:before="22"/>
        <w:ind w:left="574" w:right="0"/>
        <w:jc w:val="left"/>
      </w:pPr>
      <w:r>
        <w:rPr/>
        <w:t>（</w:t>
      </w:r>
      <w:r>
        <w:rPr>
          <w:rFonts w:ascii="Times New Roman" w:hAnsi="Times New Roman" w:cs="Times New Roman" w:eastAsia="Times New Roman" w:hint="default"/>
        </w:rPr>
        <w:t>2</w:t>
      </w:r>
      <w:r>
        <w:rPr/>
        <w:t>）存货取得和发出的计价方法 </w:t>
      </w:r>
      <w:r>
        <w:rPr>
          <w:spacing w:val="-1"/>
        </w:rPr>
        <w:t>存货在取得时按实际成本计价，存货成本包括采购成本、加工成本和其他成本。领用和发出时按移动</w:t>
      </w:r>
    </w:p>
    <w:p>
      <w:pPr>
        <w:pStyle w:val="Heading5"/>
        <w:spacing w:line="273" w:lineRule="auto" w:before="22"/>
        <w:ind w:left="574" w:right="1118" w:hanging="420"/>
        <w:jc w:val="left"/>
      </w:pPr>
      <w:r>
        <w:rPr/>
        <w:t>加权平均计价。 </w:t>
      </w:r>
      <w:r>
        <w:rPr>
          <w:spacing w:val="-1"/>
        </w:rPr>
        <w:t>工程施工成本核算方法为：按照单个项目为核算对象，分别核算工程施工成本；项目未完工前，按单</w:t>
      </w:r>
    </w:p>
    <w:p>
      <w:pPr>
        <w:pStyle w:val="Heading5"/>
        <w:spacing w:line="273" w:lineRule="auto"/>
        <w:ind w:right="1131"/>
        <w:jc w:val="both"/>
      </w:pPr>
      <w:r>
        <w:rPr>
          <w:spacing w:val="-1"/>
        </w:rPr>
        <w:t>个项目归集所发生的实际成本。期末按完工百分比法确认合同收入，按配比原则结转营业成本。项目完工</w:t>
      </w:r>
      <w:r>
        <w:rPr>
          <w:spacing w:val="-83"/>
        </w:rPr>
        <w:t> </w:t>
      </w:r>
      <w:r>
        <w:rPr>
          <w:spacing w:val="-83"/>
        </w:rPr>
      </w:r>
      <w:r>
        <w:rPr>
          <w:spacing w:val="-1"/>
        </w:rPr>
        <w:t>时，按照累计实际发生的合同成本扣除以前会计期间累计已确认成本后的金额，确认为当期合同成本，并</w:t>
      </w:r>
      <w:r>
        <w:rPr>
          <w:spacing w:val="-83"/>
        </w:rPr>
        <w:t> </w:t>
      </w:r>
      <w:r>
        <w:rPr>
          <w:spacing w:val="-83"/>
        </w:rPr>
      </w:r>
      <w:r>
        <w:rPr/>
        <w:t>结转工程施工成本。</w:t>
      </w:r>
    </w:p>
    <w:p>
      <w:pPr>
        <w:pStyle w:val="Heading5"/>
        <w:spacing w:line="273" w:lineRule="auto"/>
        <w:ind w:right="1131" w:firstLine="420"/>
        <w:jc w:val="both"/>
      </w:pPr>
      <w:r>
        <w:rPr>
          <w:spacing w:val="3"/>
        </w:rPr>
        <w:t>本公司累计已发生的工程施工成本和累计已确认的工程施工毛利之和大于累计已办理结算的合同价</w:t>
      </w:r>
      <w:r>
        <w:rPr/>
        <w:t> </w:t>
      </w:r>
      <w:r>
        <w:rPr>
          <w:spacing w:val="-1"/>
        </w:rPr>
        <w:t>款的差额为已完工未结算款，在存货中列示；累计已发生的施工成本和累计已确认的毛利之和小于累计已</w:t>
      </w:r>
      <w:r>
        <w:rPr>
          <w:spacing w:val="-81"/>
        </w:rPr>
        <w:t> </w:t>
      </w:r>
      <w:r>
        <w:rPr>
          <w:spacing w:val="-81"/>
        </w:rPr>
      </w:r>
      <w:r>
        <w:rPr/>
        <w:t>办理结算的合同价款的差额为已结算未完工款，在预收款项中反映。</w:t>
      </w:r>
    </w:p>
    <w:p>
      <w:pPr>
        <w:pStyle w:val="Heading5"/>
        <w:spacing w:line="256" w:lineRule="auto"/>
        <w:ind w:left="574" w:right="0"/>
        <w:jc w:val="left"/>
      </w:pPr>
      <w:r>
        <w:rPr/>
        <w:t>（</w:t>
      </w:r>
      <w:r>
        <w:rPr>
          <w:rFonts w:ascii="Times New Roman" w:hAnsi="Times New Roman" w:cs="Times New Roman" w:eastAsia="Times New Roman" w:hint="default"/>
        </w:rPr>
        <w:t>3</w:t>
      </w:r>
      <w:r>
        <w:rPr/>
        <w:t>）存货可变现净值的确认和跌价准备的计提方法 </w:t>
      </w:r>
      <w:r>
        <w:rPr>
          <w:spacing w:val="-1"/>
        </w:rPr>
        <w:t>可变现净值是指在日常活动中，存货的估计售价减去至完工时估计将要发生的成本、估计的销售费用</w:t>
      </w:r>
    </w:p>
    <w:p>
      <w:pPr>
        <w:pStyle w:val="Heading5"/>
        <w:spacing w:line="273" w:lineRule="auto" w:before="22"/>
        <w:ind w:right="0"/>
        <w:jc w:val="left"/>
      </w:pPr>
      <w:r>
        <w:rPr>
          <w:spacing w:val="-1"/>
        </w:rPr>
        <w:t>以及相关税费后的金额。在确定存货的可变现净值时，以取得的确凿证据为基础，同时考虑持有存货的目</w:t>
      </w:r>
      <w:r>
        <w:rPr>
          <w:spacing w:val="-83"/>
        </w:rPr>
        <w:t> </w:t>
      </w:r>
      <w:r>
        <w:rPr>
          <w:spacing w:val="-83"/>
        </w:rPr>
      </w:r>
      <w:r>
        <w:rPr/>
        <w:t>的以及资产负债表日后事项的影响。</w:t>
      </w:r>
    </w:p>
    <w:p>
      <w:pPr>
        <w:pStyle w:val="Heading5"/>
        <w:spacing w:line="273" w:lineRule="auto"/>
        <w:ind w:right="1131" w:firstLine="420"/>
        <w:jc w:val="both"/>
      </w:pPr>
      <w:r>
        <w:rPr>
          <w:spacing w:val="-1"/>
        </w:rPr>
        <w:t>在资产负债表日，存货按照成本与可变现净值孰低计量。当其可变现净值低于成本时，提取存货跌价</w:t>
      </w:r>
      <w:r>
        <w:rPr/>
        <w:t> 准备。存货跌价准备按单个存货项目的成本高于其可变现净值的差额提取。</w:t>
      </w:r>
    </w:p>
    <w:p>
      <w:pPr>
        <w:pStyle w:val="Heading5"/>
        <w:spacing w:line="273" w:lineRule="auto"/>
        <w:ind w:right="1131" w:firstLine="420"/>
        <w:jc w:val="both"/>
      </w:pPr>
      <w:r>
        <w:rPr>
          <w:spacing w:val="-1"/>
        </w:rPr>
        <w:t>对于工程施工成本，对预计工程总成本超过预计总收入的工程项目，按照预计工程总成本超过预计总</w:t>
      </w:r>
      <w:r>
        <w:rPr/>
        <w:t> 收入的部分，计提存货跌价准备。</w:t>
      </w:r>
    </w:p>
    <w:p>
      <w:pPr>
        <w:pStyle w:val="Heading5"/>
        <w:spacing w:line="273" w:lineRule="auto"/>
        <w:ind w:right="1131" w:firstLine="420"/>
        <w:jc w:val="both"/>
      </w:pPr>
      <w:r>
        <w:rPr>
          <w:spacing w:val="-1"/>
        </w:rPr>
        <w:t>计提存货跌价准备后，如果以前减记存货价值的影响因素已经消失，导致存货的可变现净值高于其账</w:t>
      </w:r>
      <w:r>
        <w:rPr/>
        <w:t> 面价值的，在原已计提的存货跌价准备金额内予以转回，转回的金额计入当期损益。</w:t>
      </w:r>
    </w:p>
    <w:p>
      <w:pPr>
        <w:pStyle w:val="Heading5"/>
        <w:spacing w:line="240" w:lineRule="auto"/>
        <w:ind w:left="574" w:right="0"/>
        <w:jc w:val="left"/>
      </w:pPr>
      <w:r>
        <w:rPr/>
        <w:t>（</w:t>
      </w:r>
      <w:r>
        <w:rPr>
          <w:rFonts w:ascii="Times New Roman" w:hAnsi="Times New Roman" w:cs="Times New Roman" w:eastAsia="Times New Roman" w:hint="default"/>
        </w:rPr>
        <w:t>4</w:t>
      </w:r>
      <w:r>
        <w:rPr/>
        <w:t>）存货的盘存制度为永续盘存制。</w:t>
      </w:r>
    </w:p>
    <w:p>
      <w:pPr>
        <w:pStyle w:val="Heading5"/>
        <w:spacing w:line="256" w:lineRule="auto" w:before="21"/>
        <w:ind w:left="574" w:right="3192"/>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spacing w:line="240" w:lineRule="auto" w:before="9"/>
        <w:rPr>
          <w:rFonts w:ascii="宋体" w:hAnsi="宋体" w:cs="宋体" w:eastAsia="宋体" w:hint="default"/>
          <w:sz w:val="25"/>
          <w:szCs w:val="25"/>
        </w:rPr>
      </w:pPr>
    </w:p>
    <w:p>
      <w:pPr>
        <w:pStyle w:val="Heading5"/>
        <w:spacing w:line="590" w:lineRule="atLeast" w:before="0"/>
        <w:ind w:left="574" w:right="0" w:hanging="420"/>
        <w:jc w:val="left"/>
      </w:pPr>
      <w:bookmarkStart w:name="13、持有待售资产" w:id="186"/>
      <w:bookmarkEnd w:id="186"/>
      <w:r>
        <w:rPr/>
      </w:r>
      <w:r>
        <w:rPr>
          <w:rFonts w:ascii="Times New Roman" w:hAnsi="Times New Roman" w:cs="Times New Roman" w:eastAsia="Times New Roman" w:hint="default"/>
          <w:b/>
          <w:bCs/>
        </w:rPr>
        <w:t>13</w:t>
      </w:r>
      <w:r>
        <w:rPr>
          <w:rFonts w:ascii="宋体" w:hAnsi="宋体" w:cs="宋体" w:eastAsia="宋体" w:hint="default"/>
          <w:b/>
          <w:bCs/>
        </w:rPr>
        <w:t>、持有待售资产</w:t>
      </w:r>
      <w:r>
        <w:rPr>
          <w:rFonts w:ascii="宋体" w:hAnsi="宋体" w:cs="宋体" w:eastAsia="宋体" w:hint="default"/>
          <w:b/>
          <w:bCs/>
          <w:w w:val="99"/>
        </w:rPr>
        <w:t> </w:t>
      </w:r>
      <w:r>
        <w:rPr>
          <w:spacing w:val="-1"/>
        </w:rPr>
        <w:t>本公司若主要通过出售（包括具有商业实质的非货币性资产交换，下同）而非持续使用一项非流动资</w:t>
      </w:r>
    </w:p>
    <w:p>
      <w:pPr>
        <w:pStyle w:val="Heading5"/>
        <w:spacing w:line="273" w:lineRule="auto" w:before="37"/>
        <w:ind w:right="0"/>
        <w:jc w:val="left"/>
      </w:pPr>
      <w:r>
        <w:rPr>
          <w:spacing w:val="-1"/>
        </w:rPr>
        <w:t>产或处置组收回其账面价值的，则将其划分为持有待售类别。具体标准为同时满足以下条件：某项非流动</w:t>
      </w:r>
      <w:r>
        <w:rPr>
          <w:spacing w:val="-83"/>
        </w:rPr>
        <w:t> </w:t>
      </w:r>
      <w:r>
        <w:rPr>
          <w:spacing w:val="-83"/>
        </w:rPr>
      </w:r>
      <w:r>
        <w:rPr>
          <w:spacing w:val="-1"/>
        </w:rPr>
        <w:t>资产或处置组根据类似交易中出售此类资产或处置组的惯例，在当前状况下即可立即出售；本公司已经就</w:t>
      </w:r>
    </w:p>
    <w:p>
      <w:pPr>
        <w:spacing w:after="0" w:line="273" w:lineRule="auto"/>
        <w:jc w:val="left"/>
        <w:sectPr>
          <w:pgSz w:w="11910" w:h="16840"/>
          <w:pgMar w:header="787" w:footer="1019" w:top="1100" w:bottom="1200" w:left="980" w:right="0"/>
        </w:sectPr>
      </w:pPr>
    </w:p>
    <w:p>
      <w:pPr>
        <w:spacing w:line="240" w:lineRule="auto" w:before="7"/>
        <w:rPr>
          <w:rFonts w:ascii="宋体" w:hAnsi="宋体" w:cs="宋体" w:eastAsia="宋体" w:hint="default"/>
          <w:sz w:val="21"/>
          <w:szCs w:val="21"/>
        </w:rPr>
      </w:pPr>
    </w:p>
    <w:p>
      <w:pPr>
        <w:pStyle w:val="Heading5"/>
        <w:spacing w:line="266" w:lineRule="auto" w:before="35"/>
        <w:ind w:right="1131"/>
        <w:jc w:val="both"/>
      </w:pPr>
      <w:r>
        <w:rPr>
          <w:spacing w:val="-1"/>
        </w:rPr>
        <w:t>出售计划作出决议且获得确定的购买承诺；预计出售将在一年内完成。其中，处置组是指在一项交易中作</w:t>
      </w:r>
      <w:r>
        <w:rPr>
          <w:spacing w:val="-83"/>
        </w:rPr>
        <w:t> </w:t>
      </w:r>
      <w:r>
        <w:rPr>
          <w:spacing w:val="-83"/>
        </w:rPr>
      </w:r>
      <w:r>
        <w:rPr>
          <w:spacing w:val="-1"/>
        </w:rPr>
        <w:t>为整体通过出售或其他方式一并处置的一组资产，以及在该交易中转让的与这些资产直接相关的负债。处</w:t>
      </w:r>
      <w:r>
        <w:rPr>
          <w:spacing w:val="-81"/>
        </w:rPr>
        <w:t> </w:t>
      </w:r>
      <w:r>
        <w:rPr>
          <w:spacing w:val="-81"/>
        </w:rPr>
      </w:r>
      <w:r>
        <w:rPr/>
        <w:t>置组所属的资产组或资产组组合按照《企业会计准则第 </w:t>
      </w:r>
      <w:r>
        <w:rPr>
          <w:rFonts w:ascii="Times New Roman" w:hAnsi="Times New Roman" w:cs="Times New Roman" w:eastAsia="Times New Roman" w:hint="default"/>
        </w:rPr>
        <w:t>8</w:t>
      </w:r>
      <w:r>
        <w:rPr>
          <w:rFonts w:ascii="Times New Roman" w:hAnsi="Times New Roman" w:cs="Times New Roman" w:eastAsia="Times New Roman" w:hint="default"/>
          <w:spacing w:val="-14"/>
        </w:rPr>
        <w:t> </w:t>
      </w:r>
      <w:r>
        <w:rPr>
          <w:spacing w:val="-3"/>
        </w:rPr>
        <w:t>号</w:t>
      </w:r>
      <w:r>
        <w:rPr>
          <w:rFonts w:ascii="Times New Roman" w:hAnsi="Times New Roman" w:cs="Times New Roman" w:eastAsia="Times New Roman" w:hint="default"/>
          <w:spacing w:val="-3"/>
        </w:rPr>
        <w:t>——</w:t>
      </w:r>
      <w:r>
        <w:rPr>
          <w:spacing w:val="-3"/>
        </w:rPr>
        <w:t>资产减值》分摊了企业合并中取得的商誉</w:t>
      </w:r>
      <w:r>
        <w:rPr/>
        <w:t> 的，该处置组应当包含分摊至处置组的商誉。</w:t>
      </w:r>
    </w:p>
    <w:p>
      <w:pPr>
        <w:pStyle w:val="Heading5"/>
        <w:spacing w:line="268" w:lineRule="auto" w:before="14"/>
        <w:ind w:right="0" w:firstLine="420"/>
        <w:jc w:val="left"/>
      </w:pPr>
      <w:r>
        <w:rPr/>
        <w:t>本公司初始计量或在资产负债表日重新计量划分为持有待售的非流动资产和处置组时，其账面价值高 于公允价值减去出售费用后的净额的，将账面价值减记至公允价值减去出售费用后的净额，减记的金额确 认为资产减值损失，计入当期损益，同时计提持有待售资产减值准备。对于处置组，所确认的资产减值损 失先抵减处置组中商誉的账面价值，再按比例抵减该处置组内适用《企业会计准则第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 </w:t>
      </w:r>
      <w:r>
        <w:rPr>
          <w:spacing w:val="-3"/>
        </w:rPr>
        <w:t>非流动资产、处置组和终止经营》（以下简称</w:t>
      </w:r>
      <w:r>
        <w:rPr>
          <w:rFonts w:ascii="Times New Roman" w:hAnsi="Times New Roman" w:cs="Times New Roman" w:eastAsia="Times New Roman" w:hint="default"/>
          <w:spacing w:val="-3"/>
        </w:rPr>
        <w:t>“</w:t>
      </w:r>
      <w:r>
        <w:rPr>
          <w:spacing w:val="-3"/>
        </w:rPr>
        <w:t>持有待售准则</w:t>
      </w:r>
      <w:r>
        <w:rPr>
          <w:rFonts w:ascii="Times New Roman" w:hAnsi="Times New Roman" w:cs="Times New Roman" w:eastAsia="Times New Roman" w:hint="default"/>
          <w:spacing w:val="-3"/>
        </w:rPr>
        <w:t>”</w:t>
      </w:r>
      <w:r>
        <w:rPr>
          <w:spacing w:val="-3"/>
        </w:rPr>
        <w:t>）的计量规定的各项非流动资产的账面价值。</w:t>
      </w:r>
      <w:r>
        <w:rPr>
          <w:spacing w:val="-67"/>
        </w:rPr>
        <w:t> </w:t>
      </w:r>
      <w:r>
        <w:rPr>
          <w:spacing w:val="-67"/>
        </w:rPr>
      </w:r>
      <w:r>
        <w:rPr/>
        <w:t>后续资产负债表日持有待售的处置组公允价值减去出售费用后的净额增加的，以前减记的金额应当予以恢</w:t>
      </w:r>
      <w:r>
        <w:rPr/>
        <w:t> 复，并在划分为持有待售类别后适用持有待售准则计量规定的非流动资产确认的资产减值损失金额内转 回，转回金额计入当期损益，并根据处置组中除商誉外适用持有待售准则计量规定的各项非流动资产账面 价值所占比重按比例增加其账面价值；已抵减的商誉账面价值，以及适用持有待售准则计量规定的非流动 资产在划分为持有待售类别前确认的资产减值损失不得转回。</w:t>
      </w:r>
    </w:p>
    <w:p>
      <w:pPr>
        <w:pStyle w:val="Heading5"/>
        <w:spacing w:line="273" w:lineRule="auto" w:before="12"/>
        <w:ind w:right="0" w:firstLine="420"/>
        <w:jc w:val="left"/>
      </w:pPr>
      <w:r>
        <w:rPr>
          <w:spacing w:val="-1"/>
        </w:rPr>
        <w:t>持有待售的非流动资产或处置组中的非流动资产不计提折旧或摊销，持有待售的处置组中负债的利息</w:t>
      </w:r>
      <w:r>
        <w:rPr/>
        <w:t> 和其他费用继续予以确认。</w:t>
      </w:r>
    </w:p>
    <w:p>
      <w:pPr>
        <w:pStyle w:val="Heading5"/>
        <w:spacing w:line="261" w:lineRule="auto"/>
        <w:ind w:right="1017" w:firstLine="420"/>
        <w:jc w:val="left"/>
      </w:pPr>
      <w:r>
        <w:rPr/>
        <w:t>非流动资产或处置组不再满足持有待售类别的划分条件时，本公司不再将其继续划分为持有待售类别 或将非流动资产从持有待售的处置组中移除，并按照以下两者孰低计量：（</w:t>
      </w:r>
      <w:r>
        <w:rPr>
          <w:rFonts w:ascii="Times New Roman" w:hAnsi="Times New Roman" w:cs="Times New Roman" w:eastAsia="Times New Roman" w:hint="default"/>
        </w:rPr>
        <w:t>1</w:t>
      </w:r>
      <w:r>
        <w:rPr/>
        <w:t>）划分为持有待售类别前的 </w:t>
      </w:r>
      <w:r>
        <w:rPr>
          <w:spacing w:val="-5"/>
        </w:rPr>
        <w:t>账面价值，按照假定不划分为持有待售类别情况下本应确认的折旧、摊销或减值等进行调整后的金额；（</w:t>
      </w:r>
      <w:r>
        <w:rPr>
          <w:rFonts w:ascii="Times New Roman" w:hAnsi="Times New Roman" w:cs="Times New Roman" w:eastAsia="Times New Roman" w:hint="default"/>
          <w:spacing w:val="-5"/>
        </w:rPr>
        <w:t>2</w:t>
      </w:r>
      <w:r>
        <w:rPr>
          <w:spacing w:val="-5"/>
        </w:rPr>
        <w:t>）</w:t>
      </w:r>
      <w:r>
        <w:rPr>
          <w:spacing w:val="-97"/>
        </w:rPr>
        <w:t> </w:t>
      </w:r>
      <w:r>
        <w:rPr/>
        <w:t>可收回金额。</w:t>
      </w:r>
    </w:p>
    <w:p>
      <w:pPr>
        <w:spacing w:line="240" w:lineRule="auto" w:before="5"/>
        <w:rPr>
          <w:rFonts w:ascii="宋体" w:hAnsi="宋体" w:cs="宋体" w:eastAsia="宋体" w:hint="default"/>
          <w:sz w:val="25"/>
          <w:szCs w:val="25"/>
        </w:rPr>
      </w:pPr>
    </w:p>
    <w:p>
      <w:pPr>
        <w:pStyle w:val="Heading5"/>
        <w:spacing w:line="590" w:lineRule="atLeast" w:before="0"/>
        <w:ind w:left="574" w:right="1302" w:hanging="420"/>
        <w:jc w:val="left"/>
      </w:pPr>
      <w:bookmarkStart w:name="14、长期股权投资" w:id="187"/>
      <w:bookmarkEnd w:id="187"/>
      <w:r>
        <w:rPr/>
      </w:r>
      <w:r>
        <w:rPr>
          <w:rFonts w:ascii="Times New Roman" w:hAnsi="Times New Roman" w:cs="Times New Roman" w:eastAsia="Times New Roman" w:hint="default"/>
          <w:b/>
          <w:bCs/>
        </w:rPr>
        <w:t>14</w:t>
      </w:r>
      <w:r>
        <w:rPr>
          <w:rFonts w:ascii="宋体" w:hAnsi="宋体" w:cs="宋体" w:eastAsia="宋体" w:hint="default"/>
          <w:b/>
          <w:bCs/>
        </w:rPr>
        <w:t>、长期股权投资</w:t>
      </w:r>
      <w:r>
        <w:rPr>
          <w:rFonts w:ascii="宋体" w:hAnsi="宋体" w:cs="宋体" w:eastAsia="宋体" w:hint="default"/>
          <w:b/>
          <w:bCs/>
          <w:w w:val="99"/>
        </w:rPr>
        <w:t> </w:t>
      </w:r>
      <w:r>
        <w:rPr/>
        <w:t>本部分所指的长期股权投资是指本公司对被投资单位具有控制、共同控制或重大影响的长期股权投</w:t>
      </w:r>
    </w:p>
    <w:p>
      <w:pPr>
        <w:pStyle w:val="Heading5"/>
        <w:spacing w:line="273" w:lineRule="auto" w:before="37"/>
        <w:ind w:right="1131"/>
        <w:jc w:val="both"/>
      </w:pPr>
      <w:r>
        <w:rPr>
          <w:spacing w:val="-1"/>
        </w:rPr>
        <w:t>资。本公司对被投资单位不具有控制、共同控制或重大影响的长期股权投资，作为可供出售金融资产或以</w:t>
      </w:r>
      <w:r>
        <w:rPr>
          <w:spacing w:val="-83"/>
        </w:rPr>
        <w:t> </w:t>
      </w:r>
      <w:r>
        <w:rPr>
          <w:spacing w:val="-83"/>
        </w:rPr>
      </w:r>
      <w:r>
        <w:rPr/>
        <w:t>公允价值计量且其变动计入当期损益的金融资产核算，其会计政策详见附注</w:t>
      </w:r>
      <w:r>
        <w:rPr>
          <w:rFonts w:ascii="Times New Roman" w:hAnsi="Times New Roman" w:cs="Times New Roman" w:eastAsia="Times New Roman" w:hint="default"/>
        </w:rPr>
        <w:t>“</w:t>
      </w:r>
      <w:r>
        <w:rPr/>
        <w:t>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Heading5"/>
        <w:spacing w:line="273" w:lineRule="auto" w:before="0"/>
        <w:ind w:right="1131" w:firstLine="420"/>
        <w:jc w:val="both"/>
      </w:pPr>
      <w:r>
        <w:rPr>
          <w:spacing w:val="-1"/>
        </w:rPr>
        <w:t>共同控制，是指本公司按照相关约定对某项安排所共有的控制，并且该安排的相关活动必须经过分享</w:t>
      </w:r>
      <w:r>
        <w:rPr/>
        <w:t> </w:t>
      </w:r>
      <w:r>
        <w:rPr>
          <w:spacing w:val="-1"/>
        </w:rPr>
        <w:t>控制权的参与方一致同意后才能决策。重大影响，是指本公司对被投资单位的财务和经营政策有参与决策</w:t>
      </w:r>
      <w:r>
        <w:rPr>
          <w:spacing w:val="-81"/>
        </w:rPr>
        <w:t> </w:t>
      </w:r>
      <w:r>
        <w:rPr>
          <w:spacing w:val="-81"/>
        </w:rPr>
      </w:r>
      <w:r>
        <w:rPr/>
        <w:t>的权力，但并不能够控制或者与其他方一起共同控制这些政策的制定。</w:t>
      </w:r>
    </w:p>
    <w:p>
      <w:pPr>
        <w:pStyle w:val="Heading5"/>
        <w:spacing w:line="256" w:lineRule="auto"/>
        <w:ind w:left="574" w:right="0"/>
        <w:jc w:val="left"/>
      </w:pPr>
      <w:r>
        <w:rPr/>
        <w:t>（</w:t>
      </w:r>
      <w:r>
        <w:rPr>
          <w:rFonts w:ascii="Times New Roman" w:hAnsi="Times New Roman" w:cs="Times New Roman" w:eastAsia="Times New Roman" w:hint="default"/>
        </w:rPr>
        <w:t>1</w:t>
      </w:r>
      <w:r>
        <w:rPr/>
        <w:t>）投资成本的确定 </w:t>
      </w:r>
      <w:r>
        <w:rPr>
          <w:spacing w:val="-1"/>
        </w:rPr>
        <w:t>对于同一控制下的企业合并取得的长期股权投资，在合并日按照被合并方所有者权益在最终控制方合</w:t>
      </w:r>
    </w:p>
    <w:p>
      <w:pPr>
        <w:pStyle w:val="Heading5"/>
        <w:spacing w:line="268" w:lineRule="auto" w:before="22"/>
        <w:ind w:right="1130"/>
        <w:jc w:val="both"/>
      </w:pPr>
      <w:r>
        <w:rPr>
          <w:spacing w:val="-1"/>
        </w:rPr>
        <w:t>并财务报表中的账面价值的份额作为长期股权投资的初始投资成本。长期股权投资初始投资成本与支付的</w:t>
      </w:r>
      <w:r>
        <w:rPr>
          <w:spacing w:val="-81"/>
        </w:rPr>
        <w:t> </w:t>
      </w:r>
      <w:r>
        <w:rPr>
          <w:spacing w:val="-81"/>
        </w:rPr>
      </w:r>
      <w:r>
        <w:rPr>
          <w:spacing w:val="-1"/>
        </w:rPr>
        <w:t>现金、转让的非现金资产以及所承担债务账面价值之间的差额，调整资本公积；资本公积不足冲减的，调</w:t>
      </w:r>
      <w:r>
        <w:rPr>
          <w:spacing w:val="-85"/>
        </w:rPr>
        <w:t> </w:t>
      </w:r>
      <w:r>
        <w:rPr>
          <w:spacing w:val="-85"/>
        </w:rPr>
      </w:r>
      <w:r>
        <w:rPr>
          <w:spacing w:val="-1"/>
        </w:rPr>
        <w:t>整留存收益。以发行权益性证券作为合并对价的，在合并日按照被合并方所有者权益在最终控制方合并财</w:t>
      </w:r>
      <w:r>
        <w:rPr>
          <w:spacing w:val="-81"/>
        </w:rPr>
        <w:t> </w:t>
      </w:r>
      <w:r>
        <w:rPr>
          <w:spacing w:val="-81"/>
        </w:rPr>
      </w:r>
      <w:r>
        <w:rPr>
          <w:spacing w:val="-1"/>
        </w:rPr>
        <w:t>务报表中的账面价值的份额作为长期股权投资的初始投资成本，按照发行股份的面值总额作为股本，长期</w:t>
      </w:r>
      <w:r>
        <w:rPr>
          <w:spacing w:val="-81"/>
        </w:rPr>
        <w:t> </w:t>
      </w:r>
      <w:r>
        <w:rPr>
          <w:spacing w:val="-81"/>
        </w:rPr>
      </w:r>
      <w:r>
        <w:rPr>
          <w:spacing w:val="-1"/>
        </w:rPr>
        <w:t>股权投资初始投资成本与所发行股份面值总额之间的差额，调整资本公积；资本公积不足冲减的，调整留</w:t>
      </w:r>
      <w:r>
        <w:rPr>
          <w:spacing w:val="-82"/>
        </w:rPr>
        <w:t> </w:t>
      </w:r>
      <w:r>
        <w:rPr>
          <w:spacing w:val="-82"/>
        </w:rPr>
      </w:r>
      <w:r>
        <w:rPr>
          <w:spacing w:val="-1"/>
        </w:rPr>
        <w:t>存收益。通过多次交易分步取得同一控制下被合并方的股权，最终形成同一控制下企业合并的，应分别是</w:t>
      </w:r>
      <w:r>
        <w:rPr>
          <w:spacing w:val="-83"/>
        </w:rPr>
        <w:t> </w:t>
      </w:r>
      <w:r>
        <w:rPr>
          <w:spacing w:val="-83"/>
        </w:rPr>
      </w:r>
      <w:r>
        <w:rPr/>
        <w:t>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 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的，在合并日按照应享有被合并方所有者权益在最终控制方合并财务报表中的账 </w:t>
      </w:r>
      <w:r>
        <w:rPr>
          <w:spacing w:val="-1"/>
        </w:rPr>
        <w:t>面价值的份额作为长期股权投资的初始投资成本，长期股权投资初始投资成本与达到合并前的长期股权投</w:t>
      </w:r>
      <w:r>
        <w:rPr>
          <w:spacing w:val="-81"/>
        </w:rPr>
        <w:t> </w:t>
      </w:r>
      <w:r>
        <w:rPr>
          <w:spacing w:val="-81"/>
        </w:rPr>
      </w:r>
      <w:r>
        <w:rPr>
          <w:spacing w:val="-1"/>
        </w:rPr>
        <w:t>资账面价值加上合并日进一步取得股份新支付对价的账面价值之和的差额，调整资本公积；资本公积不足</w:t>
      </w:r>
      <w:r>
        <w:rPr>
          <w:spacing w:val="-81"/>
        </w:rPr>
        <w:t> </w:t>
      </w:r>
      <w:r>
        <w:rPr>
          <w:spacing w:val="-81"/>
        </w:rPr>
      </w:r>
      <w:r>
        <w:rPr>
          <w:spacing w:val="-1"/>
        </w:rPr>
        <w:t>冲减的，调整留存收益。合并日之前持有的股权投资因采用权益法核算或为可供出售金融资产而确认的其</w:t>
      </w:r>
      <w:r>
        <w:rPr>
          <w:spacing w:val="-81"/>
        </w:rPr>
        <w:t> </w:t>
      </w:r>
      <w:r>
        <w:rPr>
          <w:spacing w:val="-81"/>
        </w:rPr>
      </w:r>
      <w:r>
        <w:rPr/>
        <w:t>他综合收益，暂不进行会计处理。</w:t>
      </w:r>
    </w:p>
    <w:p>
      <w:pPr>
        <w:spacing w:after="0" w:line="268" w:lineRule="auto"/>
        <w:jc w:val="both"/>
        <w:sectPr>
          <w:pgSz w:w="11910" w:h="16840"/>
          <w:pgMar w:header="787" w:footer="1019" w:top="1100" w:bottom="1200" w:left="980" w:right="0"/>
        </w:sectPr>
      </w:pPr>
    </w:p>
    <w:p>
      <w:pPr>
        <w:spacing w:line="240" w:lineRule="auto" w:before="7"/>
        <w:rPr>
          <w:rFonts w:ascii="宋体" w:hAnsi="宋体" w:cs="宋体" w:eastAsia="宋体" w:hint="default"/>
          <w:sz w:val="21"/>
          <w:szCs w:val="21"/>
        </w:rPr>
      </w:pPr>
    </w:p>
    <w:p>
      <w:pPr>
        <w:pStyle w:val="Heading5"/>
        <w:spacing w:line="266" w:lineRule="auto" w:before="35"/>
        <w:ind w:right="0" w:firstLine="420"/>
        <w:jc w:val="left"/>
      </w:pPr>
      <w:r>
        <w:rPr>
          <w:spacing w:val="-1"/>
        </w:rPr>
        <w:t>对于非同一控制下的企业合并取得的长期股权投资，在购买日按照合并成本作为长期股权投资的初始</w:t>
      </w:r>
      <w:r>
        <w:rPr/>
        <w:t> </w:t>
      </w:r>
      <w:r>
        <w:rPr>
          <w:spacing w:val="-1"/>
        </w:rPr>
        <w:t>投资成本，合并成本包括购买方付出的资产、发生或承担的负债、发行的权益性证券的公允价值之和。通</w:t>
      </w:r>
      <w:r>
        <w:rPr>
          <w:spacing w:val="-85"/>
        </w:rPr>
        <w:t> </w:t>
      </w:r>
      <w:r>
        <w:rPr>
          <w:spacing w:val="-85"/>
        </w:rPr>
      </w:r>
      <w:r>
        <w:rPr/>
        <w:t>过多次交易分步取得被购买方的股权，最终形成非同一控制下的企业合并的，应分别是否属于</w:t>
      </w:r>
      <w:r>
        <w:rPr>
          <w:rFonts w:ascii="Times New Roman" w:hAnsi="Times New Roman" w:cs="Times New Roman" w:eastAsia="Times New Roman" w:hint="default"/>
        </w:rPr>
        <w:t>“</w:t>
      </w:r>
      <w:r>
        <w:rPr/>
        <w:t>一揽子交 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 子交易</w:t>
      </w:r>
      <w:r>
        <w:rPr>
          <w:rFonts w:ascii="Times New Roman" w:hAnsi="Times New Roman" w:cs="Times New Roman" w:eastAsia="Times New Roman" w:hint="default"/>
        </w:rPr>
        <w:t>”</w:t>
      </w:r>
      <w:r>
        <w:rPr/>
        <w:t>的，按照原持有被购买方的股权投资账面价值加上新增投资成本之和，作为改按成本法核算的长 </w:t>
      </w:r>
      <w:r>
        <w:rPr>
          <w:spacing w:val="-1"/>
        </w:rPr>
        <w:t>期股权投资的初始投资成本。原持有的股权采用权益法核算的，相关其他综合收益暂不进行会计处理。原</w:t>
      </w:r>
      <w:r>
        <w:rPr>
          <w:spacing w:val="-83"/>
        </w:rPr>
        <w:t> </w:t>
      </w:r>
      <w:r>
        <w:rPr>
          <w:spacing w:val="-83"/>
        </w:rPr>
      </w:r>
      <w:r>
        <w:rPr>
          <w:spacing w:val="-1"/>
        </w:rPr>
        <w:t>持有股权投资为可供出售金融资产的，其公允价值与账面价值之间的差额，以及原计入其他综合收益的累</w:t>
      </w:r>
      <w:r>
        <w:rPr>
          <w:spacing w:val="-81"/>
        </w:rPr>
        <w:t> </w:t>
      </w:r>
      <w:r>
        <w:rPr>
          <w:spacing w:val="-81"/>
        </w:rPr>
      </w:r>
      <w:r>
        <w:rPr/>
        <w:t>计公允价值变动转入当期损益。</w:t>
      </w:r>
    </w:p>
    <w:p>
      <w:pPr>
        <w:pStyle w:val="Heading5"/>
        <w:spacing w:line="273" w:lineRule="auto" w:before="14"/>
        <w:ind w:right="1131" w:firstLine="420"/>
        <w:jc w:val="both"/>
      </w:pPr>
      <w:r>
        <w:rPr>
          <w:spacing w:val="-1"/>
        </w:rPr>
        <w:t>合并方或购买方为企业合并发生的审计、法律服务、评估咨询等中介费用以及其他相关管理费用，于</w:t>
      </w:r>
      <w:r>
        <w:rPr/>
        <w:t> 发生时计入当期损益。</w:t>
      </w:r>
    </w:p>
    <w:p>
      <w:pPr>
        <w:pStyle w:val="Heading5"/>
        <w:spacing w:line="271" w:lineRule="auto"/>
        <w:ind w:right="1110" w:firstLine="420"/>
        <w:jc w:val="both"/>
      </w:pPr>
      <w:r>
        <w:rPr>
          <w:spacing w:val="-1"/>
        </w:rPr>
        <w:t>除企业合并形成的长期股权投资外的其他股权投资，按成本进行初始计量，该成本视长期股权投资取</w:t>
      </w:r>
      <w:r>
        <w:rPr/>
        <w:t> </w:t>
      </w:r>
      <w:r>
        <w:rPr>
          <w:spacing w:val="-1"/>
        </w:rPr>
        <w:t>得方式的不同，分别按照本公司实际支付的现金购买价款、本公司发行的权益性证券的公允价值、投资合</w:t>
      </w:r>
      <w:r>
        <w:rPr>
          <w:spacing w:val="-83"/>
        </w:rPr>
        <w:t> </w:t>
      </w:r>
      <w:r>
        <w:rPr>
          <w:spacing w:val="-83"/>
        </w:rPr>
      </w:r>
      <w:r>
        <w:rPr>
          <w:spacing w:val="-1"/>
        </w:rPr>
        <w:t>同或协议约定的价值、非货币性资产交换交易中换出资产的公允价值或原账面价值、该项长期股权投资自</w:t>
      </w:r>
      <w:r>
        <w:rPr>
          <w:spacing w:val="-81"/>
        </w:rPr>
        <w:t> </w:t>
      </w:r>
      <w:r>
        <w:rPr>
          <w:spacing w:val="-81"/>
        </w:rPr>
      </w:r>
      <w:r>
        <w:rPr/>
        <w:t>身的公允价值等方式确定。与取得长期股权投资直接相关的费用、税金及其他必要支出也计入投资成本。 </w:t>
      </w:r>
      <w:r>
        <w:rPr>
          <w:spacing w:val="-1"/>
        </w:rPr>
        <w:t>对于因追加投资能够对被投资单位实施重大影响或实施共同控制但不构成控制的，长期股权投资成本为按</w:t>
      </w:r>
      <w:r>
        <w:rPr>
          <w:spacing w:val="-81"/>
        </w:rPr>
        <w:t> </w:t>
      </w:r>
      <w:r>
        <w:rPr>
          <w:spacing w:val="-81"/>
        </w:rPr>
      </w:r>
      <w:r>
        <w:rPr>
          <w:spacing w:val="-1"/>
        </w:rPr>
        <w:t>照《企业会计准则第</w:t>
      </w:r>
      <w:r>
        <w:rPr>
          <w:rFonts w:ascii="Times New Roman" w:hAnsi="Times New Roman" w:cs="Times New Roman" w:eastAsia="Times New Roman" w:hint="default"/>
          <w:spacing w:val="-1"/>
        </w:rPr>
        <w:t>22</w:t>
      </w:r>
      <w:r>
        <w:rPr>
          <w:spacing w:val="-1"/>
        </w:rPr>
        <w:t>号</w:t>
      </w:r>
      <w:r>
        <w:rPr>
          <w:rFonts w:ascii="Times New Roman" w:hAnsi="Times New Roman" w:cs="Times New Roman" w:eastAsia="Times New Roman" w:hint="default"/>
          <w:spacing w:val="-1"/>
        </w:rPr>
        <w:t>——</w:t>
      </w:r>
      <w:r>
        <w:rPr>
          <w:spacing w:val="-1"/>
        </w:rPr>
        <w:t>金融工具确认和计量》确定的原持有股权投资的公允价值加上新增投资成本</w:t>
      </w:r>
      <w:r>
        <w:rPr>
          <w:spacing w:val="-81"/>
        </w:rPr>
        <w:t> </w:t>
      </w:r>
      <w:r>
        <w:rPr>
          <w:spacing w:val="-81"/>
        </w:rPr>
      </w:r>
      <w:r>
        <w:rPr/>
        <w:t>之和。</w:t>
      </w:r>
    </w:p>
    <w:p>
      <w:pPr>
        <w:pStyle w:val="Heading5"/>
        <w:spacing w:line="256" w:lineRule="auto" w:before="10"/>
        <w:ind w:left="574" w:right="1092"/>
        <w:jc w:val="left"/>
      </w:pPr>
      <w:r>
        <w:rPr/>
        <w:t>（</w:t>
      </w:r>
      <w:r>
        <w:rPr>
          <w:rFonts w:ascii="Times New Roman" w:hAnsi="Times New Roman" w:cs="Times New Roman" w:eastAsia="Times New Roman" w:hint="default"/>
        </w:rPr>
        <w:t>2</w:t>
      </w:r>
      <w:r>
        <w:rPr/>
        <w:t>）后续计量及损益确认方法 对被投资单位具有共同控制（构成共同经营者除外）或重大影响的长期股权投资，采用权益法核算。</w:t>
      </w:r>
    </w:p>
    <w:p>
      <w:pPr>
        <w:pStyle w:val="Heading5"/>
        <w:spacing w:line="240" w:lineRule="auto" w:before="22"/>
        <w:ind w:right="0"/>
        <w:jc w:val="left"/>
      </w:pPr>
      <w:r>
        <w:rPr/>
        <w:t>此外，公司财务报表采用成本法核算能够对被投资单位实施控制的长期股权投资。</w:t>
      </w:r>
    </w:p>
    <w:p>
      <w:pPr>
        <w:pStyle w:val="Heading5"/>
        <w:spacing w:line="273" w:lineRule="auto" w:before="37"/>
        <w:ind w:left="574" w:right="1092"/>
        <w:jc w:val="left"/>
      </w:pPr>
      <w:r>
        <w:rPr/>
        <w:t>①成本法核算的长期股权投资 采用成本法核算时，长期股权投资按初始投资成本计价，追加或收回投资调整长期股权投资的成本。</w:t>
      </w:r>
    </w:p>
    <w:p>
      <w:pPr>
        <w:pStyle w:val="Heading5"/>
        <w:spacing w:line="273" w:lineRule="auto" w:before="8"/>
        <w:ind w:right="0"/>
        <w:jc w:val="left"/>
      </w:pPr>
      <w:r>
        <w:rPr>
          <w:spacing w:val="-1"/>
        </w:rPr>
        <w:t>除取得投资时实际支付的价款或者对价中包含的已宣告但尚未发放的现金股利或者利润外，当期投资收益</w:t>
      </w:r>
      <w:r>
        <w:rPr>
          <w:spacing w:val="-81"/>
        </w:rPr>
        <w:t> </w:t>
      </w:r>
      <w:r>
        <w:rPr>
          <w:spacing w:val="-81"/>
        </w:rPr>
      </w:r>
      <w:r>
        <w:rPr/>
        <w:t>按照享有被投资单位宣告发放的现金股利或利润确认。</w:t>
      </w:r>
    </w:p>
    <w:p>
      <w:pPr>
        <w:pStyle w:val="Heading5"/>
        <w:spacing w:line="273" w:lineRule="auto"/>
        <w:ind w:left="574" w:right="0"/>
        <w:jc w:val="left"/>
      </w:pPr>
      <w:r>
        <w:rPr/>
        <w:t>②权益法核算的长期股权投资 </w:t>
      </w:r>
      <w:r>
        <w:rPr>
          <w:spacing w:val="-1"/>
        </w:rPr>
        <w:t>采用权益法核算时，长期股权投资的初始投资成本大于投资时应享有被投资单位可辨认净资产公允价</w:t>
      </w:r>
    </w:p>
    <w:p>
      <w:pPr>
        <w:pStyle w:val="Heading5"/>
        <w:spacing w:line="273" w:lineRule="auto"/>
        <w:ind w:right="0"/>
        <w:jc w:val="left"/>
      </w:pPr>
      <w:r>
        <w:rPr>
          <w:spacing w:val="-1"/>
        </w:rPr>
        <w:t>值份额的，不调整长期股权投资的初始投资成本；初始投资成本小于投资时应享有被投资单位可辨认净资</w:t>
      </w:r>
      <w:r>
        <w:rPr>
          <w:spacing w:val="-81"/>
        </w:rPr>
        <w:t> </w:t>
      </w:r>
      <w:r>
        <w:rPr>
          <w:spacing w:val="-81"/>
        </w:rPr>
      </w:r>
      <w:r>
        <w:rPr/>
        <w:t>产公允价值份额的，其差额计入当期损益，同时调整长期股权投资的成本。</w:t>
      </w:r>
    </w:p>
    <w:p>
      <w:pPr>
        <w:pStyle w:val="Heading5"/>
        <w:spacing w:line="271" w:lineRule="auto"/>
        <w:ind w:right="1130" w:firstLine="420"/>
        <w:jc w:val="both"/>
      </w:pPr>
      <w:r>
        <w:rPr>
          <w:spacing w:val="-1"/>
        </w:rPr>
        <w:t>采用权益法核算时，按照应享有或应分担的被投资单位实现的净损益和其他综合收益的份额，分别确</w:t>
      </w:r>
      <w:r>
        <w:rPr/>
        <w:t> </w:t>
      </w:r>
      <w:r>
        <w:rPr>
          <w:spacing w:val="-1"/>
        </w:rPr>
        <w:t>认投资收益和其他综合收益，同时调整长期股权投资的账面价值；按照被投资单位宣告分派的利润或现金</w:t>
      </w:r>
      <w:r>
        <w:rPr>
          <w:spacing w:val="-81"/>
        </w:rPr>
        <w:t> </w:t>
      </w:r>
      <w:r>
        <w:rPr>
          <w:spacing w:val="-81"/>
        </w:rPr>
      </w:r>
      <w:r>
        <w:rPr>
          <w:spacing w:val="-1"/>
        </w:rPr>
        <w:t>股利计算应享有的部分，相应减少长期股权投资的账面价值；对于被投资单位除净损益、其他综合收益和</w:t>
      </w:r>
      <w:r>
        <w:rPr>
          <w:spacing w:val="-83"/>
        </w:rPr>
        <w:t> </w:t>
      </w:r>
      <w:r>
        <w:rPr>
          <w:spacing w:val="-83"/>
        </w:rPr>
      </w:r>
      <w:r>
        <w:rPr>
          <w:spacing w:val="-1"/>
        </w:rPr>
        <w:t>利润分配以外所有者权益的其他变动，调整长期股权投资的账面价值并计入资本公积。在确认应享有被投</w:t>
      </w:r>
      <w:r>
        <w:rPr>
          <w:spacing w:val="-81"/>
        </w:rPr>
        <w:t> </w:t>
      </w:r>
      <w:r>
        <w:rPr>
          <w:spacing w:val="-81"/>
        </w:rPr>
      </w:r>
      <w:r>
        <w:rPr>
          <w:spacing w:val="-1"/>
        </w:rPr>
        <w:t>资单位净损益的份额时，以取得投资时被投资单位各项可辨认资产等的公允价值为基础，对被投资单位的</w:t>
      </w:r>
      <w:r>
        <w:rPr>
          <w:spacing w:val="-81"/>
        </w:rPr>
        <w:t> </w:t>
      </w:r>
      <w:r>
        <w:rPr>
          <w:spacing w:val="-81"/>
        </w:rPr>
      </w:r>
      <w:r>
        <w:rPr>
          <w:spacing w:val="-1"/>
        </w:rPr>
        <w:t>净利润进行调整后确认。被投资单位采用的会计政策及会计期间与本公司不一致的，按照本公司的会计政</w:t>
      </w:r>
      <w:r>
        <w:rPr>
          <w:spacing w:val="-81"/>
        </w:rPr>
        <w:t> </w:t>
      </w:r>
      <w:r>
        <w:rPr>
          <w:spacing w:val="-81"/>
        </w:rPr>
      </w:r>
      <w:r>
        <w:rPr>
          <w:spacing w:val="-1"/>
        </w:rPr>
        <w:t>策及会计期间对被投资单位的财务报表进行调整，并据以确认投资收益和其他综合收益。对于本公司与联</w:t>
      </w:r>
      <w:r>
        <w:rPr>
          <w:spacing w:val="-81"/>
        </w:rPr>
        <w:t> </w:t>
      </w:r>
      <w:r>
        <w:rPr>
          <w:spacing w:val="-81"/>
        </w:rPr>
      </w:r>
      <w:r>
        <w:rPr>
          <w:spacing w:val="-1"/>
        </w:rPr>
        <w:t>营企业及合营企业之间发生的交易，投出或出售的资产不构成业务的，未实现内部交易损益按照享有的比</w:t>
      </w:r>
      <w:r>
        <w:rPr>
          <w:spacing w:val="-81"/>
        </w:rPr>
        <w:t> </w:t>
      </w:r>
      <w:r>
        <w:rPr>
          <w:spacing w:val="-81"/>
        </w:rPr>
      </w:r>
      <w:r>
        <w:rPr>
          <w:spacing w:val="-1"/>
        </w:rPr>
        <w:t>例计算归属于本公司的部分予以抵销，在此基础上确认投资损益。但本公司与被投资单位发生的未实现内</w:t>
      </w:r>
      <w:r>
        <w:rPr>
          <w:spacing w:val="-81"/>
        </w:rPr>
        <w:t> </w:t>
      </w:r>
      <w:r>
        <w:rPr>
          <w:spacing w:val="-81"/>
        </w:rPr>
      </w:r>
      <w:r>
        <w:rPr>
          <w:spacing w:val="-1"/>
        </w:rPr>
        <w:t>部交易损失，属于所转让资产减值损失的，不予以抵销。本公司向合营企业或联营企业投出的资产构成业</w:t>
      </w:r>
      <w:r>
        <w:rPr>
          <w:spacing w:val="-82"/>
        </w:rPr>
        <w:t> </w:t>
      </w:r>
      <w:r>
        <w:rPr>
          <w:spacing w:val="-82"/>
        </w:rPr>
      </w:r>
      <w:r>
        <w:rPr>
          <w:spacing w:val="-1"/>
        </w:rPr>
        <w:t>务的，投资方因此取得长期股权投资但未取得控制权的，以投出业务的公允价值作为新增长期股权投资的</w:t>
      </w:r>
      <w:r>
        <w:rPr>
          <w:spacing w:val="-81"/>
        </w:rPr>
        <w:t> </w:t>
      </w:r>
      <w:r>
        <w:rPr>
          <w:spacing w:val="-81"/>
        </w:rPr>
      </w:r>
      <w:r>
        <w:rPr>
          <w:spacing w:val="-1"/>
        </w:rPr>
        <w:t>初始投资成本，初始投资成本与投出业务的账面价值之差，全额计入当期损益。本公司向合营企业或联营</w:t>
      </w:r>
      <w:r>
        <w:rPr>
          <w:spacing w:val="-83"/>
        </w:rPr>
        <w:t> </w:t>
      </w:r>
      <w:r>
        <w:rPr>
          <w:spacing w:val="-83"/>
        </w:rPr>
      </w:r>
      <w:r>
        <w:rPr>
          <w:spacing w:val="-1"/>
        </w:rPr>
        <w:t>企业出售的资产构成业务的，取得的对价与业务的账面价值之差，全额计入当期损益。本公司自联营企业</w:t>
      </w:r>
      <w:r>
        <w:rPr>
          <w:spacing w:val="-83"/>
        </w:rPr>
        <w:t> </w:t>
      </w:r>
      <w:r>
        <w:rPr>
          <w:spacing w:val="-83"/>
        </w:rPr>
      </w:r>
      <w:r>
        <w:rPr>
          <w:spacing w:val="-1"/>
        </w:rPr>
        <w:t>及合营企业购入的资产构成业务的，按《企业会计准则第</w:t>
      </w:r>
      <w:r>
        <w:rPr>
          <w:rFonts w:ascii="Times New Roman" w:hAnsi="Times New Roman" w:cs="Times New Roman" w:eastAsia="Times New Roman" w:hint="default"/>
          <w:spacing w:val="-1"/>
        </w:rPr>
        <w:t>20</w:t>
      </w:r>
      <w:r>
        <w:rPr>
          <w:spacing w:val="-1"/>
        </w:rPr>
        <w:t>号</w:t>
      </w:r>
      <w:r>
        <w:rPr>
          <w:rFonts w:ascii="Times New Roman" w:hAnsi="Times New Roman" w:cs="Times New Roman" w:eastAsia="Times New Roman" w:hint="default"/>
          <w:spacing w:val="-1"/>
        </w:rPr>
        <w:t>——</w:t>
      </w:r>
      <w:r>
        <w:rPr>
          <w:spacing w:val="-1"/>
        </w:rPr>
        <w:t>企业合并》的规定进行会计处理，全额</w:t>
      </w:r>
      <w:r>
        <w:rPr>
          <w:spacing w:val="-86"/>
        </w:rPr>
        <w:t> </w:t>
      </w:r>
      <w:r>
        <w:rPr>
          <w:spacing w:val="-86"/>
        </w:rPr>
      </w:r>
      <w:r>
        <w:rPr/>
        <w:t>确认与交易相关的利得或损失。</w:t>
      </w:r>
    </w:p>
    <w:p>
      <w:pPr>
        <w:pStyle w:val="Heading5"/>
        <w:spacing w:line="240" w:lineRule="auto" w:before="10"/>
        <w:ind w:left="574" w:right="0"/>
        <w:jc w:val="left"/>
      </w:pPr>
      <w:r>
        <w:rPr/>
        <w:t>在确认应分担被投资单位发生的净亏损时，以长期股权投资的账面价值和其他实质上构成对被投资单</w:t>
      </w:r>
    </w:p>
    <w:p>
      <w:pPr>
        <w:spacing w:after="0" w:line="240" w:lineRule="auto"/>
        <w:jc w:val="left"/>
        <w:sectPr>
          <w:pgSz w:w="11910" w:h="16840"/>
          <w:pgMar w:header="787" w:footer="1019" w:top="1100" w:bottom="1200" w:left="980" w:right="0"/>
        </w:sectPr>
      </w:pPr>
    </w:p>
    <w:p>
      <w:pPr>
        <w:spacing w:line="240" w:lineRule="auto" w:before="7"/>
        <w:rPr>
          <w:rFonts w:ascii="宋体" w:hAnsi="宋体" w:cs="宋体" w:eastAsia="宋体" w:hint="default"/>
          <w:sz w:val="21"/>
          <w:szCs w:val="21"/>
        </w:rPr>
      </w:pPr>
    </w:p>
    <w:p>
      <w:pPr>
        <w:pStyle w:val="Heading5"/>
        <w:spacing w:line="273" w:lineRule="auto" w:before="35"/>
        <w:ind w:right="1131"/>
        <w:jc w:val="both"/>
      </w:pPr>
      <w:r>
        <w:rPr>
          <w:spacing w:val="-1"/>
        </w:rPr>
        <w:t>位净投资的长期权益减记至零为限。此外，如本公司对被投资单位负有承担额外损失的义务，则按预计承</w:t>
      </w:r>
      <w:r>
        <w:rPr>
          <w:spacing w:val="-83"/>
        </w:rPr>
        <w:t> </w:t>
      </w:r>
      <w:r>
        <w:rPr>
          <w:spacing w:val="-83"/>
        </w:rPr>
      </w:r>
      <w:r>
        <w:rPr>
          <w:spacing w:val="-1"/>
        </w:rPr>
        <w:t>担的义务确认预计负债，计入当期投资损失。被投资单位以后期间实现净利润的，本公司在收益分享额弥</w:t>
      </w:r>
      <w:r>
        <w:rPr>
          <w:spacing w:val="-83"/>
        </w:rPr>
        <w:t> </w:t>
      </w:r>
      <w:r>
        <w:rPr>
          <w:spacing w:val="-83"/>
        </w:rPr>
      </w:r>
      <w:r>
        <w:rPr/>
        <w:t>补未确认的亏损分担额后，恢复确认收益分享额。</w:t>
      </w:r>
    </w:p>
    <w:p>
      <w:pPr>
        <w:pStyle w:val="Heading5"/>
        <w:spacing w:line="273" w:lineRule="auto"/>
        <w:ind w:left="574" w:right="0"/>
        <w:jc w:val="left"/>
      </w:pPr>
      <w:r>
        <w:rPr/>
        <w:t>③收购少数股权 </w:t>
      </w:r>
      <w:r>
        <w:rPr>
          <w:spacing w:val="-1"/>
        </w:rPr>
        <w:t>在编制合并财务报表时，因购买少数股权新增的长期股权投资与按照新增持股比例计算应享有子公司</w:t>
      </w:r>
    </w:p>
    <w:p>
      <w:pPr>
        <w:pStyle w:val="Heading5"/>
        <w:spacing w:line="273" w:lineRule="auto"/>
        <w:ind w:right="1133"/>
        <w:jc w:val="both"/>
      </w:pPr>
      <w:r>
        <w:rPr>
          <w:spacing w:val="-1"/>
        </w:rPr>
        <w:t>自购买日（或合并日）开始持续计算的净资产份额之间的差额，调整资本公积，资本公积不足冲减的，调</w:t>
      </w:r>
      <w:r>
        <w:rPr>
          <w:spacing w:val="-83"/>
        </w:rPr>
        <w:t> </w:t>
      </w:r>
      <w:r>
        <w:rPr>
          <w:spacing w:val="-83"/>
        </w:rPr>
      </w:r>
      <w:r>
        <w:rPr/>
        <w:t>整留存收益。</w:t>
      </w:r>
    </w:p>
    <w:p>
      <w:pPr>
        <w:pStyle w:val="Heading5"/>
        <w:spacing w:line="273" w:lineRule="auto"/>
        <w:ind w:left="574" w:right="0"/>
        <w:jc w:val="left"/>
      </w:pPr>
      <w:r>
        <w:rPr/>
        <w:t>④处置长期股权投资 </w:t>
      </w:r>
      <w:r>
        <w:rPr>
          <w:spacing w:val="-1"/>
        </w:rPr>
        <w:t>在合并财务报表中，母公司在不丧失控制权的情况下部分处置对子公司的长期股权投资，处置价款与</w:t>
      </w:r>
    </w:p>
    <w:p>
      <w:pPr>
        <w:pStyle w:val="Heading5"/>
        <w:spacing w:line="273" w:lineRule="auto"/>
        <w:ind w:right="1011"/>
        <w:jc w:val="left"/>
      </w:pPr>
      <w:r>
        <w:rPr/>
        <w:t>处置长期股权投资相对应享有子公司净资产的差额计入股东权益；母公司部分处置对子公司的长期股权投 资导致丧失对子公司控制权的，按本附注</w:t>
      </w:r>
      <w:r>
        <w:rPr>
          <w:rFonts w:ascii="Times New Roman" w:hAnsi="Times New Roman" w:cs="Times New Roman" w:eastAsia="Times New Roman" w:hint="default"/>
        </w:rPr>
        <w:t>“</w:t>
      </w:r>
      <w:r>
        <w:rPr/>
        <w:t>五、</w:t>
      </w:r>
      <w:r>
        <w:rPr>
          <w:rFonts w:ascii="Times New Roman" w:hAnsi="Times New Roman" w:cs="Times New Roman" w:eastAsia="Times New Roman" w:hint="default"/>
        </w:rPr>
        <w:t>6</w:t>
      </w:r>
      <w:r>
        <w:rPr/>
        <w:t>、合并财务报表编制的方法</w:t>
      </w:r>
      <w:r>
        <w:rPr>
          <w:rFonts w:ascii="Times New Roman" w:hAnsi="Times New Roman" w:cs="Times New Roman" w:eastAsia="Times New Roman" w:hint="default"/>
        </w:rPr>
        <w:t>”</w:t>
      </w:r>
      <w:r>
        <w:rPr/>
        <w:t>中所述的相关会计政策处理。</w:t>
      </w:r>
    </w:p>
    <w:p>
      <w:pPr>
        <w:pStyle w:val="Heading5"/>
        <w:spacing w:line="273" w:lineRule="auto" w:before="0"/>
        <w:ind w:right="1131" w:firstLine="420"/>
        <w:jc w:val="both"/>
      </w:pPr>
      <w:r>
        <w:rPr>
          <w:spacing w:val="-1"/>
        </w:rPr>
        <w:t>其他情形下的长期股权投资处置，对于处置的股权，其账面价值与实际取得价款的差额，计入当期损</w:t>
      </w:r>
      <w:r>
        <w:rPr/>
        <w:t> 益。</w:t>
      </w:r>
    </w:p>
    <w:p>
      <w:pPr>
        <w:pStyle w:val="Heading5"/>
        <w:spacing w:line="273" w:lineRule="auto"/>
        <w:ind w:right="0" w:firstLine="420"/>
        <w:jc w:val="left"/>
      </w:pPr>
      <w:r>
        <w:rPr>
          <w:spacing w:val="-1"/>
        </w:rPr>
        <w:t>采用权益法核算的长期股权投资，处置后的剩余股权仍采用权益法核算的，在处置时将原计入股东权</w:t>
      </w:r>
      <w:r>
        <w:rPr/>
        <w:t> 益的其他综合收益部分按相应的比例采用与被投资单位直接处置相关资产或负债相同的基础进行会计处 </w:t>
      </w:r>
      <w:r>
        <w:rPr>
          <w:spacing w:val="-1"/>
        </w:rPr>
        <w:t>理。因被投资方除净损益、其他综合收益和利润分配以外的其他所有者权益变动而确认的所有者权益，按</w:t>
      </w:r>
      <w:r>
        <w:rPr>
          <w:spacing w:val="-83"/>
        </w:rPr>
        <w:t> </w:t>
      </w:r>
      <w:r>
        <w:rPr>
          <w:spacing w:val="-83"/>
        </w:rPr>
      </w:r>
      <w:r>
        <w:rPr/>
        <w:t>比例结转入当期损益。</w:t>
      </w:r>
    </w:p>
    <w:p>
      <w:pPr>
        <w:pStyle w:val="Heading5"/>
        <w:spacing w:line="273" w:lineRule="auto"/>
        <w:ind w:right="1131" w:firstLine="420"/>
        <w:jc w:val="both"/>
      </w:pPr>
      <w:r>
        <w:rPr>
          <w:spacing w:val="-1"/>
        </w:rPr>
        <w:t>采用成本法核算的长期股权投资，处置后剩余股权仍采用成本法核算的，其在取得对被投资单位的控</w:t>
      </w:r>
      <w:r>
        <w:rPr/>
        <w:t> </w:t>
      </w:r>
      <w:r>
        <w:rPr>
          <w:spacing w:val="-1"/>
        </w:rPr>
        <w:t>制之前因采用权益法核算或金融工具确认和计量准则核算而确认的其他综合收益，采用与被投资单位直接</w:t>
      </w:r>
      <w:r>
        <w:rPr>
          <w:spacing w:val="-81"/>
        </w:rPr>
        <w:t> </w:t>
      </w:r>
      <w:r>
        <w:rPr>
          <w:spacing w:val="-81"/>
        </w:rPr>
      </w:r>
      <w:r>
        <w:rPr>
          <w:spacing w:val="-1"/>
        </w:rPr>
        <w:t>处置相关资产或负债相同的基础进行会计处理，并按比例结转当期损益；因采用权益法核算而确认的被投</w:t>
      </w:r>
      <w:r>
        <w:rPr>
          <w:spacing w:val="-81"/>
        </w:rPr>
        <w:t> </w:t>
      </w:r>
      <w:r>
        <w:rPr>
          <w:spacing w:val="-81"/>
        </w:rPr>
      </w:r>
      <w:r>
        <w:rPr/>
        <w:t>资单位净资产中除净损益、其他综合收益和利润分配以外的其他所有者权益变动按比例结转当期损益。</w:t>
      </w:r>
    </w:p>
    <w:p>
      <w:pPr>
        <w:pStyle w:val="Heading5"/>
        <w:spacing w:line="273" w:lineRule="auto"/>
        <w:ind w:right="1130" w:firstLine="420"/>
        <w:jc w:val="both"/>
      </w:pPr>
      <w:r>
        <w:rPr>
          <w:spacing w:val="-1"/>
        </w:rPr>
        <w:t>本公司因处置部分股权投资丧失了对被投资单位的控制的，在编制个别财务报表时，处置后的剩余股</w:t>
      </w:r>
      <w:r>
        <w:rPr/>
        <w:t> </w:t>
      </w:r>
      <w:r>
        <w:rPr>
          <w:spacing w:val="-1"/>
        </w:rPr>
        <w:t>权能够对被投资单位实施共同控制或施加重大影响的，改按权益法核算，并对该剩余股权视同自取得时即</w:t>
      </w:r>
      <w:r>
        <w:rPr>
          <w:spacing w:val="-81"/>
        </w:rPr>
        <w:t> </w:t>
      </w:r>
      <w:r>
        <w:rPr>
          <w:spacing w:val="-81"/>
        </w:rPr>
      </w:r>
      <w:r>
        <w:rPr>
          <w:spacing w:val="-1"/>
        </w:rPr>
        <w:t>采用权益法核算进行调整；处置后的剩余股权不能对被投资单位实施共同控制或施加重大影响的，改按金</w:t>
      </w:r>
      <w:r>
        <w:rPr>
          <w:spacing w:val="-81"/>
        </w:rPr>
        <w:t> </w:t>
      </w:r>
      <w:r>
        <w:rPr>
          <w:spacing w:val="-81"/>
        </w:rPr>
      </w:r>
      <w:r>
        <w:rPr>
          <w:spacing w:val="-1"/>
        </w:rPr>
        <w:t>融工具确认和计量准则的有关规定进行会计处理，其在丧失控制之日的公允价值与账面价值之间的差额计</w:t>
      </w:r>
      <w:r>
        <w:rPr>
          <w:spacing w:val="-81"/>
        </w:rPr>
        <w:t> </w:t>
      </w:r>
      <w:r>
        <w:rPr>
          <w:spacing w:val="-81"/>
        </w:rPr>
      </w:r>
      <w:r>
        <w:rPr>
          <w:spacing w:val="-1"/>
        </w:rPr>
        <w:t>入当期损益。对于本公司取得对被投资单位的控制之前，因采用权益法核算或金融工具确认和计量准则核</w:t>
      </w:r>
      <w:r>
        <w:rPr>
          <w:spacing w:val="-81"/>
        </w:rPr>
        <w:t> </w:t>
      </w:r>
      <w:r>
        <w:rPr>
          <w:spacing w:val="-81"/>
        </w:rPr>
      </w:r>
      <w:r>
        <w:rPr>
          <w:spacing w:val="-1"/>
        </w:rPr>
        <w:t>算而确认的其他综合收益，在丧失对被投资单位控制时采用与被投资单位直接处置相关资产或负债相同的</w:t>
      </w:r>
      <w:r>
        <w:rPr>
          <w:spacing w:val="-81"/>
        </w:rPr>
        <w:t> </w:t>
      </w:r>
      <w:r>
        <w:rPr>
          <w:spacing w:val="-81"/>
        </w:rPr>
      </w:r>
      <w:r>
        <w:rPr>
          <w:spacing w:val="-1"/>
        </w:rPr>
        <w:t>基础进行会计处理，因采用权益法核算而确认的被投资单位净资产中除净损益、其他综合收益和利润分配</w:t>
      </w:r>
      <w:r>
        <w:rPr>
          <w:spacing w:val="-81"/>
        </w:rPr>
        <w:t> </w:t>
      </w:r>
      <w:r>
        <w:rPr>
          <w:spacing w:val="-81"/>
        </w:rPr>
      </w:r>
      <w:r>
        <w:rPr>
          <w:spacing w:val="-1"/>
        </w:rPr>
        <w:t>以外的其他所有者权益变动在丧失对被投资单位控制时结转入当期损益。其中，处置后的剩余股权采用权</w:t>
      </w:r>
      <w:r>
        <w:rPr>
          <w:spacing w:val="-81"/>
        </w:rPr>
        <w:t> </w:t>
      </w:r>
      <w:r>
        <w:rPr>
          <w:spacing w:val="-81"/>
        </w:rPr>
      </w:r>
      <w:r>
        <w:rPr>
          <w:spacing w:val="-1"/>
        </w:rPr>
        <w:t>益法核算的，其他综合收益和其他所有者权益按比例结转；处置后的剩余股权改按金融工具确认和计量准</w:t>
      </w:r>
      <w:r>
        <w:rPr>
          <w:spacing w:val="-81"/>
        </w:rPr>
        <w:t> </w:t>
      </w:r>
      <w:r>
        <w:rPr>
          <w:spacing w:val="-81"/>
        </w:rPr>
      </w:r>
      <w:r>
        <w:rPr/>
        <w:t>则进行会计处理的，其他综合收益和其他所有者权益全部结转。</w:t>
      </w:r>
    </w:p>
    <w:p>
      <w:pPr>
        <w:pStyle w:val="Heading5"/>
        <w:spacing w:line="273" w:lineRule="auto"/>
        <w:ind w:right="1131" w:firstLine="420"/>
        <w:jc w:val="both"/>
      </w:pPr>
      <w:r>
        <w:rPr>
          <w:spacing w:val="-1"/>
        </w:rPr>
        <w:t>本公司因处置部分股权投资丧失了对被投资单位的共同控制或重大影响的，处置后的剩余股权改按金</w:t>
      </w:r>
      <w:r>
        <w:rPr/>
        <w:t> </w:t>
      </w: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外的其他所有者权益变动而确认的所有者权益，在终止采用权益法时全部转入当期投资收益。</w:t>
      </w:r>
    </w:p>
    <w:p>
      <w:pPr>
        <w:pStyle w:val="Heading5"/>
        <w:spacing w:line="273" w:lineRule="auto"/>
        <w:ind w:right="1110" w:firstLine="420"/>
        <w:jc w:val="both"/>
      </w:pPr>
      <w:r>
        <w:rPr/>
        <w:t>本公司通过多次交易分步处置对子公司股权投资直至丧失控制权，如果上述交易属于一揽子交易的， </w:t>
      </w:r>
      <w:r>
        <w:rPr>
          <w:spacing w:val="-1"/>
        </w:rPr>
        <w:t>将各项交易作为一项处置子公司股权投资并丧失控制权的交易进行会计处理，在丧失控制权之前每一次处</w:t>
      </w:r>
      <w:r>
        <w:rPr>
          <w:spacing w:val="-81"/>
        </w:rPr>
        <w:t> </w:t>
      </w:r>
      <w:r>
        <w:rPr>
          <w:spacing w:val="-81"/>
        </w:rPr>
      </w:r>
      <w:r>
        <w:rPr>
          <w:spacing w:val="-1"/>
        </w:rPr>
        <w:t>置价款与所处置的股权对应的长期股权投资账面价值之间的差额，先确认为其他综合收益，到丧失控制权</w:t>
      </w:r>
      <w:r>
        <w:rPr>
          <w:spacing w:val="-81"/>
        </w:rPr>
        <w:t> </w:t>
      </w:r>
      <w:r>
        <w:rPr>
          <w:spacing w:val="-81"/>
        </w:rPr>
      </w:r>
      <w:r>
        <w:rPr/>
        <w:t>时再一并转入丧失控制权的当期损益。</w:t>
      </w:r>
    </w:p>
    <w:p>
      <w:pPr>
        <w:spacing w:after="0" w:line="273" w:lineRule="auto"/>
        <w:jc w:val="both"/>
        <w:sectPr>
          <w:pgSz w:w="11910" w:h="16840"/>
          <w:pgMar w:header="787" w:footer="1019" w:top="1100" w:bottom="1200" w:left="980" w:right="0"/>
        </w:sectPr>
      </w:pPr>
    </w:p>
    <w:p>
      <w:pPr>
        <w:spacing w:line="240" w:lineRule="auto" w:before="8"/>
        <w:rPr>
          <w:rFonts w:ascii="宋体" w:hAnsi="宋体" w:cs="宋体" w:eastAsia="宋体" w:hint="default"/>
          <w:sz w:val="21"/>
          <w:szCs w:val="21"/>
        </w:rPr>
      </w:pPr>
    </w:p>
    <w:p>
      <w:pPr>
        <w:pStyle w:val="Heading4"/>
        <w:spacing w:line="240" w:lineRule="auto" w:before="35"/>
        <w:ind w:right="0"/>
        <w:jc w:val="left"/>
        <w:rPr>
          <w:b w:val="0"/>
          <w:bCs w:val="0"/>
        </w:rPr>
      </w:pPr>
      <w:bookmarkStart w:name="15、投资性房地产" w:id="188"/>
      <w:bookmarkEnd w:id="188"/>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8952"/>
        <w:jc w:val="left"/>
      </w:pPr>
      <w:r>
        <w:rPr/>
        <w:t>投资性房地产计量模式 成本法计量 折旧或摊销方法</w:t>
      </w:r>
    </w:p>
    <w:p>
      <w:pPr>
        <w:pStyle w:val="Heading5"/>
        <w:spacing w:line="273" w:lineRule="auto" w:before="0"/>
        <w:ind w:right="1110" w:firstLine="420"/>
        <w:jc w:val="both"/>
      </w:pPr>
      <w:r>
        <w:rPr/>
        <w:t>投资性房地产是指为赚取租金或资本增值，或两者兼有而持有的房地产。包括已出租的土地使用权、 持有并准备增值后转让的土地使用权、已出租的建筑物等。</w:t>
      </w:r>
    </w:p>
    <w:p>
      <w:pPr>
        <w:pStyle w:val="Heading5"/>
        <w:spacing w:line="273" w:lineRule="auto"/>
        <w:ind w:right="1110" w:firstLine="420"/>
        <w:jc w:val="right"/>
      </w:pPr>
      <w:r>
        <w:rPr>
          <w:spacing w:val="-1"/>
        </w:rPr>
        <w:t>投资性房地产按成本进行初始计量。与投资性房地产有关的后续支出，如果与该资产有关的经济利益</w:t>
      </w:r>
      <w:r>
        <w:rPr/>
        <w:t> 很可能流入且其成本能可靠地计量，则计入投资性房地产成本。其他后续支出，在发生时计入当期损益。 </w:t>
      </w:r>
      <w:r>
        <w:rPr>
          <w:spacing w:val="-1"/>
        </w:rPr>
        <w:t>本公司采用成本模式对投资性房地产进行后续计量，并按照与房屋建筑物或土地使用权一致的政策进</w:t>
      </w:r>
    </w:p>
    <w:p>
      <w:pPr>
        <w:pStyle w:val="Heading5"/>
        <w:spacing w:line="273" w:lineRule="auto"/>
        <w:ind w:left="574" w:right="2376" w:hanging="420"/>
        <w:jc w:val="left"/>
      </w:pPr>
      <w:r>
        <w:rPr/>
        <w:t>行折旧或摊销。 投资性房地产的减值测试方法和减值准备计提方法详见附注</w:t>
      </w:r>
      <w:r>
        <w:rPr>
          <w:rFonts w:ascii="Times New Roman" w:hAnsi="Times New Roman" w:cs="Times New Roman" w:eastAsia="Times New Roman" w:hint="default"/>
        </w:rPr>
        <w:t>“</w:t>
      </w:r>
      <w:r>
        <w:rPr/>
        <w:t>四、</w:t>
      </w:r>
      <w:r>
        <w:rPr>
          <w:rFonts w:ascii="Times New Roman" w:hAnsi="Times New Roman" w:cs="Times New Roman" w:eastAsia="Times New Roman" w:hint="default"/>
        </w:rPr>
        <w:t>20</w:t>
      </w:r>
      <w:r>
        <w:rPr/>
        <w:t>、长期资产减值</w:t>
      </w:r>
      <w:r>
        <w:rPr>
          <w:rFonts w:ascii="Times New Roman" w:hAnsi="Times New Roman" w:cs="Times New Roman" w:eastAsia="Times New Roman" w:hint="default"/>
        </w:rPr>
        <w:t>”</w:t>
      </w:r>
      <w:r>
        <w:rPr/>
        <w:t>。</w:t>
      </w:r>
    </w:p>
    <w:p>
      <w:pPr>
        <w:pStyle w:val="Heading5"/>
        <w:spacing w:line="273" w:lineRule="auto" w:before="0"/>
        <w:ind w:right="1132" w:firstLine="420"/>
        <w:jc w:val="both"/>
      </w:pPr>
      <w:r>
        <w:rPr>
          <w:spacing w:val="-1"/>
        </w:rPr>
        <w:t>自用房地产或存货转换为投资性房地产或投资性房地产转换为自用房地产时，按转换前的账面价值作</w:t>
      </w:r>
      <w:r>
        <w:rPr/>
        <w:t> 为转换后的入账价值。</w:t>
      </w:r>
    </w:p>
    <w:p>
      <w:pPr>
        <w:pStyle w:val="Heading5"/>
        <w:spacing w:line="273" w:lineRule="auto"/>
        <w:ind w:right="1110" w:firstLine="420"/>
        <w:jc w:val="both"/>
      </w:pPr>
      <w:r>
        <w:rPr/>
        <w:t>投资性房地产的用途改变为自用时，自改变之日起，将该投资性房地产转换为固定资产或无形资产。 </w:t>
      </w:r>
      <w:r>
        <w:rPr>
          <w:spacing w:val="-1"/>
        </w:rPr>
        <w:t>自用房地产的用途改变为赚取租金或资本增值时，自改变之日起，将固定资产或无形资产转换为投资性房</w:t>
      </w:r>
      <w:r>
        <w:rPr>
          <w:spacing w:val="-81"/>
        </w:rPr>
        <w:t> </w:t>
      </w:r>
      <w:r>
        <w:rPr>
          <w:spacing w:val="-81"/>
        </w:rPr>
      </w:r>
      <w:r>
        <w:rPr/>
        <w:t>地产。</w:t>
      </w:r>
    </w:p>
    <w:p>
      <w:pPr>
        <w:pStyle w:val="Heading5"/>
        <w:spacing w:line="273" w:lineRule="auto"/>
        <w:ind w:right="1131" w:firstLine="420"/>
        <w:jc w:val="both"/>
      </w:pPr>
      <w:r>
        <w:rPr>
          <w:spacing w:val="-1"/>
        </w:rPr>
        <w:t>当投资性房地产被处置、或者永久退出使用且预计不能从其处置中取得经济利益时，终止确认该项投</w:t>
      </w:r>
      <w:r>
        <w:rPr/>
        <w:t> </w:t>
      </w:r>
      <w:r>
        <w:rPr>
          <w:spacing w:val="-1"/>
        </w:rPr>
        <w:t>资性房地产。投资性房地产出售、转让、报废或毁损的处置收入扣除其账面价值和相关税费后计入当期损</w:t>
      </w:r>
      <w:r>
        <w:rPr>
          <w:spacing w:val="-83"/>
        </w:rPr>
        <w:t> </w:t>
      </w:r>
      <w:r>
        <w:rPr>
          <w:spacing w:val="-83"/>
        </w:rPr>
      </w:r>
      <w:r>
        <w:rPr/>
        <w:t>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left"/>
        <w:rPr>
          <w:b w:val="0"/>
          <w:bCs w:val="0"/>
        </w:rPr>
      </w:pPr>
      <w:bookmarkStart w:name="16、固定资产" w:id="189"/>
      <w:bookmarkEnd w:id="189"/>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确认条件" w:id="190"/>
      <w:bookmarkEnd w:id="190"/>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4"/>
          <w:szCs w:val="24"/>
        </w:rPr>
      </w:pPr>
    </w:p>
    <w:p>
      <w:pPr>
        <w:pStyle w:val="Heading5"/>
        <w:spacing w:line="273" w:lineRule="auto" w:before="0"/>
        <w:ind w:right="1131" w:firstLine="420"/>
        <w:jc w:val="both"/>
      </w:pPr>
      <w:r>
        <w:rPr>
          <w:spacing w:val="-1"/>
        </w:rPr>
        <w:t>固定资产是指为生产商品、提供劳务、出租或经营管理而持有的，使用寿命超过一个会计年度的有形</w:t>
      </w:r>
      <w:r>
        <w:rPr/>
        <w:t> </w:t>
      </w:r>
      <w:r>
        <w:rPr>
          <w:spacing w:val="-1"/>
        </w:rPr>
        <w:t>资产。固定资产仅在与其有关的经济利益很可能流入本公司，且其成本能够可靠地计量时才予以确认。固</w:t>
      </w:r>
      <w:r>
        <w:rPr>
          <w:spacing w:val="-83"/>
        </w:rPr>
        <w:t> </w:t>
      </w:r>
      <w:r>
        <w:rPr>
          <w:spacing w:val="-83"/>
        </w:rPr>
      </w:r>
      <w:r>
        <w:rPr/>
        <w:t>定资产按成本并考虑预计弃置费用因素的影响进行初始计量。</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2）折旧方法" w:id="191"/>
      <w:bookmarkEnd w:id="191"/>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节能专用设备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主要受益期</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left"/>
        <w:rPr>
          <w:b w:val="0"/>
          <w:bCs w:val="0"/>
        </w:rPr>
      </w:pPr>
      <w:bookmarkStart w:name="（3）融资租入固定资产的认定依据、计价和折旧方法" w:id="192"/>
      <w:bookmarkEnd w:id="192"/>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4"/>
          <w:szCs w:val="24"/>
        </w:rPr>
      </w:pPr>
    </w:p>
    <w:p>
      <w:pPr>
        <w:pStyle w:val="Heading5"/>
        <w:spacing w:line="273" w:lineRule="auto" w:before="0"/>
        <w:ind w:right="1131" w:firstLine="420"/>
        <w:jc w:val="both"/>
      </w:pPr>
      <w:r>
        <w:rPr>
          <w:spacing w:val="-1"/>
        </w:rPr>
        <w:t>融资租赁为实质上转移了与资产所有权有关的全部风险和报酬的租赁，其所有权最终可能转移，也可</w:t>
      </w:r>
      <w:r>
        <w:rPr/>
        <w:t> </w:t>
      </w:r>
      <w:r>
        <w:rPr>
          <w:spacing w:val="-1"/>
        </w:rPr>
        <w:t>能不转移。以融资租赁方式租入的固定资产采用与自有固定资产一致的政策计提租赁资产折旧。能够合理</w:t>
      </w:r>
      <w:r>
        <w:rPr>
          <w:spacing w:val="-81"/>
        </w:rPr>
        <w:t> </w:t>
      </w:r>
      <w:r>
        <w:rPr>
          <w:spacing w:val="-81"/>
        </w:rPr>
      </w:r>
      <w:r>
        <w:rPr>
          <w:spacing w:val="-1"/>
        </w:rPr>
        <w:t>确定租赁期届满时取得租赁资产所有权的，在租赁资产使用寿命内计提折旧；无法合理确定租赁期届满能</w:t>
      </w:r>
    </w:p>
    <w:p>
      <w:pPr>
        <w:spacing w:after="0" w:line="273" w:lineRule="auto"/>
        <w:jc w:val="both"/>
        <w:sectPr>
          <w:pgSz w:w="11910" w:h="16840"/>
          <w:pgMar w:header="787" w:footer="1019" w:top="1100" w:bottom="1200" w:left="980" w:right="0"/>
        </w:sectPr>
      </w:pPr>
    </w:p>
    <w:p>
      <w:pPr>
        <w:spacing w:line="240" w:lineRule="auto" w:before="7"/>
        <w:rPr>
          <w:rFonts w:ascii="宋体" w:hAnsi="宋体" w:cs="宋体" w:eastAsia="宋体" w:hint="default"/>
          <w:sz w:val="21"/>
          <w:szCs w:val="21"/>
        </w:rPr>
      </w:pPr>
    </w:p>
    <w:p>
      <w:pPr>
        <w:pStyle w:val="Heading5"/>
        <w:spacing w:line="240" w:lineRule="auto" w:before="35"/>
        <w:ind w:left="474" w:right="1092"/>
        <w:jc w:val="left"/>
      </w:pPr>
      <w:r>
        <w:rPr/>
        <w:t>够取得租赁资产所有权的，在租赁期与租赁资产使用寿命两者中较短的期间内计提折旧。</w:t>
      </w:r>
    </w:p>
    <w:p>
      <w:pPr>
        <w:spacing w:line="240" w:lineRule="auto" w:before="11"/>
        <w:rPr>
          <w:rFonts w:ascii="宋体" w:hAnsi="宋体" w:cs="宋体" w:eastAsia="宋体" w:hint="default"/>
          <w:sz w:val="25"/>
          <w:szCs w:val="25"/>
        </w:rPr>
      </w:pPr>
    </w:p>
    <w:p>
      <w:pPr>
        <w:pStyle w:val="Heading4"/>
        <w:spacing w:line="240" w:lineRule="auto"/>
        <w:ind w:left="474" w:right="1092"/>
        <w:jc w:val="left"/>
        <w:rPr>
          <w:b w:val="0"/>
          <w:bCs w:val="0"/>
        </w:rPr>
      </w:pPr>
      <w:bookmarkStart w:name="17、在建工程" w:id="193"/>
      <w:bookmarkEnd w:id="193"/>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474" w:right="7692"/>
        <w:jc w:val="left"/>
      </w:pPr>
      <w:r>
        <w:rPr/>
        <w:t>公司是否需要遵守特殊行业的披露要求 是</w:t>
      </w:r>
    </w:p>
    <w:p>
      <w:pPr>
        <w:pStyle w:val="BodyText"/>
        <w:spacing w:line="240" w:lineRule="auto" w:before="29"/>
        <w:ind w:left="474" w:right="1092"/>
        <w:jc w:val="left"/>
      </w:pPr>
      <w:r>
        <w:rPr/>
        <w:t>软件与信息技术服务业</w:t>
      </w:r>
    </w:p>
    <w:p>
      <w:pPr>
        <w:pStyle w:val="Heading5"/>
        <w:spacing w:line="273" w:lineRule="auto" w:before="89"/>
        <w:ind w:left="474" w:right="1131" w:firstLine="420"/>
        <w:jc w:val="both"/>
      </w:pPr>
      <w:r>
        <w:rPr>
          <w:spacing w:val="-1"/>
        </w:rPr>
        <w:t>在建工程成本按实际工程支出确定，包括在建期间发生的各项工程支出、工程达到预定可使用状态前</w:t>
      </w:r>
      <w:r>
        <w:rPr/>
        <w:t> 的资本化的借款费用以及其他相关费用等。在建工程在达到预定可使用状态后结转为固定资产。</w:t>
      </w:r>
    </w:p>
    <w:p>
      <w:pPr>
        <w:pStyle w:val="Heading5"/>
        <w:tabs>
          <w:tab w:pos="473" w:val="left" w:leader="none"/>
        </w:tabs>
        <w:spacing w:line="240" w:lineRule="auto"/>
        <w:ind w:left="114" w:right="1092"/>
        <w:jc w:val="left"/>
      </w:pPr>
      <w:r>
        <w:rPr>
          <w:rFonts w:ascii="宋体" w:hAnsi="宋体" w:cs="宋体" w:eastAsia="宋体" w:hint="default"/>
        </w:rPr>
        <w:t>3</w:t>
        <w:tab/>
      </w:r>
      <w:r>
        <w:rPr/>
        <w:t>在建工程的减值测试方法和减值准备计提方法详见附注</w:t>
      </w:r>
      <w:r>
        <w:rPr>
          <w:rFonts w:ascii="Times New Roman" w:hAnsi="Times New Roman" w:cs="Times New Roman" w:eastAsia="Times New Roman" w:hint="default"/>
        </w:rPr>
        <w:t>“</w:t>
      </w:r>
      <w:r>
        <w:rPr/>
        <w:t>五、</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left="474" w:right="1092"/>
        <w:jc w:val="left"/>
        <w:rPr>
          <w:b w:val="0"/>
          <w:bCs w:val="0"/>
        </w:rPr>
      </w:pPr>
      <w:bookmarkStart w:name="18、借款费用" w:id="194"/>
      <w:bookmarkEnd w:id="194"/>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4"/>
          <w:szCs w:val="24"/>
        </w:rPr>
      </w:pPr>
    </w:p>
    <w:p>
      <w:pPr>
        <w:pStyle w:val="Heading5"/>
        <w:spacing w:line="273" w:lineRule="auto" w:before="0"/>
        <w:ind w:left="474" w:right="1131" w:firstLine="420"/>
        <w:jc w:val="both"/>
      </w:pPr>
      <w:r>
        <w:rPr>
          <w:spacing w:val="-1"/>
        </w:rPr>
        <w:t>借款费用包括借款利息、折价或溢价的摊销、辅助费用以及因外币借款而发生的汇兑差额等。可直接</w:t>
      </w:r>
      <w:r>
        <w:rPr/>
        <w:t> </w:t>
      </w:r>
      <w:r>
        <w:rPr>
          <w:spacing w:val="-1"/>
        </w:rPr>
        <w:t>归属于符合资本化条件的资产的购建或者生产的借款费用，在资产支出已经发生、借款费用已经发生、为</w:t>
      </w:r>
      <w:r>
        <w:rPr>
          <w:spacing w:val="-83"/>
        </w:rPr>
        <w:t> </w:t>
      </w:r>
      <w:r>
        <w:rPr>
          <w:spacing w:val="-83"/>
        </w:rPr>
      </w:r>
      <w:r>
        <w:rPr>
          <w:spacing w:val="-1"/>
        </w:rPr>
        <w:t>使资产达到预定可使用或可销售状态所必要的购建或生产活动已经开始时，开始资本化；构建或者生产的</w:t>
      </w:r>
      <w:r>
        <w:rPr>
          <w:spacing w:val="-81"/>
        </w:rPr>
        <w:t> </w:t>
      </w:r>
      <w:r>
        <w:rPr>
          <w:spacing w:val="-81"/>
        </w:rPr>
      </w:r>
      <w:r>
        <w:rPr>
          <w:spacing w:val="-1"/>
        </w:rPr>
        <w:t>符合资本化条件的资产达到预定可使用状态或者可销售状态时，停止资本化。其余借款费用在发生当期确</w:t>
      </w:r>
      <w:r>
        <w:rPr>
          <w:spacing w:val="-81"/>
        </w:rPr>
        <w:t> </w:t>
      </w:r>
      <w:r>
        <w:rPr>
          <w:spacing w:val="-81"/>
        </w:rPr>
      </w:r>
      <w:r>
        <w:rPr/>
        <w:t>认为费用。</w:t>
      </w:r>
    </w:p>
    <w:p>
      <w:pPr>
        <w:pStyle w:val="Heading5"/>
        <w:spacing w:line="273" w:lineRule="auto"/>
        <w:ind w:left="474" w:right="1131" w:firstLine="420"/>
        <w:jc w:val="both"/>
      </w:pPr>
      <w:r>
        <w:rPr>
          <w:spacing w:val="-1"/>
        </w:rPr>
        <w:t>专门借款当期实际发生的利息费用，减去尚未动用的借款资金存入银行取得的利息收入或进行暂时性</w:t>
      </w:r>
      <w:r>
        <w:rPr/>
        <w:t> </w:t>
      </w:r>
      <w:r>
        <w:rPr>
          <w:spacing w:val="-1"/>
        </w:rPr>
        <w:t>投资取得的投资收益后的金额予以资本化；一般借款根据累计资产支出超过专门借款部分的资产支出加权</w:t>
      </w:r>
      <w:r>
        <w:rPr>
          <w:spacing w:val="-81"/>
        </w:rPr>
        <w:t> </w:t>
      </w:r>
      <w:r>
        <w:rPr>
          <w:spacing w:val="-81"/>
        </w:rPr>
      </w:r>
      <w:r>
        <w:rPr>
          <w:spacing w:val="-1"/>
        </w:rPr>
        <w:t>平均数乘以所占用一般借款的资本化率，确定资本化金额。资本化率根据一般借款的加权平均利率计算确</w:t>
      </w:r>
      <w:r>
        <w:rPr>
          <w:spacing w:val="-81"/>
        </w:rPr>
        <w:t> </w:t>
      </w:r>
      <w:r>
        <w:rPr>
          <w:spacing w:val="-81"/>
        </w:rPr>
      </w:r>
      <w:r>
        <w:rPr/>
        <w:t>定。</w:t>
      </w:r>
    </w:p>
    <w:p>
      <w:pPr>
        <w:pStyle w:val="Heading5"/>
        <w:spacing w:line="273" w:lineRule="auto"/>
        <w:ind w:left="894" w:right="1092"/>
        <w:jc w:val="left"/>
      </w:pPr>
      <w:r>
        <w:rPr/>
        <w:t>资本化期间内，外币专门借款的汇兑差额全部予以资本化；外币一般借款的汇兑差额计入当期损益。 如果符合资本化条件的资产在购建或生产过程中发生非正常中断、并且中断时间连续超过</w:t>
      </w:r>
      <w:r>
        <w:rPr>
          <w:rFonts w:ascii="Times New Roman" w:hAnsi="Times New Roman" w:cs="Times New Roman" w:eastAsia="Times New Roman" w:hint="default"/>
        </w:rPr>
        <w:t>3</w:t>
      </w:r>
      <w:r>
        <w:rPr/>
        <w:t>个月的，</w:t>
      </w:r>
    </w:p>
    <w:p>
      <w:pPr>
        <w:pStyle w:val="Heading5"/>
        <w:spacing w:line="264" w:lineRule="exact" w:before="0"/>
        <w:ind w:left="474" w:right="1092"/>
        <w:jc w:val="left"/>
      </w:pPr>
      <w:r>
        <w:rPr/>
        <w:t>暂停借款费用的资本化，直至资产的购建或生产活动重新开始。</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left="474" w:right="1092"/>
        <w:jc w:val="left"/>
        <w:rPr>
          <w:b w:val="0"/>
          <w:bCs w:val="0"/>
        </w:rPr>
      </w:pPr>
      <w:bookmarkStart w:name="19、生物资产" w:id="195"/>
      <w:bookmarkEnd w:id="195"/>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4" w:right="1092"/>
        <w:jc w:val="left"/>
      </w:pPr>
      <w:r>
        <w:rPr/>
        <w:t>无</w:t>
      </w:r>
    </w:p>
    <w:p>
      <w:pPr>
        <w:spacing w:line="240" w:lineRule="auto" w:before="12"/>
        <w:rPr>
          <w:rFonts w:ascii="宋体" w:hAnsi="宋体" w:cs="宋体" w:eastAsia="宋体" w:hint="default"/>
          <w:sz w:val="26"/>
          <w:szCs w:val="26"/>
        </w:rPr>
      </w:pPr>
    </w:p>
    <w:p>
      <w:pPr>
        <w:pStyle w:val="Heading4"/>
        <w:spacing w:line="240" w:lineRule="auto"/>
        <w:ind w:left="474" w:right="1092"/>
        <w:jc w:val="left"/>
        <w:rPr>
          <w:b w:val="0"/>
          <w:bCs w:val="0"/>
        </w:rPr>
      </w:pPr>
      <w:bookmarkStart w:name="20、油气资产" w:id="196"/>
      <w:bookmarkEnd w:id="196"/>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74" w:right="1092"/>
        <w:jc w:val="left"/>
      </w:pPr>
      <w:r>
        <w:rPr/>
        <w:t>无</w:t>
      </w:r>
    </w:p>
    <w:p>
      <w:pPr>
        <w:spacing w:line="240" w:lineRule="auto" w:before="12"/>
        <w:rPr>
          <w:rFonts w:ascii="宋体" w:hAnsi="宋体" w:cs="宋体" w:eastAsia="宋体" w:hint="default"/>
          <w:sz w:val="26"/>
          <w:szCs w:val="26"/>
        </w:rPr>
      </w:pPr>
    </w:p>
    <w:p>
      <w:pPr>
        <w:pStyle w:val="Heading4"/>
        <w:spacing w:line="240" w:lineRule="auto"/>
        <w:ind w:left="474" w:right="1092"/>
        <w:jc w:val="left"/>
        <w:rPr>
          <w:b w:val="0"/>
          <w:bCs w:val="0"/>
        </w:rPr>
      </w:pPr>
      <w:bookmarkStart w:name="21、无形资产" w:id="197"/>
      <w:bookmarkEnd w:id="197"/>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474" w:right="1092"/>
        <w:jc w:val="left"/>
        <w:rPr>
          <w:b w:val="0"/>
          <w:bCs w:val="0"/>
        </w:rPr>
      </w:pPr>
      <w:bookmarkStart w:name="（1）计价方法、使用寿命、减值测试" w:id="198"/>
      <w:bookmarkEnd w:id="198"/>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4"/>
          <w:szCs w:val="24"/>
        </w:rPr>
      </w:pPr>
    </w:p>
    <w:p>
      <w:pPr>
        <w:pStyle w:val="Heading5"/>
        <w:spacing w:line="273" w:lineRule="auto" w:before="0"/>
        <w:ind w:left="894" w:right="1092"/>
        <w:jc w:val="left"/>
      </w:pPr>
      <w:r>
        <w:rPr/>
        <w:t>无形资产是指本公司拥有或者控制的没有实物形态的可辨认非货币性资产。 </w:t>
      </w:r>
      <w:r>
        <w:rPr>
          <w:spacing w:val="-1"/>
        </w:rPr>
        <w:t>无形资产按成本进行初始计量。与无形资产有关的支出，如果相关的经济利益很可能流入本公司且其</w:t>
      </w:r>
    </w:p>
    <w:p>
      <w:pPr>
        <w:pStyle w:val="Heading5"/>
        <w:spacing w:line="273" w:lineRule="auto"/>
        <w:ind w:left="894" w:right="1092" w:hanging="420"/>
        <w:jc w:val="left"/>
      </w:pPr>
      <w:r>
        <w:rPr/>
        <w:t>成本能可靠地计量，则计入无形资产成本。除此以外的其他项目的支出，在发生时计入当期损益。 </w:t>
      </w:r>
      <w:r>
        <w:rPr>
          <w:spacing w:val="-1"/>
        </w:rPr>
        <w:t>取得的土地使用权通常作为无形资产核算。自行开发建造厂房等建筑物，相关的土地使用权支出和建</w:t>
      </w:r>
    </w:p>
    <w:p>
      <w:pPr>
        <w:spacing w:after="0" w:line="273" w:lineRule="auto"/>
        <w:jc w:val="left"/>
        <w:sectPr>
          <w:pgSz w:w="11910" w:h="16840"/>
          <w:pgMar w:header="787" w:footer="1019" w:top="1100" w:bottom="1200" w:left="660" w:right="0"/>
        </w:sectPr>
      </w:pPr>
    </w:p>
    <w:p>
      <w:pPr>
        <w:spacing w:line="240" w:lineRule="auto" w:before="7"/>
        <w:rPr>
          <w:rFonts w:ascii="宋体" w:hAnsi="宋体" w:cs="宋体" w:eastAsia="宋体" w:hint="default"/>
          <w:sz w:val="21"/>
          <w:szCs w:val="21"/>
        </w:rPr>
      </w:pPr>
    </w:p>
    <w:p>
      <w:pPr>
        <w:pStyle w:val="Heading5"/>
        <w:spacing w:line="273" w:lineRule="auto" w:before="35"/>
        <w:ind w:right="0"/>
        <w:jc w:val="left"/>
      </w:pPr>
      <w:r>
        <w:rPr>
          <w:spacing w:val="-1"/>
        </w:rPr>
        <w:t>筑物建造成本则分别作为无形资产和固定资产核算。如为外购的房屋及建筑物，则将有关价款在土地使用</w:t>
      </w:r>
      <w:r>
        <w:rPr>
          <w:spacing w:val="-81"/>
        </w:rPr>
        <w:t> </w:t>
      </w:r>
      <w:r>
        <w:rPr>
          <w:spacing w:val="-81"/>
        </w:rPr>
      </w:r>
      <w:r>
        <w:rPr/>
        <w:t>权和建筑物之间进行分配，难以合理分配的，全部作为固定资产处理。</w:t>
      </w:r>
    </w:p>
    <w:p>
      <w:pPr>
        <w:pStyle w:val="Heading5"/>
        <w:spacing w:line="273" w:lineRule="auto"/>
        <w:ind w:right="0" w:firstLine="420"/>
        <w:jc w:val="left"/>
      </w:pPr>
      <w:r>
        <w:rPr>
          <w:spacing w:val="-1"/>
        </w:rPr>
        <w:t>使用寿命有限的无形资产自可供使用时起，对其原值减去预计净残值和已计提的减值准备累计金额在</w:t>
      </w:r>
      <w:r>
        <w:rPr/>
        <w:t> 其预计使用寿命内采用直线法分期平均摊销。使用寿命不确定的无形资产不予摊销。</w:t>
      </w:r>
    </w:p>
    <w:p>
      <w:pPr>
        <w:pStyle w:val="Heading5"/>
        <w:spacing w:line="240" w:lineRule="auto" w:before="8"/>
        <w:ind w:left="574" w:right="0"/>
        <w:jc w:val="left"/>
      </w:pPr>
      <w:r>
        <w:rPr/>
        <w:t>各项无形资产的使用寿命如下：</w:t>
      </w:r>
    </w:p>
    <w:p>
      <w:pPr>
        <w:spacing w:line="240" w:lineRule="auto" w:before="13"/>
        <w:rPr>
          <w:rFonts w:ascii="宋体" w:hAnsi="宋体" w:cs="宋体" w:eastAsia="宋体" w:hint="default"/>
          <w:sz w:val="3"/>
          <w:szCs w:val="3"/>
        </w:rPr>
      </w:pPr>
    </w:p>
    <w:tbl>
      <w:tblPr>
        <w:tblW w:w="0" w:type="auto"/>
        <w:jc w:val="left"/>
        <w:tblInd w:w="502" w:type="dxa"/>
        <w:tblLayout w:type="fixed"/>
        <w:tblCellMar>
          <w:top w:w="0" w:type="dxa"/>
          <w:left w:w="0" w:type="dxa"/>
          <w:bottom w:w="0" w:type="dxa"/>
          <w:right w:w="0" w:type="dxa"/>
        </w:tblCellMar>
        <w:tblLook w:val="01E0"/>
      </w:tblPr>
      <w:tblGrid>
        <w:gridCol w:w="4610"/>
        <w:gridCol w:w="4323"/>
      </w:tblGrid>
      <w:tr>
        <w:trPr>
          <w:trHeight w:val="342" w:hRule="exact"/>
        </w:trPr>
        <w:tc>
          <w:tcPr>
            <w:tcW w:w="4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使用寿命（年）</w:t>
            </w:r>
          </w:p>
        </w:tc>
      </w:tr>
      <w:tr>
        <w:trPr>
          <w:trHeight w:val="342" w:hRule="exact"/>
        </w:trPr>
        <w:tc>
          <w:tcPr>
            <w:tcW w:w="4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50</w:t>
            </w:r>
          </w:p>
        </w:tc>
      </w:tr>
      <w:tr>
        <w:trPr>
          <w:trHeight w:val="342" w:hRule="exact"/>
        </w:trPr>
        <w:tc>
          <w:tcPr>
            <w:tcW w:w="4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5"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r>
      <w:tr>
        <w:trPr>
          <w:trHeight w:val="342" w:hRule="exact"/>
        </w:trPr>
        <w:tc>
          <w:tcPr>
            <w:tcW w:w="4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5"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r>
      <w:tr>
        <w:trPr>
          <w:trHeight w:val="342" w:hRule="exact"/>
        </w:trPr>
        <w:tc>
          <w:tcPr>
            <w:tcW w:w="4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r>
      <w:tr>
        <w:trPr>
          <w:trHeight w:val="342" w:hRule="exact"/>
        </w:trPr>
        <w:tc>
          <w:tcPr>
            <w:tcW w:w="4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PPP</w:t>
            </w:r>
            <w:r>
              <w:rPr>
                <w:rFonts w:ascii="宋体" w:hAnsi="宋体" w:cs="宋体" w:eastAsia="宋体" w:hint="default"/>
                <w:sz w:val="18"/>
                <w:szCs w:val="18"/>
              </w:rPr>
              <w:t>项目收益权</w:t>
            </w:r>
          </w:p>
        </w:tc>
        <w:tc>
          <w:tcPr>
            <w:tcW w:w="4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合同约定受益期</w:t>
            </w:r>
          </w:p>
        </w:tc>
      </w:tr>
    </w:tbl>
    <w:p>
      <w:pPr>
        <w:pStyle w:val="Heading5"/>
        <w:spacing w:line="260" w:lineRule="exact" w:before="0"/>
        <w:ind w:right="0" w:firstLine="420"/>
        <w:jc w:val="left"/>
      </w:pPr>
      <w:r>
        <w:rPr/>
        <w:t>期末，对使用寿命有限的无形资产的使用寿命和摊销方法进行复核，如发生变更则作为会计估计变更</w:t>
      </w:r>
    </w:p>
    <w:p>
      <w:pPr>
        <w:pStyle w:val="Heading5"/>
        <w:spacing w:line="273" w:lineRule="auto" w:before="37"/>
        <w:ind w:right="1092"/>
        <w:jc w:val="left"/>
      </w:pPr>
      <w:r>
        <w:rPr>
          <w:spacing w:val="-1"/>
        </w:rPr>
        <w:t>处理。此外，还对使用寿命不确定的无形资产的使用寿命进行复核，如果有证据表明该无形资产为企业带</w:t>
      </w:r>
      <w:r>
        <w:rPr>
          <w:spacing w:val="-83"/>
        </w:rPr>
        <w:t> </w:t>
      </w:r>
      <w:r>
        <w:rPr>
          <w:spacing w:val="-83"/>
        </w:rPr>
      </w:r>
      <w:r>
        <w:rPr/>
        <w:t>来经济利益的期限是可预见的，则估计其使用寿命并按照使用寿命有限的无形资产的摊销政策进行摊销。</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left"/>
        <w:rPr>
          <w:b w:val="0"/>
          <w:bCs w:val="0"/>
        </w:rPr>
      </w:pPr>
      <w:bookmarkStart w:name="（2）内部研究开发支出会计政策" w:id="199"/>
      <w:bookmarkEnd w:id="199"/>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Heading5"/>
        <w:spacing w:line="273" w:lineRule="auto" w:before="0"/>
        <w:ind w:left="574" w:right="1118"/>
        <w:jc w:val="left"/>
      </w:pPr>
      <w:r>
        <w:rPr/>
        <w:t>本公司内部研究开发项目的支出分为研究阶段支出与开发阶段支出。 研究阶段的支出，于发生时计入当期损益。 </w:t>
      </w:r>
      <w:r>
        <w:rPr>
          <w:spacing w:val="-1"/>
        </w:rPr>
        <w:t>开发阶段的支出同时满足下列条件的，确认为无形资产，不能满足下述条件的开发阶段的支出计入当</w:t>
      </w:r>
    </w:p>
    <w:p>
      <w:pPr>
        <w:pStyle w:val="Heading5"/>
        <w:spacing w:line="240" w:lineRule="auto"/>
        <w:ind w:right="0"/>
        <w:jc w:val="left"/>
      </w:pPr>
      <w:r>
        <w:rPr/>
        <w:t>期损益：</w:t>
      </w:r>
    </w:p>
    <w:p>
      <w:pPr>
        <w:pStyle w:val="Heading5"/>
        <w:spacing w:line="240" w:lineRule="auto" w:before="37"/>
        <w:ind w:left="574" w:right="0"/>
        <w:jc w:val="left"/>
      </w:pPr>
      <w:r>
        <w:rPr/>
        <w:t>①完成该无形资产以使其能够使用或出售在技术上具有可行性；</w:t>
      </w:r>
    </w:p>
    <w:p>
      <w:pPr>
        <w:pStyle w:val="Heading5"/>
        <w:spacing w:line="240" w:lineRule="auto" w:before="37"/>
        <w:ind w:left="574" w:right="0"/>
        <w:jc w:val="left"/>
      </w:pPr>
      <w:r>
        <w:rPr/>
        <w:t>②具有完成该无形资产并使用或出售的意图；</w:t>
      </w:r>
    </w:p>
    <w:p>
      <w:pPr>
        <w:pStyle w:val="Heading5"/>
        <w:spacing w:line="273" w:lineRule="auto" w:before="37"/>
        <w:ind w:right="1132" w:firstLine="420"/>
        <w:jc w:val="both"/>
      </w:pPr>
      <w:r>
        <w:rPr>
          <w:spacing w:val="-1"/>
        </w:rPr>
        <w:t>③无形资产产生经济利益的方式，包括能够证明运用该无形资产生产的产品存在市场或无形资产自身</w:t>
      </w:r>
      <w:r>
        <w:rPr/>
        <w:t> 存在市场，无形资产将在内部使用的，能够证明其有用性；</w:t>
      </w:r>
    </w:p>
    <w:p>
      <w:pPr>
        <w:pStyle w:val="Heading5"/>
        <w:spacing w:line="273" w:lineRule="auto"/>
        <w:ind w:right="1131" w:firstLine="420"/>
        <w:jc w:val="both"/>
      </w:pPr>
      <w:r>
        <w:rPr>
          <w:spacing w:val="-1"/>
        </w:rPr>
        <w:t>④有足够的技术、财务资源和其他资源支持，以完成该无形资产的开发，并有能力使用或出售该无形</w:t>
      </w:r>
      <w:r>
        <w:rPr/>
        <w:t> 资产；</w:t>
      </w:r>
    </w:p>
    <w:p>
      <w:pPr>
        <w:pStyle w:val="Heading5"/>
        <w:spacing w:line="273" w:lineRule="auto"/>
        <w:ind w:left="574" w:right="2772"/>
        <w:jc w:val="left"/>
      </w:pPr>
      <w:r>
        <w:rPr/>
        <w:t>⑤归属于该无形资产开发阶段的支出能够可靠地计量。 无法区分研究阶段支出和开发阶段支出的，将发生的研发支出全部计入当期损益。</w:t>
      </w:r>
    </w:p>
    <w:p>
      <w:pPr>
        <w:pStyle w:val="Heading5"/>
        <w:spacing w:line="256" w:lineRule="auto"/>
        <w:ind w:left="574" w:right="2796"/>
        <w:jc w:val="left"/>
      </w:pPr>
      <w:r>
        <w:rPr/>
        <w:t>（</w:t>
      </w:r>
      <w:r>
        <w:rPr>
          <w:rFonts w:ascii="Times New Roman" w:hAnsi="Times New Roman" w:cs="Times New Roman" w:eastAsia="Times New Roman" w:hint="default"/>
        </w:rPr>
        <w:t>3</w:t>
      </w:r>
      <w:r>
        <w:rPr/>
        <w:t>）无形资产的减值测试方法及减值准备计提方法 无形资产的减值测试方法和减值准备计提方法详见附注</w:t>
      </w:r>
      <w:r>
        <w:rPr>
          <w:rFonts w:ascii="Times New Roman" w:hAnsi="Times New Roman" w:cs="Times New Roman" w:eastAsia="Times New Roman" w:hint="default"/>
        </w:rPr>
        <w:t>“</w:t>
      </w:r>
      <w:r>
        <w:rPr/>
        <w:t>五、</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24"/>
          <w:szCs w:val="24"/>
        </w:rPr>
      </w:pPr>
    </w:p>
    <w:p>
      <w:pPr>
        <w:pStyle w:val="Heading5"/>
        <w:spacing w:line="590" w:lineRule="atLeast" w:before="0"/>
        <w:ind w:left="574" w:right="1092" w:hanging="420"/>
        <w:jc w:val="left"/>
      </w:pPr>
      <w:bookmarkStart w:name="22、长期资产减值" w:id="200"/>
      <w:bookmarkEnd w:id="200"/>
      <w:r>
        <w:rPr/>
      </w:r>
      <w:r>
        <w:rPr>
          <w:rFonts w:ascii="Times New Roman" w:hAnsi="Times New Roman" w:cs="Times New Roman" w:eastAsia="Times New Roman" w:hint="default"/>
          <w:b/>
          <w:bCs/>
        </w:rPr>
        <w:t>22</w:t>
      </w:r>
      <w:r>
        <w:rPr>
          <w:rFonts w:ascii="宋体" w:hAnsi="宋体" w:cs="宋体" w:eastAsia="宋体" w:hint="default"/>
          <w:b/>
          <w:bCs/>
        </w:rPr>
        <w:t>、长期资产减值</w:t>
      </w:r>
      <w:r>
        <w:rPr>
          <w:rFonts w:ascii="宋体" w:hAnsi="宋体" w:cs="宋体" w:eastAsia="宋体" w:hint="default"/>
          <w:b/>
          <w:bCs/>
          <w:w w:val="99"/>
        </w:rPr>
        <w:t> </w:t>
      </w:r>
      <w:r>
        <w:rPr/>
        <w:t>对于固定资产、在建工程、使用寿命有限的无形资产、以成本模式计量的投资性房地产及对子公司、</w:t>
      </w:r>
    </w:p>
    <w:p>
      <w:pPr>
        <w:pStyle w:val="Heading5"/>
        <w:spacing w:line="273" w:lineRule="auto" w:before="37"/>
        <w:ind w:right="1023"/>
        <w:jc w:val="left"/>
      </w:pPr>
      <w:r>
        <w:rPr>
          <w:spacing w:val="-3"/>
        </w:rPr>
        <w:t>合营企业、联营企业的长期股权投资等非流动非金融资产，本公司于资产负债表日判断是否存在减值迹象。</w:t>
      </w:r>
      <w:r>
        <w:rPr>
          <w:spacing w:val="-92"/>
        </w:rPr>
        <w:t> </w:t>
      </w:r>
      <w:r>
        <w:rPr>
          <w:spacing w:val="-92"/>
        </w:rPr>
      </w:r>
      <w:r>
        <w:rPr/>
        <w:t>如存在减值迹象的，则估计其可收回金额，进行减值测试。商誉、使用寿命不确定的无形资产和尚未达到</w:t>
      </w:r>
      <w:r>
        <w:rPr/>
        <w:t> 可使用状态的无形资产，无论是否存在减值迹象，每年均进行减值测试。</w:t>
      </w:r>
    </w:p>
    <w:p>
      <w:pPr>
        <w:pStyle w:val="Heading5"/>
        <w:spacing w:line="273" w:lineRule="auto" w:before="8"/>
        <w:ind w:right="1131" w:firstLine="420"/>
        <w:jc w:val="both"/>
      </w:pPr>
      <w:r>
        <w:rPr>
          <w:spacing w:val="-1"/>
        </w:rPr>
        <w:t>减值测试结果表明资产的可收回金额低于其账面价值的，按其差额计提减值准备并计入减值损失。可</w:t>
      </w:r>
      <w:r>
        <w:rPr/>
        <w:t> </w:t>
      </w:r>
      <w:r>
        <w:rPr>
          <w:spacing w:val="-1"/>
        </w:rPr>
        <w:t>收回金额为资产的公允价值减去处置费用后的净额与资产预计未来现金流量的现值两者之间的较高者。资</w:t>
      </w:r>
      <w:r>
        <w:rPr>
          <w:spacing w:val="-81"/>
        </w:rPr>
        <w:t> </w:t>
      </w:r>
      <w:r>
        <w:rPr>
          <w:spacing w:val="-81"/>
        </w:rPr>
      </w:r>
      <w:r>
        <w:rPr>
          <w:spacing w:val="-1"/>
        </w:rPr>
        <w:t>产的公允价值根据公平交易中销售协议价格确定；不存在销售协议但存在资产活跃市场的，公允价值按照</w:t>
      </w:r>
      <w:r>
        <w:rPr>
          <w:spacing w:val="-81"/>
        </w:rPr>
        <w:t> </w:t>
      </w:r>
      <w:r>
        <w:rPr>
          <w:spacing w:val="-81"/>
        </w:rPr>
      </w:r>
      <w:r>
        <w:rPr>
          <w:spacing w:val="-1"/>
        </w:rPr>
        <w:t>该资产的买方出价确定；不存在销售协议和资产活跃市场的，则以可获取的最佳信息为基础估计资产的公</w:t>
      </w:r>
    </w:p>
    <w:p>
      <w:pPr>
        <w:spacing w:after="0" w:line="273" w:lineRule="auto"/>
        <w:jc w:val="both"/>
        <w:sectPr>
          <w:pgSz w:w="11910" w:h="16840"/>
          <w:pgMar w:header="787" w:footer="1019" w:top="1100" w:bottom="1200" w:left="980" w:right="0"/>
        </w:sectPr>
      </w:pPr>
    </w:p>
    <w:p>
      <w:pPr>
        <w:spacing w:line="240" w:lineRule="auto" w:before="7"/>
        <w:rPr>
          <w:rFonts w:ascii="宋体" w:hAnsi="宋体" w:cs="宋体" w:eastAsia="宋体" w:hint="default"/>
          <w:sz w:val="21"/>
          <w:szCs w:val="21"/>
        </w:rPr>
      </w:pPr>
    </w:p>
    <w:p>
      <w:pPr>
        <w:pStyle w:val="Heading5"/>
        <w:spacing w:line="273" w:lineRule="auto" w:before="35"/>
        <w:ind w:right="1110"/>
        <w:jc w:val="both"/>
      </w:pPr>
      <w:r>
        <w:rPr>
          <w:spacing w:val="-1"/>
        </w:rPr>
        <w:t>允价值。处置费用包括与资产处置有关的法律费用、相关税费、搬运费以及为使资产达到可销售状态所发</w:t>
      </w:r>
      <w:r>
        <w:rPr>
          <w:spacing w:val="-83"/>
        </w:rPr>
        <w:t> </w:t>
      </w:r>
      <w:r>
        <w:rPr>
          <w:spacing w:val="-83"/>
        </w:rPr>
      </w:r>
      <w:r>
        <w:rPr>
          <w:spacing w:val="-1"/>
        </w:rPr>
        <w:t>生的直接费用。资产预计未来现金流量的现值，按照资产在持续使用过程中和最终处置时所产生的预计未</w:t>
      </w:r>
      <w:r>
        <w:rPr>
          <w:spacing w:val="-81"/>
        </w:rPr>
        <w:t> </w:t>
      </w:r>
      <w:r>
        <w:rPr>
          <w:spacing w:val="-81"/>
        </w:rPr>
      </w:r>
      <w:r>
        <w:rPr>
          <w:spacing w:val="-1"/>
        </w:rPr>
        <w:t>来现金流量，选择恰当的折现率对其进行折现后的金额加以确定。资产减值准备按单项资产为基础计算并</w:t>
      </w:r>
      <w:r>
        <w:rPr>
          <w:spacing w:val="-81"/>
        </w:rPr>
        <w:t> </w:t>
      </w:r>
      <w:r>
        <w:rPr>
          <w:spacing w:val="-81"/>
        </w:rPr>
      </w:r>
      <w:r>
        <w:rPr/>
        <w:t>确认，如果难以对单项资产的可收回金额进行估计的，以该资产所属的资产组确定资产组的可收回金额。 资产组是能够独立产生现金流入的最小资产组合。</w:t>
      </w:r>
    </w:p>
    <w:p>
      <w:pPr>
        <w:pStyle w:val="Heading5"/>
        <w:spacing w:line="273" w:lineRule="auto"/>
        <w:ind w:right="1131" w:firstLine="420"/>
        <w:jc w:val="both"/>
      </w:pPr>
      <w:r>
        <w:rPr>
          <w:spacing w:val="-1"/>
        </w:rPr>
        <w:t>在财务报表中单独列示的商誉，在进行减值测试时，将商誉的账面价值分摊至预期从企业合并的协同</w:t>
      </w:r>
      <w:r>
        <w:rPr/>
        <w:t> </w:t>
      </w:r>
      <w:r>
        <w:rPr>
          <w:spacing w:val="-1"/>
        </w:rPr>
        <w:t>效应中受益的资产组或资产组组合。测试结果表明包含分摊的商誉的资产组或资产组组合的可收回金额低</w:t>
      </w:r>
      <w:r>
        <w:rPr>
          <w:spacing w:val="-81"/>
        </w:rPr>
        <w:t> </w:t>
      </w:r>
      <w:r>
        <w:rPr>
          <w:spacing w:val="-81"/>
        </w:rPr>
      </w:r>
      <w:r>
        <w:rPr>
          <w:spacing w:val="-1"/>
        </w:rPr>
        <w:t>于其账面价值的，确认相应的减值损失。减值损失金额先抵减分摊至该资产组或资产组组合的商誉的账面</w:t>
      </w:r>
      <w:r>
        <w:rPr>
          <w:spacing w:val="-81"/>
        </w:rPr>
        <w:t> </w:t>
      </w:r>
      <w:r>
        <w:rPr>
          <w:spacing w:val="-81"/>
        </w:rPr>
      </w:r>
      <w:r>
        <w:rPr>
          <w:spacing w:val="-1"/>
        </w:rPr>
        <w:t>价值，再根据资产组或资产组组合中除商誉以外的其他各项资产的账面价值所占比重，按比例抵减其他各</w:t>
      </w:r>
      <w:r>
        <w:rPr>
          <w:spacing w:val="-81"/>
        </w:rPr>
        <w:t> </w:t>
      </w:r>
      <w:r>
        <w:rPr>
          <w:spacing w:val="-81"/>
        </w:rPr>
      </w:r>
      <w:r>
        <w:rPr/>
        <w:t>项资产的账面价值。</w:t>
      </w:r>
    </w:p>
    <w:p>
      <w:pPr>
        <w:pStyle w:val="Heading5"/>
        <w:spacing w:line="240" w:lineRule="auto"/>
        <w:ind w:left="574" w:right="0"/>
        <w:jc w:val="left"/>
      </w:pPr>
      <w:r>
        <w:rPr/>
        <w:t>上述资产减值损失一经确认，以后期间不予转回价值得以恢复的部分。</w:t>
      </w:r>
    </w:p>
    <w:p>
      <w:pPr>
        <w:spacing w:line="240" w:lineRule="auto" w:before="11"/>
        <w:rPr>
          <w:rFonts w:ascii="宋体" w:hAnsi="宋体" w:cs="宋体" w:eastAsia="宋体" w:hint="default"/>
          <w:sz w:val="26"/>
          <w:szCs w:val="26"/>
        </w:rPr>
      </w:pPr>
    </w:p>
    <w:p>
      <w:pPr>
        <w:pStyle w:val="Heading5"/>
        <w:spacing w:line="590" w:lineRule="atLeast" w:before="0"/>
        <w:ind w:left="574" w:right="0" w:hanging="420"/>
        <w:jc w:val="left"/>
      </w:pPr>
      <w:bookmarkStart w:name="23、长期待摊费用" w:id="201"/>
      <w:bookmarkEnd w:id="201"/>
      <w:r>
        <w:rPr/>
      </w:r>
      <w:r>
        <w:rPr>
          <w:rFonts w:ascii="Times New Roman" w:hAnsi="Times New Roman" w:cs="Times New Roman" w:eastAsia="Times New Roman" w:hint="default"/>
          <w:b/>
          <w:bCs/>
        </w:rPr>
        <w:t>23</w:t>
      </w:r>
      <w:r>
        <w:rPr>
          <w:rFonts w:ascii="宋体" w:hAnsi="宋体" w:cs="宋体" w:eastAsia="宋体" w:hint="default"/>
          <w:b/>
          <w:bCs/>
        </w:rPr>
        <w:t>、长期待摊费用</w:t>
      </w:r>
      <w:r>
        <w:rPr>
          <w:rFonts w:ascii="宋体" w:hAnsi="宋体" w:cs="宋体" w:eastAsia="宋体" w:hint="default"/>
          <w:b/>
          <w:bCs/>
          <w:w w:val="99"/>
        </w:rPr>
        <w:t> </w:t>
      </w:r>
      <w:r>
        <w:rPr>
          <w:spacing w:val="-1"/>
        </w:rPr>
        <w:t>长期待摊费用为已经发生但应由报告期和以后各期负担的分摊期限在一年以上的各项费用。长期待摊</w:t>
      </w:r>
    </w:p>
    <w:p>
      <w:pPr>
        <w:pStyle w:val="Heading5"/>
        <w:spacing w:line="240" w:lineRule="auto" w:before="37"/>
        <w:ind w:right="0"/>
        <w:jc w:val="both"/>
      </w:pPr>
      <w:r>
        <w:rPr/>
        <w:t>费用在预计受益期间按直线法摊销。</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0"/>
        <w:jc w:val="both"/>
        <w:rPr>
          <w:b w:val="0"/>
          <w:bCs w:val="0"/>
        </w:rPr>
      </w:pPr>
      <w:bookmarkStart w:name="24、职工薪酬" w:id="202"/>
      <w:bookmarkEnd w:id="202"/>
      <w:r>
        <w:rPr>
          <w:b w:val="0"/>
          <w:bCs w:val="0"/>
        </w:rPr>
      </w:r>
      <w:r>
        <w:rPr>
          <w:rFonts w:ascii="Times New Roman" w:hAnsi="Times New Roman" w:cs="Times New Roman" w:eastAsia="Times New Roman" w:hint="default"/>
        </w:rPr>
        <w:t>24</w:t>
      </w:r>
      <w:r>
        <w:rPr/>
        <w:t>、职工薪酬</w:t>
      </w:r>
      <w:r>
        <w:rPr>
          <w:b w:val="0"/>
          <w:bCs w:val="0"/>
        </w:rPr>
      </w:r>
    </w:p>
    <w:p>
      <w:pPr>
        <w:spacing w:line="590" w:lineRule="atLeast" w:before="23"/>
        <w:ind w:left="574" w:right="1092" w:hanging="420"/>
        <w:jc w:val="left"/>
        <w:rPr>
          <w:rFonts w:ascii="宋体" w:hAnsi="宋体" w:cs="宋体" w:eastAsia="宋体" w:hint="default"/>
          <w:sz w:val="21"/>
          <w:szCs w:val="21"/>
        </w:rPr>
      </w:pPr>
      <w:bookmarkStart w:name="（1）短期薪酬的会计处理方法" w:id="203"/>
      <w:bookmarkEnd w:id="2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z w:val="21"/>
          <w:szCs w:val="21"/>
        </w:rPr>
        <w:t>短期薪酬主要包括工资、奖金、津贴和补贴、职工福利费、医疗保险费、生育保险费、工伤保险费、</w:t>
      </w:r>
    </w:p>
    <w:p>
      <w:pPr>
        <w:pStyle w:val="Heading5"/>
        <w:spacing w:line="273" w:lineRule="auto" w:before="37"/>
        <w:ind w:right="1131"/>
        <w:jc w:val="both"/>
      </w:pPr>
      <w:r>
        <w:rPr>
          <w:spacing w:val="-1"/>
        </w:rPr>
        <w:t>住房公积金、工会经费和职工教育经费、非货币性福利等。本公司在职工为本公司提供服务的会计期间将</w:t>
      </w:r>
      <w:r>
        <w:rPr>
          <w:spacing w:val="-83"/>
        </w:rPr>
        <w:t> </w:t>
      </w:r>
      <w:r>
        <w:rPr>
          <w:spacing w:val="-83"/>
        </w:rPr>
      </w:r>
      <w:r>
        <w:rPr>
          <w:spacing w:val="-1"/>
        </w:rPr>
        <w:t>实际发生的短期职工薪酬确认为负债，并计入当期损益或相关资产成本。其中非货币性福利按公允价值计</w:t>
      </w:r>
      <w:r>
        <w:rPr>
          <w:spacing w:val="-81"/>
        </w:rPr>
        <w:t> </w:t>
      </w:r>
      <w:r>
        <w:rPr>
          <w:spacing w:val="-81"/>
        </w:rPr>
      </w:r>
      <w:r>
        <w:rPr/>
        <w:t>量。</w:t>
      </w:r>
    </w:p>
    <w:p>
      <w:pPr>
        <w:spacing w:line="590" w:lineRule="atLeast" w:before="9"/>
        <w:ind w:left="574" w:right="1017" w:hanging="420"/>
        <w:jc w:val="left"/>
        <w:rPr>
          <w:rFonts w:ascii="宋体" w:hAnsi="宋体" w:cs="宋体" w:eastAsia="宋体" w:hint="default"/>
          <w:sz w:val="21"/>
          <w:szCs w:val="21"/>
        </w:rPr>
      </w:pPr>
      <w:bookmarkStart w:name="（2）离职后福利的会计处理方法" w:id="204"/>
      <w:bookmarkEnd w:id="2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离职后福利主要包括基本养老保险、失业保险等。离职后福利计划包括设定提存计划及设定受益计划。</w:t>
      </w:r>
    </w:p>
    <w:p>
      <w:pPr>
        <w:pStyle w:val="Heading5"/>
        <w:spacing w:line="273" w:lineRule="auto" w:before="37"/>
        <w:ind w:left="574" w:right="0"/>
        <w:jc w:val="left"/>
      </w:pPr>
      <w:r>
        <w:rPr/>
        <w:t>①设定提存计划 </w:t>
      </w:r>
      <w:r>
        <w:rPr>
          <w:spacing w:val="3"/>
        </w:rPr>
        <w:t>公司根据在资产负债表日为换取职工在会计期间提供的服务而向单独主体缴存的提存金，确认为负</w:t>
      </w:r>
    </w:p>
    <w:p>
      <w:pPr>
        <w:pStyle w:val="Heading5"/>
        <w:spacing w:line="240" w:lineRule="auto"/>
        <w:ind w:right="0"/>
        <w:jc w:val="both"/>
      </w:pPr>
      <w:r>
        <w:rPr/>
        <w:t>债，并按照受益对象计入当期损益或相关资产成本。</w:t>
      </w:r>
    </w:p>
    <w:p>
      <w:pPr>
        <w:pStyle w:val="Heading5"/>
        <w:spacing w:line="273" w:lineRule="auto" w:before="37"/>
        <w:ind w:left="574" w:right="1118"/>
        <w:jc w:val="left"/>
      </w:pPr>
      <w:r>
        <w:rPr/>
        <w:t>②设定受益计划 设定受益计划，是指除设定提存计划以外的离职后福利计划。会计处理包括下列步骤： </w:t>
      </w:r>
      <w:r>
        <w:rPr>
          <w:rFonts w:ascii="Times New Roman" w:hAnsi="Times New Roman" w:cs="Times New Roman" w:eastAsia="Times New Roman" w:hint="default"/>
        </w:rPr>
        <w:t>A</w:t>
      </w:r>
      <w:r>
        <w:rPr/>
        <w:t>．根据预期累计福利单位法，采用无偏且相互一致的精算假设对有关人口统计变量和财务变量等作</w:t>
      </w:r>
    </w:p>
    <w:p>
      <w:pPr>
        <w:pStyle w:val="Heading5"/>
        <w:spacing w:line="273" w:lineRule="auto" w:before="0"/>
        <w:ind w:right="1131"/>
        <w:jc w:val="both"/>
      </w:pPr>
      <w:r>
        <w:rPr>
          <w:spacing w:val="-1"/>
        </w:rPr>
        <w:t>出估计，计量设定受益计划所产生的义务，并确定相关义务的所属期间；公司对所有设定受益计划义务予</w:t>
      </w:r>
      <w:r>
        <w:rPr>
          <w:spacing w:val="-83"/>
        </w:rPr>
        <w:t> </w:t>
      </w:r>
      <w:r>
        <w:rPr>
          <w:spacing w:val="-83"/>
        </w:rPr>
      </w:r>
      <w:r>
        <w:rPr>
          <w:spacing w:val="-1"/>
        </w:rPr>
        <w:t>以折现，包括预期在职工提供服务的年度报告期间结束后的十二个月内支付的义务。折现时所采用的折现</w:t>
      </w:r>
      <w:r>
        <w:rPr>
          <w:spacing w:val="-81"/>
        </w:rPr>
        <w:t> </w:t>
      </w:r>
      <w:r>
        <w:rPr>
          <w:spacing w:val="-81"/>
        </w:rPr>
      </w:r>
      <w:r>
        <w:rPr>
          <w:spacing w:val="3"/>
        </w:rPr>
        <w:t>率根据资产负债表日与设定受益计划义务期限和币种相匹配的国债或活跃市场上的高质量公司债券的市</w:t>
      </w:r>
      <w:r>
        <w:rPr>
          <w:spacing w:val="-82"/>
        </w:rPr>
        <w:t> </w:t>
      </w:r>
      <w:r>
        <w:rPr>
          <w:spacing w:val="-82"/>
        </w:rPr>
      </w:r>
      <w:r>
        <w:rPr/>
        <w:t>场收益率确定；</w:t>
      </w:r>
    </w:p>
    <w:p>
      <w:pPr>
        <w:pStyle w:val="Heading5"/>
        <w:spacing w:line="266" w:lineRule="auto"/>
        <w:ind w:right="1131" w:firstLine="420"/>
        <w:jc w:val="both"/>
      </w:pPr>
      <w:r>
        <w:rPr>
          <w:rFonts w:ascii="Times New Roman" w:hAnsi="Times New Roman" w:cs="Times New Roman" w:eastAsia="Times New Roman" w:hint="default"/>
          <w:spacing w:val="-1"/>
        </w:rPr>
        <w:t>B.</w:t>
      </w:r>
      <w:r>
        <w:rPr>
          <w:spacing w:val="-1"/>
        </w:rPr>
        <w:t>设定受益计划存在资产的，将设定受益计划义务现值减去设定受益计划资产公允价值所形成的赤字</w:t>
      </w:r>
      <w:r>
        <w:rPr/>
        <w:t> </w:t>
      </w:r>
      <w:r>
        <w:rPr>
          <w:spacing w:val="-1"/>
        </w:rPr>
        <w:t>或盈余确认为一项设定受益计划净负债或净资产。设定受益计划存在盈余的，以设定受益计划的盈余和资</w:t>
      </w:r>
      <w:r>
        <w:rPr>
          <w:spacing w:val="-81"/>
        </w:rPr>
        <w:t> </w:t>
      </w:r>
      <w:r>
        <w:rPr>
          <w:spacing w:val="-81"/>
        </w:rPr>
      </w:r>
      <w:r>
        <w:rPr>
          <w:spacing w:val="-1"/>
        </w:rPr>
        <w:t>产上限两项的孰低者计量设定受益计划净资产。资产上限是指公司可从设定受益计划退款或减少未来对设</w:t>
      </w:r>
      <w:r>
        <w:rPr>
          <w:spacing w:val="-81"/>
        </w:rPr>
        <w:t> </w:t>
      </w:r>
      <w:r>
        <w:rPr>
          <w:spacing w:val="-81"/>
        </w:rPr>
      </w:r>
      <w:r>
        <w:rPr/>
        <w:t>定受益计划缴存资金而获得的经济利益的现值；</w:t>
      </w:r>
    </w:p>
    <w:p>
      <w:pPr>
        <w:spacing w:after="0" w:line="266" w:lineRule="auto"/>
        <w:jc w:val="both"/>
        <w:sectPr>
          <w:pgSz w:w="11910" w:h="16840"/>
          <w:pgMar w:header="787" w:footer="1019" w:top="1100" w:bottom="1200" w:left="980" w:right="0"/>
        </w:sectPr>
      </w:pPr>
    </w:p>
    <w:p>
      <w:pPr>
        <w:spacing w:line="240" w:lineRule="auto" w:before="7"/>
        <w:rPr>
          <w:rFonts w:ascii="宋体" w:hAnsi="宋体" w:cs="宋体" w:eastAsia="宋体" w:hint="default"/>
          <w:sz w:val="21"/>
          <w:szCs w:val="21"/>
        </w:rPr>
      </w:pPr>
    </w:p>
    <w:p>
      <w:pPr>
        <w:pStyle w:val="Heading5"/>
        <w:spacing w:line="268" w:lineRule="auto" w:before="35"/>
        <w:ind w:right="1131" w:firstLine="420"/>
        <w:jc w:val="both"/>
      </w:pPr>
      <w:r>
        <w:rPr>
          <w:rFonts w:ascii="Times New Roman" w:hAnsi="Times New Roman" w:cs="Times New Roman" w:eastAsia="Times New Roman" w:hint="default"/>
          <w:spacing w:val="-1"/>
        </w:rPr>
        <w:t>C.</w:t>
      </w:r>
      <w:r>
        <w:rPr>
          <w:spacing w:val="-1"/>
        </w:rPr>
        <w:t>期末，将设定受益计划产生的职工薪酬成本确认为服务成本、设定受益计划净负债或净资产的利息</w:t>
      </w:r>
      <w:r>
        <w:rPr/>
        <w:t> </w:t>
      </w:r>
      <w:r>
        <w:rPr>
          <w:spacing w:val="-1"/>
        </w:rPr>
        <w:t>净额以及重新计量设定受益计划净负债或净资产所产生的变动，其中服务成本和设定受益计划净负债或净</w:t>
      </w:r>
      <w:r>
        <w:rPr>
          <w:spacing w:val="-81"/>
        </w:rPr>
        <w:t> </w:t>
      </w:r>
      <w:r>
        <w:rPr>
          <w:spacing w:val="-81"/>
        </w:rPr>
      </w:r>
      <w:r>
        <w:rPr>
          <w:spacing w:val="-1"/>
        </w:rPr>
        <w:t>资产的利息净额计入当期损益或相关资产成本，重新计量设定受益计划净负债或净资产所产生的变动计入</w:t>
      </w:r>
      <w:r>
        <w:rPr>
          <w:spacing w:val="-81"/>
        </w:rPr>
        <w:t> </w:t>
      </w:r>
      <w:r>
        <w:rPr>
          <w:spacing w:val="-81"/>
        </w:rPr>
      </w:r>
      <w:r>
        <w:rPr>
          <w:spacing w:val="-1"/>
        </w:rPr>
        <w:t>其他综合收益，并且在后续会计期间不允许转回至损益，但可以在权益范围内转移这些在其他综合收益确</w:t>
      </w:r>
      <w:r>
        <w:rPr>
          <w:spacing w:val="-81"/>
        </w:rPr>
        <w:t> </w:t>
      </w:r>
      <w:r>
        <w:rPr>
          <w:spacing w:val="-81"/>
        </w:rPr>
      </w:r>
      <w:r>
        <w:rPr/>
        <w:t>认的金额；</w:t>
      </w:r>
    </w:p>
    <w:p>
      <w:pPr>
        <w:pStyle w:val="Heading5"/>
        <w:spacing w:line="240" w:lineRule="auto" w:before="12"/>
        <w:ind w:left="574" w:right="0"/>
        <w:jc w:val="left"/>
      </w:pPr>
      <w:r>
        <w:rPr>
          <w:rFonts w:ascii="Times New Roman" w:hAnsi="Times New Roman" w:cs="Times New Roman" w:eastAsia="Times New Roman" w:hint="default"/>
        </w:rPr>
        <w:t>D.</w:t>
      </w:r>
      <w:r>
        <w:rPr/>
        <w:t>在设定受益计划结算时，确认一项结算利得或损失。</w:t>
      </w:r>
    </w:p>
    <w:p>
      <w:pPr>
        <w:spacing w:line="240" w:lineRule="auto" w:before="8"/>
        <w:rPr>
          <w:rFonts w:ascii="宋体" w:hAnsi="宋体" w:cs="宋体" w:eastAsia="宋体" w:hint="default"/>
          <w:sz w:val="25"/>
          <w:szCs w:val="25"/>
        </w:rPr>
      </w:pPr>
    </w:p>
    <w:p>
      <w:pPr>
        <w:spacing w:line="590" w:lineRule="atLeast" w:before="0"/>
        <w:ind w:left="574" w:right="0" w:hanging="420"/>
        <w:jc w:val="left"/>
        <w:rPr>
          <w:rFonts w:ascii="宋体" w:hAnsi="宋体" w:cs="宋体" w:eastAsia="宋体" w:hint="default"/>
          <w:sz w:val="21"/>
          <w:szCs w:val="21"/>
        </w:rPr>
      </w:pPr>
      <w:bookmarkStart w:name="（3）辞退福利的会计处理方法" w:id="205"/>
      <w:bookmarkEnd w:id="2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在职工劳动合同到期之前解除与职工的劳动关系，或为鼓励职工自愿接受裁减而提出给予补偿的建</w:t>
      </w:r>
    </w:p>
    <w:p>
      <w:pPr>
        <w:pStyle w:val="Heading5"/>
        <w:spacing w:line="273" w:lineRule="auto" w:before="37"/>
        <w:ind w:right="1118"/>
        <w:jc w:val="left"/>
      </w:pPr>
      <w:r>
        <w:rPr>
          <w:spacing w:val="-1"/>
        </w:rPr>
        <w:t>议，在本公司不能单方面撤回因解除劳动关系计划或裁减建议所提供的辞退福利时，和本公司确认与涉及</w:t>
      </w:r>
      <w:r>
        <w:rPr>
          <w:spacing w:val="-81"/>
        </w:rPr>
        <w:t> </w:t>
      </w:r>
      <w:r>
        <w:rPr>
          <w:spacing w:val="-81"/>
        </w:rPr>
      </w:r>
      <w:r>
        <w:rPr>
          <w:spacing w:val="-1"/>
        </w:rPr>
        <w:t>支付辞退福利的重组相关的成本两者孰早日，确认辞退福利产生的职工薪酬负债，并计入当期损益。但辞</w:t>
      </w:r>
      <w:r>
        <w:rPr>
          <w:spacing w:val="-83"/>
        </w:rPr>
        <w:t> </w:t>
      </w:r>
      <w:r>
        <w:rPr>
          <w:spacing w:val="-83"/>
        </w:rPr>
      </w:r>
      <w:r>
        <w:rPr/>
        <w:t>退福利预期在年度报告期结束后十二个月不能完全支付的，按照其他长期职工薪酬处理。 </w:t>
      </w:r>
      <w:r>
        <w:rPr>
          <w:spacing w:val="-1"/>
        </w:rPr>
        <w:t>职工内部退休计划采用与上述辞退福利相同的原则处理。本公司将自职工停止提供服务日至正常退休日的</w:t>
      </w:r>
      <w:r>
        <w:rPr>
          <w:spacing w:val="-81"/>
        </w:rPr>
        <w:t> </w:t>
      </w:r>
      <w:r>
        <w:rPr>
          <w:spacing w:val="-81"/>
        </w:rPr>
      </w:r>
      <w:r>
        <w:rPr>
          <w:spacing w:val="-1"/>
        </w:rPr>
        <w:t>期间拟支付的内退人员工资和缴纳的社会保险费等，在符合预计负债确认条件时，计入当期损益（辞退福</w:t>
      </w:r>
      <w:r>
        <w:rPr>
          <w:spacing w:val="-83"/>
        </w:rPr>
        <w:t> </w:t>
      </w:r>
      <w:r>
        <w:rPr>
          <w:spacing w:val="-83"/>
        </w:rPr>
      </w:r>
      <w:r>
        <w:rPr/>
        <w:t>利）。</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4）其他长期职工福利的会计处理方法" w:id="206"/>
      <w:bookmarkEnd w:id="206"/>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4"/>
          <w:szCs w:val="24"/>
        </w:rPr>
      </w:pPr>
    </w:p>
    <w:p>
      <w:pPr>
        <w:pStyle w:val="Heading5"/>
        <w:spacing w:line="273" w:lineRule="auto" w:before="0"/>
        <w:ind w:right="0"/>
        <w:jc w:val="left"/>
      </w:pPr>
      <w:r>
        <w:rPr>
          <w:spacing w:val="-1"/>
        </w:rPr>
        <w:t>本公司向职工提供的其他长期职工福利，符合设定提存计划的，按照设定提存计划进行会计处理，除此之</w:t>
      </w:r>
      <w:r>
        <w:rPr>
          <w:spacing w:val="-83"/>
        </w:rPr>
        <w:t> </w:t>
      </w:r>
      <w:r>
        <w:rPr>
          <w:spacing w:val="-83"/>
        </w:rPr>
      </w:r>
      <w:r>
        <w:rPr/>
        <w:t>外按照设定受益计划进行会计处理。</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25、预计负债" w:id="207"/>
      <w:bookmarkEnd w:id="207"/>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4"/>
          <w:szCs w:val="24"/>
        </w:rPr>
      </w:pPr>
    </w:p>
    <w:p>
      <w:pPr>
        <w:pStyle w:val="Heading5"/>
        <w:spacing w:line="256" w:lineRule="auto" w:before="0"/>
        <w:ind w:right="1215" w:firstLine="420"/>
        <w:jc w:val="both"/>
      </w:pPr>
      <w:r>
        <w:rPr/>
        <w:t>当与或有事项相关的义务同时符合以下条件，确认为预计负债：（</w:t>
      </w:r>
      <w:r>
        <w:rPr>
          <w:rFonts w:ascii="Times New Roman" w:hAnsi="Times New Roman" w:cs="Times New Roman" w:eastAsia="Times New Roman" w:hint="default"/>
        </w:rPr>
        <w:t>1</w:t>
      </w:r>
      <w:r>
        <w:rPr/>
        <w:t>）该义务是本公司承担的现时义 务；（</w:t>
      </w:r>
      <w:r>
        <w:rPr>
          <w:rFonts w:ascii="Times New Roman" w:hAnsi="Times New Roman" w:cs="Times New Roman" w:eastAsia="Times New Roman" w:hint="default"/>
        </w:rPr>
        <w:t>2</w:t>
      </w:r>
      <w:r>
        <w:rPr/>
        <w:t>）履行该义务很可能导致经济利益流出；（</w:t>
      </w:r>
      <w:r>
        <w:rPr>
          <w:rFonts w:ascii="Times New Roman" w:hAnsi="Times New Roman" w:cs="Times New Roman" w:eastAsia="Times New Roman" w:hint="default"/>
        </w:rPr>
        <w:t>3</w:t>
      </w:r>
      <w:r>
        <w:rPr/>
        <w:t>）该义务的金额能够可靠地计量。</w:t>
      </w:r>
    </w:p>
    <w:p>
      <w:pPr>
        <w:pStyle w:val="Heading5"/>
        <w:spacing w:line="273" w:lineRule="auto" w:before="5"/>
        <w:ind w:right="1131" w:firstLine="420"/>
        <w:jc w:val="both"/>
      </w:pPr>
      <w:r>
        <w:rPr>
          <w:spacing w:val="-1"/>
        </w:rPr>
        <w:t>在资产负债表日，考虑与或有事项有关的风险、不确定性和货币时间价值等因素，按照履行相关现时</w:t>
      </w:r>
      <w:r>
        <w:rPr/>
        <w:t> 义务所需支出的最佳估计数对预计负债进行计量。</w:t>
      </w:r>
    </w:p>
    <w:p>
      <w:pPr>
        <w:pStyle w:val="Heading5"/>
        <w:spacing w:line="273" w:lineRule="auto"/>
        <w:ind w:right="1131" w:firstLine="420"/>
        <w:jc w:val="both"/>
      </w:pPr>
      <w:r>
        <w:rPr>
          <w:spacing w:val="-1"/>
        </w:rPr>
        <w:t>如果清偿预计负债所需支出全部或部分预期由第三方补偿的，补偿金额在基本确定能够收到时，作为</w:t>
      </w:r>
      <w:r>
        <w:rPr/>
        <w:t> 资产单独确认，且确认的补偿金额不超过预计负债的账面价值。</w:t>
      </w:r>
    </w:p>
    <w:p>
      <w:pPr>
        <w:pStyle w:val="Heading5"/>
        <w:spacing w:line="256" w:lineRule="auto"/>
        <w:ind w:left="574" w:right="1302"/>
        <w:jc w:val="left"/>
      </w:pPr>
      <w:r>
        <w:rPr/>
        <w:t>（</w:t>
      </w:r>
      <w:r>
        <w:rPr>
          <w:rFonts w:ascii="Times New Roman" w:hAnsi="Times New Roman" w:cs="Times New Roman" w:eastAsia="Times New Roman" w:hint="default"/>
        </w:rPr>
        <w:t>1</w:t>
      </w:r>
      <w:r>
        <w:rPr/>
        <w:t>）亏损合同 亏损合同是履行合同义务不可避免会发生的成本超过预期经济利益的合同。待执行合同变成亏损合</w:t>
      </w:r>
    </w:p>
    <w:p>
      <w:pPr>
        <w:pStyle w:val="Heading5"/>
        <w:spacing w:line="273" w:lineRule="auto" w:before="22"/>
        <w:ind w:right="0"/>
        <w:jc w:val="left"/>
      </w:pPr>
      <w:r>
        <w:rPr>
          <w:spacing w:val="-1"/>
        </w:rPr>
        <w:t>同，且该亏损合同产生的义务满足上述预计负债的确认条件的，将合同预计损失超过合同标的资产已确认</w:t>
      </w:r>
      <w:r>
        <w:rPr>
          <w:spacing w:val="-81"/>
        </w:rPr>
        <w:t> </w:t>
      </w:r>
      <w:r>
        <w:rPr>
          <w:spacing w:val="-81"/>
        </w:rPr>
      </w:r>
      <w:r>
        <w:rPr/>
        <w:t>的减值损失（如有）的部分，确认为预计负债。</w:t>
      </w:r>
    </w:p>
    <w:p>
      <w:pPr>
        <w:pStyle w:val="Heading5"/>
        <w:spacing w:line="256" w:lineRule="auto"/>
        <w:ind w:left="574" w:right="0"/>
        <w:jc w:val="left"/>
      </w:pPr>
      <w:r>
        <w:rPr/>
        <w:t>（</w:t>
      </w:r>
      <w:r>
        <w:rPr>
          <w:rFonts w:ascii="Times New Roman" w:hAnsi="Times New Roman" w:cs="Times New Roman" w:eastAsia="Times New Roman" w:hint="default"/>
        </w:rPr>
        <w:t>2</w:t>
      </w:r>
      <w:r>
        <w:rPr/>
        <w:t>）重组义务 </w:t>
      </w:r>
      <w:r>
        <w:rPr>
          <w:spacing w:val="-1"/>
        </w:rPr>
        <w:t>对于有详细、正式并且已经对外公告的重组计划，在满足前述预计负债的确认条件的情况下，按照与</w:t>
      </w:r>
    </w:p>
    <w:p>
      <w:pPr>
        <w:pStyle w:val="Heading5"/>
        <w:spacing w:line="240" w:lineRule="auto" w:before="22"/>
        <w:ind w:right="0"/>
        <w:jc w:val="left"/>
      </w:pPr>
      <w:r>
        <w:rPr/>
        <w:t>重组有关的直接支出确定预计负债金额。对于出售部分业务的重组义务，只有在本公司承诺出售部分业务</w:t>
      </w:r>
    </w:p>
    <w:p>
      <w:pPr>
        <w:pStyle w:val="Heading5"/>
        <w:spacing w:line="240" w:lineRule="auto" w:before="37"/>
        <w:ind w:right="0"/>
        <w:jc w:val="left"/>
      </w:pPr>
      <w:r>
        <w:rPr/>
        <w:t>（即签订了约束性出售协议时），才确认与重组相关的义务。</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4"/>
        <w:spacing w:line="240" w:lineRule="auto"/>
        <w:ind w:right="0"/>
        <w:jc w:val="left"/>
        <w:rPr>
          <w:b w:val="0"/>
          <w:bCs w:val="0"/>
        </w:rPr>
      </w:pPr>
      <w:bookmarkStart w:name="26、股份支付" w:id="208"/>
      <w:bookmarkEnd w:id="208"/>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4"/>
          <w:szCs w:val="24"/>
        </w:rPr>
      </w:pPr>
    </w:p>
    <w:p>
      <w:pPr>
        <w:pStyle w:val="Heading5"/>
        <w:spacing w:line="256" w:lineRule="auto" w:before="0"/>
        <w:ind w:left="574" w:right="1302"/>
        <w:jc w:val="left"/>
      </w:pPr>
      <w:r>
        <w:rPr/>
        <w:t>（</w:t>
      </w:r>
      <w:r>
        <w:rPr>
          <w:rFonts w:ascii="Times New Roman" w:hAnsi="Times New Roman" w:cs="Times New Roman" w:eastAsia="Times New Roman" w:hint="default"/>
        </w:rPr>
        <w:t>1</w:t>
      </w:r>
      <w:r>
        <w:rPr/>
        <w:t>）股份支付的会计处理方法 股份支付是为了获取职工或其他方提供服务而授予权益工具或者承担以权益工具为基础确定的负债</w:t>
      </w:r>
    </w:p>
    <w:p>
      <w:pPr>
        <w:spacing w:after="0" w:line="256" w:lineRule="auto"/>
        <w:jc w:val="left"/>
        <w:sectPr>
          <w:pgSz w:w="11910" w:h="16840"/>
          <w:pgMar w:header="787" w:footer="1019" w:top="1100" w:bottom="1200" w:left="980" w:right="0"/>
        </w:sectPr>
      </w:pPr>
    </w:p>
    <w:p>
      <w:pPr>
        <w:spacing w:line="240" w:lineRule="auto" w:before="7"/>
        <w:rPr>
          <w:rFonts w:ascii="宋体" w:hAnsi="宋体" w:cs="宋体" w:eastAsia="宋体" w:hint="default"/>
          <w:sz w:val="21"/>
          <w:szCs w:val="21"/>
        </w:rPr>
      </w:pPr>
    </w:p>
    <w:p>
      <w:pPr>
        <w:pStyle w:val="Heading5"/>
        <w:spacing w:line="240" w:lineRule="auto" w:before="35"/>
        <w:ind w:right="0"/>
        <w:jc w:val="both"/>
      </w:pPr>
      <w:r>
        <w:rPr/>
        <w:t>的交易。股份支付分为以权益结算的股份支付和以现金结算的股份支付。</w:t>
      </w:r>
    </w:p>
    <w:p>
      <w:pPr>
        <w:pStyle w:val="Heading5"/>
        <w:spacing w:line="273" w:lineRule="auto" w:before="37"/>
        <w:ind w:left="574" w:right="0"/>
        <w:jc w:val="left"/>
      </w:pPr>
      <w:r>
        <w:rPr/>
        <w:t>①以权益结算的股份支付 </w:t>
      </w:r>
      <w:r>
        <w:rPr>
          <w:spacing w:val="-1"/>
        </w:rPr>
        <w:t>授予后立即可行权的换取职工服务的以权益结算的股份支付，在授予日按照权益工具的公允价值计入</w:t>
      </w:r>
    </w:p>
    <w:p>
      <w:pPr>
        <w:pStyle w:val="Heading5"/>
        <w:spacing w:line="273" w:lineRule="auto"/>
        <w:ind w:right="1023"/>
        <w:jc w:val="left"/>
      </w:pPr>
      <w:r>
        <w:rPr/>
        <w:t>相关成本或费用，相应调整资本公积。完成等待期内的服务或达到规定业绩条件才可行权的换取职工服务 </w:t>
      </w:r>
      <w:r>
        <w:rPr>
          <w:spacing w:val="-3"/>
        </w:rPr>
        <w:t>的以权益结算的股份支付，在等待期内的每个资产负债表日，以对可行权权益工具数量的最佳估计为基础，</w:t>
      </w:r>
      <w:r>
        <w:rPr>
          <w:spacing w:val="-92"/>
        </w:rPr>
        <w:t> </w:t>
      </w:r>
      <w:r>
        <w:rPr>
          <w:spacing w:val="-92"/>
        </w:rPr>
      </w:r>
      <w:r>
        <w:rPr/>
        <w:t>按权益工具授予日的公允价值，将当期取得的服务计入相关成本或费用，相应调整资本公积。</w:t>
      </w:r>
    </w:p>
    <w:p>
      <w:pPr>
        <w:pStyle w:val="Heading5"/>
        <w:spacing w:line="273" w:lineRule="auto"/>
        <w:ind w:right="1109" w:firstLine="420"/>
        <w:jc w:val="both"/>
      </w:pPr>
      <w:r>
        <w:rPr/>
        <w:t>在等待期内每个资产负债表日，本公司根据最新取得的可行权职工人数变动等后续信息做出最佳估 计，修正预计可行权的权益工具数量。上述估计的影响计入当期相关成本或费用，并相应调整资本公积。</w:t>
      </w:r>
    </w:p>
    <w:p>
      <w:pPr>
        <w:pStyle w:val="Heading5"/>
        <w:spacing w:line="273" w:lineRule="auto"/>
        <w:ind w:right="1131" w:firstLine="420"/>
        <w:jc w:val="both"/>
      </w:pPr>
      <w:r>
        <w:rPr>
          <w:spacing w:val="-1"/>
        </w:rPr>
        <w:t>用以换取其他方服务的权益结算的股份支付，如果其他方服务的公允价值能够可靠计量，按照其他方</w:t>
      </w:r>
      <w:r>
        <w:rPr/>
        <w:t> </w:t>
      </w:r>
      <w:r>
        <w:rPr>
          <w:spacing w:val="-1"/>
        </w:rPr>
        <w:t>服务在取得日的公允价值计量，如果其他方服务的公允价值不能可靠计量，但权益工具的公允价值能够可</w:t>
      </w:r>
      <w:r>
        <w:rPr>
          <w:spacing w:val="-81"/>
        </w:rPr>
        <w:t> </w:t>
      </w:r>
      <w:r>
        <w:rPr>
          <w:spacing w:val="-81"/>
        </w:rPr>
      </w:r>
      <w:r>
        <w:rPr/>
        <w:t>靠计量的，按照权益工具在服务取得日的公允价值计量，计入相关成本或费用，相应增加股东权益。</w:t>
      </w:r>
    </w:p>
    <w:p>
      <w:pPr>
        <w:pStyle w:val="Heading5"/>
        <w:spacing w:line="273" w:lineRule="auto"/>
        <w:ind w:left="574" w:right="1302"/>
        <w:jc w:val="left"/>
      </w:pPr>
      <w:r>
        <w:rPr/>
        <w:t>②以现金结算的股份支付 以现金结算的股份支付，按照本公司承担的以股份或其他权益工具为基础确定的负债的公允价值计</w:t>
      </w:r>
    </w:p>
    <w:p>
      <w:pPr>
        <w:pStyle w:val="Heading5"/>
        <w:spacing w:line="273" w:lineRule="auto"/>
        <w:ind w:right="1131"/>
        <w:jc w:val="both"/>
      </w:pPr>
      <w:r>
        <w:rPr>
          <w:spacing w:val="-1"/>
        </w:rPr>
        <w:t>量。如授予后立即可行权，在授予日计入相关成本或费用，相应增加负债；如须完成等待期内的服务或达</w:t>
      </w:r>
      <w:r>
        <w:rPr>
          <w:spacing w:val="-86"/>
        </w:rPr>
        <w:t> </w:t>
      </w:r>
      <w:r>
        <w:rPr>
          <w:spacing w:val="-86"/>
        </w:rPr>
      </w:r>
      <w:r>
        <w:rPr>
          <w:spacing w:val="-1"/>
        </w:rPr>
        <w:t>到规定业绩条件以后才可行权，在等待期的每个资产负债表日，以对可行权情况的最佳估计为基础，按照</w:t>
      </w:r>
      <w:r>
        <w:rPr>
          <w:spacing w:val="-82"/>
        </w:rPr>
        <w:t> </w:t>
      </w:r>
      <w:r>
        <w:rPr>
          <w:spacing w:val="-82"/>
        </w:rPr>
      </w:r>
      <w:r>
        <w:rPr/>
        <w:t>本公司承担负债的公允价值金额，将当期取得的服务计入成本或费用，相应增加负债。</w:t>
      </w:r>
    </w:p>
    <w:p>
      <w:pPr>
        <w:pStyle w:val="Heading5"/>
        <w:spacing w:line="273" w:lineRule="auto"/>
        <w:ind w:right="1131" w:firstLine="420"/>
        <w:jc w:val="both"/>
      </w:pPr>
      <w:r>
        <w:rPr>
          <w:spacing w:val="-1"/>
        </w:rPr>
        <w:t>在相关负债结算前的每个资产负债表日以及结算日，对负债的公允价值重新计量，其变动计入当期损</w:t>
      </w:r>
      <w:r>
        <w:rPr/>
        <w:t> 益。</w:t>
      </w:r>
    </w:p>
    <w:p>
      <w:pPr>
        <w:pStyle w:val="Heading5"/>
        <w:spacing w:line="240" w:lineRule="auto"/>
        <w:ind w:left="574" w:right="0"/>
        <w:jc w:val="left"/>
      </w:pPr>
      <w:r>
        <w:rPr/>
        <w:t>（</w:t>
      </w:r>
      <w:r>
        <w:rPr>
          <w:rFonts w:ascii="Times New Roman" w:hAnsi="Times New Roman" w:cs="Times New Roman" w:eastAsia="Times New Roman" w:hint="default"/>
        </w:rPr>
        <w:t>2</w:t>
      </w:r>
      <w:r>
        <w:rPr/>
        <w:t>）权益工具公允价值的确定方法</w:t>
      </w:r>
    </w:p>
    <w:p>
      <w:pPr>
        <w:pStyle w:val="Heading5"/>
        <w:spacing w:line="240" w:lineRule="auto" w:before="21"/>
        <w:ind w:left="574" w:right="0"/>
        <w:jc w:val="left"/>
      </w:pPr>
      <w:r>
        <w:rPr/>
        <w:t>①存在活跃市场的，按照活跃市场中的报价确定。</w:t>
      </w:r>
    </w:p>
    <w:p>
      <w:pPr>
        <w:pStyle w:val="Heading5"/>
        <w:spacing w:line="273" w:lineRule="auto" w:before="37"/>
        <w:ind w:right="1131" w:firstLine="420"/>
        <w:jc w:val="both"/>
      </w:pPr>
      <w:r>
        <w:rPr>
          <w:spacing w:val="-1"/>
        </w:rPr>
        <w:t>②不存在活跃市场的，采用估值技术确定，包括参考熟悉情况并自愿交易的各方最近进行的市场交易</w:t>
      </w:r>
      <w:r>
        <w:rPr/>
        <w:t> 中使用的价格、参照实质上相同的其他金融工具的当前公允价值、现金流量折现法和期权定价模型等。</w:t>
      </w:r>
    </w:p>
    <w:p>
      <w:pPr>
        <w:pStyle w:val="Heading5"/>
        <w:spacing w:line="256" w:lineRule="auto" w:before="8"/>
        <w:ind w:left="574" w:right="0"/>
        <w:jc w:val="left"/>
      </w:pPr>
      <w:r>
        <w:rPr/>
        <w:t>（</w:t>
      </w:r>
      <w:r>
        <w:rPr>
          <w:rFonts w:ascii="Times New Roman" w:hAnsi="Times New Roman" w:cs="Times New Roman" w:eastAsia="Times New Roman" w:hint="default"/>
        </w:rPr>
        <w:t>3</w:t>
      </w:r>
      <w:r>
        <w:rPr/>
        <w:t>）修改、终止股份支付计划的相关会计处理 </w:t>
      </w:r>
      <w:r>
        <w:rPr>
          <w:spacing w:val="-1"/>
        </w:rPr>
        <w:t>本公司对股份支付计划进行修改时，若修改增加了所授予权益工具的公允价值，按照权益工具公允价</w:t>
      </w:r>
    </w:p>
    <w:p>
      <w:pPr>
        <w:pStyle w:val="Heading5"/>
        <w:spacing w:line="273" w:lineRule="auto" w:before="22"/>
        <w:ind w:right="1131"/>
        <w:jc w:val="both"/>
      </w:pPr>
      <w:r>
        <w:rPr>
          <w:spacing w:val="-1"/>
        </w:rPr>
        <w:t>值的增加相应确认取得服务的增加。权益工具公允价值的增加是指修改前后的权益工具在修改日的公允价</w:t>
      </w:r>
      <w:r>
        <w:rPr>
          <w:spacing w:val="-81"/>
        </w:rPr>
        <w:t> </w:t>
      </w:r>
      <w:r>
        <w:rPr>
          <w:spacing w:val="-81"/>
        </w:rPr>
      </w:r>
      <w:r>
        <w:rPr>
          <w:spacing w:val="-1"/>
        </w:rPr>
        <w:t>值之间的差额。若修改减少了股份支付公允价值总额或采用了其他不利于职工的方式，则仍继续对取得的</w:t>
      </w:r>
      <w:r>
        <w:rPr>
          <w:spacing w:val="-81"/>
        </w:rPr>
        <w:t> </w:t>
      </w:r>
      <w:r>
        <w:rPr>
          <w:spacing w:val="-81"/>
        </w:rPr>
      </w:r>
      <w:r>
        <w:rPr/>
        <w:t>服务进行会计处理，视同该变更从未发生，除非本公司取消了部分或全部已授予的权益工具。</w:t>
      </w:r>
    </w:p>
    <w:p>
      <w:pPr>
        <w:pStyle w:val="Heading5"/>
        <w:spacing w:line="273" w:lineRule="auto"/>
        <w:ind w:right="1131" w:firstLine="420"/>
        <w:jc w:val="both"/>
      </w:pPr>
      <w:r>
        <w:rPr>
          <w:spacing w:val="-1"/>
        </w:rPr>
        <w:t>在等待期内，如果取消了授予的权益工具，本公司对取消所授予的权益性工具作为加速行权处理，将</w:t>
      </w:r>
      <w:r>
        <w:rPr/>
        <w:t> 剩余等待期内应确认的金额立即计入当期损益，同时确认资本公积。</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both"/>
        <w:rPr>
          <w:b w:val="0"/>
          <w:bCs w:val="0"/>
        </w:rPr>
      </w:pPr>
      <w:bookmarkStart w:name="27、优先股、永续债等其他金融工具" w:id="209"/>
      <w:bookmarkEnd w:id="209"/>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4"/>
          <w:szCs w:val="24"/>
        </w:rPr>
      </w:pPr>
    </w:p>
    <w:p>
      <w:pPr>
        <w:pStyle w:val="Heading5"/>
        <w:spacing w:line="256" w:lineRule="auto" w:before="0"/>
        <w:ind w:left="574" w:right="2772"/>
        <w:jc w:val="left"/>
      </w:pPr>
      <w:r>
        <w:rPr/>
        <w:t>（</w:t>
      </w:r>
      <w:r>
        <w:rPr>
          <w:rFonts w:ascii="Times New Roman" w:hAnsi="Times New Roman" w:cs="Times New Roman" w:eastAsia="Times New Roman" w:hint="default"/>
        </w:rPr>
        <w:t>1</w:t>
      </w:r>
      <w:r>
        <w:rPr/>
        <w:t>）永续债和优先股等的区分 本公司发行的永续债和优先股等金融工具，同时符合以下条件的，作为权益工具：</w:t>
      </w:r>
    </w:p>
    <w:p>
      <w:pPr>
        <w:pStyle w:val="Heading5"/>
        <w:spacing w:line="273" w:lineRule="auto" w:before="22"/>
        <w:ind w:right="1132" w:firstLine="420"/>
        <w:jc w:val="both"/>
      </w:pPr>
      <w:r>
        <w:rPr>
          <w:spacing w:val="-1"/>
        </w:rPr>
        <w:t>①该金融工具不包括交付现金或其他金融资产给其他方，或在潜在不利条件下与其他方交换金融资产</w:t>
      </w:r>
      <w:r>
        <w:rPr/>
        <w:t> 或金融负债的合同义务；</w:t>
      </w:r>
    </w:p>
    <w:p>
      <w:pPr>
        <w:pStyle w:val="Heading5"/>
        <w:spacing w:line="273" w:lineRule="auto"/>
        <w:ind w:right="1131" w:firstLine="420"/>
        <w:jc w:val="both"/>
      </w:pPr>
      <w:r>
        <w:rPr>
          <w:spacing w:val="-1"/>
        </w:rPr>
        <w:t>②如将来须用或可用企业自身权益工具结算该金融工具的，如该金融工具为非衍生工具，则不包括交</w:t>
      </w:r>
      <w:r>
        <w:rPr/>
        <w:t> </w:t>
      </w:r>
      <w:r>
        <w:rPr>
          <w:spacing w:val="-1"/>
        </w:rPr>
        <w:t>付可变数量的自身权益工具进行结算的合同义务；如为衍生工具，则本公司只能通过以固定数量的自身权</w:t>
      </w:r>
      <w:r>
        <w:rPr>
          <w:spacing w:val="-81"/>
        </w:rPr>
        <w:t> </w:t>
      </w:r>
      <w:r>
        <w:rPr>
          <w:spacing w:val="-81"/>
        </w:rPr>
      </w:r>
      <w:r>
        <w:rPr/>
        <w:t>益工具交换固定金额的现金或其他金融资产结算该金融工具。</w:t>
      </w:r>
    </w:p>
    <w:p>
      <w:pPr>
        <w:pStyle w:val="Heading5"/>
        <w:spacing w:line="273" w:lineRule="auto" w:before="8"/>
        <w:ind w:left="574" w:right="0"/>
        <w:jc w:val="left"/>
      </w:pPr>
      <w:r>
        <w:rPr/>
        <w:t>除按上述条件可归类为权益工具的金融工具以外，本公司发行的其他金融工具应归类为金融负债。 </w:t>
      </w:r>
      <w:r>
        <w:rPr>
          <w:spacing w:val="-1"/>
        </w:rPr>
        <w:t>本公司发行的金融工具为复合金融工具的，按照负债成分的公允价值确认为一项负债，按实际收到的</w:t>
      </w:r>
    </w:p>
    <w:p>
      <w:pPr>
        <w:pStyle w:val="Heading5"/>
        <w:spacing w:line="256" w:lineRule="auto"/>
        <w:ind w:right="1132"/>
        <w:jc w:val="both"/>
      </w:pPr>
      <w:r>
        <w:rPr/>
        <w:t>金额扣除负债成分的公允价值后的金额，确认为</w:t>
      </w:r>
      <w:r>
        <w:rPr>
          <w:rFonts w:ascii="Times New Roman" w:hAnsi="Times New Roman" w:cs="Times New Roman" w:eastAsia="Times New Roman" w:hint="default"/>
        </w:rPr>
        <w:t>“</w:t>
      </w:r>
      <w:r>
        <w:rPr/>
        <w:t>其他权益工具</w:t>
      </w:r>
      <w:r>
        <w:rPr>
          <w:rFonts w:ascii="Times New Roman" w:hAnsi="Times New Roman" w:cs="Times New Roman" w:eastAsia="Times New Roman" w:hint="default"/>
        </w:rPr>
        <w:t>”</w:t>
      </w:r>
      <w:r>
        <w:rPr/>
        <w:t>。发行复合金融工具发生的交易费用，在 负债成分和权益成分之间按照各自占总发行价款的比例进行分摊。</w:t>
      </w:r>
    </w:p>
    <w:p>
      <w:pPr>
        <w:spacing w:after="0" w:line="256" w:lineRule="auto"/>
        <w:jc w:val="both"/>
        <w:sectPr>
          <w:pgSz w:w="11910" w:h="16840"/>
          <w:pgMar w:header="787" w:footer="1019" w:top="1100" w:bottom="1200" w:left="980" w:right="0"/>
        </w:sectPr>
      </w:pPr>
    </w:p>
    <w:p>
      <w:pPr>
        <w:spacing w:line="240" w:lineRule="auto" w:before="7"/>
        <w:rPr>
          <w:rFonts w:ascii="宋体" w:hAnsi="宋体" w:cs="宋体" w:eastAsia="宋体" w:hint="default"/>
          <w:sz w:val="21"/>
          <w:szCs w:val="21"/>
        </w:rPr>
      </w:pPr>
    </w:p>
    <w:p>
      <w:pPr>
        <w:pStyle w:val="Heading5"/>
        <w:spacing w:line="256" w:lineRule="auto" w:before="35"/>
        <w:ind w:left="574" w:right="0"/>
        <w:jc w:val="left"/>
      </w:pPr>
      <w:r>
        <w:rPr/>
        <w:t>（</w:t>
      </w:r>
      <w:r>
        <w:rPr>
          <w:rFonts w:ascii="Times New Roman" w:hAnsi="Times New Roman" w:cs="Times New Roman" w:eastAsia="Times New Roman" w:hint="default"/>
        </w:rPr>
        <w:t>2</w:t>
      </w:r>
      <w:r>
        <w:rPr/>
        <w:t>）永续债和优先股等的会计处理方法 </w:t>
      </w:r>
      <w:r>
        <w:rPr>
          <w:spacing w:val="-1"/>
        </w:rPr>
        <w:t>归类为金融负债的永续债和优先股等金融工具，其相关利息、股利（或股息）、利得或损失，以及赎</w:t>
      </w:r>
    </w:p>
    <w:p>
      <w:pPr>
        <w:pStyle w:val="Heading5"/>
        <w:spacing w:line="256" w:lineRule="auto" w:before="22"/>
        <w:ind w:right="1116"/>
        <w:jc w:val="left"/>
      </w:pPr>
      <w:r>
        <w:rPr/>
        <w:t>回或再融资产生的利得或损失等，除符合资本化条件的借款费用（参见本附注四、</w:t>
      </w:r>
      <w:r>
        <w:rPr>
          <w:rFonts w:ascii="Times New Roman" w:hAnsi="Times New Roman" w:cs="Times New Roman" w:eastAsia="Times New Roman" w:hint="default"/>
        </w:rPr>
        <w:t>17“</w:t>
      </w:r>
      <w:r>
        <w:rPr/>
        <w:t>借款费用</w:t>
      </w:r>
      <w:r>
        <w:rPr>
          <w:rFonts w:ascii="Times New Roman" w:hAnsi="Times New Roman" w:cs="Times New Roman" w:eastAsia="Times New Roman" w:hint="default"/>
        </w:rPr>
        <w:t>”</w:t>
      </w:r>
      <w:r>
        <w:rPr/>
        <w:t>）以外， 均计入当期损益。</w:t>
      </w:r>
    </w:p>
    <w:p>
      <w:pPr>
        <w:pStyle w:val="Heading5"/>
        <w:spacing w:line="273" w:lineRule="auto" w:before="23"/>
        <w:ind w:right="1023" w:firstLine="420"/>
        <w:jc w:val="left"/>
      </w:pPr>
      <w:r>
        <w:rPr/>
        <w:t>归类为权益工具的永续债和优先股等金融工具，其发行（含再融资）、回购、出售或注销时，本公司 </w:t>
      </w:r>
      <w:r>
        <w:rPr>
          <w:spacing w:val="-3"/>
        </w:rPr>
        <w:t>作为权益的变动处理，相关交易费用亦从权益中扣减。本公司对权益工具持有方的分配作为利润分配处理。</w:t>
      </w:r>
      <w:r>
        <w:rPr>
          <w:spacing w:val="-92"/>
        </w:rPr>
        <w:t> </w:t>
      </w:r>
      <w:r>
        <w:rPr>
          <w:spacing w:val="-92"/>
        </w:rPr>
      </w:r>
      <w:r>
        <w:rPr/>
        <w:t>本公司不确认权益工具的公允价值变动。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left"/>
        <w:rPr>
          <w:b w:val="0"/>
          <w:bCs w:val="0"/>
        </w:rPr>
      </w:pPr>
      <w:bookmarkStart w:name="28、收入" w:id="210"/>
      <w:bookmarkEnd w:id="210"/>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9"/>
        <w:ind w:right="0"/>
        <w:jc w:val="left"/>
      </w:pPr>
      <w:r>
        <w:rPr/>
        <w:t>软件与信息技术服务业</w:t>
      </w:r>
    </w:p>
    <w:p>
      <w:pPr>
        <w:pStyle w:val="BodyText"/>
        <w:spacing w:line="240" w:lineRule="auto" w:before="116"/>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9、政府补助" w:id="211"/>
      <w:bookmarkEnd w:id="211"/>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8"/>
        <w:rPr>
          <w:rFonts w:ascii="宋体" w:hAnsi="宋体" w:cs="宋体" w:eastAsia="宋体" w:hint="default"/>
          <w:b/>
          <w:bCs/>
          <w:sz w:val="24"/>
          <w:szCs w:val="24"/>
        </w:rPr>
      </w:pPr>
    </w:p>
    <w:p>
      <w:pPr>
        <w:pStyle w:val="Heading5"/>
        <w:spacing w:line="268" w:lineRule="auto" w:before="0"/>
        <w:ind w:right="0" w:firstLine="420"/>
        <w:jc w:val="left"/>
      </w:pPr>
      <w:r>
        <w:rPr>
          <w:spacing w:val="-1"/>
        </w:rPr>
        <w:t>政府补助是指本公司从政府无偿取得货币性资产和非货币性资产，不包括政府以投资者身份并享有相</w:t>
      </w:r>
      <w:r>
        <w:rPr/>
        <w:t> </w:t>
      </w:r>
      <w:r>
        <w:rPr>
          <w:spacing w:val="-1"/>
        </w:rPr>
        <w:t>应所有者权益而投入的资本。政府补助分为与资产相关的政府补助和与收益相关的政府补助。本公司将所</w:t>
      </w:r>
      <w:r>
        <w:rPr>
          <w:spacing w:val="-81"/>
        </w:rPr>
        <w:t> </w:t>
      </w:r>
      <w:r>
        <w:rPr>
          <w:spacing w:val="-81"/>
        </w:rPr>
      </w:r>
      <w:r>
        <w:rPr>
          <w:spacing w:val="-1"/>
        </w:rPr>
        <w:t>取得的用于购建或以其他方式形成长期资产的政府补助界定为与资产相关的政府补助；其余政府补助界定</w:t>
      </w:r>
      <w:r>
        <w:rPr>
          <w:spacing w:val="-81"/>
        </w:rPr>
        <w:t> </w:t>
      </w:r>
      <w:r>
        <w:rPr>
          <w:spacing w:val="-81"/>
        </w:rPr>
      </w:r>
      <w:r>
        <w:rPr>
          <w:spacing w:val="-1"/>
        </w:rPr>
        <w:t>为与收益相关的政府补助。若政府文件未明确规定补助对象，则采用以下方式将补助款划分为与收益相关</w:t>
      </w:r>
      <w:r>
        <w:rPr>
          <w:spacing w:val="-81"/>
        </w:rPr>
        <w:t> </w:t>
      </w:r>
      <w:r>
        <w:rPr>
          <w:spacing w:val="-81"/>
        </w:rPr>
      </w:r>
      <w:r>
        <w:rPr/>
        <w:t>的政府补助和与资产相关的政府补助：（</w:t>
      </w:r>
      <w:r>
        <w:rPr>
          <w:rFonts w:ascii="Times New Roman" w:hAnsi="Times New Roman" w:cs="Times New Roman" w:eastAsia="Times New Roman" w:hint="default"/>
        </w:rPr>
        <w:t>1</w:t>
      </w:r>
      <w:r>
        <w:rPr/>
        <w:t>）政府文件明确了补助所针对的特定项目的，根据该特定项目 </w:t>
      </w:r>
      <w:r>
        <w:rPr>
          <w:spacing w:val="-1"/>
        </w:rPr>
        <w:t>的预算中将形成资产的支出金额和计入费用的支出金额的相对比例进行划分，对该划分比例需在每个资产</w:t>
      </w:r>
      <w:r>
        <w:rPr>
          <w:spacing w:val="-81"/>
        </w:rPr>
        <w:t> </w:t>
      </w:r>
      <w:r>
        <w:rPr>
          <w:spacing w:val="-81"/>
        </w:rPr>
      </w:r>
      <w:r>
        <w:rPr/>
        <w:t>负债表日进行复核，必要时进行变更；（</w:t>
      </w:r>
      <w:r>
        <w:rPr>
          <w:rFonts w:ascii="Times New Roman" w:hAnsi="Times New Roman" w:cs="Times New Roman" w:eastAsia="Times New Roman" w:hint="default"/>
        </w:rPr>
        <w:t>2</w:t>
      </w:r>
      <w:r>
        <w:rPr/>
        <w:t>）政府文件中对用途仅作一般性表述，没有指明特定项目的， </w:t>
      </w:r>
      <w:r>
        <w:rPr>
          <w:spacing w:val="-1"/>
        </w:rPr>
        <w:t>作为与收益相关的政府补助。政府补助为货币性资产的，按照收到或应收的金额计量。政府补助为非货币</w:t>
      </w:r>
      <w:r>
        <w:rPr>
          <w:spacing w:val="-83"/>
        </w:rPr>
        <w:t> </w:t>
      </w:r>
      <w:r>
        <w:rPr>
          <w:spacing w:val="-83"/>
        </w:rPr>
      </w:r>
      <w:r>
        <w:rPr>
          <w:spacing w:val="-1"/>
        </w:rPr>
        <w:t>性资产的，按照公允价值计量；公允价值不能够可靠取得的，按照名义金额计量。按照名义金额计量的政</w:t>
      </w:r>
      <w:r>
        <w:rPr>
          <w:spacing w:val="-86"/>
        </w:rPr>
        <w:t> </w:t>
      </w:r>
      <w:r>
        <w:rPr>
          <w:spacing w:val="-86"/>
        </w:rPr>
      </w:r>
      <w:r>
        <w:rPr/>
        <w:t>府补助，直接计入当期损益。</w:t>
      </w:r>
    </w:p>
    <w:p>
      <w:pPr>
        <w:pStyle w:val="Heading5"/>
        <w:spacing w:line="264" w:lineRule="auto" w:before="12"/>
        <w:ind w:right="0" w:firstLine="420"/>
        <w:jc w:val="left"/>
      </w:pPr>
      <w:r>
        <w:rPr>
          <w:spacing w:val="-1"/>
        </w:rPr>
        <w:t>本公司对于政府补助通常在实际收到时，按照实收金额予以确认和计量。但对于期末有确凿证据表明</w:t>
      </w:r>
      <w:r>
        <w:rPr/>
        <w:t> </w:t>
      </w:r>
      <w:r>
        <w:rPr>
          <w:spacing w:val="-1"/>
        </w:rPr>
        <w:t>能够符合财政扶持政策规定的相关条件预计能够收到财政扶持资金，按照应收的金额计量。按照应收金额</w:t>
      </w:r>
      <w:r>
        <w:rPr>
          <w:spacing w:val="-81"/>
        </w:rPr>
        <w:t> </w:t>
      </w:r>
      <w:r>
        <w:rPr>
          <w:spacing w:val="-81"/>
        </w:rPr>
      </w:r>
      <w:r>
        <w:rPr/>
        <w:t>计量的政府补助应同时符合以下条件：（</w:t>
      </w:r>
      <w:r>
        <w:rPr>
          <w:rFonts w:ascii="Times New Roman" w:hAnsi="Times New Roman" w:cs="Times New Roman" w:eastAsia="Times New Roman" w:hint="default"/>
        </w:rPr>
        <w:t>1</w:t>
      </w:r>
      <w:r>
        <w:rPr/>
        <w:t>）应收补助款的金额已经过有权政府部门发文确认，或者可根 据正式发布的财政资金管理办法的有关规定自行合理测算，且预计其金额不存在重大不确定性；（</w:t>
      </w:r>
      <w:r>
        <w:rPr>
          <w:rFonts w:ascii="Times New Roman" w:hAnsi="Times New Roman" w:cs="Times New Roman" w:eastAsia="Times New Roman" w:hint="default"/>
        </w:rPr>
        <w:t>2</w:t>
      </w:r>
      <w:r>
        <w:rPr/>
        <w:t>）所 </w:t>
      </w:r>
      <w:r>
        <w:rPr>
          <w:spacing w:val="-1"/>
        </w:rPr>
        <w:t>依据的是当地财政部门正式发布并按照《政府信息公开条例》的规定予以主动公开的财政扶持项目及其财</w:t>
      </w:r>
      <w:r>
        <w:rPr>
          <w:spacing w:val="-81"/>
        </w:rPr>
        <w:t> </w:t>
      </w:r>
      <w:r>
        <w:rPr>
          <w:spacing w:val="-81"/>
        </w:rPr>
      </w:r>
      <w:r>
        <w:rPr>
          <w:spacing w:val="-1"/>
        </w:rPr>
        <w:t>政资金管理办法，且该管理办法应当是普惠性的（任何符合规定条件的企业均可申请），而不是专门针对</w:t>
      </w:r>
      <w:r>
        <w:rPr>
          <w:spacing w:val="-86"/>
        </w:rPr>
        <w:t> </w:t>
      </w:r>
      <w:r>
        <w:rPr>
          <w:spacing w:val="-86"/>
        </w:rPr>
      </w:r>
      <w:r>
        <w:rPr/>
        <w:t>特定企业制定的；（</w:t>
      </w:r>
      <w:r>
        <w:rPr>
          <w:rFonts w:ascii="Times New Roman" w:hAnsi="Times New Roman" w:cs="Times New Roman" w:eastAsia="Times New Roman" w:hint="default"/>
        </w:rPr>
        <w:t>3</w:t>
      </w:r>
      <w:r>
        <w:rPr/>
        <w:t>）相关的补助款批文中已明确承诺了拨付期限，且该款项的拨付是有相应财政预算 作为保障的，因而可以合理保证其可在规定期限内收到；（</w:t>
      </w:r>
      <w:r>
        <w:rPr>
          <w:rFonts w:ascii="Times New Roman" w:hAnsi="Times New Roman" w:cs="Times New Roman" w:eastAsia="Times New Roman" w:hint="default"/>
        </w:rPr>
        <w:t>4</w:t>
      </w:r>
      <w:r>
        <w:rPr/>
        <w:t>）根据本公司和该补助事项的具体情况，应 满足的其他相关条件（如有）。</w:t>
      </w:r>
    </w:p>
    <w:p>
      <w:pPr>
        <w:pStyle w:val="Heading5"/>
        <w:spacing w:line="273" w:lineRule="auto" w:before="16"/>
        <w:ind w:right="1131" w:firstLine="420"/>
        <w:jc w:val="both"/>
      </w:pPr>
      <w:r>
        <w:rPr>
          <w:spacing w:val="-1"/>
        </w:rPr>
        <w:t>与资产相关的政府补助，确认为递延收益，并在相关资产的使用寿命内按照合理、系统的方法分期计</w:t>
      </w:r>
      <w:r>
        <w:rPr/>
        <w:t> </w:t>
      </w:r>
      <w:r>
        <w:rPr>
          <w:spacing w:val="-1"/>
        </w:rPr>
        <w:t>入当期损益。与收益相关的政府补助，用于补偿以后期间的相关成本费用或损失的，确认为递延收益，并</w:t>
      </w:r>
      <w:r>
        <w:rPr>
          <w:spacing w:val="-85"/>
        </w:rPr>
        <w:t> </w:t>
      </w:r>
      <w:r>
        <w:rPr>
          <w:spacing w:val="-85"/>
        </w:rPr>
      </w:r>
      <w:r>
        <w:rPr>
          <w:spacing w:val="-1"/>
        </w:rPr>
        <w:t>在确认相关成本费用或损失的期间计入当期损益；用于补偿已经发生的相关成本费用或损失的，直接计入</w:t>
      </w:r>
      <w:r>
        <w:rPr>
          <w:spacing w:val="-81"/>
        </w:rPr>
        <w:t> </w:t>
      </w:r>
      <w:r>
        <w:rPr>
          <w:spacing w:val="-81"/>
        </w:rPr>
      </w:r>
      <w:r>
        <w:rPr/>
        <w:t>当期损益。</w:t>
      </w:r>
    </w:p>
    <w:p>
      <w:pPr>
        <w:pStyle w:val="Heading5"/>
        <w:spacing w:line="273" w:lineRule="auto"/>
        <w:ind w:right="0" w:firstLine="420"/>
        <w:jc w:val="left"/>
      </w:pPr>
      <w:r>
        <w:rPr>
          <w:spacing w:val="-1"/>
        </w:rPr>
        <w:t>同时包含与资产相关部分和与收益相关部分的政府补助，区分不同部分分别进行会计处理；难以区分</w:t>
      </w:r>
      <w:r>
        <w:rPr/>
        <w:t> 的，将其整体归类为与收益相关的政府补助。</w:t>
      </w:r>
    </w:p>
    <w:p>
      <w:pPr>
        <w:pStyle w:val="Heading5"/>
        <w:spacing w:line="240" w:lineRule="auto"/>
        <w:ind w:left="574" w:right="0"/>
        <w:jc w:val="left"/>
      </w:pPr>
      <w:r>
        <w:rPr/>
        <w:t>与本公司日常活动相关的政府补助，按照经济业务的实质，计入其他收益或冲减相关成本费用；与日</w:t>
      </w:r>
    </w:p>
    <w:p>
      <w:pPr>
        <w:spacing w:after="0" w:line="240" w:lineRule="auto"/>
        <w:jc w:val="left"/>
        <w:sectPr>
          <w:pgSz w:w="11910" w:h="16840"/>
          <w:pgMar w:header="787" w:footer="1019" w:top="1100" w:bottom="1200" w:left="980" w:right="0"/>
        </w:sectPr>
      </w:pPr>
    </w:p>
    <w:p>
      <w:pPr>
        <w:spacing w:line="240" w:lineRule="auto" w:before="7"/>
        <w:rPr>
          <w:rFonts w:ascii="宋体" w:hAnsi="宋体" w:cs="宋体" w:eastAsia="宋体" w:hint="default"/>
          <w:sz w:val="21"/>
          <w:szCs w:val="21"/>
        </w:rPr>
      </w:pPr>
    </w:p>
    <w:p>
      <w:pPr>
        <w:pStyle w:val="Heading5"/>
        <w:spacing w:line="273" w:lineRule="auto" w:before="35"/>
        <w:ind w:left="574" w:right="0" w:hanging="420"/>
        <w:jc w:val="left"/>
      </w:pPr>
      <w:r>
        <w:rPr/>
        <w:t>常活动无关的政府补助，计入营业外收支。 </w:t>
      </w:r>
      <w:r>
        <w:rPr>
          <w:spacing w:val="-1"/>
        </w:rPr>
        <w:t>已确认的政府补助需要退回时，存在相关递延收益余额的，冲减相关递延收益账面余额，超出部分计</w:t>
      </w:r>
    </w:p>
    <w:p>
      <w:pPr>
        <w:pStyle w:val="Heading5"/>
        <w:spacing w:line="240" w:lineRule="auto"/>
        <w:ind w:right="0"/>
        <w:jc w:val="left"/>
      </w:pPr>
      <w:r>
        <w:rPr/>
        <w:t>入当期损益；属于其他情况的，直接计入当期损益。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4"/>
        <w:spacing w:line="240" w:lineRule="auto"/>
        <w:ind w:right="0"/>
        <w:jc w:val="left"/>
        <w:rPr>
          <w:b w:val="0"/>
          <w:bCs w:val="0"/>
        </w:rPr>
      </w:pPr>
      <w:bookmarkStart w:name="30、递延所得税资产/递延所得税负债" w:id="212"/>
      <w:bookmarkEnd w:id="212"/>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Heading5"/>
        <w:spacing w:line="256" w:lineRule="auto" w:before="0"/>
        <w:ind w:left="574" w:right="0"/>
        <w:jc w:val="left"/>
      </w:pPr>
      <w:r>
        <w:rPr/>
        <w:t>（</w:t>
      </w:r>
      <w:r>
        <w:rPr>
          <w:rFonts w:ascii="Times New Roman" w:hAnsi="Times New Roman" w:cs="Times New Roman" w:eastAsia="Times New Roman" w:hint="default"/>
        </w:rPr>
        <w:t>1</w:t>
      </w:r>
      <w:r>
        <w:rPr/>
        <w:t>）当期所得税 </w:t>
      </w:r>
      <w:r>
        <w:rPr>
          <w:spacing w:val="-1"/>
        </w:rPr>
        <w:t>资产负债表日，对于当期和以前期间形成的当期所得税负债（或资产），以按照税法规定计算的预期</w:t>
      </w:r>
    </w:p>
    <w:p>
      <w:pPr>
        <w:pStyle w:val="Heading5"/>
        <w:spacing w:line="273" w:lineRule="auto" w:before="22"/>
        <w:ind w:right="0"/>
        <w:jc w:val="left"/>
      </w:pPr>
      <w:r>
        <w:rPr>
          <w:spacing w:val="-1"/>
        </w:rPr>
        <w:t>应交纳（或返还）的所得税金额计量。计算当期所得税费用所依据的应纳税所得额系根据有关税法规定对</w:t>
      </w:r>
      <w:r>
        <w:rPr>
          <w:spacing w:val="-83"/>
        </w:rPr>
        <w:t> </w:t>
      </w:r>
      <w:r>
        <w:rPr>
          <w:spacing w:val="-83"/>
        </w:rPr>
      </w:r>
      <w:r>
        <w:rPr/>
        <w:t>本年度税前会计利润作相应调整后计算得出。</w:t>
      </w:r>
    </w:p>
    <w:p>
      <w:pPr>
        <w:pStyle w:val="Heading5"/>
        <w:spacing w:line="256" w:lineRule="auto"/>
        <w:ind w:left="574" w:right="0"/>
        <w:jc w:val="left"/>
      </w:pPr>
      <w:r>
        <w:rPr/>
        <w:t>（</w:t>
      </w:r>
      <w:r>
        <w:rPr>
          <w:rFonts w:ascii="Times New Roman" w:hAnsi="Times New Roman" w:cs="Times New Roman" w:eastAsia="Times New Roman" w:hint="default"/>
        </w:rPr>
        <w:t>2</w:t>
      </w:r>
      <w:r>
        <w:rPr/>
        <w:t>）递延所得税资产及递延所得税负债 </w:t>
      </w:r>
      <w:r>
        <w:rPr>
          <w:spacing w:val="-1"/>
        </w:rPr>
        <w:t>某些资产、负债项目的账面价值与其计税基础之间的差额，以及未作为资产和负债确认但按照税法规</w:t>
      </w:r>
    </w:p>
    <w:p>
      <w:pPr>
        <w:pStyle w:val="Heading5"/>
        <w:spacing w:line="273" w:lineRule="auto" w:before="22"/>
        <w:ind w:right="0"/>
        <w:jc w:val="left"/>
      </w:pPr>
      <w:r>
        <w:rPr>
          <w:spacing w:val="-1"/>
        </w:rPr>
        <w:t>定可以确定其计税基础的项目的账面价值与计税基础之间的差额产生的暂时性差异，采用资产负债表债务</w:t>
      </w:r>
      <w:r>
        <w:rPr>
          <w:spacing w:val="-81"/>
        </w:rPr>
        <w:t> </w:t>
      </w:r>
      <w:r>
        <w:rPr>
          <w:spacing w:val="-81"/>
        </w:rPr>
      </w:r>
      <w:r>
        <w:rPr/>
        <w:t>法确认递延所得税资产及递延所得税负债。</w:t>
      </w:r>
    </w:p>
    <w:p>
      <w:pPr>
        <w:pStyle w:val="Heading5"/>
        <w:spacing w:line="273" w:lineRule="auto"/>
        <w:ind w:right="1023" w:firstLine="420"/>
        <w:jc w:val="left"/>
      </w:pPr>
      <w:r>
        <w:rPr/>
        <w:t>与商誉的初始确认有关，以及与既不是企业合并、发生时也不影响会计利润和应纳税所得额（或可抵 扣亏损）的交易中产生的资产或负债的初始确认有关的应纳税暂时性差异，不予确认有关的递延所得税负 债。此外，对与子公司、联营企业及合营企业投资相关的应纳税暂时性差异，如果本公司能够控制暂时性 </w:t>
      </w:r>
      <w:r>
        <w:rPr>
          <w:spacing w:val="-3"/>
        </w:rPr>
        <w:t>差异转回的时间，而且该暂时性差异在可预见的未来很可能不会转回，也不予确认有关的递延所得税负债。</w:t>
      </w:r>
      <w:r>
        <w:rPr>
          <w:spacing w:val="-92"/>
        </w:rPr>
        <w:t> </w:t>
      </w:r>
      <w:r>
        <w:rPr>
          <w:spacing w:val="-92"/>
        </w:rPr>
      </w:r>
      <w:r>
        <w:rPr/>
        <w:t>除上述例外情况，本公司确认其他所有应纳税暂时性差异产生的递延所得税负债。</w:t>
      </w:r>
    </w:p>
    <w:p>
      <w:pPr>
        <w:pStyle w:val="Heading5"/>
        <w:spacing w:line="273" w:lineRule="auto"/>
        <w:ind w:right="1130" w:firstLine="420"/>
        <w:jc w:val="both"/>
      </w:pPr>
      <w:r>
        <w:rPr>
          <w:spacing w:val="-1"/>
        </w:rPr>
        <w:t>与既不是企业合并、发生时也不影响会计利润和应纳税所得额（或可抵扣亏损）的交易中产生的资产</w:t>
      </w:r>
      <w:r>
        <w:rPr/>
        <w:t> </w:t>
      </w:r>
      <w:r>
        <w:rPr>
          <w:spacing w:val="-1"/>
        </w:rPr>
        <w:t>或负债的初始确认有关的可抵扣暂时性差异，不予确认有关的递延所得税资产。此外，对与子公司、联营</w:t>
      </w:r>
      <w:r>
        <w:rPr>
          <w:spacing w:val="-86"/>
        </w:rPr>
        <w:t> </w:t>
      </w:r>
      <w:r>
        <w:rPr>
          <w:spacing w:val="-86"/>
        </w:rPr>
      </w:r>
      <w:r>
        <w:rPr>
          <w:spacing w:val="-1"/>
        </w:rPr>
        <w:t>企业及合营企业投资相关的可抵扣暂时性差异，如果暂时性差异在可预见的未来不是很可能转回，或者未</w:t>
      </w:r>
      <w:r>
        <w:rPr>
          <w:spacing w:val="-81"/>
        </w:rPr>
        <w:t> </w:t>
      </w:r>
      <w:r>
        <w:rPr>
          <w:spacing w:val="-81"/>
        </w:rPr>
      </w:r>
      <w:r>
        <w:rPr>
          <w:spacing w:val="-1"/>
        </w:rPr>
        <w:t>来不是很可能获得用来抵扣可抵扣暂时性差异的应纳税所得额，不予确认有关的递延所得税资产。除上述</w:t>
      </w:r>
      <w:r>
        <w:rPr>
          <w:spacing w:val="-80"/>
        </w:rPr>
        <w:t> </w:t>
      </w:r>
      <w:r>
        <w:rPr>
          <w:spacing w:val="-80"/>
        </w:rPr>
      </w:r>
      <w:r>
        <w:rPr>
          <w:spacing w:val="-1"/>
        </w:rPr>
        <w:t>例外情况，本公司以很可能取得用来抵扣可抵扣暂时性差异的应纳税所得额为限，确认其他可抵扣暂时性</w:t>
      </w:r>
      <w:r>
        <w:rPr>
          <w:spacing w:val="-81"/>
        </w:rPr>
        <w:t> </w:t>
      </w:r>
      <w:r>
        <w:rPr>
          <w:spacing w:val="-81"/>
        </w:rPr>
      </w:r>
      <w:r>
        <w:rPr/>
        <w:t>差异产生的递延所得税资产。</w:t>
      </w:r>
    </w:p>
    <w:p>
      <w:pPr>
        <w:pStyle w:val="Heading5"/>
        <w:spacing w:line="273" w:lineRule="auto"/>
        <w:ind w:right="0" w:firstLine="420"/>
        <w:jc w:val="left"/>
      </w:pPr>
      <w:r>
        <w:rPr>
          <w:spacing w:val="-1"/>
        </w:rPr>
        <w:t>对于能够结转以后年度的可抵扣亏损和税款抵减，以很可能获得用来抵扣可抵扣亏损和税款抵减的未</w:t>
      </w:r>
      <w:r>
        <w:rPr/>
        <w:t> 来应纳税所得额为限，确认相应的递延所得税资产。</w:t>
      </w:r>
    </w:p>
    <w:p>
      <w:pPr>
        <w:pStyle w:val="Heading5"/>
        <w:spacing w:line="273" w:lineRule="auto"/>
        <w:ind w:right="0" w:firstLine="420"/>
        <w:jc w:val="left"/>
      </w:pPr>
      <w:r>
        <w:rPr>
          <w:spacing w:val="-1"/>
        </w:rPr>
        <w:t>资产负债表日，对于递延所得税资产和递延所得税负债，根据税法规定，按照预期收回相关资产或清</w:t>
      </w:r>
      <w:r>
        <w:rPr/>
        <w:t> 偿相关负债期间的适用税率计量。</w:t>
      </w:r>
    </w:p>
    <w:p>
      <w:pPr>
        <w:pStyle w:val="Heading5"/>
        <w:spacing w:line="273" w:lineRule="auto"/>
        <w:ind w:right="1131" w:firstLine="420"/>
        <w:jc w:val="both"/>
      </w:pPr>
      <w:r>
        <w:rPr>
          <w:spacing w:val="-1"/>
        </w:rPr>
        <w:t>于资产负债表日，对递延所得税资产的账面价值进行复核，如果未来很可能无法获得足够的应纳税所</w:t>
      </w:r>
      <w:r>
        <w:rPr/>
        <w:t> </w:t>
      </w:r>
      <w:r>
        <w:rPr>
          <w:spacing w:val="-1"/>
        </w:rPr>
        <w:t>得额用以抵扣递延所得税资产的利益，则减记递延所得税资产的账面价值。在很可能获得足够的应纳税所</w:t>
      </w:r>
      <w:r>
        <w:rPr>
          <w:spacing w:val="-81"/>
        </w:rPr>
        <w:t> </w:t>
      </w:r>
      <w:r>
        <w:rPr>
          <w:spacing w:val="-81"/>
        </w:rPr>
      </w:r>
      <w:r>
        <w:rPr/>
        <w:t>得额时，减记的金额予以转回。</w:t>
      </w:r>
    </w:p>
    <w:p>
      <w:pPr>
        <w:pStyle w:val="Heading5"/>
        <w:spacing w:line="256" w:lineRule="auto"/>
        <w:ind w:left="574" w:right="6342"/>
        <w:jc w:val="left"/>
      </w:pPr>
      <w:r>
        <w:rPr/>
        <w:t>（</w:t>
      </w:r>
      <w:r>
        <w:rPr>
          <w:rFonts w:ascii="Times New Roman" w:hAnsi="Times New Roman" w:cs="Times New Roman" w:eastAsia="Times New Roman" w:hint="default"/>
        </w:rPr>
        <w:t>3</w:t>
      </w:r>
      <w:r>
        <w:rPr/>
        <w:t>）所得税费用 所得税费用包括当期所得税和递延所得税。</w:t>
      </w:r>
    </w:p>
    <w:p>
      <w:pPr>
        <w:pStyle w:val="Heading5"/>
        <w:spacing w:line="273" w:lineRule="auto" w:before="22"/>
        <w:ind w:right="0" w:firstLine="420"/>
        <w:jc w:val="left"/>
      </w:pPr>
      <w:r>
        <w:rPr/>
        <w:t>除确认为其他综合收益或直接计入股东权益的交易和事项相关的当期所得税和递延所得税计入其他 </w:t>
      </w:r>
      <w:r>
        <w:rPr>
          <w:spacing w:val="-1"/>
        </w:rPr>
        <w:t>综合收益或股东权益，以及企业合并产生的递延所得税调整商誉的账面价值外，其余当期所得税和递延所</w:t>
      </w:r>
      <w:r>
        <w:rPr>
          <w:spacing w:val="-81"/>
        </w:rPr>
        <w:t> </w:t>
      </w:r>
      <w:r>
        <w:rPr>
          <w:spacing w:val="-81"/>
        </w:rPr>
      </w:r>
      <w:r>
        <w:rPr/>
        <w:t>得税费用或收益计入当期损益。</w:t>
      </w:r>
    </w:p>
    <w:p>
      <w:pPr>
        <w:spacing w:after="0" w:line="273" w:lineRule="auto"/>
        <w:jc w:val="left"/>
        <w:sectPr>
          <w:pgSz w:w="11910" w:h="16840"/>
          <w:pgMar w:header="787" w:footer="1019" w:top="1100" w:bottom="1200" w:left="980" w:right="0"/>
        </w:sectPr>
      </w:pPr>
    </w:p>
    <w:p>
      <w:pPr>
        <w:spacing w:line="240" w:lineRule="auto" w:before="8"/>
        <w:rPr>
          <w:rFonts w:ascii="宋体" w:hAnsi="宋体" w:cs="宋体" w:eastAsia="宋体" w:hint="default"/>
          <w:sz w:val="21"/>
          <w:szCs w:val="21"/>
        </w:rPr>
      </w:pPr>
    </w:p>
    <w:p>
      <w:pPr>
        <w:pStyle w:val="Heading4"/>
        <w:spacing w:line="240" w:lineRule="auto" w:before="35"/>
        <w:ind w:right="0"/>
        <w:jc w:val="both"/>
        <w:rPr>
          <w:b w:val="0"/>
          <w:bCs w:val="0"/>
        </w:rPr>
      </w:pPr>
      <w:bookmarkStart w:name="31、租赁" w:id="213"/>
      <w:bookmarkEnd w:id="213"/>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经营租赁的会计处理方法" w:id="214"/>
      <w:bookmarkEnd w:id="214"/>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24"/>
          <w:szCs w:val="24"/>
        </w:rPr>
      </w:pPr>
    </w:p>
    <w:p>
      <w:pPr>
        <w:pStyle w:val="Heading5"/>
        <w:spacing w:line="273" w:lineRule="auto" w:before="0"/>
        <w:ind w:left="574" w:right="0"/>
        <w:jc w:val="left"/>
      </w:pPr>
      <w:r>
        <w:rPr/>
        <w:t>①本公司作为承租人记录经营租赁业务 </w:t>
      </w:r>
      <w:r>
        <w:rPr>
          <w:spacing w:val="-1"/>
        </w:rPr>
        <w:t>经营租赁的租金支出在租赁期内的各个期间按直线法计入相关资产成本或当期损益。初始直接费用计</w:t>
      </w:r>
    </w:p>
    <w:p>
      <w:pPr>
        <w:pStyle w:val="Heading5"/>
        <w:spacing w:line="240" w:lineRule="auto"/>
        <w:ind w:right="0"/>
        <w:jc w:val="both"/>
      </w:pPr>
      <w:r>
        <w:rPr/>
        <w:t>入当期损益。或有租金于实际发生时计入当期损益。</w:t>
      </w:r>
    </w:p>
    <w:p>
      <w:pPr>
        <w:pStyle w:val="Heading5"/>
        <w:spacing w:line="273" w:lineRule="auto" w:before="37"/>
        <w:ind w:left="574" w:right="0"/>
        <w:jc w:val="left"/>
      </w:pPr>
      <w:r>
        <w:rPr/>
        <w:t>②本公司作为出租人记录经营租赁业务 </w:t>
      </w:r>
      <w:r>
        <w:rPr>
          <w:spacing w:val="-1"/>
        </w:rPr>
        <w:t>经营租赁的租金收入在租赁期内的各个期间按直线法确认为当期损益。对金额较大的初始直接费用于</w:t>
      </w:r>
    </w:p>
    <w:p>
      <w:pPr>
        <w:pStyle w:val="Heading5"/>
        <w:spacing w:line="273" w:lineRule="auto"/>
        <w:ind w:right="1131"/>
        <w:jc w:val="both"/>
      </w:pPr>
      <w:r>
        <w:rPr>
          <w:spacing w:val="-1"/>
        </w:rPr>
        <w:t>发生时予以资本化，在整个租赁期间内按照与确认租金收入相同的基础分期计入当期损益；其他金额较小</w:t>
      </w:r>
      <w:r>
        <w:rPr>
          <w:spacing w:val="-81"/>
        </w:rPr>
        <w:t> </w:t>
      </w:r>
      <w:r>
        <w:rPr>
          <w:spacing w:val="-81"/>
        </w:rPr>
      </w:r>
      <w:r>
        <w:rPr/>
        <w:t>的初始直接费用于发生时计入当期损益。或有租金于实际发生时计入当期损益。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both"/>
        <w:rPr>
          <w:b w:val="0"/>
          <w:bCs w:val="0"/>
        </w:rPr>
      </w:pPr>
      <w:bookmarkStart w:name="（2）融资租赁的会计处理方法" w:id="215"/>
      <w:bookmarkEnd w:id="215"/>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4"/>
          <w:szCs w:val="24"/>
        </w:rPr>
      </w:pPr>
    </w:p>
    <w:p>
      <w:pPr>
        <w:pStyle w:val="Heading5"/>
        <w:spacing w:line="273" w:lineRule="auto" w:before="0"/>
        <w:ind w:left="574" w:right="0"/>
        <w:jc w:val="left"/>
      </w:pPr>
      <w:r>
        <w:rPr/>
        <w:t>①本公司作为承租人记录融资租赁业务 </w:t>
      </w:r>
      <w:r>
        <w:rPr>
          <w:spacing w:val="-1"/>
        </w:rPr>
        <w:t>于租赁期开始日，将租赁开始日租赁资产的公允价值与最低租赁付款额现值两者中较低者作为租入资</w:t>
      </w:r>
    </w:p>
    <w:p>
      <w:pPr>
        <w:pStyle w:val="Heading5"/>
        <w:spacing w:line="273" w:lineRule="auto"/>
        <w:ind w:right="1131"/>
        <w:jc w:val="both"/>
      </w:pPr>
      <w:r>
        <w:rPr>
          <w:spacing w:val="-1"/>
        </w:rPr>
        <w:t>产的入账价值，将最低租赁付款额作为长期应付款的入账价值，其差额作为未确认融资费用。此外，在租</w:t>
      </w:r>
      <w:r>
        <w:rPr>
          <w:spacing w:val="-86"/>
        </w:rPr>
        <w:t> </w:t>
      </w:r>
      <w:r>
        <w:rPr>
          <w:spacing w:val="-86"/>
        </w:rPr>
      </w:r>
      <w:r>
        <w:rPr>
          <w:spacing w:val="-1"/>
        </w:rPr>
        <w:t>赁谈判和签订租赁合同过程中发生的，可归属于租赁项目的初始直接费用也计入租入资产价值。最低租赁</w:t>
      </w:r>
      <w:r>
        <w:rPr>
          <w:spacing w:val="-81"/>
        </w:rPr>
        <w:t> </w:t>
      </w:r>
      <w:r>
        <w:rPr>
          <w:spacing w:val="-81"/>
        </w:rPr>
      </w:r>
      <w:r>
        <w:rPr/>
        <w:t>付款额扣除未确认融资费用后的余额分别长期负债和一年内到期的长期负债列示。</w:t>
      </w:r>
    </w:p>
    <w:p>
      <w:pPr>
        <w:pStyle w:val="Heading5"/>
        <w:spacing w:line="273" w:lineRule="auto"/>
        <w:ind w:right="1132" w:firstLine="420"/>
        <w:jc w:val="both"/>
      </w:pPr>
      <w:r>
        <w:rPr>
          <w:spacing w:val="-1"/>
        </w:rPr>
        <w:t>未确认融资费用在租赁期内采用实际利率法计算确认当期的融资费用。或有租金于实际发生时计入当</w:t>
      </w:r>
      <w:r>
        <w:rPr/>
        <w:t> 期损益。</w:t>
      </w:r>
    </w:p>
    <w:p>
      <w:pPr>
        <w:pStyle w:val="Heading5"/>
        <w:spacing w:line="273" w:lineRule="auto" w:before="8"/>
        <w:ind w:left="574" w:right="1302"/>
        <w:jc w:val="left"/>
      </w:pPr>
      <w:r>
        <w:rPr/>
        <w:t>②本公司作为出租人记录融资租赁业务 于租赁期开始日，将租赁开始日最低租赁收款额与初始直接费用之和作为应收融资租赁款的入账价</w:t>
      </w:r>
    </w:p>
    <w:p>
      <w:pPr>
        <w:pStyle w:val="Heading5"/>
        <w:spacing w:line="273" w:lineRule="auto"/>
        <w:ind w:right="1131"/>
        <w:jc w:val="both"/>
      </w:pPr>
      <w:r>
        <w:rPr>
          <w:spacing w:val="-1"/>
        </w:rPr>
        <w:t>值，同时记录未担保余值；将最低租赁收款额、初始直接费用及未担保余值之和与其现值之和的差额确认</w:t>
      </w:r>
      <w:r>
        <w:rPr>
          <w:spacing w:val="-83"/>
        </w:rPr>
        <w:t> </w:t>
      </w:r>
      <w:r>
        <w:rPr>
          <w:spacing w:val="-83"/>
        </w:rPr>
      </w:r>
      <w:r>
        <w:rPr>
          <w:spacing w:val="-1"/>
        </w:rPr>
        <w:t>为未实现融资收益。应收融资租赁款扣除未实现融资收益后的余额分别长期债权和一年内到期的长期债权</w:t>
      </w:r>
      <w:r>
        <w:rPr>
          <w:spacing w:val="-81"/>
        </w:rPr>
        <w:t> </w:t>
      </w:r>
      <w:r>
        <w:rPr>
          <w:spacing w:val="-81"/>
        </w:rPr>
      </w:r>
      <w:r>
        <w:rPr/>
        <w:t>列示。</w:t>
      </w:r>
    </w:p>
    <w:p>
      <w:pPr>
        <w:pStyle w:val="Heading5"/>
        <w:spacing w:line="273" w:lineRule="auto"/>
        <w:ind w:right="1132" w:firstLine="420"/>
        <w:jc w:val="both"/>
      </w:pPr>
      <w:r>
        <w:rPr>
          <w:spacing w:val="-1"/>
        </w:rPr>
        <w:t>未实现融资收益在租赁期内采用实际利率法计算确认当期的融资收入。或有租金于实际发生时计入当</w:t>
      </w:r>
      <w:r>
        <w:rPr/>
        <w:t> 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both"/>
        <w:rPr>
          <w:b w:val="0"/>
          <w:bCs w:val="0"/>
        </w:rPr>
      </w:pPr>
      <w:bookmarkStart w:name="32、其他重要的会计政策和会计估计" w:id="216"/>
      <w:bookmarkEnd w:id="216"/>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4"/>
          <w:szCs w:val="24"/>
        </w:rPr>
      </w:pPr>
    </w:p>
    <w:p>
      <w:pPr>
        <w:pStyle w:val="Heading5"/>
        <w:spacing w:line="256" w:lineRule="auto" w:before="0"/>
        <w:ind w:left="574" w:right="0"/>
        <w:jc w:val="left"/>
      </w:pPr>
      <w:r>
        <w:rPr/>
        <w:t>（</w:t>
      </w:r>
      <w:r>
        <w:rPr>
          <w:rFonts w:ascii="Times New Roman" w:hAnsi="Times New Roman" w:cs="Times New Roman" w:eastAsia="Times New Roman" w:hint="default"/>
        </w:rPr>
        <w:t>1</w:t>
      </w:r>
      <w:r>
        <w:rPr/>
        <w:t>）终止经营 </w:t>
      </w:r>
      <w:r>
        <w:rPr>
          <w:spacing w:val="-1"/>
        </w:rPr>
        <w:t>终止经营，是指满足下列条件之一的、能够单独区分且已被本公司处置或划分为持有待售类别的组成</w:t>
      </w:r>
    </w:p>
    <w:p>
      <w:pPr>
        <w:pStyle w:val="Heading5"/>
        <w:spacing w:line="273" w:lineRule="auto" w:before="22"/>
        <w:ind w:right="1131"/>
        <w:jc w:val="both"/>
      </w:pPr>
      <w:r>
        <w:rPr>
          <w:spacing w:val="-1"/>
        </w:rPr>
        <w:t>部分：①该组成部分代表一项独立的主要业务或一个单独的主要经营地区；②该组成部分是拟对一项独立</w:t>
      </w:r>
      <w:r>
        <w:rPr>
          <w:spacing w:val="-81"/>
        </w:rPr>
        <w:t> </w:t>
      </w:r>
      <w:r>
        <w:rPr>
          <w:spacing w:val="-81"/>
        </w:rPr>
      </w:r>
      <w:r>
        <w:rPr>
          <w:spacing w:val="-1"/>
        </w:rPr>
        <w:t>的主要业务或一个单独的主要经营地区进行处置的一项相关联计划的一部分；③该组成部分是专为了转售</w:t>
      </w:r>
      <w:r>
        <w:rPr>
          <w:spacing w:val="-81"/>
        </w:rPr>
        <w:t> </w:t>
      </w:r>
      <w:r>
        <w:rPr>
          <w:spacing w:val="-81"/>
        </w:rPr>
      </w:r>
      <w:r>
        <w:rPr/>
        <w:t>而取得的子公司。</w:t>
      </w:r>
    </w:p>
    <w:p>
      <w:pPr>
        <w:pStyle w:val="Heading5"/>
        <w:spacing w:line="240" w:lineRule="auto"/>
        <w:ind w:left="574" w:right="0"/>
        <w:jc w:val="left"/>
      </w:pPr>
      <w:r>
        <w:rPr/>
        <w:t>终止经营的会计处理方法参见本附注</w:t>
      </w:r>
      <w:r>
        <w:rPr>
          <w:rFonts w:ascii="Times New Roman" w:hAnsi="Times New Roman" w:cs="Times New Roman" w:eastAsia="Times New Roman" w:hint="default"/>
        </w:rPr>
        <w:t>“</w:t>
      </w:r>
      <w:r>
        <w:rPr/>
        <w:t>五、</w:t>
      </w:r>
      <w:r>
        <w:rPr>
          <w:rFonts w:ascii="Times New Roman" w:hAnsi="Times New Roman" w:cs="Times New Roman" w:eastAsia="Times New Roman" w:hint="default"/>
        </w:rPr>
        <w:t>13</w:t>
      </w:r>
      <w:r>
        <w:rPr/>
        <w:t>、持有待售资产</w:t>
      </w:r>
      <w:r>
        <w:rPr>
          <w:rFonts w:ascii="Times New Roman" w:hAnsi="Times New Roman" w:cs="Times New Roman" w:eastAsia="Times New Roman" w:hint="default"/>
        </w:rPr>
        <w:t>”</w:t>
      </w:r>
      <w:r>
        <w:rPr/>
        <w:t>相关描述。</w:t>
      </w:r>
    </w:p>
    <w:p>
      <w:pPr>
        <w:pStyle w:val="Heading5"/>
        <w:spacing w:line="256" w:lineRule="auto" w:before="21"/>
        <w:ind w:left="574" w:right="0"/>
        <w:jc w:val="left"/>
      </w:pPr>
      <w:r>
        <w:rPr/>
        <w:t>（</w:t>
      </w:r>
      <w:r>
        <w:rPr>
          <w:rFonts w:ascii="Times New Roman" w:hAnsi="Times New Roman" w:cs="Times New Roman" w:eastAsia="Times New Roman" w:hint="default"/>
        </w:rPr>
        <w:t>2</w:t>
      </w:r>
      <w:r>
        <w:rPr/>
        <w:t>）回购股份 </w:t>
      </w:r>
      <w:r>
        <w:rPr>
          <w:spacing w:val="-1"/>
        </w:rPr>
        <w:t>股份回购中支付的对价和交易费用减少股东权益，回购、转让或注销本公司股份时，不确认利得或损</w:t>
      </w:r>
    </w:p>
    <w:p>
      <w:pPr>
        <w:pStyle w:val="Heading5"/>
        <w:spacing w:line="240" w:lineRule="auto" w:before="22"/>
        <w:ind w:right="0"/>
        <w:jc w:val="both"/>
      </w:pPr>
      <w:r>
        <w:rPr/>
        <w:t>失。</w:t>
      </w:r>
    </w:p>
    <w:p>
      <w:pPr>
        <w:pStyle w:val="Heading5"/>
        <w:spacing w:line="273" w:lineRule="auto" w:before="37"/>
        <w:ind w:right="1131" w:firstLine="420"/>
        <w:jc w:val="both"/>
      </w:pPr>
      <w:r>
        <w:rPr>
          <w:spacing w:val="-1"/>
        </w:rPr>
        <w:t>转让库存股，按实际收到的金额与库存股账面金额的差额，计入资本公积，资本公积不足冲减的，冲</w:t>
      </w:r>
      <w:r>
        <w:rPr/>
        <w:t> </w:t>
      </w:r>
      <w:r>
        <w:rPr>
          <w:spacing w:val="-1"/>
        </w:rPr>
        <w:t>减盈余公积和未分配利润。注销库存股，按股票面值和注销股数减少股本，按注销库存股的账面余额与面</w:t>
      </w:r>
      <w:r>
        <w:rPr>
          <w:spacing w:val="-83"/>
        </w:rPr>
        <w:t> </w:t>
      </w:r>
      <w:r>
        <w:rPr>
          <w:spacing w:val="-83"/>
        </w:rPr>
      </w:r>
      <w:r>
        <w:rPr/>
        <w:t>值的差额，冲减资本公积，资本公积不足冲减的，冲减盈余公积和未分配利润。</w:t>
      </w:r>
    </w:p>
    <w:p>
      <w:pPr>
        <w:spacing w:after="0" w:line="273" w:lineRule="auto"/>
        <w:jc w:val="both"/>
        <w:sectPr>
          <w:pgSz w:w="11910" w:h="16840"/>
          <w:pgMar w:header="787" w:footer="1019" w:top="1100" w:bottom="1200" w:left="980" w:right="0"/>
        </w:sectPr>
      </w:pPr>
    </w:p>
    <w:p>
      <w:pPr>
        <w:spacing w:line="240" w:lineRule="auto" w:before="7"/>
        <w:rPr>
          <w:rFonts w:ascii="宋体" w:hAnsi="宋体" w:cs="宋体" w:eastAsia="宋体" w:hint="default"/>
          <w:sz w:val="21"/>
          <w:szCs w:val="21"/>
        </w:rPr>
      </w:pPr>
    </w:p>
    <w:p>
      <w:pPr>
        <w:pStyle w:val="Heading5"/>
        <w:spacing w:line="273" w:lineRule="auto" w:before="35"/>
        <w:ind w:right="1131" w:firstLine="420"/>
        <w:jc w:val="both"/>
      </w:pPr>
      <w:r>
        <w:rPr>
          <w:spacing w:val="-1"/>
        </w:rPr>
        <w:t>本公司在运用会计政策过程中，由于经营活动内在的不确定性，本公司需要对无法准确计量的报表项</w:t>
      </w:r>
      <w:r>
        <w:rPr/>
        <w:t> </w:t>
      </w:r>
      <w:r>
        <w:rPr>
          <w:spacing w:val="-1"/>
        </w:rPr>
        <w:t>目的账面价值进行判断、估计和假设。这些判断、估计和假设是基于本公司管理层过去的历史经验，并在</w:t>
      </w:r>
      <w:r>
        <w:rPr>
          <w:spacing w:val="-86"/>
        </w:rPr>
        <w:t> </w:t>
      </w:r>
      <w:r>
        <w:rPr>
          <w:spacing w:val="-86"/>
        </w:rPr>
      </w:r>
      <w:r>
        <w:rPr>
          <w:spacing w:val="-1"/>
        </w:rPr>
        <w:t>考虑其他相关因素的基础上做出的。这些判断、估计和假设会影响收入、费用、资产和负债的报告金额以</w:t>
      </w:r>
      <w:r>
        <w:rPr>
          <w:spacing w:val="-85"/>
        </w:rPr>
        <w:t> </w:t>
      </w:r>
      <w:r>
        <w:rPr>
          <w:spacing w:val="-85"/>
        </w:rPr>
      </w:r>
      <w:r>
        <w:rPr>
          <w:spacing w:val="-1"/>
        </w:rPr>
        <w:t>及资产负债表日或有负债的披露。然而，这些估计的不确定性所导致的实际结果可能与本公司管理层当前</w:t>
      </w:r>
      <w:r>
        <w:rPr>
          <w:spacing w:val="-81"/>
        </w:rPr>
        <w:t> </w:t>
      </w:r>
      <w:r>
        <w:rPr>
          <w:spacing w:val="-81"/>
        </w:rPr>
      </w:r>
      <w:r>
        <w:rPr/>
        <w:t>的估计存在差异，进而造成对未来受影响的资产或负债的账面金额进行重大调整。</w:t>
      </w:r>
    </w:p>
    <w:p>
      <w:pPr>
        <w:pStyle w:val="Heading5"/>
        <w:spacing w:line="256" w:lineRule="auto"/>
        <w:ind w:left="574" w:right="0"/>
        <w:jc w:val="left"/>
      </w:pPr>
      <w:r>
        <w:rPr/>
        <w:t>（</w:t>
      </w:r>
      <w:r>
        <w:rPr>
          <w:rFonts w:ascii="Times New Roman" w:hAnsi="Times New Roman" w:cs="Times New Roman" w:eastAsia="Times New Roman" w:hint="default"/>
        </w:rPr>
        <w:t>3</w:t>
      </w:r>
      <w:r>
        <w:rPr/>
        <w:t>）重大会计判断和估计 </w:t>
      </w:r>
      <w:r>
        <w:rPr>
          <w:spacing w:val="-1"/>
        </w:rPr>
        <w:t>本公司对前述判断、估计和假设在持续经营的基础上进行定期复核，会计估计的变更仅影响变更当期</w:t>
      </w:r>
    </w:p>
    <w:p>
      <w:pPr>
        <w:pStyle w:val="Heading5"/>
        <w:spacing w:line="273" w:lineRule="auto" w:before="22"/>
        <w:ind w:right="1131"/>
        <w:jc w:val="both"/>
      </w:pPr>
      <w:r>
        <w:rPr>
          <w:spacing w:val="-1"/>
        </w:rPr>
        <w:t>的，其影响数在变更当期予以确认；既影响变更当期又影响未来期间的，其影响数在变更当期和未来期间</w:t>
      </w:r>
      <w:r>
        <w:rPr>
          <w:spacing w:val="-83"/>
        </w:rPr>
        <w:t> </w:t>
      </w:r>
      <w:r>
        <w:rPr>
          <w:spacing w:val="-83"/>
        </w:rPr>
      </w:r>
      <w:r>
        <w:rPr/>
        <w:t>予以确认。</w:t>
      </w:r>
    </w:p>
    <w:p>
      <w:pPr>
        <w:pStyle w:val="Heading5"/>
        <w:spacing w:line="240" w:lineRule="auto"/>
        <w:ind w:left="574" w:right="0"/>
        <w:jc w:val="left"/>
      </w:pPr>
      <w:r>
        <w:rPr/>
        <w:t>于资产负债表日，本公司需对财务报表项目金额进行判断、估计和假设的重要领域如下：</w:t>
      </w:r>
    </w:p>
    <w:p>
      <w:pPr>
        <w:pStyle w:val="Heading5"/>
        <w:spacing w:line="256" w:lineRule="auto" w:before="37"/>
        <w:ind w:left="574" w:right="0"/>
        <w:jc w:val="left"/>
      </w:pPr>
      <w:r>
        <w:rPr/>
        <w:t>①收入确认</w:t>
      </w:r>
      <w:r>
        <w:rPr>
          <w:rFonts w:ascii="Times New Roman" w:hAnsi="Times New Roman" w:cs="Times New Roman" w:eastAsia="Times New Roman" w:hint="default"/>
        </w:rPr>
        <w:t>——</w:t>
      </w:r>
      <w:r>
        <w:rPr/>
        <w:t>建造合同 </w:t>
      </w:r>
      <w:r>
        <w:rPr>
          <w:spacing w:val="-1"/>
        </w:rPr>
        <w:t>在建造合同结果可以可靠估计时，本公司采用完工百分比法在资产负债表日确认合同收入。合同的完</w:t>
      </w:r>
    </w:p>
    <w:p>
      <w:pPr>
        <w:pStyle w:val="Heading5"/>
        <w:spacing w:line="256" w:lineRule="auto" w:before="22"/>
        <w:ind w:right="1132"/>
        <w:jc w:val="both"/>
      </w:pPr>
      <w:r>
        <w:rPr/>
        <w:t>工百分比是依照本附注</w:t>
      </w:r>
      <w:r>
        <w:rPr>
          <w:rFonts w:ascii="Times New Roman" w:hAnsi="Times New Roman" w:cs="Times New Roman" w:eastAsia="Times New Roman" w:hint="default"/>
        </w:rPr>
        <w:t>“</w:t>
      </w:r>
      <w:r>
        <w:rPr/>
        <w:t>五、</w:t>
      </w:r>
      <w:r>
        <w:rPr>
          <w:rFonts w:ascii="Times New Roman" w:hAnsi="Times New Roman" w:cs="Times New Roman" w:eastAsia="Times New Roman" w:hint="default"/>
        </w:rPr>
        <w:t>28</w:t>
      </w:r>
      <w:r>
        <w:rPr/>
        <w:t>、收入</w:t>
      </w:r>
      <w:r>
        <w:rPr>
          <w:rFonts w:ascii="Times New Roman" w:hAnsi="Times New Roman" w:cs="Times New Roman" w:eastAsia="Times New Roman" w:hint="default"/>
        </w:rPr>
        <w:t>”</w:t>
      </w:r>
      <w:r>
        <w:rPr/>
        <w:t>所述方法进行确认的，在执行各该建造合同的各会计年度内累积计 算。</w:t>
      </w:r>
    </w:p>
    <w:p>
      <w:pPr>
        <w:pStyle w:val="Heading5"/>
        <w:spacing w:line="273" w:lineRule="auto" w:before="22"/>
        <w:ind w:right="1131" w:firstLine="420"/>
        <w:jc w:val="both"/>
      </w:pPr>
      <w:r>
        <w:rPr>
          <w:spacing w:val="-1"/>
        </w:rPr>
        <w:t>在确定完工百分比、已发生的合同成本、预计合同总收入和总成本，以及合同可回收性时，需要作出</w:t>
      </w:r>
      <w:r>
        <w:rPr/>
        <w:t> </w:t>
      </w:r>
      <w:r>
        <w:rPr>
          <w:spacing w:val="-1"/>
        </w:rPr>
        <w:t>重大判断。预计合同总收入和总成本，以及合同执行结果的估计变更都可能对变更当期或以后期间的营业</w:t>
      </w:r>
      <w:r>
        <w:rPr>
          <w:spacing w:val="-81"/>
        </w:rPr>
        <w:t> </w:t>
      </w:r>
      <w:r>
        <w:rPr>
          <w:spacing w:val="-81"/>
        </w:rPr>
      </w:r>
      <w:r>
        <w:rPr/>
        <w:t>收入、营业成本，以及期间损益产生影响，且可能构成重大影响。</w:t>
      </w:r>
    </w:p>
    <w:p>
      <w:pPr>
        <w:pStyle w:val="Heading5"/>
        <w:spacing w:line="273" w:lineRule="auto"/>
        <w:ind w:left="574" w:right="0"/>
        <w:jc w:val="left"/>
      </w:pPr>
      <w:r>
        <w:rPr/>
        <w:t>②坏账准备计提 </w:t>
      </w:r>
      <w:r>
        <w:rPr>
          <w:spacing w:val="-1"/>
        </w:rPr>
        <w:t>本公司根据应收款项的会计政策，采用备抵法核算坏账损失。应收款项减值是基于评估应收款项的可</w:t>
      </w:r>
    </w:p>
    <w:p>
      <w:pPr>
        <w:pStyle w:val="Heading5"/>
        <w:spacing w:line="273" w:lineRule="auto"/>
        <w:ind w:right="1131"/>
        <w:jc w:val="both"/>
      </w:pPr>
      <w:r>
        <w:rPr>
          <w:spacing w:val="-1"/>
        </w:rPr>
        <w:t>收回性。鉴定应收款项减值要求管理层的判断和估计。实际的结果与原先估计的差异将在估计被改变的期</w:t>
      </w:r>
      <w:r>
        <w:rPr>
          <w:spacing w:val="-81"/>
        </w:rPr>
        <w:t> </w:t>
      </w:r>
      <w:r>
        <w:rPr>
          <w:spacing w:val="-81"/>
        </w:rPr>
      </w:r>
      <w:r>
        <w:rPr/>
        <w:t>间影响应收款项的账面价值及应收款项坏账准备的计提或转回。</w:t>
      </w:r>
    </w:p>
    <w:p>
      <w:pPr>
        <w:pStyle w:val="Heading5"/>
        <w:spacing w:line="273" w:lineRule="auto"/>
        <w:ind w:left="574" w:right="0"/>
        <w:jc w:val="left"/>
      </w:pPr>
      <w:r>
        <w:rPr/>
        <w:t>③存货跌价准备 </w:t>
      </w:r>
      <w:r>
        <w:rPr>
          <w:spacing w:val="-1"/>
        </w:rPr>
        <w:t>本公司根据存货会计政策，按照成本与可变现净值孰低计量，对成本高于可变现净值及陈旧和滞销的</w:t>
      </w:r>
    </w:p>
    <w:p>
      <w:pPr>
        <w:pStyle w:val="Heading5"/>
        <w:spacing w:line="273" w:lineRule="auto"/>
        <w:ind w:right="1131"/>
        <w:jc w:val="both"/>
      </w:pPr>
      <w:r>
        <w:rPr>
          <w:spacing w:val="-1"/>
        </w:rPr>
        <w:t>存货，计提存货跌价准备。存货减值至可变现净值是基于评估存货的可售性及其可变现净值。鉴定存货减</w:t>
      </w:r>
      <w:r>
        <w:rPr>
          <w:spacing w:val="-83"/>
        </w:rPr>
        <w:t> </w:t>
      </w:r>
      <w:r>
        <w:rPr>
          <w:spacing w:val="-83"/>
        </w:rPr>
      </w:r>
      <w:r>
        <w:rPr>
          <w:spacing w:val="-1"/>
        </w:rPr>
        <w:t>值要求管理层在取得确凿证据，并且考虑持有存货的目的、资产负债表日后事项的影响等因素的基础上作</w:t>
      </w:r>
      <w:r>
        <w:rPr>
          <w:spacing w:val="-81"/>
        </w:rPr>
        <w:t> </w:t>
      </w:r>
      <w:r>
        <w:rPr>
          <w:spacing w:val="-81"/>
        </w:rPr>
      </w:r>
      <w:r>
        <w:rPr>
          <w:spacing w:val="-1"/>
        </w:rPr>
        <w:t>出判断和估计。实际的结果与原先估计的差异将在估计被改变的期间影响存货的账面价值及存货跌价准备</w:t>
      </w:r>
      <w:r>
        <w:rPr>
          <w:spacing w:val="-81"/>
        </w:rPr>
        <w:t> </w:t>
      </w:r>
      <w:r>
        <w:rPr>
          <w:spacing w:val="-81"/>
        </w:rPr>
      </w:r>
      <w:r>
        <w:rPr/>
        <w:t>的计提或转回。</w:t>
      </w:r>
    </w:p>
    <w:p>
      <w:pPr>
        <w:pStyle w:val="Heading5"/>
        <w:spacing w:line="273" w:lineRule="auto"/>
        <w:ind w:left="574" w:right="0"/>
        <w:jc w:val="left"/>
      </w:pPr>
      <w:r>
        <w:rPr/>
        <w:t>④长期资产减值准备 </w:t>
      </w:r>
      <w:r>
        <w:rPr>
          <w:spacing w:val="-1"/>
        </w:rPr>
        <w:t>本公司于资产负债表日对除金融资产之外的非流动资产判断是否存在可能发生减值的迹象。对使用寿</w:t>
      </w:r>
    </w:p>
    <w:p>
      <w:pPr>
        <w:pStyle w:val="Heading5"/>
        <w:spacing w:line="273" w:lineRule="auto"/>
        <w:ind w:right="1133"/>
        <w:jc w:val="both"/>
      </w:pPr>
      <w:r>
        <w:rPr>
          <w:spacing w:val="-1"/>
        </w:rPr>
        <w:t>命不确定的无形资产，除每年进行的减值测试外，当其存在减值迹象时，也进行减值测试。其他除金融资</w:t>
      </w:r>
      <w:r>
        <w:rPr>
          <w:spacing w:val="-86"/>
        </w:rPr>
        <w:t> </w:t>
      </w:r>
      <w:r>
        <w:rPr>
          <w:spacing w:val="-86"/>
        </w:rPr>
      </w:r>
      <w:r>
        <w:rPr/>
        <w:t>产之外的非流动资产，当存在迹象表明其账面金额不可收回时，进行减值测试。</w:t>
      </w:r>
    </w:p>
    <w:p>
      <w:pPr>
        <w:pStyle w:val="Heading5"/>
        <w:spacing w:line="273" w:lineRule="auto"/>
        <w:ind w:right="1132" w:firstLine="420"/>
        <w:jc w:val="both"/>
      </w:pPr>
      <w:r>
        <w:rPr>
          <w:spacing w:val="-1"/>
        </w:rPr>
        <w:t>当资产或资产组的账面价值高于可收回金额，即公允价值减去处置费用后的净额和预计未来现金流量</w:t>
      </w:r>
      <w:r>
        <w:rPr/>
        <w:t> 的现值中的较高者，表明发生了减值。</w:t>
      </w:r>
    </w:p>
    <w:p>
      <w:pPr>
        <w:pStyle w:val="Heading5"/>
        <w:spacing w:line="273" w:lineRule="auto"/>
        <w:ind w:right="1110" w:firstLine="420"/>
        <w:jc w:val="both"/>
      </w:pPr>
      <w:r>
        <w:rPr/>
        <w:t>公允价值减去处置费用后的净额，参考公平交易中类似资产的销售协议价格或可观察到的市场价格， 减去可直接归属于该资产处置的增量成本确定。</w:t>
      </w:r>
    </w:p>
    <w:p>
      <w:pPr>
        <w:pStyle w:val="Heading5"/>
        <w:spacing w:line="273" w:lineRule="auto"/>
        <w:ind w:right="1131" w:firstLine="420"/>
        <w:jc w:val="both"/>
      </w:pPr>
      <w:r>
        <w:rPr>
          <w:spacing w:val="-1"/>
        </w:rPr>
        <w:t>在预计未来现金流量现值时，需要对该资产（或资产组）的产量、售价、相关经营成本以及计算现值</w:t>
      </w:r>
      <w:r>
        <w:rPr/>
        <w:t> </w:t>
      </w:r>
      <w:r>
        <w:rPr>
          <w:spacing w:val="-1"/>
        </w:rPr>
        <w:t>时使用的折现率等作出重大判断。本公司在估计可收回金额时会采用所有能够获得的相关资料，包括根据</w:t>
      </w:r>
      <w:r>
        <w:rPr>
          <w:spacing w:val="-81"/>
        </w:rPr>
        <w:t> </w:t>
      </w:r>
      <w:r>
        <w:rPr>
          <w:spacing w:val="-81"/>
        </w:rPr>
      </w:r>
      <w:r>
        <w:rPr/>
        <w:t>合理和可支持的假设所作出有关产量、售价和相关经营成本的预测。</w:t>
      </w:r>
    </w:p>
    <w:p>
      <w:pPr>
        <w:pStyle w:val="Heading5"/>
        <w:spacing w:line="273" w:lineRule="auto"/>
        <w:ind w:right="1131" w:firstLine="420"/>
        <w:jc w:val="both"/>
      </w:pPr>
      <w:r>
        <w:rPr>
          <w:spacing w:val="-1"/>
        </w:rPr>
        <w:t>本公司至少每年测试商誉是否发生减值。这要求对分配了商誉的资产组或者资产组组合的未来现金流</w:t>
      </w:r>
      <w:r>
        <w:rPr/>
        <w:t> </w:t>
      </w:r>
      <w:r>
        <w:rPr>
          <w:spacing w:val="-1"/>
        </w:rPr>
        <w:t>量的现值进行预计。对未来现金流量的现值进行预计时，本公司需要预计未来资产组或者资产组组合产生</w:t>
      </w:r>
      <w:r>
        <w:rPr>
          <w:spacing w:val="-81"/>
        </w:rPr>
        <w:t> </w:t>
      </w:r>
      <w:r>
        <w:rPr>
          <w:spacing w:val="-81"/>
        </w:rPr>
      </w:r>
      <w:r>
        <w:rPr/>
        <w:t>的现金流量，同时选择恰当的折现率确定未来现金流量的现值。</w:t>
      </w:r>
    </w:p>
    <w:p>
      <w:pPr>
        <w:pStyle w:val="Heading5"/>
        <w:spacing w:line="273" w:lineRule="auto"/>
        <w:ind w:left="574" w:right="0"/>
        <w:jc w:val="left"/>
      </w:pPr>
      <w:r>
        <w:rPr/>
        <w:t>⑤折旧和摊销 </w:t>
      </w:r>
      <w:r>
        <w:rPr>
          <w:spacing w:val="-1"/>
        </w:rPr>
        <w:t>本公司对投资性房地产、固定资产和无形资产在考虑其残值后，在使用寿命内按直线法计提折旧和摊</w:t>
      </w:r>
    </w:p>
    <w:p>
      <w:pPr>
        <w:pStyle w:val="Heading5"/>
        <w:spacing w:line="240" w:lineRule="auto"/>
        <w:ind w:right="0"/>
        <w:jc w:val="both"/>
      </w:pPr>
      <w:r>
        <w:rPr/>
        <w:t>销。本公司定期复核使用寿命，以决定将计入每个报告期的折旧和摊销费用数额。使用寿命是本公司根据</w:t>
      </w:r>
    </w:p>
    <w:p>
      <w:pPr>
        <w:spacing w:after="0" w:line="240" w:lineRule="auto"/>
        <w:jc w:val="both"/>
        <w:sectPr>
          <w:pgSz w:w="11910" w:h="16840"/>
          <w:pgMar w:header="787" w:footer="1019" w:top="1100" w:bottom="1200" w:left="980" w:right="0"/>
        </w:sectPr>
      </w:pPr>
    </w:p>
    <w:p>
      <w:pPr>
        <w:spacing w:line="240" w:lineRule="auto" w:before="7"/>
        <w:rPr>
          <w:rFonts w:ascii="宋体" w:hAnsi="宋体" w:cs="宋体" w:eastAsia="宋体" w:hint="default"/>
          <w:sz w:val="21"/>
          <w:szCs w:val="21"/>
        </w:rPr>
      </w:pPr>
    </w:p>
    <w:p>
      <w:pPr>
        <w:pStyle w:val="Heading5"/>
        <w:spacing w:line="273" w:lineRule="auto" w:before="35"/>
        <w:ind w:right="1131"/>
        <w:jc w:val="both"/>
      </w:pPr>
      <w:r>
        <w:rPr>
          <w:spacing w:val="-1"/>
        </w:rPr>
        <w:t>对同类资产的以往经验并结合预期的技术更新而确定的。如果以前的估计发生重大变化，则会在未来期间</w:t>
      </w:r>
      <w:r>
        <w:rPr>
          <w:spacing w:val="-81"/>
        </w:rPr>
        <w:t> </w:t>
      </w:r>
      <w:r>
        <w:rPr>
          <w:spacing w:val="-81"/>
        </w:rPr>
      </w:r>
      <w:r>
        <w:rPr/>
        <w:t>对折旧和摊销费用进行调整。</w:t>
      </w:r>
    </w:p>
    <w:p>
      <w:pPr>
        <w:pStyle w:val="Heading5"/>
        <w:spacing w:line="273" w:lineRule="auto"/>
        <w:ind w:left="574" w:right="1118"/>
        <w:jc w:val="left"/>
      </w:pPr>
      <w:r>
        <w:rPr/>
        <w:t>⑥开发支出 </w:t>
      </w:r>
      <w:r>
        <w:rPr>
          <w:spacing w:val="-1"/>
        </w:rPr>
        <w:t>确定资本化的金额时，本公司管理层需要作出有关资产的预计未来现金流量、适用的折现率以及预计</w:t>
      </w:r>
    </w:p>
    <w:p>
      <w:pPr>
        <w:pStyle w:val="Heading5"/>
        <w:spacing w:line="273" w:lineRule="auto" w:before="8"/>
        <w:ind w:left="574" w:right="0" w:hanging="420"/>
        <w:jc w:val="left"/>
      </w:pPr>
      <w:r>
        <w:rPr/>
        <w:t>受益期间的假设。 </w:t>
      </w:r>
      <w:r>
        <w:rPr>
          <w:spacing w:val="-1"/>
        </w:rPr>
        <w:t>本公司自行开发的无形资产，管理层认为该业务的前景和目前的发展良好，市场对以该无形资产生产</w:t>
      </w:r>
    </w:p>
    <w:p>
      <w:pPr>
        <w:pStyle w:val="Heading5"/>
        <w:spacing w:line="273" w:lineRule="auto"/>
        <w:ind w:right="1131"/>
        <w:jc w:val="both"/>
      </w:pPr>
      <w:r>
        <w:rPr>
          <w:spacing w:val="-1"/>
        </w:rPr>
        <w:t>的产品的反应也证实了管理层之前对这一项目预期收入的估计。但是日益增加的竞争也使得管理层重新考</w:t>
      </w:r>
      <w:r>
        <w:rPr>
          <w:spacing w:val="-81"/>
        </w:rPr>
        <w:t> </w:t>
      </w:r>
      <w:r>
        <w:rPr>
          <w:spacing w:val="-81"/>
        </w:rPr>
      </w:r>
      <w:r>
        <w:rPr>
          <w:spacing w:val="-1"/>
        </w:rPr>
        <w:t>虑对市场份额和有关产品的预计毛利等方面的假设。经过全面的检视后，本公司管理层认为即使在产品回</w:t>
      </w:r>
      <w:r>
        <w:rPr>
          <w:spacing w:val="-81"/>
        </w:rPr>
        <w:t> </w:t>
      </w:r>
      <w:r>
        <w:rPr>
          <w:spacing w:val="-81"/>
        </w:rPr>
      </w:r>
      <w:r>
        <w:rPr>
          <w:spacing w:val="-1"/>
        </w:rPr>
        <w:t>报率出现下调的情况下，仍可以全额收回该无形资产账面价值。本公司将继续密切检视有关情况，一旦有</w:t>
      </w:r>
      <w:r>
        <w:rPr>
          <w:spacing w:val="-83"/>
        </w:rPr>
        <w:t> </w:t>
      </w:r>
      <w:r>
        <w:rPr>
          <w:spacing w:val="-83"/>
        </w:rPr>
      </w:r>
      <w:r>
        <w:rPr/>
        <w:t>迹象表明需要调整相关会计估计的假设，本公司将在有关迹象发生的期间作出调整。</w:t>
      </w:r>
    </w:p>
    <w:p>
      <w:pPr>
        <w:spacing w:line="240" w:lineRule="auto" w:before="8"/>
        <w:rPr>
          <w:rFonts w:ascii="宋体" w:hAnsi="宋体" w:cs="宋体" w:eastAsia="宋体" w:hint="default"/>
          <w:sz w:val="23"/>
          <w:szCs w:val="23"/>
        </w:rPr>
      </w:pPr>
    </w:p>
    <w:p>
      <w:pPr>
        <w:pStyle w:val="Heading4"/>
        <w:spacing w:line="240" w:lineRule="auto"/>
        <w:ind w:right="0"/>
        <w:jc w:val="both"/>
        <w:rPr>
          <w:b w:val="0"/>
          <w:bCs w:val="0"/>
        </w:rPr>
      </w:pPr>
      <w:bookmarkStart w:name="33、重要会计政策和会计估计变更" w:id="217"/>
      <w:bookmarkEnd w:id="217"/>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重要会计政策变更" w:id="218"/>
      <w:bookmarkEnd w:id="218"/>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58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财政部发布了《关于修订印发一般企业 </w:t>
            </w:r>
            <w:r>
              <w:rPr>
                <w:rFonts w:ascii="宋体" w:hAnsi="宋体" w:cs="宋体" w:eastAsia="宋体" w:hint="default"/>
                <w:spacing w:val="-5"/>
                <w:sz w:val="18"/>
                <w:szCs w:val="18"/>
              </w:rPr>
              <w:t>财务报表格式的通知》（财会〔</w:t>
            </w:r>
            <w:r>
              <w:rPr>
                <w:rFonts w:ascii="Times New Roman" w:hAnsi="Times New Roman" w:cs="Times New Roman" w:eastAsia="Times New Roman" w:hint="default"/>
                <w:spacing w:val="-5"/>
                <w:sz w:val="18"/>
                <w:szCs w:val="18"/>
              </w:rPr>
              <w:t>2017</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t> </w:t>
            </w:r>
            <w:r>
              <w:rPr>
                <w:rFonts w:ascii="宋体" w:hAnsi="宋体" w:cs="宋体" w:eastAsia="宋体" w:hint="default"/>
                <w:spacing w:val="-6"/>
                <w:sz w:val="18"/>
                <w:szCs w:val="18"/>
              </w:rPr>
              <w:t>号），要求执行企业会计准则的非金融企</w:t>
            </w:r>
            <w:r>
              <w:rPr>
                <w:rFonts w:ascii="宋体" w:hAnsi="宋体" w:cs="宋体" w:eastAsia="宋体" w:hint="default"/>
                <w:sz w:val="18"/>
                <w:szCs w:val="18"/>
              </w:rPr>
              <w:t> 业应当按照企业会计准则和该通知要求 编制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年度及以后期间的财务报 表。按照上述通知及上述企业会计准则 的规定和要求，公司对原会计政策进行 相应变更。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第六届董事会第十四次会议审批</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Heading5"/>
        <w:spacing w:line="386" w:lineRule="auto" w:before="63"/>
        <w:ind w:right="1110" w:firstLine="411"/>
        <w:jc w:val="both"/>
      </w:pPr>
      <w:r>
        <w:rPr/>
        <w:t>财政部于 </w:t>
      </w:r>
      <w:r>
        <w:rPr>
          <w:rFonts w:ascii="Times New Roman" w:hAnsi="Times New Roman" w:cs="Times New Roman" w:eastAsia="Times New Roman" w:hint="default"/>
        </w:rPr>
        <w:t>2018 </w:t>
      </w:r>
      <w:r>
        <w:rPr/>
        <w:t>年度发布了《财政部关于修订印发</w:t>
      </w:r>
      <w:r>
        <w:rPr>
          <w:rFonts w:ascii="Times New Roman" w:hAnsi="Times New Roman" w:cs="Times New Roman" w:eastAsia="Times New Roman" w:hint="default"/>
        </w:rPr>
        <w:t>&lt;2018 </w:t>
      </w:r>
      <w:r>
        <w:rPr/>
        <w:t>年度一般企业财务报表格式</w:t>
      </w:r>
      <w:r>
        <w:rPr>
          <w:rFonts w:ascii="Times New Roman" w:hAnsi="Times New Roman" w:cs="Times New Roman" w:eastAsia="Times New Roman" w:hint="default"/>
        </w:rPr>
        <w:t>&gt;</w:t>
      </w:r>
      <w:r>
        <w:rPr/>
        <w:t>的通知》</w:t>
      </w:r>
      <w:r>
        <w:rPr>
          <w:spacing w:val="-11"/>
        </w:rPr>
        <w:t> </w:t>
      </w:r>
      <w:r>
        <w:rPr>
          <w:rFonts w:ascii="Times New Roman" w:hAnsi="Times New Roman" w:cs="Times New Roman" w:eastAsia="Times New Roman" w:hint="default"/>
        </w:rPr>
        <w:t>(</w:t>
      </w:r>
      <w:r>
        <w:rPr/>
        <w:t>财会</w:t>
      </w:r>
      <w:r>
        <w:rPr>
          <w:spacing w:val="1"/>
        </w:rPr>
        <w:t> </w:t>
      </w:r>
      <w:r>
        <w:rPr>
          <w:rFonts w:ascii="Times New Roman" w:hAnsi="Times New Roman" w:cs="Times New Roman" w:eastAsia="Times New Roman" w:hint="default"/>
        </w:rPr>
        <w:t>[2018]15</w:t>
      </w:r>
      <w:r>
        <w:rPr>
          <w:rFonts w:ascii="Times New Roman" w:hAnsi="Times New Roman" w:cs="Times New Roman" w:eastAsia="Times New Roman" w:hint="default"/>
          <w:spacing w:val="38"/>
        </w:rPr>
        <w:t> </w:t>
      </w:r>
      <w:r>
        <w:rPr>
          <w:spacing w:val="-4"/>
        </w:rPr>
        <w:t>号</w:t>
      </w:r>
      <w:r>
        <w:rPr>
          <w:rFonts w:ascii="Times New Roman" w:hAnsi="Times New Roman" w:cs="Times New Roman" w:eastAsia="Times New Roman" w:hint="default"/>
          <w:spacing w:val="-4"/>
        </w:rPr>
        <w:t>)</w:t>
      </w:r>
      <w:r>
        <w:rPr>
          <w:spacing w:val="-4"/>
        </w:rPr>
        <w:t>，对一般企业财务报表格式进行了修订，公司</w:t>
      </w:r>
      <w:r>
        <w:rPr>
          <w:spacing w:val="-1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7"/>
        </w:rPr>
        <w:t> </w:t>
      </w:r>
      <w:r>
        <w:rPr/>
        <w:t>年度财务报表按照修订后的财务报表格式</w:t>
      </w:r>
      <w:r>
        <w:rPr>
          <w:spacing w:val="-103"/>
        </w:rPr>
        <w:t> </w:t>
      </w:r>
      <w:r>
        <w:rPr/>
        <w:t>进行编制，并采用追溯调整法对比较财务报表的列报进行了调整。本公司执行上述规定的主要影响如下：</w:t>
      </w:r>
    </w:p>
    <w:p>
      <w:pPr>
        <w:pStyle w:val="Heading5"/>
        <w:spacing w:line="386" w:lineRule="auto" w:before="65"/>
        <w:ind w:right="1210" w:firstLine="411"/>
        <w:jc w:val="both"/>
      </w:pPr>
      <w:r>
        <w:rPr/>
        <w:t>①</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合并列示为</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，合并后</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科目本 期余额为</w:t>
      </w:r>
      <w:r>
        <w:rPr>
          <w:rFonts w:ascii="Times New Roman" w:hAnsi="Times New Roman" w:cs="Times New Roman" w:eastAsia="Times New Roman" w:hint="default"/>
        </w:rPr>
        <w:t>2,650,396,966.43</w:t>
      </w:r>
      <w:r>
        <w:rPr/>
        <w:t>元，上期余额为</w:t>
      </w:r>
      <w:r>
        <w:rPr>
          <w:rFonts w:ascii="Times New Roman" w:hAnsi="Times New Roman" w:cs="Times New Roman" w:eastAsia="Times New Roman" w:hint="default"/>
        </w:rPr>
        <w:t>2,184,811,704.84</w:t>
      </w:r>
      <w:r>
        <w:rPr/>
        <w:t>元；</w:t>
      </w:r>
    </w:p>
    <w:p>
      <w:pPr>
        <w:pStyle w:val="Heading5"/>
        <w:spacing w:line="386" w:lineRule="auto" w:before="35"/>
        <w:ind w:right="1219" w:firstLine="411"/>
        <w:jc w:val="left"/>
      </w:pPr>
      <w:r>
        <w:rPr/>
        <w:t>②</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应收利息</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应收股利</w:t>
      </w:r>
      <w:r>
        <w:rPr>
          <w:rFonts w:ascii="Times New Roman" w:hAnsi="Times New Roman" w:cs="Times New Roman" w:eastAsia="Times New Roman" w:hint="default"/>
        </w:rPr>
        <w:t>”</w:t>
      </w:r>
      <w:r>
        <w:rPr/>
        <w:t>合并列示为</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，合并后</w:t>
      </w:r>
      <w:r>
        <w:rPr>
          <w:rFonts w:ascii="Times New Roman" w:hAnsi="Times New Roman" w:cs="Times New Roman" w:eastAsia="Times New Roman" w:hint="default"/>
        </w:rPr>
        <w:t>“</w:t>
      </w:r>
      <w:r>
        <w:rPr/>
        <w:t>其他应收款</w:t>
      </w:r>
      <w:r>
        <w:rPr>
          <w:rFonts w:ascii="Times New Roman" w:hAnsi="Times New Roman" w:cs="Times New Roman" w:eastAsia="Times New Roman" w:hint="default"/>
        </w:rPr>
        <w:t>”</w:t>
      </w:r>
      <w:r>
        <w:rPr/>
        <w:t>科目本期 余额为</w:t>
      </w:r>
      <w:r>
        <w:rPr>
          <w:rFonts w:ascii="Times New Roman" w:hAnsi="Times New Roman" w:cs="Times New Roman" w:eastAsia="Times New Roman" w:hint="default"/>
        </w:rPr>
        <w:t>221,127,062.28</w:t>
      </w:r>
      <w:r>
        <w:rPr/>
        <w:t>元，上期余额为</w:t>
      </w:r>
      <w:r>
        <w:rPr>
          <w:rFonts w:ascii="Times New Roman" w:hAnsi="Times New Roman" w:cs="Times New Roman" w:eastAsia="Times New Roman" w:hint="default"/>
        </w:rPr>
        <w:t>89,191,358.87</w:t>
      </w:r>
      <w:r>
        <w:rPr/>
        <w:t>元；</w:t>
      </w:r>
    </w:p>
    <w:p>
      <w:pPr>
        <w:pStyle w:val="Heading5"/>
        <w:spacing w:line="386" w:lineRule="auto" w:before="35"/>
        <w:ind w:right="1210" w:firstLine="411"/>
        <w:jc w:val="both"/>
      </w:pPr>
      <w:r>
        <w:rPr/>
        <w:t>③</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合并列示为</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，合并后</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科目本 期余额为</w:t>
      </w:r>
      <w:r>
        <w:rPr>
          <w:rFonts w:ascii="Times New Roman" w:hAnsi="Times New Roman" w:cs="Times New Roman" w:eastAsia="Times New Roman" w:hint="default"/>
        </w:rPr>
        <w:t>1,221,820,566.83</w:t>
      </w:r>
      <w:r>
        <w:rPr/>
        <w:t>元，上期余额为</w:t>
      </w:r>
      <w:r>
        <w:rPr>
          <w:rFonts w:ascii="Times New Roman" w:hAnsi="Times New Roman" w:cs="Times New Roman" w:eastAsia="Times New Roman" w:hint="default"/>
        </w:rPr>
        <w:t>1,099,197,083.59</w:t>
      </w:r>
      <w:r>
        <w:rPr/>
        <w:t>元；</w:t>
      </w:r>
    </w:p>
    <w:p>
      <w:pPr>
        <w:pStyle w:val="Heading5"/>
        <w:spacing w:line="386" w:lineRule="auto" w:before="35"/>
        <w:ind w:right="1219" w:firstLine="411"/>
        <w:jc w:val="left"/>
      </w:pPr>
      <w:r>
        <w:rPr/>
        <w:t>④</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应付利息</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应付股利</w:t>
      </w:r>
      <w:r>
        <w:rPr>
          <w:rFonts w:ascii="Times New Roman" w:hAnsi="Times New Roman" w:cs="Times New Roman" w:eastAsia="Times New Roman" w:hint="default"/>
        </w:rPr>
        <w:t>”</w:t>
      </w:r>
      <w:r>
        <w:rPr/>
        <w:t>合并列示为</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，合并后</w:t>
      </w:r>
      <w:r>
        <w:rPr>
          <w:rFonts w:ascii="Times New Roman" w:hAnsi="Times New Roman" w:cs="Times New Roman" w:eastAsia="Times New Roman" w:hint="default"/>
        </w:rPr>
        <w:t>“</w:t>
      </w:r>
      <w:r>
        <w:rPr/>
        <w:t>其他应付款</w:t>
      </w:r>
      <w:r>
        <w:rPr>
          <w:rFonts w:ascii="Times New Roman" w:hAnsi="Times New Roman" w:cs="Times New Roman" w:eastAsia="Times New Roman" w:hint="default"/>
        </w:rPr>
        <w:t>”</w:t>
      </w:r>
      <w:r>
        <w:rPr/>
        <w:t>科目本期 余额为</w:t>
      </w:r>
      <w:r>
        <w:rPr>
          <w:rFonts w:ascii="Times New Roman" w:hAnsi="Times New Roman" w:cs="Times New Roman" w:eastAsia="Times New Roman" w:hint="default"/>
        </w:rPr>
        <w:t>101,236,695.47</w:t>
      </w:r>
      <w:r>
        <w:rPr/>
        <w:t>元，上期余额为</w:t>
      </w:r>
      <w:r>
        <w:rPr>
          <w:rFonts w:ascii="Times New Roman" w:hAnsi="Times New Roman" w:cs="Times New Roman" w:eastAsia="Times New Roman" w:hint="default"/>
        </w:rPr>
        <w:t>116,889,633.85</w:t>
      </w:r>
      <w:r>
        <w:rPr/>
        <w:t>元；</w:t>
      </w:r>
    </w:p>
    <w:p>
      <w:pPr>
        <w:pStyle w:val="Heading5"/>
        <w:spacing w:line="240" w:lineRule="auto" w:before="35"/>
        <w:ind w:left="565" w:right="0"/>
        <w:jc w:val="left"/>
      </w:pPr>
      <w:r>
        <w:rPr/>
        <w:t>⑤将原</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中的研发费用重分类至</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单独列示，重分类后</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本期金额为</w:t>
      </w:r>
    </w:p>
    <w:p>
      <w:pPr>
        <w:spacing w:after="0" w:line="240" w:lineRule="auto"/>
        <w:jc w:val="left"/>
        <w:sectPr>
          <w:pgSz w:w="11910" w:h="16840"/>
          <w:pgMar w:header="787" w:footer="1019" w:top="1100" w:bottom="1200" w:left="980" w:right="0"/>
        </w:sectPr>
      </w:pPr>
    </w:p>
    <w:p>
      <w:pPr>
        <w:spacing w:line="240" w:lineRule="auto" w:before="7"/>
        <w:rPr>
          <w:rFonts w:ascii="宋体" w:hAnsi="宋体" w:cs="宋体" w:eastAsia="宋体" w:hint="default"/>
          <w:sz w:val="27"/>
          <w:szCs w:val="27"/>
        </w:rPr>
      </w:pPr>
    </w:p>
    <w:p>
      <w:pPr>
        <w:pStyle w:val="Heading5"/>
        <w:spacing w:line="240" w:lineRule="auto" w:before="35"/>
        <w:ind w:right="0"/>
        <w:jc w:val="left"/>
      </w:pPr>
      <w:r>
        <w:rPr>
          <w:rFonts w:ascii="Times New Roman" w:hAnsi="Times New Roman" w:cs="Times New Roman" w:eastAsia="Times New Roman" w:hint="default"/>
        </w:rPr>
        <w:t>47,573,406.42</w:t>
      </w:r>
      <w:r>
        <w:rPr>
          <w:rFonts w:ascii="Times New Roman" w:hAnsi="Times New Roman" w:cs="Times New Roman" w:eastAsia="Times New Roman" w:hint="default"/>
          <w:spacing w:val="30"/>
        </w:rPr>
        <w:t> </w:t>
      </w:r>
      <w:r>
        <w:rPr/>
        <w:t>元，上期金额为</w:t>
      </w:r>
      <w:r>
        <w:rPr>
          <w:rFonts w:ascii="Times New Roman" w:hAnsi="Times New Roman" w:cs="Times New Roman" w:eastAsia="Times New Roman" w:hint="default"/>
        </w:rPr>
        <w:t>67,055,041.33</w:t>
      </w:r>
      <w:r>
        <w:rPr/>
        <w:t>元；</w:t>
      </w:r>
    </w:p>
    <w:p>
      <w:pPr>
        <w:pStyle w:val="Heading5"/>
        <w:spacing w:line="240" w:lineRule="auto" w:before="177"/>
        <w:ind w:left="565" w:right="0"/>
        <w:jc w:val="left"/>
      </w:pPr>
      <w:r>
        <w:rPr/>
        <w:t>⑥将个人所得税手续费返还等补助重类分类至</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列示，重分类后</w:t>
      </w:r>
      <w:r>
        <w:rPr>
          <w:rFonts w:ascii="Times New Roman" w:hAnsi="Times New Roman" w:cs="Times New Roman" w:eastAsia="Times New Roman" w:hint="default"/>
        </w:rPr>
        <w:t>“</w:t>
      </w:r>
      <w:r>
        <w:rPr/>
        <w:t>其他收益</w:t>
      </w:r>
      <w:r>
        <w:rPr>
          <w:rFonts w:ascii="Times New Roman" w:hAnsi="Times New Roman" w:cs="Times New Roman" w:eastAsia="Times New Roman" w:hint="default"/>
        </w:rPr>
        <w:t>”</w:t>
      </w:r>
      <w:r>
        <w:rPr/>
        <w:t>本期金额为</w:t>
      </w:r>
    </w:p>
    <w:p>
      <w:pPr>
        <w:pStyle w:val="Heading5"/>
        <w:spacing w:line="240" w:lineRule="auto" w:before="177"/>
        <w:ind w:right="0"/>
        <w:jc w:val="left"/>
      </w:pPr>
      <w:r>
        <w:rPr>
          <w:rFonts w:ascii="Times New Roman" w:hAnsi="Times New Roman" w:cs="Times New Roman" w:eastAsia="Times New Roman" w:hint="default"/>
        </w:rPr>
        <w:t>28,821,457.86</w:t>
      </w:r>
      <w:r>
        <w:rPr/>
        <w:t>元，上期金额为</w:t>
      </w:r>
      <w:r>
        <w:rPr>
          <w:rFonts w:ascii="Times New Roman" w:hAnsi="Times New Roman" w:cs="Times New Roman" w:eastAsia="Times New Roman" w:hint="default"/>
        </w:rPr>
        <w:t>19,217,258.52</w:t>
      </w:r>
      <w:r>
        <w:rPr/>
        <w:t>元。</w:t>
      </w:r>
    </w:p>
    <w:p>
      <w:pPr>
        <w:spacing w:line="240" w:lineRule="auto" w:before="8"/>
        <w:rPr>
          <w:rFonts w:ascii="宋体" w:hAnsi="宋体" w:cs="宋体" w:eastAsia="宋体" w:hint="default"/>
          <w:sz w:val="30"/>
          <w:szCs w:val="30"/>
        </w:rPr>
      </w:pPr>
    </w:p>
    <w:p>
      <w:pPr>
        <w:pStyle w:val="Heading4"/>
        <w:spacing w:line="240" w:lineRule="auto"/>
        <w:ind w:right="0"/>
        <w:jc w:val="left"/>
        <w:rPr>
          <w:b w:val="0"/>
          <w:bCs w:val="0"/>
        </w:rPr>
      </w:pPr>
      <w:bookmarkStart w:name="（2）重要会计估计变更" w:id="219"/>
      <w:bookmarkEnd w:id="219"/>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54" w:right="8966" w:firstLine="0"/>
        <w:jc w:val="left"/>
        <w:rPr>
          <w:rFonts w:ascii="宋体" w:hAnsi="宋体" w:cs="宋体" w:eastAsia="宋体" w:hint="default"/>
          <w:sz w:val="21"/>
          <w:szCs w:val="21"/>
        </w:rPr>
      </w:pPr>
      <w:bookmarkStart w:name="34、其他" w:id="220"/>
      <w:bookmarkEnd w:id="220"/>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21"/>
      <w:bookmarkEnd w:id="221"/>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2"/>
      <w:bookmarkEnd w:id="222"/>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应税销售额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应纳增值税额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应纳增值税额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4" w:right="0"/>
              <w:jc w:val="left"/>
              <w:rPr>
                <w:rFonts w:ascii="宋体" w:hAnsi="宋体" w:cs="宋体" w:eastAsia="宋体" w:hint="default"/>
                <w:sz w:val="18"/>
                <w:szCs w:val="18"/>
              </w:rPr>
            </w:pPr>
            <w:r>
              <w:rPr>
                <w:rFonts w:ascii="宋体" w:hAnsi="宋体" w:cs="宋体" w:eastAsia="宋体" w:hint="default"/>
                <w:sz w:val="18"/>
                <w:szCs w:val="18"/>
              </w:rPr>
              <w:t>应纳增值税额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深圳达实智能股份有限公司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江苏达实久信医疗科技有限公司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常州丹迪医疗器械有限公司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江苏达实久信数字医疗科技有限公司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江苏达实久信智慧物流系统有限公司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江苏久信净化设备有限公司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深圳达实信息技术有限公司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深圳达实融资租赁有限公司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昌都市达实投资咨询有限公司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云浮市济天企业管理有限公司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深圳达实智慧医疗有限公司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上海达实自动化工程有限公司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遵义达实绿色智慧发展有限公司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珠海达实科技发展有限公司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lef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淮南达实智慧城市投资发展有限公司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深圳达实软件有限公司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雄安达实智慧科技有限公司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江苏洪泽湖达实智慧医养有限公司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深圳市小鹿暖暖科技有限公司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湖南桃江达实智慧医养有限公司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合肥达实信息科技有限公司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成都聚雅医信科技有限公司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仁怀达实绿色智慧发展有限公司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达实智能科技（成都）有限公司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汕头达实智慧医疗投资发展有限公司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right="0"/>
        <w:jc w:val="both"/>
        <w:rPr>
          <w:b w:val="0"/>
          <w:bCs w:val="0"/>
        </w:rPr>
      </w:pPr>
      <w:bookmarkStart w:name="2、税收优惠" w:id="223"/>
      <w:bookmarkEnd w:id="223"/>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Heading5"/>
        <w:spacing w:line="261" w:lineRule="auto" w:before="0"/>
        <w:ind w:right="1027" w:firstLine="420"/>
        <w:jc w:val="both"/>
      </w:pPr>
      <w:r>
        <w:rPr/>
        <w:t>（</w:t>
      </w:r>
      <w:r>
        <w:rPr>
          <w:rFonts w:ascii="Times New Roman" w:hAnsi="Times New Roman" w:cs="Times New Roman" w:eastAsia="Times New Roman" w:hint="default"/>
        </w:rPr>
        <w:t>1</w:t>
      </w:r>
      <w:r>
        <w:rPr/>
        <w:t>）根据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日发布的财税</w:t>
      </w:r>
      <w:r>
        <w:rPr>
          <w:rFonts w:ascii="Times New Roman" w:hAnsi="Times New Roman" w:cs="Times New Roman" w:eastAsia="Times New Roman" w:hint="default"/>
        </w:rPr>
        <w:t>[2016]36</w:t>
      </w:r>
      <w:r>
        <w:rPr/>
        <w:t>号《财政部国家税务总局</w:t>
      </w:r>
      <w:r>
        <w:rPr>
          <w:spacing w:val="-40"/>
        </w:rPr>
        <w:t> </w:t>
      </w:r>
      <w:r>
        <w:rPr/>
        <w:t>关于全面推开营业税改征增值</w:t>
      </w:r>
      <w:r>
        <w:rPr/>
        <w:t> 税 </w:t>
      </w:r>
      <w:r>
        <w:rPr>
          <w:spacing w:val="-3"/>
        </w:rPr>
        <w:t>试点的通知》中附件</w:t>
      </w:r>
      <w:r>
        <w:rPr>
          <w:rFonts w:ascii="Times New Roman" w:hAnsi="Times New Roman" w:cs="Times New Roman" w:eastAsia="Times New Roman" w:hint="default"/>
          <w:spacing w:val="-3"/>
        </w:rPr>
        <w:t>3</w:t>
      </w:r>
      <w:r>
        <w:rPr>
          <w:spacing w:val="-3"/>
        </w:rPr>
        <w:t>《营业税改征增值税试点过渡政策的规定》第一条第二十七款规定</w:t>
      </w:r>
      <w:r>
        <w:rPr>
          <w:rFonts w:ascii="Times New Roman" w:hAnsi="Times New Roman" w:cs="Times New Roman" w:eastAsia="Times New Roman" w:hint="default"/>
          <w:spacing w:val="-3"/>
        </w:rPr>
        <w:t>“</w:t>
      </w:r>
      <w:r>
        <w:rPr>
          <w:spacing w:val="-3"/>
        </w:rPr>
        <w:t>一、下列项目</w:t>
      </w:r>
      <w:r>
        <w:rPr>
          <w:spacing w:val="-84"/>
        </w:rPr>
        <w:t> </w:t>
      </w:r>
      <w:r>
        <w:rPr>
          <w:spacing w:val="-84"/>
        </w:rPr>
      </w:r>
      <w:r>
        <w:rPr/>
        <w:t>免征增值税：（二十七）同时符合下列条件的合同能源管理服务：①节能服务公司实施合同能源管理项目</w:t>
      </w:r>
      <w:r>
        <w:rPr/>
        <w:t> </w:t>
      </w:r>
      <w:r>
        <w:rPr>
          <w:spacing w:val="-3"/>
        </w:rPr>
        <w:t>相关技术，应当符合国家质量监督检验检疫总局和国家标准化管理委员会发布的《合同能源管理技术通则》</w:t>
      </w:r>
    </w:p>
    <w:p>
      <w:pPr>
        <w:pStyle w:val="Heading5"/>
        <w:spacing w:line="256" w:lineRule="auto" w:before="18"/>
        <w:ind w:right="1132"/>
        <w:jc w:val="both"/>
      </w:pPr>
      <w:r>
        <w:rPr>
          <w:spacing w:val="-1"/>
        </w:rPr>
        <w:t>（</w:t>
      </w:r>
      <w:r>
        <w:rPr>
          <w:rFonts w:ascii="Times New Roman" w:hAnsi="Times New Roman" w:cs="Times New Roman" w:eastAsia="Times New Roman" w:hint="default"/>
          <w:spacing w:val="-1"/>
        </w:rPr>
        <w:t>GB/T24915-2010</w:t>
      </w:r>
      <w:r>
        <w:rPr>
          <w:spacing w:val="-1"/>
        </w:rPr>
        <w:t>）规定的技术要求。②节能服务公司与用能企业签订节能效益分享型合同，其合同格式</w:t>
      </w:r>
      <w:r>
        <w:rPr>
          <w:spacing w:val="-101"/>
        </w:rPr>
        <w:t> </w:t>
      </w:r>
      <w:r>
        <w:rPr>
          <w:spacing w:val="-101"/>
        </w:rPr>
      </w:r>
      <w:r>
        <w:rPr/>
        <w:t>和内容，符合《中华人民共和国合同法》和《合同能源管理技术通则》（</w:t>
      </w:r>
      <w:r>
        <w:rPr>
          <w:rFonts w:ascii="Times New Roman" w:hAnsi="Times New Roman" w:cs="Times New Roman" w:eastAsia="Times New Roman" w:hint="default"/>
        </w:rPr>
        <w:t>GB/T24915-2010</w:t>
      </w:r>
      <w:r>
        <w:rPr/>
        <w:t>）等规定</w:t>
      </w:r>
      <w:r>
        <w:rPr>
          <w:rFonts w:ascii="Times New Roman" w:hAnsi="Times New Roman" w:cs="Times New Roman" w:eastAsia="Times New Roman" w:hint="default"/>
        </w:rPr>
        <w:t>”</w:t>
      </w:r>
      <w:r>
        <w:rPr>
          <w:rFonts w:ascii="Times New Roman" w:hAnsi="Times New Roman" w:cs="Times New Roman" w:eastAsia="Times New Roman" w:hint="default"/>
          <w:spacing w:val="13"/>
        </w:rPr>
        <w:t> </w:t>
      </w:r>
      <w:r>
        <w:rPr/>
        <w:t>。本</w:t>
      </w:r>
      <w:r>
        <w:rPr>
          <w:spacing w:val="-2"/>
        </w:rPr>
        <w:t> </w:t>
      </w:r>
      <w:r>
        <w:rPr/>
        <w:t>公司提供的节能服务业务符合该政策，享受免征增值税优惠。</w:t>
      </w:r>
    </w:p>
    <w:p>
      <w:pPr>
        <w:pStyle w:val="Heading5"/>
        <w:spacing w:line="256" w:lineRule="auto" w:before="22"/>
        <w:ind w:right="1130" w:firstLine="420"/>
        <w:jc w:val="both"/>
      </w:pPr>
      <w:r>
        <w:rPr/>
        <w:t>（</w:t>
      </w:r>
      <w:r>
        <w:rPr>
          <w:rFonts w:ascii="Times New Roman" w:hAnsi="Times New Roman" w:cs="Times New Roman" w:eastAsia="Times New Roman" w:hint="default"/>
        </w:rPr>
        <w:t>2</w:t>
      </w:r>
      <w:r>
        <w:rPr/>
        <w:t>）本公司及子公司深圳达实信息技术有限公司、江苏达实久信医疗科技有限公司均系国家级高新 技术企业，依据企业所得税法的规定适用</w:t>
      </w:r>
      <w:r>
        <w:rPr>
          <w:rFonts w:ascii="Times New Roman" w:hAnsi="Times New Roman" w:cs="Times New Roman" w:eastAsia="Times New Roman" w:hint="default"/>
        </w:rPr>
        <w:t>15%</w:t>
      </w:r>
      <w:r>
        <w:rPr/>
        <w:t>的企业所得税税率。</w:t>
      </w:r>
    </w:p>
    <w:p>
      <w:pPr>
        <w:pStyle w:val="Heading5"/>
        <w:spacing w:line="256" w:lineRule="auto" w:before="5"/>
        <w:ind w:right="1141" w:firstLine="420"/>
        <w:jc w:val="both"/>
      </w:pPr>
      <w:r>
        <w:rPr/>
        <w:t>（</w:t>
      </w:r>
      <w:r>
        <w:rPr>
          <w:rFonts w:ascii="Times New Roman" w:hAnsi="Times New Roman" w:cs="Times New Roman" w:eastAsia="Times New Roman" w:hint="default"/>
        </w:rPr>
        <w:t>3</w:t>
      </w:r>
      <w:r>
        <w:rPr/>
        <w:t>）本公司子公司珠海达实科技发展有限公司符合小型微利企业的判定标准，按照规定自行享受小 型微利企业所得税优惠政策，其所得减按</w:t>
      </w:r>
      <w:r>
        <w:rPr>
          <w:rFonts w:ascii="Times New Roman" w:hAnsi="Times New Roman" w:cs="Times New Roman" w:eastAsia="Times New Roman" w:hint="default"/>
        </w:rPr>
        <w:t>50%</w:t>
      </w:r>
      <w:r>
        <w:rPr/>
        <w:t>计入应纳税所得额，并按</w:t>
      </w:r>
      <w:r>
        <w:rPr>
          <w:rFonts w:ascii="Times New Roman" w:hAnsi="Times New Roman" w:cs="Times New Roman" w:eastAsia="Times New Roman" w:hint="default"/>
        </w:rPr>
        <w:t>20%</w:t>
      </w:r>
      <w:r>
        <w:rPr/>
        <w:t>税率缴纳企业所得税。</w:t>
      </w:r>
    </w:p>
    <w:p>
      <w:pPr>
        <w:pStyle w:val="Heading5"/>
        <w:spacing w:line="261" w:lineRule="auto" w:before="5"/>
        <w:ind w:right="1130" w:firstLine="420"/>
        <w:jc w:val="both"/>
      </w:pPr>
      <w:r>
        <w:rPr/>
        <w:t>（</w:t>
      </w:r>
      <w:r>
        <w:rPr>
          <w:rFonts w:ascii="Times New Roman" w:hAnsi="Times New Roman" w:cs="Times New Roman" w:eastAsia="Times New Roman" w:hint="default"/>
        </w:rPr>
        <w:t>4</w:t>
      </w:r>
      <w:r>
        <w:rPr/>
        <w:t>）根据常州市经济和信息化委员会、江苏省常州市国家税务局、江苏省常州地产税务局《关于落 </w:t>
      </w:r>
      <w:r>
        <w:rPr>
          <w:spacing w:val="3"/>
        </w:rPr>
        <w:t>实全市第七十四批通过双软认定的企业名单和软件产品目录及第三十五批通过延续登记的软件产品目录</w:t>
      </w:r>
      <w:r>
        <w:rPr>
          <w:spacing w:val="-82"/>
        </w:rPr>
        <w:t> </w:t>
      </w:r>
      <w:r>
        <w:rPr>
          <w:spacing w:val="-82"/>
        </w:rPr>
      </w:r>
      <w:r>
        <w:rPr/>
        <w:t>的通知》</w:t>
      </w:r>
      <w:r>
        <w:rPr>
          <w:rFonts w:ascii="Times New Roman" w:hAnsi="Times New Roman" w:cs="Times New Roman" w:eastAsia="Times New Roman" w:hint="default"/>
        </w:rPr>
        <w:t>(</w:t>
      </w:r>
      <w:r>
        <w:rPr/>
        <w:t>常经信软件〔</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315</w:t>
      </w:r>
      <w:r>
        <w:rPr/>
        <w:t>号</w:t>
      </w:r>
      <w:r>
        <w:rPr>
          <w:rFonts w:ascii="Times New Roman" w:hAnsi="Times New Roman" w:cs="Times New Roman" w:eastAsia="Times New Roman" w:hint="default"/>
        </w:rPr>
        <w:t>)</w:t>
      </w:r>
      <w:r>
        <w:rPr/>
        <w:t>，江苏达实久信数字医疗科技有限公司通过双软认定</w:t>
      </w:r>
      <w:r>
        <w:rPr>
          <w:rFonts w:ascii="Times New Roman" w:hAnsi="Times New Roman" w:cs="Times New Roman" w:eastAsia="Times New Roman" w:hint="default"/>
        </w:rPr>
        <w:t>(</w:t>
      </w:r>
      <w:r>
        <w:rPr/>
        <w:t>即软件产品认</w:t>
      </w:r>
      <w:r>
        <w:rPr>
          <w:spacing w:val="-29"/>
        </w:rPr>
        <w:t> </w:t>
      </w:r>
      <w:r>
        <w:rPr>
          <w:spacing w:val="-29"/>
        </w:rPr>
      </w:r>
      <w:r>
        <w:rPr>
          <w:spacing w:val="-2"/>
        </w:rPr>
        <w:t>证和软件企业认证</w:t>
      </w:r>
      <w:r>
        <w:rPr>
          <w:rFonts w:ascii="Times New Roman" w:hAnsi="Times New Roman" w:cs="Times New Roman" w:eastAsia="Times New Roman" w:hint="default"/>
          <w:spacing w:val="-2"/>
        </w:rPr>
        <w:t>)</w:t>
      </w:r>
      <w:r>
        <w:rPr>
          <w:spacing w:val="-2"/>
        </w:rPr>
        <w:t>。江苏达实久信数字医疗科技有限公司享受</w:t>
      </w:r>
      <w:r>
        <w:rPr>
          <w:rFonts w:ascii="Times New Roman" w:hAnsi="Times New Roman" w:cs="Times New Roman" w:eastAsia="Times New Roman" w:hint="default"/>
          <w:spacing w:val="-2"/>
        </w:rPr>
        <w:t>“</w:t>
      </w:r>
      <w:r>
        <w:rPr>
          <w:spacing w:val="-2"/>
        </w:rPr>
        <w:t>两免三减半</w:t>
      </w:r>
      <w:r>
        <w:rPr>
          <w:rFonts w:ascii="Times New Roman" w:hAnsi="Times New Roman" w:cs="Times New Roman" w:eastAsia="Times New Roman" w:hint="default"/>
          <w:spacing w:val="-2"/>
        </w:rPr>
        <w:t>”</w:t>
      </w:r>
      <w:r>
        <w:rPr>
          <w:spacing w:val="-2"/>
        </w:rPr>
        <w:t>的税务优惠政策，从开始获利</w:t>
      </w:r>
      <w:r>
        <w:rPr>
          <w:spacing w:val="-80"/>
        </w:rPr>
        <w:t> </w:t>
      </w:r>
      <w:r>
        <w:rPr>
          <w:spacing w:val="-80"/>
        </w:rPr>
      </w:r>
      <w:r>
        <w:rPr/>
        <w:t>年度起执行</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的税收优惠政策，</w:t>
      </w:r>
      <w:r>
        <w:rPr>
          <w:rFonts w:ascii="Times New Roman" w:hAnsi="Times New Roman" w:cs="Times New Roman" w:eastAsia="Times New Roman" w:hint="default"/>
        </w:rPr>
        <w:t>2018</w:t>
      </w:r>
      <w:r>
        <w:rPr/>
        <w:t>年度为江苏达实久信数字医疗科技有限公司的第四个获利 年度，享受减半征收的税收优惠政策。</w:t>
      </w:r>
    </w:p>
    <w:p>
      <w:pPr>
        <w:pStyle w:val="Heading5"/>
        <w:spacing w:line="256" w:lineRule="auto" w:before="18"/>
        <w:ind w:right="1131" w:firstLine="420"/>
        <w:jc w:val="both"/>
      </w:pPr>
      <w:r>
        <w:rPr>
          <w:spacing w:val="-1"/>
        </w:rPr>
        <w:t>（</w:t>
      </w:r>
      <w:r>
        <w:rPr>
          <w:rFonts w:ascii="Times New Roman" w:hAnsi="Times New Roman" w:cs="Times New Roman" w:eastAsia="Times New Roman" w:hint="default"/>
          <w:spacing w:val="-1"/>
        </w:rPr>
        <w:t>5</w:t>
      </w:r>
      <w:r>
        <w:rPr>
          <w:spacing w:val="-1"/>
        </w:rPr>
        <w:t>）根据《西藏自治区企业所得税政策实施办法》第三条规定</w:t>
      </w:r>
      <w:r>
        <w:rPr>
          <w:rFonts w:ascii="Times New Roman" w:hAnsi="Times New Roman" w:cs="Times New Roman" w:eastAsia="Times New Roman" w:hint="default"/>
          <w:spacing w:val="-1"/>
        </w:rPr>
        <w:t>“</w:t>
      </w:r>
      <w:r>
        <w:rPr>
          <w:spacing w:val="-1"/>
        </w:rPr>
        <w:t>西藏自治区的企业统一执行西部大开</w:t>
      </w:r>
      <w:r>
        <w:rPr/>
        <w:t> </w:t>
      </w:r>
      <w:r>
        <w:rPr>
          <w:spacing w:val="-2"/>
        </w:rPr>
        <w:t>发战略中企业所得税</w:t>
      </w:r>
      <w:r>
        <w:rPr>
          <w:rFonts w:ascii="Times New Roman" w:hAnsi="Times New Roman" w:cs="Times New Roman" w:eastAsia="Times New Roman" w:hint="default"/>
          <w:spacing w:val="-2"/>
        </w:rPr>
        <w:t>15%</w:t>
      </w:r>
      <w:r>
        <w:rPr>
          <w:spacing w:val="-2"/>
        </w:rPr>
        <w:t>的税率</w:t>
      </w:r>
      <w:r>
        <w:rPr>
          <w:rFonts w:ascii="Times New Roman" w:hAnsi="Times New Roman" w:cs="Times New Roman" w:eastAsia="Times New Roman" w:hint="default"/>
          <w:spacing w:val="-2"/>
        </w:rPr>
        <w:t>”</w:t>
      </w:r>
      <w:r>
        <w:rPr>
          <w:spacing w:val="-2"/>
        </w:rPr>
        <w:t>，子公司深圳达实融资租赁有限公司所属三级企业昌都市达实投资咨询有</w:t>
      </w:r>
      <w:r>
        <w:rPr>
          <w:spacing w:val="-91"/>
        </w:rPr>
        <w:t> </w:t>
      </w:r>
      <w:r>
        <w:rPr>
          <w:spacing w:val="-91"/>
        </w:rPr>
      </w:r>
      <w:r>
        <w:rPr/>
        <w:t>限公司符合该政策。</w:t>
      </w:r>
    </w:p>
    <w:p>
      <w:pPr>
        <w:pStyle w:val="Heading5"/>
        <w:spacing w:line="256" w:lineRule="auto" w:before="22"/>
        <w:ind w:right="1130" w:firstLine="420"/>
        <w:jc w:val="both"/>
      </w:pPr>
      <w:r>
        <w:rPr/>
        <w:t>（</w:t>
      </w:r>
      <w:r>
        <w:rPr>
          <w:rFonts w:ascii="Times New Roman" w:hAnsi="Times New Roman" w:cs="Times New Roman" w:eastAsia="Times New Roman" w:hint="default"/>
        </w:rPr>
        <w:t>6</w:t>
      </w:r>
      <w:r>
        <w:rPr/>
        <w:t>）自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日起根据财政部、国家税务总局财税</w:t>
      </w:r>
      <w:r>
        <w:rPr>
          <w:rFonts w:ascii="Times New Roman" w:hAnsi="Times New Roman" w:cs="Times New Roman" w:eastAsia="Times New Roman" w:hint="default"/>
        </w:rPr>
        <w:t>[2011]100</w:t>
      </w:r>
      <w:r>
        <w:rPr/>
        <w:t>号《关于软件产品增值税政策的通 </w:t>
      </w:r>
      <w:r>
        <w:rPr>
          <w:spacing w:val="-1"/>
        </w:rPr>
        <w:t>知》执行软件产品增值税政策，增值税一般纳税人销售其自行开发生产的软件产品，按</w:t>
      </w:r>
      <w:r>
        <w:rPr>
          <w:rFonts w:ascii="Times New Roman" w:hAnsi="Times New Roman" w:cs="Times New Roman" w:eastAsia="Times New Roman" w:hint="default"/>
          <w:spacing w:val="-1"/>
        </w:rPr>
        <w:t>17%/16%</w:t>
      </w:r>
      <w:r>
        <w:rPr>
          <w:spacing w:val="-1"/>
        </w:rPr>
        <w:t>税率征收</w:t>
      </w:r>
      <w:r>
        <w:rPr>
          <w:spacing w:val="-67"/>
        </w:rPr>
        <w:t> </w:t>
      </w:r>
      <w:r>
        <w:rPr/>
        <w:t>增值税后，对其增值税实际税负超过</w:t>
      </w:r>
      <w:r>
        <w:rPr>
          <w:rFonts w:ascii="Times New Roman" w:hAnsi="Times New Roman" w:cs="Times New Roman" w:eastAsia="Times New Roman" w:hint="default"/>
        </w:rPr>
        <w:t>3%</w:t>
      </w:r>
      <w:r>
        <w:rPr/>
        <w:t>的部分实行即征即退政策。</w:t>
      </w:r>
    </w:p>
    <w:p>
      <w:pPr>
        <w:spacing w:line="240" w:lineRule="auto" w:before="4"/>
        <w:rPr>
          <w:rFonts w:ascii="宋体" w:hAnsi="宋体" w:cs="宋体" w:eastAsia="宋体" w:hint="default"/>
          <w:sz w:val="29"/>
          <w:szCs w:val="29"/>
        </w:rPr>
      </w:pPr>
    </w:p>
    <w:p>
      <w:pPr>
        <w:pStyle w:val="BodyText"/>
        <w:spacing w:line="240" w:lineRule="auto"/>
        <w:ind w:right="0"/>
        <w:jc w:val="both"/>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after="0" w:line="240" w:lineRule="auto"/>
        <w:jc w:val="both"/>
        <w:sectPr>
          <w:pgSz w:w="11910" w:h="16840"/>
          <w:pgMar w:header="787" w:footer="1019" w:top="1100" w:bottom="1200" w:left="980" w:right="0"/>
        </w:sectPr>
      </w:pPr>
    </w:p>
    <w:p>
      <w:pPr>
        <w:spacing w:line="240" w:lineRule="auto" w:before="7"/>
        <w:rPr>
          <w:rFonts w:ascii="宋体" w:hAnsi="宋体" w:cs="宋体" w:eastAsia="宋体" w:hint="default"/>
          <w:sz w:val="21"/>
          <w:szCs w:val="21"/>
        </w:rPr>
      </w:pPr>
    </w:p>
    <w:p>
      <w:pPr>
        <w:pStyle w:val="Heading4"/>
        <w:spacing w:line="240" w:lineRule="auto" w:before="35"/>
        <w:ind w:right="0"/>
        <w:jc w:val="left"/>
        <w:rPr>
          <w:b w:val="0"/>
          <w:bCs w:val="0"/>
        </w:rPr>
      </w:pPr>
      <w:bookmarkStart w:name="3、其他" w:id="224"/>
      <w:bookmarkEnd w:id="224"/>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4"/>
          <w:szCs w:val="24"/>
        </w:rPr>
      </w:pPr>
    </w:p>
    <w:p>
      <w:pPr>
        <w:pStyle w:val="Heading5"/>
        <w:spacing w:line="256" w:lineRule="auto" w:before="0"/>
        <w:ind w:right="0" w:firstLine="420"/>
        <w:jc w:val="left"/>
      </w:pPr>
      <w:r>
        <w:rPr>
          <w:spacing w:val="-1"/>
        </w:rPr>
        <w:t>本公司发生的部分增值税应税销售行为，原适用</w:t>
      </w:r>
      <w:r>
        <w:rPr>
          <w:rFonts w:ascii="Times New Roman" w:hAnsi="Times New Roman" w:cs="Times New Roman" w:eastAsia="Times New Roman" w:hint="default"/>
          <w:spacing w:val="-1"/>
        </w:rPr>
        <w:t>17%/11%</w:t>
      </w:r>
      <w:r>
        <w:rPr>
          <w:spacing w:val="-1"/>
        </w:rPr>
        <w:t>税率。根据《财政部、国家税务总局关于调</w:t>
      </w:r>
      <w:r>
        <w:rPr/>
        <w:t> 整增值税税率的通知》（财税【</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32</w:t>
      </w:r>
      <w:r>
        <w:rPr/>
        <w:t>号）规定，自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w:t>
      </w:r>
      <w:r>
        <w:rPr/>
        <w:t>日起，适用税率调整为</w:t>
      </w:r>
      <w:r>
        <w:rPr>
          <w:rFonts w:ascii="Times New Roman" w:hAnsi="Times New Roman" w:cs="Times New Roman" w:eastAsia="Times New Roman" w:hint="default"/>
        </w:rPr>
        <w:t>16%/10%</w:t>
      </w:r>
      <w:r>
        <w:rPr/>
        <w:t>。</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七、合并财务报表项目注释" w:id="225"/>
      <w:bookmarkEnd w:id="225"/>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货币资金" w:id="226"/>
      <w:bookmarkEnd w:id="226"/>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397,235.80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369,167.75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836,992,824.40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662,186,469.54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54,987,855.91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48,433,783.92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892,377,916.11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710,989,421.21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pStyle w:val="BodyText"/>
        <w:spacing w:line="360" w:lineRule="auto" w:before="51"/>
        <w:ind w:right="-20"/>
        <w:jc w:val="left"/>
      </w:pPr>
      <w:r>
        <w:rPr/>
        <w:t>其他说明 使用有限制的款项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100" w:bottom="1200" w:left="980" w:right="0"/>
          <w:cols w:num="2" w:equalWidth="0">
            <w:col w:w="1595" w:space="7325"/>
            <w:col w:w="2010"/>
          </w:cols>
        </w:sectPr>
      </w:pPr>
    </w:p>
    <w:p>
      <w:pPr>
        <w:spacing w:line="240" w:lineRule="auto" w:before="13"/>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4494"/>
        <w:gridCol w:w="2525"/>
        <w:gridCol w:w="2640"/>
      </w:tblGrid>
      <w:tr>
        <w:trPr>
          <w:trHeight w:val="342"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2"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11,460,249.82</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16,651,832.45</w:t>
            </w:r>
          </w:p>
        </w:tc>
      </w:tr>
      <w:tr>
        <w:trPr>
          <w:trHeight w:val="342"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银票保证金</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43,527,606.09</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25,954,688.11</w:t>
            </w:r>
          </w:p>
        </w:tc>
      </w:tr>
      <w:tr>
        <w:trPr>
          <w:trHeight w:val="342"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法院冻结款</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7,327,263.36</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5,827,263.36</w:t>
            </w:r>
          </w:p>
        </w:tc>
      </w:tr>
      <w:tr>
        <w:trPr>
          <w:trHeight w:val="342"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银行存款</w:t>
            </w:r>
            <w:r>
              <w:rPr>
                <w:rFonts w:ascii="Times New Roman" w:hAnsi="Times New Roman" w:cs="Times New Roman" w:eastAsia="Times New Roman" w:hint="default"/>
                <w:sz w:val="18"/>
                <w:szCs w:val="18"/>
              </w:rPr>
              <w:t>-</w:t>
            </w:r>
            <w:r>
              <w:rPr>
                <w:rFonts w:ascii="宋体" w:hAnsi="宋体" w:cs="宋体" w:eastAsia="宋体" w:hint="default"/>
                <w:sz w:val="18"/>
                <w:szCs w:val="18"/>
              </w:rPr>
              <w:t>定期存款质押</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10,000,000.00</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3"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2" w:right="0"/>
              <w:jc w:val="center"/>
              <w:rPr>
                <w:rFonts w:ascii="宋体" w:hAnsi="宋体" w:cs="宋体" w:eastAsia="宋体" w:hint="default"/>
                <w:sz w:val="18"/>
                <w:szCs w:val="18"/>
              </w:rPr>
            </w:pPr>
            <w:r>
              <w:rPr>
                <w:rFonts w:ascii="宋体" w:hAnsi="宋体" w:cs="宋体" w:eastAsia="宋体" w:hint="default"/>
                <w:sz w:val="18"/>
                <w:szCs w:val="18"/>
              </w:rPr>
              <w:t>合计数</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72,315,119.27</w:t>
            </w:r>
          </w:p>
        </w:tc>
        <w:tc>
          <w:tcPr>
            <w:tcW w:w="2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48,433,783.92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right="0"/>
        <w:jc w:val="left"/>
        <w:rPr>
          <w:b w:val="0"/>
          <w:bCs w:val="0"/>
        </w:rPr>
      </w:pPr>
      <w:bookmarkStart w:name="2、应收票据及应收账款" w:id="227"/>
      <w:bookmarkEnd w:id="227"/>
      <w:r>
        <w:rPr>
          <w:b w:val="0"/>
          <w:bCs w:val="0"/>
        </w:rPr>
      </w:r>
      <w:r>
        <w:rPr>
          <w:rFonts w:ascii="Times New Roman" w:hAnsi="Times New Roman" w:cs="Times New Roman" w:eastAsia="Times New Roman" w:hint="default"/>
        </w:rPr>
        <w:t>2</w:t>
      </w:r>
      <w:r>
        <w:rPr/>
        <w:t>、应收票据及应收账款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511,416,550.30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426,173,544.05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2,138,980,416.13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1,758,638,160.79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2,650,396,966.43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2,184,811,704.84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票据" w:id="228"/>
      <w:bookmarkEnd w:id="228"/>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59,876,197.88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12,881,482.77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451,540,352.42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413,292,061.28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511,416,550.30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426,173,544.05</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43,000,000.00</w:t>
            </w:r>
          </w:p>
        </w:tc>
      </w:tr>
      <w:tr>
        <w:trPr>
          <w:trHeight w:val="403"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43,000,000.00</w:t>
            </w:r>
          </w:p>
        </w:tc>
      </w:tr>
    </w:tbl>
    <w:p>
      <w:pPr>
        <w:pStyle w:val="BodyText"/>
        <w:spacing w:line="240" w:lineRule="auto" w:before="51"/>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13,330,033.78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9,516,449.35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22,846,483.13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43,000,000.00</w:t>
            </w:r>
          </w:p>
        </w:tc>
      </w:tr>
    </w:tbl>
    <w:p>
      <w:pPr>
        <w:pStyle w:val="BodyText"/>
        <w:spacing w:line="240" w:lineRule="auto" w:before="51"/>
        <w:ind w:right="0"/>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8"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179,993,946.60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179,993,946.60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应收账款" w:id="229"/>
      <w:bookmarkEnd w:id="229"/>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3"/>
        <w:gridCol w:w="775"/>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center"/>
              <w:rPr>
                <w:rFonts w:ascii="Times New Roman" w:hAnsi="Times New Roman" w:cs="Times New Roman" w:eastAsia="Times New Roman" w:hint="default"/>
                <w:sz w:val="18"/>
                <w:szCs w:val="18"/>
              </w:rPr>
            </w:pPr>
            <w:r>
              <w:rPr>
                <w:rFonts w:ascii="Times New Roman"/>
                <w:sz w:val="18"/>
              </w:rPr>
              <w:t>110,227,</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419.80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60,227,4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19.80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54.64%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10,227,</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419.80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10,227,41</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9.80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2,225,22</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5,953.62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136,245,</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537.49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2,088,980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,416.13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1,876,1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15,135.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117,476,9</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74.58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1,758,638,1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60.79</w:t>
            </w:r>
          </w:p>
        </w:tc>
      </w:tr>
      <w:tr>
        <w:trPr>
          <w:trHeight w:val="715"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148"/>
              <w:jc w:val="left"/>
              <w:rPr>
                <w:rFonts w:ascii="宋体" w:hAnsi="宋体" w:cs="宋体" w:eastAsia="宋体" w:hint="default"/>
                <w:sz w:val="18"/>
                <w:szCs w:val="18"/>
              </w:rPr>
            </w:pPr>
            <w:r>
              <w:rPr>
                <w:rFonts w:ascii="宋体" w:hAnsi="宋体" w:cs="宋体" w:eastAsia="宋体" w:hint="default"/>
                <w:sz w:val="18"/>
                <w:szCs w:val="18"/>
              </w:rPr>
              <w:t>单项金额不重大但 单独计提坏账准备</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99" w:right="0"/>
              <w:jc w:val="left"/>
              <w:rPr>
                <w:rFonts w:ascii="Times New Roman" w:hAnsi="Times New Roman" w:cs="Times New Roman" w:eastAsia="Times New Roman" w:hint="default"/>
                <w:sz w:val="18"/>
                <w:szCs w:val="18"/>
              </w:rPr>
            </w:pPr>
            <w:r>
              <w:rPr>
                <w:rFonts w:ascii="Times New Roman"/>
                <w:sz w:val="18"/>
              </w:rPr>
              <w:t>5,219,94</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5,219,94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8,622,4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72.76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8,622,472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2,340,67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3,321.99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201,692,</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905.86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8.62%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2,138,980</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,416.13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1,894,9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65,027.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136,326,8</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67.14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1,758,638,1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60.79</w:t>
            </w:r>
          </w:p>
        </w:tc>
      </w:tr>
    </w:tbl>
    <w:p>
      <w:pPr>
        <w:spacing w:after="0" w:line="240" w:lineRule="auto"/>
        <w:jc w:val="left"/>
        <w:rPr>
          <w:rFonts w:ascii="Times New Roman" w:hAnsi="Times New Roman" w:cs="Times New Roman" w:eastAsia="Times New Roman" w:hint="default"/>
          <w:sz w:val="18"/>
          <w:szCs w:val="18"/>
        </w:rPr>
        <w:sectPr>
          <w:pgSz w:w="11910" w:h="16840"/>
          <w:pgMar w:header="787" w:footer="1019" w:top="1100" w:bottom="1200" w:left="98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100" w:bottom="120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安徽盛运重工机械有限 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中国人民解放军第九十 一中心医院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4,111,935.00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4,111,935.00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期限长、无法收回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镇江华龙广场置业有限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2,735,338.40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2,735,338.40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已诉讼，回收有风险</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黑龙江省建工集团有限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2,030,146.40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2,030,146.40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期限长、无法收回</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8"/>
              <w:jc w:val="both"/>
              <w:rPr>
                <w:rFonts w:ascii="宋体" w:hAnsi="宋体" w:cs="宋体" w:eastAsia="宋体" w:hint="default"/>
                <w:sz w:val="18"/>
                <w:szCs w:val="18"/>
              </w:rPr>
            </w:pPr>
            <w:r>
              <w:rPr>
                <w:rFonts w:ascii="宋体" w:hAnsi="宋体" w:cs="宋体" w:eastAsia="宋体" w:hint="default"/>
                <w:sz w:val="18"/>
                <w:szCs w:val="18"/>
              </w:rPr>
              <w:t>中国人民解放军第二军 医大学东方肝胆外科医 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期限长、无法收回</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110,227,419.80</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60,227,419.80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100" w:bottom="1200" w:left="980" w:right="0"/>
        </w:sectPr>
      </w:pPr>
    </w:p>
    <w:p>
      <w:pPr>
        <w:pStyle w:val="BodyText"/>
        <w:spacing w:line="240" w:lineRule="auto" w:before="51"/>
        <w:ind w:right="-20"/>
        <w:jc w:val="left"/>
      </w:pPr>
      <w:r>
        <w:rPr/>
        <w:t>组合中，按账龄分析法计提坏账准备的应收账款：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100" w:bottom="1200" w:left="980" w:right="0"/>
          <w:cols w:num="2" w:equalWidth="0">
            <w:col w:w="4115" w:space="471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1,420,168,874.58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42,605,066.24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544,600,037.42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27,230,001.88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159,545,128.62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15,954,512.86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100,911,913.00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50,455,956.51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58,745,230.09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29,372,615.06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25,297,089.74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12,648,544.87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16,869,593.17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8,434,796.58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2,225,225,953.62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136,245,537.49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6.12%</w:t>
            </w:r>
          </w:p>
        </w:tc>
      </w:tr>
    </w:tbl>
    <w:p>
      <w:pPr>
        <w:pStyle w:val="BodyText"/>
        <w:spacing w:line="360" w:lineRule="auto" w:before="51"/>
        <w:ind w:right="6432"/>
        <w:jc w:val="left"/>
      </w:pPr>
      <w:r>
        <w:rPr/>
        <w:t>确定该组合依据的说明： 组合中，采用余额百分比法计提坏账准备的应收账款：</w:t>
      </w:r>
    </w:p>
    <w:p>
      <w:pPr>
        <w:spacing w:after="0" w:line="360" w:lineRule="auto"/>
        <w:jc w:val="left"/>
        <w:sectPr>
          <w:type w:val="continuous"/>
          <w:pgSz w:w="11910" w:h="16840"/>
          <w:pgMar w:top="1100" w:bottom="1200" w:left="980" w:right="0"/>
        </w:sectPr>
      </w:pPr>
    </w:p>
    <w:p>
      <w:pPr>
        <w:spacing w:line="240" w:lineRule="auto" w:before="11"/>
        <w:rPr>
          <w:rFonts w:ascii="宋体" w:hAnsi="宋体" w:cs="宋体" w:eastAsia="宋体" w:hint="default"/>
          <w:sz w:val="22"/>
          <w:szCs w:val="22"/>
        </w:rPr>
      </w:pPr>
    </w:p>
    <w:p>
      <w:pPr>
        <w:pStyle w:val="BodyText"/>
        <w:spacing w:line="338" w:lineRule="auto" w:before="44"/>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43"/>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2"/>
        <w:ind w:right="0"/>
        <w:jc w:val="left"/>
      </w:pPr>
      <w:r>
        <w:rPr>
          <w:rFonts w:ascii="Times New Roman" w:hAnsi="Times New Roman" w:cs="Times New Roman" w:eastAsia="Times New Roman" w:hint="default"/>
        </w:rPr>
        <w:t>2)</w:t>
      </w:r>
      <w:r>
        <w:rPr/>
        <w:t>本期计提、收回或转回的坏账准备情况</w:t>
      </w:r>
    </w:p>
    <w:p>
      <w:pPr>
        <w:spacing w:line="240" w:lineRule="auto" w:before="11"/>
        <w:rPr>
          <w:rFonts w:ascii="宋体" w:hAnsi="宋体" w:cs="宋体" w:eastAsia="宋体" w:hint="default"/>
          <w:sz w:val="13"/>
          <w:szCs w:val="13"/>
        </w:rPr>
      </w:pPr>
    </w:p>
    <w:p>
      <w:pPr>
        <w:pStyle w:val="BodyText"/>
        <w:spacing w:line="240" w:lineRule="auto"/>
        <w:ind w:left="574" w:right="0"/>
        <w:jc w:val="left"/>
      </w:pPr>
      <w:r>
        <w:rPr/>
        <w:t>本期计提坏账准备金额</w:t>
      </w:r>
      <w:r>
        <w:rPr>
          <w:spacing w:val="-47"/>
        </w:rPr>
        <w:t> </w:t>
      </w:r>
      <w:r>
        <w:rPr>
          <w:rFonts w:ascii="Times New Roman" w:hAnsi="Times New Roman" w:cs="Times New Roman" w:eastAsia="Times New Roman" w:hint="default"/>
        </w:rPr>
        <w:t>78,978,583.95</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0"/>
        </w:rPr>
        <w:t> </w:t>
      </w:r>
      <w:r>
        <w:rPr/>
        <w:t>元。</w:t>
      </w:r>
    </w:p>
    <w:p>
      <w:pPr>
        <w:spacing w:line="240" w:lineRule="auto" w:before="6"/>
        <w:rPr>
          <w:rFonts w:ascii="宋体" w:hAnsi="宋体" w:cs="宋体" w:eastAsia="宋体" w:hint="default"/>
          <w:sz w:val="10"/>
          <w:szCs w:val="10"/>
        </w:rPr>
      </w:pPr>
    </w:p>
    <w:p>
      <w:pPr>
        <w:pStyle w:val="BodyText"/>
        <w:spacing w:line="240" w:lineRule="auto" w:before="44"/>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2,097,521.40</w:t>
            </w:r>
          </w:p>
        </w:tc>
      </w:tr>
    </w:tbl>
    <w:p>
      <w:pPr>
        <w:pStyle w:val="BodyText"/>
        <w:spacing w:line="240" w:lineRule="auto" w:before="51"/>
        <w:ind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河北众诚房地产开 发集团有限公司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249,033.87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依据公司制度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漯河建业昌建置业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152,154.00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依据公司制度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恒大地产集团江津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145,980.00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依据公司制度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中建电子工程有限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142,326.30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依据公司制度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杭州纳远信息科技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125,660.00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依据公司制度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北京东投国信信息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107,928.57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依据公司制度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both"/>
              <w:rPr>
                <w:rFonts w:ascii="宋体" w:hAnsi="宋体" w:cs="宋体" w:eastAsia="宋体" w:hint="default"/>
                <w:sz w:val="18"/>
                <w:szCs w:val="18"/>
              </w:rPr>
            </w:pPr>
            <w:r>
              <w:rPr>
                <w:rFonts w:ascii="宋体" w:hAnsi="宋体" w:cs="宋体" w:eastAsia="宋体" w:hint="default"/>
                <w:sz w:val="18"/>
                <w:szCs w:val="18"/>
              </w:rPr>
              <w:t>中国移动通信集团 浙江有限公司金华 分公司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105,292.00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依据公司制度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浙江吉融科技有限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77,624.00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依据公司制度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济南名都置业有限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75,095.07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依据公司制度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合肥浦发通信技术 开发有限责任公司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72,850.00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依据公司制度</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1,253,943.81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应收账款核销说明：</w:t>
      </w:r>
    </w:p>
    <w:p>
      <w:pPr>
        <w:pStyle w:val="BodyText"/>
        <w:spacing w:line="240" w:lineRule="auto" w:before="117"/>
        <w:ind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2"/>
        <w:rPr>
          <w:rFonts w:ascii="宋体" w:hAnsi="宋体" w:cs="宋体" w:eastAsia="宋体" w:hint="default"/>
          <w:sz w:val="6"/>
          <w:szCs w:val="6"/>
        </w:rPr>
      </w:pPr>
    </w:p>
    <w:tbl>
      <w:tblPr>
        <w:tblW w:w="0" w:type="auto"/>
        <w:jc w:val="left"/>
        <w:tblInd w:w="139" w:type="dxa"/>
        <w:tblLayout w:type="fixed"/>
        <w:tblCellMar>
          <w:top w:w="0" w:type="dxa"/>
          <w:left w:w="0" w:type="dxa"/>
          <w:bottom w:w="0" w:type="dxa"/>
          <w:right w:w="0" w:type="dxa"/>
        </w:tblCellMar>
        <w:tblLook w:val="01E0"/>
      </w:tblPr>
      <w:tblGrid>
        <w:gridCol w:w="2765"/>
        <w:gridCol w:w="1103"/>
        <w:gridCol w:w="1714"/>
        <w:gridCol w:w="1046"/>
        <w:gridCol w:w="1512"/>
        <w:gridCol w:w="1520"/>
      </w:tblGrid>
      <w:tr>
        <w:trPr>
          <w:trHeight w:val="34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3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9" w:right="0"/>
              <w:jc w:val="left"/>
              <w:rPr>
                <w:rFonts w:ascii="宋体" w:hAnsi="宋体" w:cs="宋体" w:eastAsia="宋体" w:hint="default"/>
                <w:sz w:val="18"/>
                <w:szCs w:val="18"/>
              </w:rPr>
            </w:pPr>
            <w:r>
              <w:rPr>
                <w:rFonts w:ascii="宋体" w:hAnsi="宋体" w:cs="宋体" w:eastAsia="宋体" w:hint="default"/>
                <w:sz w:val="18"/>
                <w:szCs w:val="18"/>
              </w:rPr>
              <w:t>占应收账款期末余</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39" w:type="dxa"/>
        <w:tblLayout w:type="fixed"/>
        <w:tblCellMar>
          <w:top w:w="0" w:type="dxa"/>
          <w:left w:w="0" w:type="dxa"/>
          <w:bottom w:w="0" w:type="dxa"/>
          <w:right w:w="0" w:type="dxa"/>
        </w:tblCellMar>
        <w:tblLook w:val="01E0"/>
      </w:tblPr>
      <w:tblGrid>
        <w:gridCol w:w="2765"/>
        <w:gridCol w:w="1103"/>
        <w:gridCol w:w="1714"/>
        <w:gridCol w:w="1046"/>
        <w:gridCol w:w="1512"/>
        <w:gridCol w:w="1518"/>
      </w:tblGrid>
      <w:tr>
        <w:trPr>
          <w:trHeight w:val="654" w:hRule="exact"/>
        </w:trPr>
        <w:tc>
          <w:tcPr>
            <w:tcW w:w="2765"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额合计数的比例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1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765"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安徽省宿州市立医院</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67,500,000.00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2.88</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2,025,000.00</w:t>
            </w:r>
          </w:p>
        </w:tc>
      </w:tr>
      <w:tr>
        <w:trPr>
          <w:trHeight w:val="342" w:hRule="exact"/>
        </w:trPr>
        <w:tc>
          <w:tcPr>
            <w:tcW w:w="2765" w:type="dxa"/>
            <w:vMerge/>
            <w:tcBorders>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94,578,470.97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年内</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4.04</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4,728,923.55</w:t>
            </w:r>
          </w:p>
        </w:tc>
      </w:tr>
      <w:tr>
        <w:trPr>
          <w:trHeight w:val="34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安徽盛运重工机械有限责任公司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保理融资</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100,000,000.00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4.27</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342" w:hRule="exact"/>
        </w:trPr>
        <w:tc>
          <w:tcPr>
            <w:tcW w:w="2765"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深圳市地铁集团有限公司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58,113,564.90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2.48</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1,743,406.95</w:t>
            </w:r>
          </w:p>
        </w:tc>
      </w:tr>
      <w:tr>
        <w:trPr>
          <w:trHeight w:val="342" w:hRule="exact"/>
        </w:trPr>
        <w:tc>
          <w:tcPr>
            <w:tcW w:w="2765" w:type="dxa"/>
            <w:vMerge/>
            <w:tcBorders>
              <w:left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20,337,349.19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年内</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0.87</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1,016,867.46</w:t>
            </w:r>
          </w:p>
        </w:tc>
      </w:tr>
      <w:tr>
        <w:trPr>
          <w:trHeight w:val="342" w:hRule="exact"/>
        </w:trPr>
        <w:tc>
          <w:tcPr>
            <w:tcW w:w="2765" w:type="dxa"/>
            <w:vMerge/>
            <w:tcBorders>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578,829.96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年内</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0.02</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57,883.00</w:t>
            </w:r>
          </w:p>
        </w:tc>
      </w:tr>
      <w:tr>
        <w:trPr>
          <w:trHeight w:val="342" w:hRule="exact"/>
        </w:trPr>
        <w:tc>
          <w:tcPr>
            <w:tcW w:w="2765"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中国建筑一局（集团）有限公司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24,094,583.70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1.03</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722,837.51</w:t>
            </w:r>
          </w:p>
        </w:tc>
      </w:tr>
      <w:tr>
        <w:trPr>
          <w:trHeight w:val="342" w:hRule="exact"/>
        </w:trPr>
        <w:tc>
          <w:tcPr>
            <w:tcW w:w="2765" w:type="dxa"/>
            <w:vMerge/>
            <w:tcBorders>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41,648,578.77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1.78</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2,082,428.94</w:t>
            </w:r>
          </w:p>
        </w:tc>
      </w:tr>
      <w:tr>
        <w:trPr>
          <w:trHeight w:val="342"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中国建筑第八工程局有限公司</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54,400,000.00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2.32</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1,632,000.00</w:t>
            </w:r>
          </w:p>
        </w:tc>
      </w:tr>
      <w:tr>
        <w:trPr>
          <w:trHeight w:val="342" w:hRule="exact"/>
        </w:trPr>
        <w:tc>
          <w:tcPr>
            <w:tcW w:w="276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0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7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461,251,377.49</w:t>
            </w:r>
          </w:p>
        </w:tc>
        <w:tc>
          <w:tcPr>
            <w:tcW w:w="104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5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z w:val="18"/>
              </w:rPr>
              <w:t>19.69</w:t>
            </w:r>
          </w:p>
        </w:tc>
        <w:tc>
          <w:tcPr>
            <w:tcW w:w="15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64,009,347.41</w:t>
            </w:r>
          </w:p>
        </w:tc>
      </w:tr>
    </w:tbl>
    <w:p>
      <w:pPr>
        <w:pStyle w:val="BodyText"/>
        <w:spacing w:line="338" w:lineRule="auto" w:before="51"/>
        <w:ind w:right="7542"/>
        <w:jc w:val="left"/>
      </w:pPr>
      <w:r>
        <w:rPr>
          <w:rFonts w:ascii="Times New Roman" w:hAnsi="Times New Roman" w:cs="Times New Roman" w:eastAsia="Times New Roman" w:hint="default"/>
        </w:rPr>
        <w:t>5)</w:t>
      </w:r>
      <w:r>
        <w:rPr/>
        <w:t>因金融资产转移而终止确认的应收账款</w:t>
      </w:r>
      <w:r>
        <w:rPr>
          <w:w w:val="99"/>
        </w:rPr>
        <w:t> </w:t>
      </w:r>
      <w:r>
        <w:rPr/>
        <w:t>无</w:t>
      </w:r>
    </w:p>
    <w:p>
      <w:pPr>
        <w:pStyle w:val="BodyText"/>
        <w:spacing w:line="338" w:lineRule="auto" w:before="43"/>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无</w:t>
      </w:r>
    </w:p>
    <w:p>
      <w:pPr>
        <w:pStyle w:val="BodyText"/>
        <w:spacing w:line="240" w:lineRule="auto" w:before="43"/>
        <w:ind w:right="0"/>
        <w:jc w:val="left"/>
      </w:pPr>
      <w:r>
        <w:rPr/>
        <w:t>其他说明：</w:t>
      </w:r>
    </w:p>
    <w:p>
      <w:pPr>
        <w:spacing w:line="240" w:lineRule="auto" w:before="10"/>
        <w:rPr>
          <w:rFonts w:ascii="宋体" w:hAnsi="宋体" w:cs="宋体" w:eastAsia="宋体" w:hint="default"/>
          <w:sz w:val="14"/>
          <w:szCs w:val="14"/>
        </w:rPr>
      </w:pPr>
    </w:p>
    <w:p>
      <w:pPr>
        <w:pStyle w:val="BodyText"/>
        <w:spacing w:line="451" w:lineRule="auto"/>
        <w:ind w:right="1132" w:firstLine="420"/>
        <w:jc w:val="both"/>
      </w:pPr>
      <w:r>
        <w:rPr/>
        <w:t>注</w:t>
      </w:r>
      <w:r>
        <w:rPr>
          <w:spacing w:val="-42"/>
        </w:rPr>
        <w:t> </w:t>
      </w:r>
      <w:r>
        <w:rPr>
          <w:rFonts w:ascii="Times New Roman" w:hAnsi="Times New Roman" w:cs="Times New Roman" w:eastAsia="Times New Roman" w:hint="default"/>
          <w:spacing w:val="-13"/>
        </w:rPr>
        <w:t>1</w:t>
      </w:r>
      <w:r>
        <w:rPr>
          <w:spacing w:val="-13"/>
        </w:rPr>
        <w:t>：</w:t>
      </w:r>
      <w:r>
        <w:rPr>
          <w:rFonts w:ascii="Times New Roman" w:hAnsi="Times New Roman" w:cs="Times New Roman" w:eastAsia="Times New Roman" w:hint="default"/>
          <w:spacing w:val="-13"/>
        </w:rPr>
        <w:t>2017</w:t>
      </w:r>
      <w:r>
        <w:rPr>
          <w:rFonts w:ascii="Times New Roman" w:hAnsi="Times New Roman" w:cs="Times New Roman" w:eastAsia="Times New Roman" w:hint="default"/>
          <w:spacing w:val="4"/>
        </w:rPr>
        <w:t> </w:t>
      </w:r>
      <w:r>
        <w:rPr/>
        <w:t>年</w:t>
      </w:r>
      <w:r>
        <w:rPr>
          <w:spacing w:val="-42"/>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42"/>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4"/>
        </w:rPr>
        <w:t>日，本公司所属子公司深圳达实融资租赁有限公司与安徽盛运重工机械有限责任公司（以下简称</w:t>
      </w:r>
      <w:r>
        <w:rPr>
          <w:rFonts w:ascii="Times New Roman" w:hAnsi="Times New Roman" w:cs="Times New Roman" w:eastAsia="Times New Roman" w:hint="default"/>
          <w:spacing w:val="-4"/>
        </w:rPr>
        <w:t>“</w:t>
      </w:r>
      <w:r>
        <w:rPr>
          <w:spacing w:val="-4"/>
        </w:rPr>
        <w:t>盛</w:t>
      </w:r>
      <w:r>
        <w:rPr/>
        <w:t> </w:t>
      </w:r>
      <w:r>
        <w:rPr>
          <w:w w:val="100"/>
        </w:rPr>
        <w:t>运重工</w:t>
      </w:r>
      <w:r>
        <w:rPr>
          <w:rFonts w:ascii="Times New Roman" w:hAnsi="Times New Roman" w:cs="Times New Roman" w:eastAsia="Times New Roman" w:hint="default"/>
          <w:w w:val="100"/>
        </w:rPr>
        <w:t>”</w:t>
      </w:r>
      <w:r>
        <w:rPr>
          <w:w w:val="100"/>
        </w:rPr>
        <w:t>）</w:t>
      </w:r>
      <w:r>
        <w:rPr>
          <w:spacing w:val="-1"/>
          <w:w w:val="100"/>
        </w:rPr>
        <w:t> </w:t>
      </w:r>
      <w:r>
        <w:rPr/>
        <w:t>签订编号为</w:t>
      </w:r>
      <w:r>
        <w:rPr>
          <w:spacing w:val="-44"/>
        </w:rPr>
        <w:t> </w:t>
      </w:r>
      <w:r>
        <w:rPr>
          <w:rFonts w:ascii="Times New Roman" w:hAnsi="Times New Roman" w:cs="Times New Roman" w:eastAsia="Times New Roman" w:hint="default"/>
          <w:w w:val="99"/>
        </w:rPr>
        <w:t>DASZLPJBL2017026</w:t>
      </w:r>
      <w:r>
        <w:rPr>
          <w:rFonts w:ascii="Times New Roman" w:hAnsi="Times New Roman" w:cs="Times New Roman" w:eastAsia="Times New Roman" w:hint="default"/>
          <w:spacing w:val="2"/>
          <w:w w:val="99"/>
        </w:rPr>
        <w:t> </w:t>
      </w:r>
      <w:r>
        <w:rPr>
          <w:spacing w:val="-4"/>
        </w:rPr>
        <w:t>号《国内保理业务合同》，提供票据保理融资额度人民币</w:t>
      </w:r>
      <w:r>
        <w:rPr>
          <w:spacing w:val="-44"/>
        </w:rPr>
        <w:t> </w:t>
      </w:r>
      <w:r>
        <w:rPr>
          <w:rFonts w:ascii="Times New Roman" w:hAnsi="Times New Roman" w:cs="Times New Roman" w:eastAsia="Times New Roman" w:hint="default"/>
          <w:spacing w:val="-1"/>
        </w:rPr>
        <w:t>100,000,000.00</w:t>
      </w:r>
      <w:r>
        <w:rPr>
          <w:rFonts w:ascii="Times New Roman" w:hAnsi="Times New Roman" w:cs="Times New Roman" w:eastAsia="Times New Roman" w:hint="default"/>
          <w:spacing w:val="2"/>
        </w:rPr>
        <w:t> </w:t>
      </w:r>
      <w:r>
        <w:rPr>
          <w:spacing w:val="-2"/>
        </w:rPr>
        <w:t>元。盛</w:t>
      </w:r>
      <w:r>
        <w:rPr/>
        <w:t> 运重工于</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日将其持有安徽盛运环保（集团）股份有限公司（以下简称</w:t>
      </w:r>
      <w:r>
        <w:rPr>
          <w:rFonts w:ascii="Times New Roman" w:hAnsi="Times New Roman" w:cs="Times New Roman" w:eastAsia="Times New Roman" w:hint="default"/>
        </w:rPr>
        <w:t>“</w:t>
      </w:r>
      <w:r>
        <w:rPr/>
        <w:t>盛运环保</w:t>
      </w:r>
      <w:r>
        <w:rPr>
          <w:rFonts w:ascii="Times New Roman" w:hAnsi="Times New Roman" w:cs="Times New Roman" w:eastAsia="Times New Roman" w:hint="default"/>
        </w:rPr>
        <w:t>”</w:t>
      </w:r>
      <w:r>
        <w:rPr/>
        <w:t>，股票代码</w:t>
      </w:r>
      <w:r>
        <w:rPr>
          <w:spacing w:val="-49"/>
        </w:rPr>
        <w:t> </w:t>
      </w:r>
      <w:r>
        <w:rPr>
          <w:rFonts w:ascii="Times New Roman" w:hAnsi="Times New Roman" w:cs="Times New Roman" w:eastAsia="Times New Roman" w:hint="default"/>
        </w:rPr>
        <w:t>300090</w:t>
      </w:r>
      <w:r>
        <w:rPr/>
        <w:t>）的商业</w:t>
      </w:r>
    </w:p>
    <w:p>
      <w:pPr>
        <w:pStyle w:val="BodyText"/>
        <w:spacing w:line="240" w:lineRule="auto" w:before="43"/>
        <w:ind w:right="0"/>
        <w:jc w:val="left"/>
      </w:pPr>
      <w:r>
        <w:rPr/>
        <w:t>承兑汇票转让给公司办理了票据保理融资，金额为人民币</w:t>
      </w:r>
      <w:r>
        <w:rPr>
          <w:spacing w:val="-45"/>
        </w:rPr>
        <w:t> </w:t>
      </w:r>
      <w:r>
        <w:rPr>
          <w:rFonts w:ascii="Times New Roman" w:hAnsi="Times New Roman" w:cs="Times New Roman" w:eastAsia="Times New Roman" w:hint="default"/>
        </w:rPr>
        <w:t>100,000,000.00</w:t>
      </w:r>
      <w:r>
        <w:rPr>
          <w:rFonts w:ascii="Times New Roman" w:hAnsi="Times New Roman" w:cs="Times New Roman" w:eastAsia="Times New Roman" w:hint="default"/>
          <w:spacing w:val="-1"/>
        </w:rPr>
        <w:t> </w:t>
      </w:r>
      <w:r>
        <w:rPr/>
        <w:t>元，融资期限为</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 </w:t>
      </w:r>
      <w:r>
        <w:rPr/>
        <w:t>月</w:t>
      </w:r>
      <w:r>
        <w:rPr>
          <w:spacing w:val="-46"/>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p>
    <w:p>
      <w:pPr>
        <w:spacing w:line="240" w:lineRule="auto" w:before="11"/>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w:t>
      </w:r>
    </w:p>
    <w:p>
      <w:pPr>
        <w:spacing w:line="240" w:lineRule="auto" w:before="10"/>
        <w:rPr>
          <w:rFonts w:ascii="宋体" w:hAnsi="宋体" w:cs="宋体" w:eastAsia="宋体" w:hint="default"/>
          <w:sz w:val="19"/>
          <w:szCs w:val="19"/>
        </w:rPr>
      </w:pPr>
    </w:p>
    <w:p>
      <w:pPr>
        <w:pStyle w:val="BodyText"/>
        <w:spacing w:line="465" w:lineRule="auto"/>
        <w:ind w:right="1132" w:firstLine="420"/>
        <w:jc w:val="both"/>
      </w:pPr>
      <w:r>
        <w:rPr/>
        <w:t>截止</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日，上述应收票据</w:t>
      </w:r>
      <w:r>
        <w:rPr>
          <w:spacing w:val="-47"/>
        </w:rPr>
        <w:t> </w:t>
      </w:r>
      <w:r>
        <w:rPr>
          <w:rFonts w:ascii="Times New Roman" w:hAnsi="Times New Roman" w:cs="Times New Roman" w:eastAsia="Times New Roman" w:hint="default"/>
        </w:rPr>
        <w:t>100,000,000.00</w:t>
      </w:r>
      <w:r>
        <w:rPr>
          <w:rFonts w:ascii="Times New Roman" w:hAnsi="Times New Roman" w:cs="Times New Roman" w:eastAsia="Times New Roman" w:hint="default"/>
          <w:spacing w:val="-1"/>
        </w:rPr>
        <w:t> </w:t>
      </w:r>
      <w:r>
        <w:rPr/>
        <w:t>元已逾期，盛运环保因经营情况发生重大变化，银行账户被冻 </w:t>
      </w:r>
      <w:r>
        <w:rPr>
          <w:spacing w:val="-2"/>
        </w:rPr>
        <w:t>结，已进入重组清算阶段。按照《企业会计准则》和公司会计政策等相关规定的要求，结合公司对该客户回款的风险分析与</w:t>
      </w:r>
      <w:r>
        <w:rPr>
          <w:spacing w:val="-66"/>
        </w:rPr>
        <w:t> </w:t>
      </w:r>
      <w:r>
        <w:rPr>
          <w:spacing w:val="-66"/>
        </w:rPr>
      </w:r>
      <w:r>
        <w:rPr/>
        <w:t>评估，以及可回收性的判断，公司对该笔应收款项计提</w:t>
      </w:r>
      <w:r>
        <w:rPr>
          <w:spacing w:val="-46"/>
        </w:rPr>
        <w:t> </w:t>
      </w:r>
      <w:r>
        <w:rPr>
          <w:rFonts w:ascii="Times New Roman" w:hAnsi="Times New Roman" w:cs="Times New Roman" w:eastAsia="Times New Roman" w:hint="default"/>
        </w:rPr>
        <w:t>50,000,000.00</w:t>
      </w:r>
      <w:r>
        <w:rPr>
          <w:rFonts w:ascii="Times New Roman" w:hAnsi="Times New Roman" w:cs="Times New Roman" w:eastAsia="Times New Roman" w:hint="default"/>
          <w:spacing w:val="-1"/>
        </w:rPr>
        <w:t> </w:t>
      </w:r>
      <w:r>
        <w:rPr/>
        <w:t>元减值准备。</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bookmarkStart w:name="3、预付款项" w:id="230"/>
      <w:bookmarkEnd w:id="230"/>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预付款项按账龄列示" w:id="231"/>
      <w:bookmarkEnd w:id="23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109,116,995.17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127,263,591.33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90.52%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66,285,821.17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5,885,688.59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3,493,652.27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5,249,123.92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3.73%</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7,261,401.04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2,195,798.96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186,157,869.65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140,594,202.80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宋体" w:hAnsi="宋体" w:cs="宋体" w:eastAsia="宋体" w:hint="default"/>
          <w:sz w:val="6"/>
          <w:szCs w:val="6"/>
        </w:rPr>
      </w:pPr>
    </w:p>
    <w:p>
      <w:pPr>
        <w:pStyle w:val="BodyText"/>
        <w:spacing w:line="240" w:lineRule="auto" w:before="44"/>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7"/>
        <w:rPr>
          <w:rFonts w:ascii="宋体" w:hAnsi="宋体" w:cs="宋体" w:eastAsia="宋体" w:hint="default"/>
          <w:sz w:val="10"/>
          <w:szCs w:val="10"/>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4287"/>
        <w:gridCol w:w="974"/>
        <w:gridCol w:w="1387"/>
        <w:gridCol w:w="854"/>
        <w:gridCol w:w="2156"/>
      </w:tblGrid>
      <w:tr>
        <w:trPr>
          <w:trHeight w:val="342" w:hRule="exact"/>
        </w:trPr>
        <w:tc>
          <w:tcPr>
            <w:tcW w:w="4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债务人</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27"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账龄超过一年的原因</w:t>
            </w:r>
          </w:p>
        </w:tc>
      </w:tr>
      <w:tr>
        <w:trPr>
          <w:trHeight w:val="342" w:hRule="exact"/>
        </w:trPr>
        <w:tc>
          <w:tcPr>
            <w:tcW w:w="4287"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中国江苏国际经济技术合作集团有限公司</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30,000,000.00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342" w:hRule="exact"/>
        </w:trPr>
        <w:tc>
          <w:tcPr>
            <w:tcW w:w="4287" w:type="dxa"/>
            <w:vMerge/>
            <w:tcBorders>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60,200,000.00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342" w:hRule="exact"/>
        </w:trPr>
        <w:tc>
          <w:tcPr>
            <w:tcW w:w="4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泰雷兹（香港）有限公司</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1,070,204.18</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342" w:hRule="exact"/>
        </w:trPr>
        <w:tc>
          <w:tcPr>
            <w:tcW w:w="4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上海沂玄建材有限公司</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860,468.00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暂付材料款</w:t>
            </w:r>
          </w:p>
        </w:tc>
      </w:tr>
      <w:tr>
        <w:trPr>
          <w:trHeight w:val="342" w:hRule="exact"/>
        </w:trPr>
        <w:tc>
          <w:tcPr>
            <w:tcW w:w="4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广东威创视讯科技股份有限公司</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530,000.00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5" w:right="0"/>
              <w:jc w:val="center"/>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342" w:hRule="exact"/>
        </w:trPr>
        <w:tc>
          <w:tcPr>
            <w:tcW w:w="4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成都宏达洁净技术工程有限公司</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500,000.00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5" w:right="0"/>
              <w:jc w:val="center"/>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343" w:hRule="exact"/>
        </w:trPr>
        <w:tc>
          <w:tcPr>
            <w:tcW w:w="4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74"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93,160,672.18</w:t>
            </w:r>
          </w:p>
        </w:tc>
        <w:tc>
          <w:tcPr>
            <w:tcW w:w="854"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right="0"/>
        <w:jc w:val="left"/>
        <w:rPr>
          <w:b w:val="0"/>
          <w:bCs w:val="0"/>
        </w:rPr>
      </w:pPr>
      <w:bookmarkStart w:name="（2）按预付对象归集的期末余额前五名的预付款情况" w:id="232"/>
      <w:bookmarkEnd w:id="232"/>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3650"/>
        <w:gridCol w:w="1467"/>
        <w:gridCol w:w="1505"/>
        <w:gridCol w:w="1362"/>
        <w:gridCol w:w="1675"/>
      </w:tblGrid>
      <w:tr>
        <w:trPr>
          <w:trHeight w:val="654" w:hRule="exact"/>
        </w:trPr>
        <w:tc>
          <w:tcPr>
            <w:tcW w:w="3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款项的性质</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8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91" w:right="23" w:hanging="270"/>
              <w:jc w:val="left"/>
              <w:rPr>
                <w:rFonts w:ascii="宋体" w:hAnsi="宋体" w:cs="宋体" w:eastAsia="宋体" w:hint="default"/>
                <w:sz w:val="18"/>
                <w:szCs w:val="18"/>
              </w:rPr>
            </w:pPr>
            <w:r>
              <w:rPr>
                <w:rFonts w:ascii="宋体" w:hAnsi="宋体" w:cs="宋体" w:eastAsia="宋体" w:hint="default"/>
                <w:sz w:val="18"/>
                <w:szCs w:val="18"/>
              </w:rPr>
              <w:t>占预付款项期末余额 合计数的比例</w:t>
            </w:r>
          </w:p>
        </w:tc>
      </w:tr>
      <w:tr>
        <w:trPr>
          <w:trHeight w:val="342" w:hRule="exact"/>
        </w:trPr>
        <w:tc>
          <w:tcPr>
            <w:tcW w:w="3650"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中国江苏国际经济技术合作集团有限公司</w:t>
            </w:r>
          </w:p>
        </w:tc>
        <w:tc>
          <w:tcPr>
            <w:tcW w:w="1467" w:type="dxa"/>
            <w:vMerge w:val="restart"/>
            <w:tcBorders>
              <w:top w:val="single" w:sz="4" w:space="0" w:color="000000"/>
              <w:left w:val="single" w:sz="4" w:space="0" w:color="000000"/>
              <w:right w:val="single" w:sz="4" w:space="0" w:color="000000"/>
            </w:tcBorders>
          </w:tcPr>
          <w:p>
            <w:pPr>
              <w:pStyle w:val="TableParagraph"/>
              <w:spacing w:line="240" w:lineRule="auto" w:before="21"/>
              <w:ind w:left="458"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30,000,000.00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54" w:right="0"/>
              <w:jc w:val="left"/>
              <w:rPr>
                <w:rFonts w:ascii="Times New Roman" w:hAnsi="Times New Roman" w:cs="Times New Roman" w:eastAsia="Times New Roman" w:hint="default"/>
                <w:sz w:val="18"/>
                <w:szCs w:val="18"/>
              </w:rPr>
            </w:pPr>
            <w:r>
              <w:rPr>
                <w:rFonts w:ascii="Times New Roman"/>
                <w:sz w:val="18"/>
              </w:rPr>
              <w:t>16.12%</w:t>
            </w:r>
          </w:p>
        </w:tc>
      </w:tr>
      <w:tr>
        <w:trPr>
          <w:trHeight w:val="342" w:hRule="exact"/>
        </w:trPr>
        <w:tc>
          <w:tcPr>
            <w:tcW w:w="3650" w:type="dxa"/>
            <w:vMerge/>
            <w:tcBorders>
              <w:left w:val="single" w:sz="4" w:space="0" w:color="000000"/>
              <w:bottom w:val="single" w:sz="4" w:space="0" w:color="000000"/>
              <w:right w:val="single" w:sz="4" w:space="0" w:color="000000"/>
            </w:tcBorders>
          </w:tcPr>
          <w:p>
            <w:pPr/>
          </w:p>
        </w:tc>
        <w:tc>
          <w:tcPr>
            <w:tcW w:w="1467" w:type="dxa"/>
            <w:vMerge/>
            <w:tcBorders>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60,200,000.00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54" w:right="0"/>
              <w:jc w:val="left"/>
              <w:rPr>
                <w:rFonts w:ascii="Times New Roman" w:hAnsi="Times New Roman" w:cs="Times New Roman" w:eastAsia="Times New Roman" w:hint="default"/>
                <w:sz w:val="18"/>
                <w:szCs w:val="18"/>
              </w:rPr>
            </w:pPr>
            <w:r>
              <w:rPr>
                <w:rFonts w:ascii="Times New Roman"/>
                <w:sz w:val="18"/>
              </w:rPr>
              <w:t>32.34%</w:t>
            </w:r>
          </w:p>
        </w:tc>
      </w:tr>
      <w:tr>
        <w:trPr>
          <w:trHeight w:val="654" w:hRule="exact"/>
        </w:trPr>
        <w:tc>
          <w:tcPr>
            <w:tcW w:w="3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深圳市建装业集团股份有限公司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58" w:right="6" w:hanging="451"/>
              <w:jc w:val="left"/>
              <w:rPr>
                <w:rFonts w:ascii="宋体" w:hAnsi="宋体" w:cs="宋体" w:eastAsia="宋体" w:hint="default"/>
                <w:sz w:val="18"/>
                <w:szCs w:val="18"/>
              </w:rPr>
            </w:pPr>
            <w:r>
              <w:rPr>
                <w:rFonts w:ascii="宋体" w:hAnsi="宋体" w:cs="宋体" w:eastAsia="宋体" w:hint="default"/>
                <w:sz w:val="18"/>
                <w:szCs w:val="18"/>
              </w:rPr>
              <w:t>室内装修施工合同 预付款</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14,675,393.93</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00" w:right="0"/>
              <w:jc w:val="left"/>
              <w:rPr>
                <w:rFonts w:ascii="Times New Roman" w:hAnsi="Times New Roman" w:cs="Times New Roman" w:eastAsia="Times New Roman" w:hint="default"/>
                <w:sz w:val="18"/>
                <w:szCs w:val="18"/>
              </w:rPr>
            </w:pPr>
            <w:r>
              <w:rPr>
                <w:rFonts w:ascii="Times New Roman"/>
                <w:sz w:val="18"/>
              </w:rPr>
              <w:t>7.88%</w:t>
            </w:r>
          </w:p>
        </w:tc>
      </w:tr>
      <w:tr>
        <w:trPr>
          <w:trHeight w:val="342" w:hRule="exact"/>
        </w:trPr>
        <w:tc>
          <w:tcPr>
            <w:tcW w:w="3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南京天加贸易有限公司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7,772,049.06</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00" w:right="0"/>
              <w:jc w:val="left"/>
              <w:rPr>
                <w:rFonts w:ascii="Times New Roman" w:hAnsi="Times New Roman" w:cs="Times New Roman" w:eastAsia="Times New Roman" w:hint="default"/>
                <w:sz w:val="18"/>
                <w:szCs w:val="18"/>
              </w:rPr>
            </w:pPr>
            <w:r>
              <w:rPr>
                <w:rFonts w:ascii="Times New Roman"/>
                <w:sz w:val="18"/>
              </w:rPr>
              <w:t>4.17%</w:t>
            </w:r>
          </w:p>
        </w:tc>
      </w:tr>
      <w:tr>
        <w:trPr>
          <w:trHeight w:val="342" w:hRule="exact"/>
        </w:trPr>
        <w:tc>
          <w:tcPr>
            <w:tcW w:w="3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北京智凡一通科技有限公司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工程款</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4,900,981.92</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00" w:right="0"/>
              <w:jc w:val="left"/>
              <w:rPr>
                <w:rFonts w:ascii="Times New Roman" w:hAnsi="Times New Roman" w:cs="Times New Roman" w:eastAsia="Times New Roman" w:hint="default"/>
                <w:sz w:val="18"/>
                <w:szCs w:val="18"/>
              </w:rPr>
            </w:pPr>
            <w:r>
              <w:rPr>
                <w:rFonts w:ascii="Times New Roman"/>
                <w:sz w:val="18"/>
              </w:rPr>
              <w:t>2.63%</w:t>
            </w:r>
          </w:p>
        </w:tc>
      </w:tr>
      <w:tr>
        <w:trPr>
          <w:trHeight w:val="342" w:hRule="exact"/>
        </w:trPr>
        <w:tc>
          <w:tcPr>
            <w:tcW w:w="3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北京天雪锦业机电有限公司</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采购商品</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2,850,000.00</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00" w:right="0"/>
              <w:jc w:val="left"/>
              <w:rPr>
                <w:rFonts w:ascii="Times New Roman" w:hAnsi="Times New Roman" w:cs="Times New Roman" w:eastAsia="Times New Roman" w:hint="default"/>
                <w:sz w:val="18"/>
                <w:szCs w:val="18"/>
              </w:rPr>
            </w:pPr>
            <w:r>
              <w:rPr>
                <w:rFonts w:ascii="Times New Roman"/>
                <w:sz w:val="18"/>
              </w:rPr>
              <w:t>1.53%</w:t>
            </w:r>
          </w:p>
        </w:tc>
      </w:tr>
      <w:tr>
        <w:trPr>
          <w:trHeight w:val="342" w:hRule="exact"/>
        </w:trPr>
        <w:tc>
          <w:tcPr>
            <w:tcW w:w="3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467"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120,398,424.91</w:t>
            </w:r>
          </w:p>
        </w:tc>
        <w:tc>
          <w:tcPr>
            <w:tcW w:w="1362"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54" w:right="0"/>
              <w:jc w:val="left"/>
              <w:rPr>
                <w:rFonts w:ascii="Times New Roman" w:hAnsi="Times New Roman" w:cs="Times New Roman" w:eastAsia="Times New Roman" w:hint="default"/>
                <w:sz w:val="18"/>
                <w:szCs w:val="18"/>
              </w:rPr>
            </w:pPr>
            <w:r>
              <w:rPr>
                <w:rFonts w:ascii="Times New Roman"/>
                <w:sz w:val="18"/>
              </w:rPr>
              <w:t>64.67%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其他应收款" w:id="233"/>
      <w:bookmarkEnd w:id="233"/>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613,333.33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220,513,728.95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89,191,358.87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221,127,062.28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89,191,358.87</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1）应收利息" w:id="234"/>
      <w:bookmarkEnd w:id="234"/>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0"/>
        <w:jc w:val="right"/>
      </w:pPr>
      <w:r>
        <w:rPr/>
        <w:t>单位： 元</w:t>
      </w:r>
    </w:p>
    <w:p>
      <w:pPr>
        <w:spacing w:after="0" w:line="240" w:lineRule="auto"/>
        <w:jc w:val="right"/>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融资保理利息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613,333.33</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未到期理财利息</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613,333.33</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40" w:lineRule="auto" w:before="51"/>
        <w:ind w:right="9522"/>
        <w:jc w:val="left"/>
      </w:pPr>
      <w:r>
        <w:rPr>
          <w:rFonts w:ascii="Times New Roman" w:hAnsi="Times New Roman" w:cs="Times New Roman" w:eastAsia="Times New Roman" w:hint="default"/>
        </w:rPr>
        <w:t>2)</w:t>
      </w:r>
      <w:r>
        <w:rPr/>
        <w:t>重要逾期利息</w:t>
      </w:r>
      <w:r>
        <w:rPr>
          <w:w w:val="99"/>
        </w:rPr>
        <w:t> </w:t>
      </w:r>
      <w:r>
        <w:rPr/>
        <w:t>无</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应收股利" w:id="235"/>
      <w:bookmarkEnd w:id="235"/>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其他应收款" w:id="236"/>
      <w:bookmarkEnd w:id="236"/>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235,570,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892.77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15,057,1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63.82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6.39%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220,513,7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28.95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97,938,</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945.54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8,747,586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89,191,358.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87</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224,000.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224,000.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70,000.00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235,794,</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892.77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15,281,1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63.82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6.48%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220,513,7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28.95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98,008,</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945.54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8,817,586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89,191,358.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87</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100" w:bottom="120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74"/>
        <w:gridCol w:w="2399"/>
        <w:gridCol w:w="2392"/>
        <w:gridCol w:w="2392"/>
      </w:tblGrid>
      <w:tr>
        <w:trPr>
          <w:trHeight w:val="206" w:hRule="exact"/>
        </w:trPr>
        <w:tc>
          <w:tcPr>
            <w:tcW w:w="23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4"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37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191,003,075.12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5,731,429.67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18,940,989.48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947,049.47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11,086,823.57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1,108,682.36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14,540,004.60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7,270,002.32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8,588,535.32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4,294,267.67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1,953,580.33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976,790.17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3,997,888.95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1,998,944.48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235,570,892.77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15,057,163.82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w:t>
            </w:r>
          </w:p>
        </w:tc>
      </w:tr>
    </w:tbl>
    <w:p>
      <w:pPr>
        <w:pStyle w:val="BodyText"/>
        <w:spacing w:line="360" w:lineRule="auto" w:before="51"/>
        <w:ind w:right="6252"/>
        <w:jc w:val="left"/>
      </w:pPr>
      <w:r>
        <w:rPr/>
        <w:t>确定该组合依据的说明： 组合中，采用余额百分比法计提坏账准备的其他应收款：</w:t>
      </w:r>
    </w:p>
    <w:p>
      <w:pPr>
        <w:pStyle w:val="BodyText"/>
        <w:spacing w:line="340" w:lineRule="auto" w:before="26"/>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rFonts w:ascii="Times New Roman" w:hAnsi="Times New Roman" w:cs="Times New Roman" w:eastAsia="Times New Roman" w:hint="default"/>
        </w:rPr>
        <w:t>2)</w:t>
      </w:r>
      <w:r>
        <w:rPr/>
        <w:t>本期计提、收回或转回的坏账准备情况</w:t>
      </w:r>
    </w:p>
    <w:p>
      <w:pPr>
        <w:spacing w:line="240" w:lineRule="auto" w:before="12"/>
        <w:rPr>
          <w:rFonts w:ascii="宋体" w:hAnsi="宋体" w:cs="宋体" w:eastAsia="宋体" w:hint="default"/>
          <w:sz w:val="13"/>
          <w:szCs w:val="13"/>
        </w:rPr>
      </w:pPr>
    </w:p>
    <w:p>
      <w:pPr>
        <w:pStyle w:val="BodyText"/>
        <w:spacing w:line="240" w:lineRule="auto"/>
        <w:ind w:left="574" w:right="0"/>
        <w:jc w:val="left"/>
      </w:pPr>
      <w:r>
        <w:rPr/>
        <w:t>本期计提坏账准备金额</w:t>
      </w:r>
      <w:r>
        <w:rPr>
          <w:spacing w:val="-47"/>
        </w:rPr>
        <w:t> </w:t>
      </w:r>
      <w:r>
        <w:rPr>
          <w:rFonts w:ascii="Times New Roman" w:hAnsi="Times New Roman" w:cs="Times New Roman" w:eastAsia="Times New Roman" w:hint="default"/>
        </w:rPr>
        <w:t>6,850,945.84</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0"/>
        </w:rPr>
        <w:t> </w:t>
      </w:r>
      <w:r>
        <w:rPr/>
        <w:t>元。</w:t>
      </w:r>
    </w:p>
    <w:p>
      <w:pPr>
        <w:spacing w:line="240" w:lineRule="auto" w:before="5"/>
        <w:rPr>
          <w:rFonts w:ascii="宋体" w:hAnsi="宋体" w:cs="宋体" w:eastAsia="宋体" w:hint="default"/>
          <w:sz w:val="10"/>
          <w:szCs w:val="10"/>
        </w:rPr>
      </w:pPr>
    </w:p>
    <w:p>
      <w:pPr>
        <w:pStyle w:val="BodyText"/>
        <w:spacing w:line="240" w:lineRule="auto" w:before="44"/>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30,679.17</w:t>
            </w:r>
          </w:p>
        </w:tc>
      </w:tr>
    </w:tbl>
    <w:p>
      <w:pPr>
        <w:pStyle w:val="BodyText"/>
        <w:spacing w:line="240" w:lineRule="auto" w:before="51"/>
        <w:ind w:right="0"/>
        <w:jc w:val="left"/>
      </w:pPr>
      <w:r>
        <w:rPr>
          <w:rFonts w:ascii="Times New Roman" w:hAnsi="Times New Roman" w:cs="Times New Roman" w:eastAsia="Times New Roman" w:hint="default"/>
        </w:rPr>
        <w:t>4)</w:t>
      </w:r>
      <w:r>
        <w:rPr/>
        <w:t>其他应收款按款项性质分类情况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3,529,759.45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3,132,766.33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97,810,421.81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76,163,703.04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80,897.18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83,552.70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870,131.34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733,274.47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应收长期股权投资处置款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企业资金拆借款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2,103,682.99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2,395,649.00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235,794,892.77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98,008,945.54</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上海臻龙投资管理 合伙企业（有限合 伙）</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3,672,000.00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眉山市中医医院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19,392,380.00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581,771.40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深圳市一林科技有</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270,000.00</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36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淄博市中心医院</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8,179,063.80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408,953.19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遵义新区建设集团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5,823,010.58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2,911,505.29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164,794,454.38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7,844,229.88</w:t>
            </w:r>
          </w:p>
        </w:tc>
      </w:tr>
    </w:tbl>
    <w:p>
      <w:pPr>
        <w:pStyle w:val="BodyText"/>
        <w:spacing w:line="340" w:lineRule="auto" w:before="51"/>
        <w:ind w:right="8622"/>
        <w:jc w:val="left"/>
      </w:pPr>
      <w:r>
        <w:rPr>
          <w:rFonts w:ascii="Times New Roman" w:hAnsi="Times New Roman" w:cs="Times New Roman" w:eastAsia="Times New Roman" w:hint="default"/>
        </w:rPr>
        <w:t>6)</w:t>
      </w:r>
      <w:r>
        <w:rPr/>
        <w:t>涉及政府补助的应收款项</w:t>
      </w:r>
      <w:r>
        <w:rPr>
          <w:w w:val="99"/>
        </w:rPr>
        <w:t> </w:t>
      </w:r>
      <w:r>
        <w:rPr/>
        <w:t>无</w:t>
      </w:r>
    </w:p>
    <w:p>
      <w:pPr>
        <w:pStyle w:val="BodyText"/>
        <w:spacing w:line="338" w:lineRule="auto" w:before="40"/>
        <w:ind w:right="7362"/>
        <w:jc w:val="left"/>
      </w:pPr>
      <w:r>
        <w:rPr>
          <w:rFonts w:ascii="Times New Roman" w:hAnsi="Times New Roman" w:cs="Times New Roman" w:eastAsia="Times New Roman" w:hint="default"/>
        </w:rPr>
        <w:t>7)</w:t>
      </w:r>
      <w:r>
        <w:rPr/>
        <w:t>因金融资产转移而终止确认的其他应收款</w:t>
      </w:r>
      <w:r>
        <w:rPr>
          <w:w w:val="99"/>
        </w:rPr>
        <w:t> </w:t>
      </w:r>
      <w:r>
        <w:rPr/>
        <w:t>无</w:t>
      </w:r>
    </w:p>
    <w:p>
      <w:pPr>
        <w:pStyle w:val="BodyText"/>
        <w:spacing w:line="338" w:lineRule="auto" w:before="43"/>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无</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5、存货" w:id="237"/>
      <w:bookmarkEnd w:id="237"/>
      <w:r>
        <w:rPr>
          <w:b w:val="0"/>
          <w:bCs w:val="0"/>
        </w:rPr>
      </w:r>
      <w:r>
        <w:rPr>
          <w:rFonts w:ascii="Times New Roman" w:hAnsi="Times New Roman" w:cs="Times New Roman" w:eastAsia="Times New Roman" w:hint="default"/>
        </w:rPr>
        <w:t>5</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512"/>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1）存货分类" w:id="238"/>
      <w:bookmarkEnd w:id="23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19,027,674.10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19,027,674.10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15,418,172.19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15,418,172.19</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3,312,097.63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3,312,097.63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3,049,457.54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3,049,457.54</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7,323,314.07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7,323,314.07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10,949,347.97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10,949,347.97</w:t>
            </w:r>
          </w:p>
        </w:tc>
      </w:tr>
      <w:tr>
        <w:trPr>
          <w:trHeight w:val="1026"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2"/>
              <w:jc w:val="both"/>
              <w:rPr>
                <w:rFonts w:ascii="宋体" w:hAnsi="宋体" w:cs="宋体" w:eastAsia="宋体" w:hint="default"/>
                <w:sz w:val="18"/>
                <w:szCs w:val="18"/>
              </w:rPr>
            </w:pPr>
            <w:r>
              <w:rPr>
                <w:rFonts w:ascii="宋体" w:hAnsi="宋体" w:cs="宋体" w:eastAsia="宋体" w:hint="default"/>
                <w:sz w:val="18"/>
                <w:szCs w:val="18"/>
              </w:rPr>
              <w:t>建造合同形成的 已完工未结算资 产</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292,649,116.76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292,649,116.76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235,295,114.56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235,295,114.56</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9,742,157.06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9,742,157.06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21,625,307.13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21,625,307.13</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2,820.51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2,820.51</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332,054,359.62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332,054,359.62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286,340,219.90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286,340,219.90</w:t>
            </w:r>
          </w:p>
        </w:tc>
      </w:tr>
    </w:tbl>
    <w:p>
      <w:pPr>
        <w:pStyle w:val="BodyText"/>
        <w:spacing w:line="340" w:lineRule="auto" w:before="51"/>
        <w:ind w:right="2474"/>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0"/>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2）存货跌价准备" w:id="239"/>
      <w:bookmarkEnd w:id="23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存货期末余额含有借款费用资本化金额的说明" w:id="240"/>
      <w:bookmarkEnd w:id="240"/>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期末建造合同形成的已完工未结算资产情况" w:id="241"/>
      <w:bookmarkEnd w:id="241"/>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累计已发生成本</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4,586,218,910.34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累计已确认毛利</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1,387,813,414.56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已办理结算的金额</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5,681,383,208.14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建造合同形成的已完工未结算资产</w:t>
            </w:r>
          </w:p>
        </w:tc>
        <w:tc>
          <w:tcPr>
            <w:tcW w:w="47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292,649,116.76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一年内到期的非流动资产" w:id="242"/>
      <w:bookmarkEnd w:id="242"/>
      <w:r>
        <w:rPr>
          <w:b w:val="0"/>
          <w:bCs w:val="0"/>
        </w:rPr>
      </w:r>
      <w:r>
        <w:rPr>
          <w:rFonts w:ascii="Times New Roman" w:hAnsi="Times New Roman" w:cs="Times New Roman" w:eastAsia="Times New Roman" w:hint="default"/>
        </w:rPr>
        <w:t>6</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177,889,773.87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129,023,981.98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177,889,773.87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129,023,981.98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其他流动资产" w:id="243"/>
      <w:bookmarkEnd w:id="243"/>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60,527,674.67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37,199,397.59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1,999,161.74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3,134,537.18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252,098.79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156,681.08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107,778,935.20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40,490,615.85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8、可供出售金融资产" w:id="244"/>
      <w:bookmarkEnd w:id="244"/>
      <w:r>
        <w:rPr>
          <w:b w:val="0"/>
          <w:bCs w:val="0"/>
        </w:rPr>
      </w:r>
      <w:r>
        <w:rPr>
          <w:rFonts w:ascii="Times New Roman" w:hAnsi="Times New Roman" w:cs="Times New Roman" w:eastAsia="Times New Roman" w:hint="default"/>
        </w:rPr>
        <w:t>8</w:t>
      </w:r>
      <w:r>
        <w:rPr/>
        <w:t>、可供出售金融资产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可供出售金融资产情况" w:id="245"/>
      <w:bookmarkEnd w:id="245"/>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01"/>
        <w:gridCol w:w="3587"/>
        <w:gridCol w:w="3971"/>
      </w:tblGrid>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85,975,000.00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85,975,000.00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23,075,000.00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23,075,000.00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85,975,000.00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85,975,000.00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23,075,000.00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23,075,000.00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85,975,000.00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85,975,000.00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23,075,000.00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23,075,000.00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期末按公允价值计量的可供出售金融资产" w:id="246"/>
      <w:bookmarkEnd w:id="246"/>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期末按成本计量的可供出售金融资产" w:id="247"/>
      <w:bookmarkEnd w:id="247"/>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北京中轨 股权投资 中心（有 限合伙）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深圳市嘉 诚富通基 金管理合 伙企业</w:t>
            </w:r>
          </w:p>
          <w:p>
            <w:pPr>
              <w:pStyle w:val="TableParagraph"/>
              <w:spacing w:line="319"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北京达实 德润能源 科技有限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575,000.00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575,000.00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上海达实 联欣科技 发展有限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61,200,000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61,200,000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323,365.63</w:t>
            </w: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23,075,000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62,900,000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85,975,000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323,365.63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报告期内可供出售金融资产减值的变动情况" w:id="248"/>
      <w:bookmarkEnd w:id="248"/>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87" w:footer="1019" w:top="1100" w:bottom="1200" w:left="980" w:right="0"/>
        </w:sectPr>
      </w:pPr>
    </w:p>
    <w:p>
      <w:pPr>
        <w:spacing w:line="240" w:lineRule="auto" w:before="7"/>
        <w:rPr>
          <w:rFonts w:ascii="宋体" w:hAnsi="宋体" w:cs="宋体" w:eastAsia="宋体" w:hint="default"/>
          <w:sz w:val="21"/>
          <w:szCs w:val="21"/>
        </w:rPr>
      </w:pPr>
    </w:p>
    <w:p>
      <w:pPr>
        <w:pStyle w:val="Heading4"/>
        <w:spacing w:line="240" w:lineRule="auto" w:before="35"/>
        <w:ind w:right="0"/>
        <w:jc w:val="left"/>
        <w:rPr>
          <w:b w:val="0"/>
          <w:bCs w:val="0"/>
        </w:rPr>
      </w:pPr>
      <w:bookmarkStart w:name="（5）可供出售权益工具期末公允价值严重下跌或非暂时性下跌但未计提减值准备的相关说" w:id="249"/>
      <w:bookmarkEnd w:id="249"/>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9、长期应收款" w:id="250"/>
      <w:bookmarkEnd w:id="250"/>
      <w:r>
        <w:rPr>
          <w:b w:val="0"/>
          <w:bCs w:val="0"/>
        </w:rPr>
      </w:r>
      <w:r>
        <w:rPr>
          <w:rFonts w:ascii="Times New Roman" w:hAnsi="Times New Roman" w:cs="Times New Roman" w:eastAsia="Times New Roman" w:hint="default"/>
        </w:rPr>
        <w:t>9</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应收款情况" w:id="251"/>
      <w:bookmarkEnd w:id="251"/>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205" w:hRule="exact"/>
        </w:trPr>
        <w:tc>
          <w:tcPr>
            <w:tcW w:w="1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4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vMerge/>
            <w:tcBorders>
              <w:left w:val="single" w:sz="4" w:space="0" w:color="000000"/>
              <w:bottom w:val="single" w:sz="4" w:space="0" w:color="000000"/>
              <w:right w:val="single" w:sz="4" w:space="0" w:color="000000"/>
            </w:tcBorders>
            <w:shd w:val="clear" w:color="auto" w:fill="D2D2D2"/>
          </w:tcPr>
          <w:p>
            <w:pP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11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200" w:hRule="exact"/>
        </w:trPr>
        <w:tc>
          <w:tcPr>
            <w:tcW w:w="1403" w:type="dxa"/>
            <w:vMerge/>
            <w:tcBorders>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103,547,811.0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1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1,266,275.86</w:t>
            </w:r>
          </w:p>
        </w:tc>
        <w:tc>
          <w:tcPr>
            <w:tcW w:w="116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102,281,535.1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1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69,476,380.86</w:t>
            </w:r>
          </w:p>
        </w:tc>
        <w:tc>
          <w:tcPr>
            <w:tcW w:w="11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1,266,275.86</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68,210,105.00</w:t>
            </w:r>
          </w:p>
        </w:tc>
        <w:tc>
          <w:tcPr>
            <w:tcW w:w="1165" w:type="dxa"/>
            <w:vMerge w:val="restart"/>
            <w:tcBorders>
              <w:top w:val="single" w:sz="4" w:space="0" w:color="000000"/>
              <w:left w:val="single" w:sz="4" w:space="0" w:color="000000"/>
              <w:right w:val="single" w:sz="4" w:space="0" w:color="000000"/>
            </w:tcBorders>
          </w:tcPr>
          <w:p>
            <w:pPr/>
          </w:p>
        </w:tc>
      </w:tr>
      <w:tr>
        <w:trPr>
          <w:trHeight w:val="392" w:hRule="exact"/>
        </w:trPr>
        <w:tc>
          <w:tcPr>
            <w:tcW w:w="1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8" w:type="dxa"/>
            <w:vMerge/>
            <w:tcBorders>
              <w:left w:val="single" w:sz="9" w:space="0" w:color="D2D2D2"/>
              <w:right w:val="single" w:sz="4" w:space="0" w:color="000000"/>
            </w:tcBorders>
          </w:tcPr>
          <w:p>
            <w:pPr/>
          </w:p>
        </w:tc>
        <w:tc>
          <w:tcPr>
            <w:tcW w:w="1167" w:type="dxa"/>
            <w:vMerge/>
            <w:tcBorders>
              <w:left w:val="single" w:sz="4" w:space="0" w:color="000000"/>
              <w:right w:val="single" w:sz="4" w:space="0" w:color="000000"/>
            </w:tcBorders>
          </w:tcPr>
          <w:p>
            <w:pPr/>
          </w:p>
        </w:tc>
        <w:tc>
          <w:tcPr>
            <w:tcW w:w="1168"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164" w:type="dxa"/>
            <w:vMerge/>
            <w:tcBorders>
              <w:left w:val="single" w:sz="4" w:space="0" w:color="000000"/>
              <w:right w:val="single" w:sz="4" w:space="0" w:color="000000"/>
            </w:tcBorders>
          </w:tcPr>
          <w:p>
            <w:pPr/>
          </w:p>
        </w:tc>
        <w:tc>
          <w:tcPr>
            <w:tcW w:w="1165" w:type="dxa"/>
            <w:vMerge/>
            <w:tcBorders>
              <w:left w:val="single" w:sz="4" w:space="0" w:color="000000"/>
              <w:right w:val="single" w:sz="4" w:space="0" w:color="000000"/>
            </w:tcBorders>
          </w:tcPr>
          <w:p>
            <w:pPr/>
          </w:p>
        </w:tc>
      </w:tr>
      <w:tr>
        <w:trPr>
          <w:trHeight w:val="161" w:hRule="exact"/>
        </w:trPr>
        <w:tc>
          <w:tcPr>
            <w:tcW w:w="1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9" w:space="0" w:color="D2D2D2"/>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1168"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c>
          <w:tcPr>
            <w:tcW w:w="1165" w:type="dxa"/>
            <w:vMerge/>
            <w:tcBorders>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8" w:firstLine="360"/>
              <w:jc w:val="left"/>
              <w:rPr>
                <w:rFonts w:ascii="宋体" w:hAnsi="宋体" w:cs="宋体" w:eastAsia="宋体" w:hint="default"/>
                <w:sz w:val="18"/>
                <w:szCs w:val="18"/>
              </w:rPr>
            </w:pPr>
            <w:r>
              <w:rPr>
                <w:rFonts w:ascii="宋体" w:hAnsi="宋体" w:cs="宋体" w:eastAsia="宋体" w:hint="default"/>
                <w:sz w:val="18"/>
                <w:szCs w:val="18"/>
              </w:rPr>
              <w:t>其中：未实 现融资收益</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10,839,304.40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10,839,304.40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7,302,443.49</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7,302,443.49</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分期收款提供劳 务</w:t>
            </w:r>
          </w:p>
        </w:tc>
        <w:tc>
          <w:tcPr>
            <w:tcW w:w="11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212,635,116.1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212,635,116.1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231,352,612.3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231,352,612.3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8"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316,182,927.1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16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1,266,275.86</w:t>
            </w:r>
          </w:p>
        </w:tc>
        <w:tc>
          <w:tcPr>
            <w:tcW w:w="116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314,916,651.3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16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300,828,993.2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16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1,266,275.86</w:t>
            </w:r>
          </w:p>
        </w:tc>
        <w:tc>
          <w:tcPr>
            <w:tcW w:w="1164" w:type="dxa"/>
            <w:vMerge w:val="restart"/>
            <w:tcBorders>
              <w:top w:val="single" w:sz="4" w:space="0" w:color="000000"/>
              <w:left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299,562,717.3</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vMerge/>
            <w:tcBorders>
              <w:left w:val="single" w:sz="9" w:space="0" w:color="D2D2D2"/>
              <w:right w:val="single" w:sz="4" w:space="0" w:color="000000"/>
            </w:tcBorders>
          </w:tcPr>
          <w:p>
            <w:pPr/>
          </w:p>
        </w:tc>
        <w:tc>
          <w:tcPr>
            <w:tcW w:w="1167" w:type="dxa"/>
            <w:vMerge/>
            <w:tcBorders>
              <w:left w:val="single" w:sz="4" w:space="0" w:color="000000"/>
              <w:right w:val="single" w:sz="4" w:space="0" w:color="000000"/>
            </w:tcBorders>
          </w:tcPr>
          <w:p>
            <w:pPr/>
          </w:p>
        </w:tc>
        <w:tc>
          <w:tcPr>
            <w:tcW w:w="1168" w:type="dxa"/>
            <w:vMerge/>
            <w:tcBorders>
              <w:left w:val="single" w:sz="4" w:space="0" w:color="000000"/>
              <w:right w:val="single" w:sz="4" w:space="0" w:color="000000"/>
            </w:tcBorders>
          </w:tcPr>
          <w:p>
            <w:pPr/>
          </w:p>
        </w:tc>
        <w:tc>
          <w:tcPr>
            <w:tcW w:w="1166" w:type="dxa"/>
            <w:vMerge/>
            <w:tcBorders>
              <w:left w:val="single" w:sz="4" w:space="0" w:color="000000"/>
              <w:right w:val="single" w:sz="4" w:space="0" w:color="000000"/>
            </w:tcBorders>
          </w:tcPr>
          <w:p>
            <w:pPr/>
          </w:p>
        </w:tc>
        <w:tc>
          <w:tcPr>
            <w:tcW w:w="1169" w:type="dxa"/>
            <w:vMerge/>
            <w:tcBorders>
              <w:left w:val="single" w:sz="4" w:space="0" w:color="000000"/>
              <w:right w:val="single" w:sz="4" w:space="0" w:color="000000"/>
            </w:tcBorders>
          </w:tcPr>
          <w:p>
            <w:pPr/>
          </w:p>
        </w:tc>
        <w:tc>
          <w:tcPr>
            <w:tcW w:w="1164" w:type="dxa"/>
            <w:vMerge/>
            <w:tcBorders>
              <w:left w:val="single" w:sz="4" w:space="0" w:color="000000"/>
              <w:right w:val="single" w:sz="10" w:space="0" w:color="D2D2D2"/>
            </w:tcBorders>
          </w:tcPr>
          <w:p>
            <w:pPr/>
          </w:p>
        </w:tc>
        <w:tc>
          <w:tcPr>
            <w:tcW w:w="116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8" w:type="dxa"/>
            <w:vMerge/>
            <w:tcBorders>
              <w:left w:val="single" w:sz="9" w:space="0" w:color="D2D2D2"/>
              <w:bottom w:val="single" w:sz="4" w:space="0" w:color="000000"/>
              <w:right w:val="single" w:sz="4" w:space="0" w:color="000000"/>
            </w:tcBorders>
          </w:tcPr>
          <w:p>
            <w:pPr/>
          </w:p>
        </w:tc>
        <w:tc>
          <w:tcPr>
            <w:tcW w:w="1167" w:type="dxa"/>
            <w:vMerge/>
            <w:tcBorders>
              <w:left w:val="single" w:sz="4" w:space="0" w:color="000000"/>
              <w:bottom w:val="single" w:sz="4" w:space="0" w:color="000000"/>
              <w:right w:val="single" w:sz="4" w:space="0" w:color="000000"/>
            </w:tcBorders>
          </w:tcPr>
          <w:p>
            <w:pPr/>
          </w:p>
        </w:tc>
        <w:tc>
          <w:tcPr>
            <w:tcW w:w="1168" w:type="dxa"/>
            <w:vMerge/>
            <w:tcBorders>
              <w:left w:val="single" w:sz="4" w:space="0" w:color="000000"/>
              <w:bottom w:val="single" w:sz="4" w:space="0" w:color="000000"/>
              <w:right w:val="single" w:sz="4" w:space="0" w:color="000000"/>
            </w:tcBorders>
          </w:tcPr>
          <w:p>
            <w:pPr/>
          </w:p>
        </w:tc>
        <w:tc>
          <w:tcPr>
            <w:tcW w:w="1166" w:type="dxa"/>
            <w:vMerge/>
            <w:tcBorders>
              <w:left w:val="single" w:sz="4" w:space="0" w:color="000000"/>
              <w:bottom w:val="single" w:sz="4" w:space="0" w:color="000000"/>
              <w:right w:val="single" w:sz="4" w:space="0" w:color="000000"/>
            </w:tcBorders>
          </w:tcPr>
          <w:p>
            <w:pPr/>
          </w:p>
        </w:tc>
        <w:tc>
          <w:tcPr>
            <w:tcW w:w="1169"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10" w:space="0" w:color="D2D2D2"/>
            </w:tcBorders>
          </w:tcPr>
          <w:p>
            <w:pPr/>
          </w:p>
        </w:tc>
        <w:tc>
          <w:tcPr>
            <w:tcW w:w="1165"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因金融资产转移而终止确认的长期应收款" w:id="252"/>
      <w:bookmarkEnd w:id="252"/>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转移长期应收款且继续涉入形成的资产、负债金额" w:id="253"/>
      <w:bookmarkEnd w:id="253"/>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10、长期股权投资" w:id="254"/>
      <w:bookmarkEnd w:id="254"/>
      <w:r>
        <w:rPr>
          <w:b w:val="0"/>
          <w:bCs w:val="0"/>
        </w:rPr>
      </w:r>
      <w:r>
        <w:rPr>
          <w:rFonts w:ascii="Times New Roman" w:hAnsi="Times New Roman" w:cs="Times New Roman" w:eastAsia="Times New Roman" w:hint="default"/>
        </w:rPr>
        <w:t>10</w:t>
      </w:r>
      <w:r>
        <w:rPr/>
        <w:t>、长期股权投资</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3"/>
          <w:szCs w:val="1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上海沧洱 实业有限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8,132,370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1,156,246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9,288,617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8,132,370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1,156,246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9,288,617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.20</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深圳市小 鹿暖暖科 技有限公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8,339,972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-162,831.</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-8,177,14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融智节能 环保（深 圳）有限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8,884,113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-623,411.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8,260,702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山东茗信 股权投资 管理有限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10,294,75</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6.68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331,491.2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10,626,24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7.95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泰山健康 保险股份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28,798,84</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2.88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-454,751.</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-8,177,14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20,166,95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0.64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28,798,84</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2.88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8,132,370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701,495.1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-8,177,14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29,455,56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7.84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1、投资性房地产" w:id="255"/>
      <w:bookmarkEnd w:id="255"/>
      <w:r>
        <w:rPr>
          <w:b w:val="0"/>
          <w:bCs w:val="0"/>
        </w:rPr>
      </w:r>
      <w:r>
        <w:rPr>
          <w:rFonts w:ascii="Times New Roman" w:hAnsi="Times New Roman" w:cs="Times New Roman" w:eastAsia="Times New Roman" w:hint="default"/>
        </w:rPr>
        <w:t>11</w:t>
      </w:r>
      <w:r>
        <w:rPr/>
        <w:t>、投资性房地产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投资性房地产" w:id="256"/>
      <w:bookmarkEnd w:id="256"/>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135,060,407.74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135,060,407.74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7,726,764.89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7,726,764.89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7,726,764.89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7,726,764.89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）企业合并增加</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40,838,442.28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40,838,442.28</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40,838,442.28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40,838,442.28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101,948,730.35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101,948,730.35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68,944,560.36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68,944,560.36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13,269,765.50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13,269,765.50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5,929,338.85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5,929,338.85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7,340,426.65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7,340,426.65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24,892,618.17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24,892,618.17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24,892,618.17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24,892,618.17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57,321,707.69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57,321,707.69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44,627,022.66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44,627,022.66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66,115,847.38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66,115,847.38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采用公允价值计量模式的投资性房地产" w:id="257"/>
      <w:bookmarkEnd w:id="257"/>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未办妥产权证书的投资性房地产情况" w:id="258"/>
      <w:bookmarkEnd w:id="258"/>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1"/>
        <w:ind w:right="0"/>
        <w:jc w:val="left"/>
      </w:pPr>
      <w:r>
        <w:rPr/>
        <w:t>其他说明</w:t>
      </w:r>
    </w:p>
    <w:p>
      <w:pPr>
        <w:spacing w:line="240" w:lineRule="auto" w:before="12"/>
        <w:rPr>
          <w:rFonts w:ascii="宋体" w:hAnsi="宋体" w:cs="宋体" w:eastAsia="宋体" w:hint="default"/>
          <w:sz w:val="14"/>
          <w:szCs w:val="14"/>
        </w:rPr>
      </w:pPr>
    </w:p>
    <w:p>
      <w:pPr>
        <w:pStyle w:val="BodyText"/>
        <w:spacing w:line="240" w:lineRule="auto"/>
        <w:ind w:left="574" w:right="0"/>
        <w:jc w:val="left"/>
      </w:pPr>
      <w:r>
        <w:rPr/>
        <w:t>期末用于抵押借款的投资性房地产账面价值</w:t>
      </w:r>
      <w:r>
        <w:rPr>
          <w:spacing w:val="-46"/>
        </w:rPr>
        <w:t> </w:t>
      </w:r>
      <w:r>
        <w:rPr>
          <w:rFonts w:ascii="Times New Roman" w:hAnsi="Times New Roman" w:cs="Times New Roman" w:eastAsia="Times New Roman" w:hint="default"/>
        </w:rPr>
        <w:t>44,172,966.54</w:t>
      </w:r>
      <w:r>
        <w:rPr>
          <w:rFonts w:ascii="Times New Roman" w:hAnsi="Times New Roman" w:cs="Times New Roman" w:eastAsia="Times New Roman" w:hint="default"/>
          <w:spacing w:val="-1"/>
        </w:rPr>
        <w:t> </w:t>
      </w:r>
      <w:r>
        <w:rPr/>
        <w:t>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0"/>
        <w:jc w:val="left"/>
        <w:rPr>
          <w:b w:val="0"/>
          <w:bCs w:val="0"/>
        </w:rPr>
      </w:pPr>
      <w:bookmarkStart w:name="12、固定资产" w:id="259"/>
      <w:bookmarkEnd w:id="259"/>
      <w:r>
        <w:rPr>
          <w:b w:val="0"/>
          <w:bCs w:val="0"/>
        </w:rPr>
      </w:r>
      <w:r>
        <w:rPr>
          <w:rFonts w:ascii="Times New Roman" w:hAnsi="Times New Roman" w:cs="Times New Roman" w:eastAsia="Times New Roman" w:hint="default"/>
        </w:rPr>
        <w:t>12</w:t>
      </w:r>
      <w:r>
        <w:rPr/>
        <w:t>、固定资产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162,304,668.60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166,620,641.28</w:t>
            </w: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162,304,668.60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166,620,641.28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固定资产情况" w:id="260"/>
      <w:bookmarkEnd w:id="260"/>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节能专用设备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136,623,714.95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13,792,583.36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31,333,752.34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174,840,154.16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356,590,204.81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1,674,568.13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2,445,306.27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65,673,186.33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69,793,060.73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1,674,568.13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2,383,304.97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4,057,873.10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17,673,186.33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17,673,186.33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62,001.30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62,001.30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82"/>
                <w:sz w:val="18"/>
                <w:szCs w:val="18"/>
              </w:rPr>
              <w:t>）</w:t>
            </w:r>
            <w:r>
              <w:rPr>
                <w:rFonts w:ascii="宋体" w:hAnsi="宋体" w:cs="宋体" w:eastAsia="宋体" w:hint="default"/>
                <w:sz w:val="18"/>
                <w:szCs w:val="18"/>
              </w:rPr>
              <w:t>售后回</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租</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48,000,000.00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8,904,522.78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5,485,332.15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5,415,224.95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67,001,497.65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86,806,577.53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1,177,757.89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3,075,777.00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947,571.62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5,201,106.51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）股权</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2,409,555.15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4,467,653.33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8,971,476.02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15,848,684.50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17" w:firstLine="7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）转投 资性房地产</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7,726,764.89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7,726,764.89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）售后</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回租</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58,030,021.63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58,030,021.63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127,719,192.17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9,981,819.34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28,363,833.66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173,511,842.84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339,576,688.01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68,496,741.46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10,638,312.92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19,984,622.35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90,849,886.80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189,969,563.53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7,325,015.11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768,377.95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2,566,328.89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23,887,952.42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34,547,674.37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7,325,015.11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768,377.95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2,542,276.16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23,887,952.42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34,523,621.64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企业合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24,052.73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24,052.73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8,433,389.20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4,910,791.90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4,347,373.76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29,553,663.63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47,245,218.49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1,092,962.55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2,921,988.15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855,924.21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4,870,874.91</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股权转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让</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1,988,803.75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3,491,449.55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4,337,574.30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9,817,827.60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2" w:right="17" w:firstLine="7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）转投 资性房地产</w:t>
            </w:r>
          </w:p>
        </w:tc>
        <w:tc>
          <w:tcPr>
            <w:tcW w:w="1606" w:type="dxa"/>
            <w:tcBorders>
              <w:top w:val="single" w:sz="4" w:space="0" w:color="000000"/>
              <w:left w:val="single" w:sz="9"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7,340,426.65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7,340,426.65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）售后</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回租</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25,216,089.33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25,216,089.33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67,388,367.37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6,495,898.97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18,203,577.48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85,184,175.59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177,272,019.41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60,330,824.80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3,485,920.37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10,160,256.18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88,327,667.25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162,304,668.60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68,126,973.49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3,154,270.44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11,349,129.99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83,990,267.36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166,620,641.28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暂时闲置的固定资产情况" w:id="261"/>
      <w:bookmarkEnd w:id="261"/>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通过融资租赁租入的固定资产情况" w:id="262"/>
      <w:bookmarkEnd w:id="262"/>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87" w:footer="1019" w:top="1100" w:bottom="1200" w:left="980" w:right="0"/>
        </w:sectPr>
      </w:pPr>
    </w:p>
    <w:p>
      <w:pPr>
        <w:spacing w:line="240" w:lineRule="auto" w:before="7"/>
        <w:rPr>
          <w:rFonts w:ascii="宋体" w:hAnsi="宋体" w:cs="宋体" w:eastAsia="宋体" w:hint="default"/>
          <w:sz w:val="21"/>
          <w:szCs w:val="21"/>
        </w:rPr>
      </w:pPr>
    </w:p>
    <w:p>
      <w:pPr>
        <w:pStyle w:val="Heading4"/>
        <w:spacing w:line="240" w:lineRule="auto" w:before="35"/>
        <w:ind w:right="0"/>
        <w:jc w:val="left"/>
        <w:rPr>
          <w:b w:val="0"/>
          <w:bCs w:val="0"/>
        </w:rPr>
      </w:pPr>
      <w:bookmarkStart w:name="（4）通过经营租赁租出的固定资产" w:id="263"/>
      <w:bookmarkEnd w:id="263"/>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未办妥产权证书的固定资产情况" w:id="264"/>
      <w:bookmarkEnd w:id="264"/>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74" w:right="0"/>
        <w:jc w:val="left"/>
      </w:pPr>
      <w:r>
        <w:rPr/>
        <w:t>期末用于抵押借款的房屋及建筑物账面价值</w:t>
      </w:r>
      <w:r>
        <w:rPr>
          <w:spacing w:val="-50"/>
        </w:rPr>
        <w:t> </w:t>
      </w:r>
      <w:r>
        <w:rPr>
          <w:rFonts w:ascii="Times New Roman" w:hAnsi="Times New Roman" w:cs="Times New Roman" w:eastAsia="Times New Roman" w:hint="default"/>
        </w:rPr>
        <w:t>33,412,906.11</w:t>
      </w:r>
      <w:r>
        <w:rPr>
          <w:rFonts w:ascii="Times New Roman" w:hAnsi="Times New Roman" w:cs="Times New Roman" w:eastAsia="Times New Roman" w:hint="default"/>
          <w:spacing w:val="-5"/>
        </w:rPr>
        <w:t> </w:t>
      </w:r>
      <w:r>
        <w:rPr/>
        <w:t>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0"/>
        <w:jc w:val="left"/>
        <w:rPr>
          <w:b w:val="0"/>
          <w:bCs w:val="0"/>
        </w:rPr>
      </w:pPr>
      <w:bookmarkStart w:name="（6）固定资产清理" w:id="265"/>
      <w:bookmarkEnd w:id="265"/>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3、在建工程" w:id="266"/>
      <w:bookmarkEnd w:id="266"/>
      <w:r>
        <w:rPr>
          <w:b w:val="0"/>
          <w:bCs w:val="0"/>
        </w:rPr>
      </w:r>
      <w:r>
        <w:rPr>
          <w:rFonts w:ascii="Times New Roman" w:hAnsi="Times New Roman" w:cs="Times New Roman" w:eastAsia="Times New Roman" w:hint="default"/>
        </w:rPr>
        <w:t>13</w:t>
      </w:r>
      <w:r>
        <w:rPr/>
        <w:t>、在建工程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686,874,782.19</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384,916,055.78</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686,874,782.19</w:t>
            </w: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384,916,055.78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在建工程情况" w:id="267"/>
      <w:bookmarkEnd w:id="26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达实大厦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629,362,388.84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629,362,388.84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338,492,338.07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338,492,338.07</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达实大厦营销中 心装修工程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7,174,547.86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7,174,547.86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3,089,046.52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3,089,046.52</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合肥京东方中央 空调水蓄冷节能 服务项目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8,136,787.71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8,136,787.71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7,506,759.39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7,506,759.39</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洪泽湖医养融合 体项目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10,734,692.10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10,734,692.10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淮南智慧医疗</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25,914,898.96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25,914,898.96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34,774,532.08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34,774,532.08</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深圳集中式空调 能效管控技术工 程实验室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3,016,635.73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3,016,635.73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884,159.58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884,159.58</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both"/>
              <w:rPr>
                <w:rFonts w:ascii="宋体" w:hAnsi="宋体" w:cs="宋体" w:eastAsia="宋体" w:hint="default"/>
                <w:sz w:val="18"/>
                <w:szCs w:val="18"/>
              </w:rPr>
            </w:pPr>
            <w:r>
              <w:rPr>
                <w:rFonts w:ascii="宋体" w:hAnsi="宋体" w:cs="宋体" w:eastAsia="宋体" w:hint="default"/>
                <w:sz w:val="18"/>
                <w:szCs w:val="18"/>
              </w:rPr>
              <w:t>桃江县人民医院 南院院区建设工 程项目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907,990.34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907,990.34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久信展厅改造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1,334,566.56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1,334,566.56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展厅改造</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169,220.14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169,220.14</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中粮置地工程冷 站节能服务项目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292,274.09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292,274.09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686,874,782.19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686,874,782.19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384,916,055.78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384,916,055.78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重要在建工程项目本期变动情况" w:id="268"/>
      <w:bookmarkEnd w:id="26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96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59"/>
              <w:jc w:val="both"/>
              <w:rPr>
                <w:rFonts w:ascii="宋体" w:hAnsi="宋体" w:cs="宋体" w:eastAsia="宋体" w:hint="default"/>
                <w:sz w:val="18"/>
                <w:szCs w:val="18"/>
              </w:rPr>
            </w:pPr>
            <w:r>
              <w:rPr>
                <w:rFonts w:ascii="宋体" w:hAnsi="宋体" w:cs="宋体" w:eastAsia="宋体" w:hint="default"/>
                <w:sz w:val="18"/>
                <w:szCs w:val="18"/>
              </w:rPr>
              <w:t>达实大 厦改扩 建</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930,324,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338,492,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338.07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290,870,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050.77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629,362,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388.84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67.65%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工程于</w:t>
            </w:r>
          </w:p>
          <w:p>
            <w:pPr>
              <w:pStyle w:val="TableParagraph"/>
              <w:spacing w:line="240" w:lineRule="auto" w:before="75"/>
              <w:ind w:left="23"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w:t>
            </w:r>
          </w:p>
          <w:p>
            <w:pPr>
              <w:pStyle w:val="TableParagraph"/>
              <w:spacing w:line="319" w:lineRule="auto" w:before="63"/>
              <w:ind w:left="23" w:right="161"/>
              <w:jc w:val="both"/>
              <w:rPr>
                <w:rFonts w:ascii="宋体" w:hAnsi="宋体" w:cs="宋体" w:eastAsia="宋体" w:hint="default"/>
                <w:sz w:val="18"/>
                <w:szCs w:val="18"/>
              </w:rPr>
            </w:pPr>
            <w:r>
              <w:rPr>
                <w:rFonts w:ascii="宋体" w:hAnsi="宋体" w:cs="宋体" w:eastAsia="宋体" w:hint="default"/>
                <w:sz w:val="18"/>
                <w:szCs w:val="18"/>
              </w:rPr>
              <w:t>月达到 预定可 使用状 态</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32,715,8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46.26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27,958,3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29.91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930,324,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338,492,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338.07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290,870,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050.77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629,362,</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388.84</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32,715,8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46.26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27,958,3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29.91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本期计提在建工程减值准备情况" w:id="269"/>
      <w:bookmarkEnd w:id="269"/>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0" w:right="1132"/>
        <w:jc w:val="right"/>
      </w:pPr>
      <w:r>
        <w:rPr/>
        <w:t>达实大厦改扩建项目新达实大厦已于</w:t>
      </w:r>
      <w:r>
        <w:rPr>
          <w:spacing w:val="-6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3"/>
        </w:rPr>
        <w:t> </w:t>
      </w:r>
      <w:r>
        <w:rPr/>
        <w:t>年</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月达到预定可使用状态，转入固定资产，新达实大厦转入固定资产原值</w:t>
      </w:r>
    </w:p>
    <w:p>
      <w:pPr>
        <w:spacing w:line="240" w:lineRule="auto" w:before="11"/>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793,522,509.13</w:t>
      </w:r>
      <w:r>
        <w:rPr>
          <w:rFonts w:ascii="Times New Roman" w:hAnsi="Times New Roman" w:cs="Times New Roman" w:eastAsia="Times New Roman" w:hint="default"/>
          <w:spacing w:val="-1"/>
        </w:rPr>
        <w:t> </w:t>
      </w:r>
      <w:r>
        <w:rPr/>
        <w:t>元，暂估工程款</w:t>
      </w:r>
      <w:r>
        <w:rPr>
          <w:spacing w:val="-47"/>
        </w:rPr>
        <w:t> </w:t>
      </w:r>
      <w:r>
        <w:rPr>
          <w:rFonts w:ascii="Times New Roman" w:hAnsi="Times New Roman" w:cs="Times New Roman" w:eastAsia="Times New Roman" w:hint="default"/>
        </w:rPr>
        <w:t>108,179,376.74</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0"/>
        <w:jc w:val="left"/>
        <w:rPr>
          <w:b w:val="0"/>
          <w:bCs w:val="0"/>
        </w:rPr>
      </w:pPr>
      <w:bookmarkStart w:name="（4）工程物资" w:id="270"/>
      <w:bookmarkEnd w:id="270"/>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4、无形资产" w:id="271"/>
      <w:bookmarkEnd w:id="271"/>
      <w:r>
        <w:rPr>
          <w:b w:val="0"/>
          <w:bCs w:val="0"/>
        </w:rPr>
      </w:r>
      <w:r>
        <w:rPr>
          <w:rFonts w:ascii="Times New Roman" w:hAnsi="Times New Roman" w:cs="Times New Roman" w:eastAsia="Times New Roman" w:hint="default"/>
        </w:rPr>
        <w:t>14</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无形资产情况" w:id="272"/>
      <w:bookmarkEnd w:id="272"/>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61" w:hRule="exact"/>
        </w:trPr>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10" w:space="0" w:color="D2D2D2"/>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项目收款权</w:t>
            </w:r>
          </w:p>
        </w:tc>
        <w:tc>
          <w:tcPr>
            <w:tcW w:w="1367" w:type="dxa"/>
            <w:vMerge w:val="restart"/>
            <w:tcBorders>
              <w:top w:val="single" w:sz="4" w:space="0" w:color="000000"/>
              <w:left w:val="single" w:sz="4" w:space="0" w:color="000000"/>
              <w:right w:val="single" w:sz="4" w:space="0" w:color="000000"/>
            </w:tcBorders>
            <w:shd w:val="clear" w:color="auto" w:fill="E0FFFF"/>
          </w:tcPr>
          <w:p>
            <w:pPr>
              <w:pStyle w:val="TableParagraph"/>
              <w:spacing w:line="319" w:lineRule="auto" w:before="51"/>
              <w:ind w:left="588" w:right="47" w:hanging="541"/>
              <w:jc w:val="left"/>
              <w:rPr>
                <w:rFonts w:ascii="宋体" w:hAnsi="宋体" w:cs="宋体" w:eastAsia="宋体" w:hint="default"/>
                <w:sz w:val="18"/>
                <w:szCs w:val="18"/>
              </w:rPr>
            </w:pPr>
            <w:r>
              <w:rPr>
                <w:rFonts w:ascii="宋体" w:hAnsi="宋体" w:cs="宋体" w:eastAsia="宋体" w:hint="default"/>
                <w:sz w:val="18"/>
                <w:szCs w:val="18"/>
              </w:rPr>
              <w:t>软件及软件著作 权</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3" w:hRule="exact"/>
        </w:trPr>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vMerge/>
            <w:tcBorders>
              <w:left w:val="single" w:sz="10" w:space="0" w:color="D2D2D2"/>
              <w:right w:val="single" w:sz="4" w:space="0" w:color="000000"/>
            </w:tcBorders>
            <w:shd w:val="clear" w:color="auto" w:fill="E0FFFF"/>
          </w:tcPr>
          <w:p>
            <w:pPr/>
          </w:p>
        </w:tc>
        <w:tc>
          <w:tcPr>
            <w:tcW w:w="1367" w:type="dxa"/>
            <w:vMerge/>
            <w:tcBorders>
              <w:left w:val="single" w:sz="4" w:space="0" w:color="000000"/>
              <w:right w:val="single" w:sz="4" w:space="0" w:color="000000"/>
            </w:tcBorders>
            <w:shd w:val="clear" w:color="auto" w:fill="E0FFFF"/>
          </w:tcPr>
          <w:p>
            <w:pPr/>
          </w:p>
        </w:tc>
        <w:tc>
          <w:tcPr>
            <w:tcW w:w="1367" w:type="dxa"/>
            <w:vMerge/>
            <w:tcBorders>
              <w:left w:val="single" w:sz="4" w:space="0" w:color="000000"/>
              <w:right w:val="single" w:sz="4" w:space="0" w:color="000000"/>
            </w:tcBorders>
            <w:shd w:val="clear" w:color="auto" w:fill="D2D2D2"/>
          </w:tcPr>
          <w:p>
            <w:pPr/>
          </w:p>
        </w:tc>
      </w:tr>
      <w:tr>
        <w:trPr>
          <w:trHeight w:val="161" w:hRule="exact"/>
        </w:trPr>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10" w:space="0" w:color="D2D2D2"/>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88" w:right="0"/>
              <w:jc w:val="left"/>
              <w:rPr>
                <w:rFonts w:ascii="Times New Roman" w:hAnsi="Times New Roman" w:cs="Times New Roman" w:eastAsia="Times New Roman" w:hint="default"/>
                <w:sz w:val="18"/>
                <w:szCs w:val="18"/>
              </w:rPr>
            </w:pPr>
            <w:r>
              <w:rPr>
                <w:rFonts w:ascii="Times New Roman"/>
                <w:sz w:val="18"/>
              </w:rPr>
              <w:t>27,313,471.00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Times New Roman" w:hAnsi="Times New Roman" w:cs="Times New Roman" w:eastAsia="Times New Roman" w:hint="default"/>
                <w:sz w:val="18"/>
                <w:szCs w:val="18"/>
              </w:rPr>
            </w:pPr>
            <w:r>
              <w:rPr>
                <w:rFonts w:ascii="Times New Roman"/>
                <w:sz w:val="18"/>
              </w:rPr>
              <w:t>14,452,411.93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51,996,148.50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42,173,619.99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135,935,651.42</w:t>
            </w:r>
          </w:p>
        </w:tc>
      </w:tr>
    </w:tbl>
    <w:p>
      <w:pPr>
        <w:spacing w:after="0" w:line="240" w:lineRule="auto"/>
        <w:jc w:val="lef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32,878,197.19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42,919,214.31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75,797,411.50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6,011,784.21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6,011,784.21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25,608,934.80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25,608,934.80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11,298,495.30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11,298,495.30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）其他转入</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32,878,197.19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32,878,197.19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1,770,511.82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1,770,511.82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9" w:space="0" w:color="FFFFFF"/>
            </w:tcBorders>
            <w:shd w:val="clear" w:color="auto" w:fill="E0FFFF"/>
          </w:tcPr>
          <w:p>
            <w:pPr>
              <w:pStyle w:val="TableParagraph"/>
              <w:spacing w:line="240" w:lineRule="auto" w:before="51"/>
              <w:ind w:right="-3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1378" w:type="dxa"/>
            <w:tcBorders>
              <w:top w:val="single" w:sz="4" w:space="0" w:color="000000"/>
              <w:left w:val="single" w:sz="22" w:space="0" w:color="FF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1,770,511.82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1,770,511.82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27,313,471.00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14,452,411.93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84,874,345.69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83,322,322.48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209,962,551.10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2,216,139.57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7,196,037.21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5,777,349.83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10,509,626.49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25,699,153.10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1,523,565.33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1,998,653.42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9,887,124.49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10,116,581.70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23,525,924.94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1,523,565.33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1,998,653.42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9,887,124.49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9,946,697.06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23,356,040.30</w:t>
            </w:r>
          </w:p>
        </w:tc>
      </w:tr>
      <w:tr>
        <w:trPr>
          <w:trHeight w:val="714" w:hRule="exact"/>
        </w:trPr>
        <w:tc>
          <w:tcPr>
            <w:tcW w:w="1356" w:type="dxa"/>
            <w:tcBorders>
              <w:top w:val="single" w:sz="4" w:space="0" w:color="000000"/>
              <w:left w:val="single" w:sz="4" w:space="0" w:color="000000"/>
              <w:bottom w:val="single" w:sz="4" w:space="0" w:color="000000"/>
              <w:right w:val="single" w:sz="9" w:space="0" w:color="FFFFFF"/>
            </w:tcBorders>
            <w:shd w:val="clear" w:color="auto" w:fill="E0FFFF"/>
          </w:tcPr>
          <w:p>
            <w:pPr>
              <w:pStyle w:val="TableParagraph"/>
              <w:spacing w:line="302" w:lineRule="auto" w:before="51"/>
              <w:ind w:left="22" w:right="-34" w:firstLine="90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企业合并增加</w:t>
            </w:r>
          </w:p>
        </w:tc>
        <w:tc>
          <w:tcPr>
            <w:tcW w:w="1378" w:type="dxa"/>
            <w:tcBorders>
              <w:top w:val="single" w:sz="4" w:space="0" w:color="000000"/>
              <w:left w:val="single" w:sz="22" w:space="0" w:color="FF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169,884.64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169,884.64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437,243.86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437,243.86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）股权转让</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437,243.86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437,243.86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3,739,704.90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9,194,690.63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15,664,474.32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20,188,964.33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48,787,834.18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23,573,766.10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5,257,721.30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69,209,871.37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63,133,358.15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161,174,716.92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25,097,331.43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7,256,374.72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46,218,798.67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31,663,993.50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110,236,498.32</w:t>
            </w:r>
          </w:p>
        </w:tc>
      </w:tr>
    </w:tbl>
    <w:p>
      <w:pPr>
        <w:spacing w:line="240" w:lineRule="auto" w:before="4"/>
        <w:rPr>
          <w:rFonts w:ascii="Times New Roman" w:hAnsi="Times New Roman" w:cs="Times New Roman" w:eastAsia="Times New Roman" w:hint="default"/>
          <w:sz w:val="7"/>
          <w:szCs w:val="7"/>
        </w:rPr>
      </w:pPr>
    </w:p>
    <w:p>
      <w:pPr>
        <w:pStyle w:val="BodyText"/>
        <w:spacing w:line="240" w:lineRule="auto" w:before="44"/>
        <w:ind w:left="57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29.61%</w:t>
      </w:r>
      <w:r>
        <w:rPr/>
        <w:t>。</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Heading4"/>
        <w:spacing w:line="240" w:lineRule="auto"/>
        <w:ind w:right="0"/>
        <w:jc w:val="left"/>
        <w:rPr>
          <w:b w:val="0"/>
          <w:bCs w:val="0"/>
        </w:rPr>
      </w:pPr>
      <w:bookmarkStart w:name="（2）未办妥产权证书的土地使用权情况" w:id="273"/>
      <w:bookmarkEnd w:id="273"/>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5、开发支出" w:id="274"/>
      <w:bookmarkEnd w:id="274"/>
      <w:r>
        <w:rPr>
          <w:b w:val="0"/>
          <w:bCs w:val="0"/>
        </w:rPr>
      </w:r>
      <w:r>
        <w:rPr>
          <w:rFonts w:ascii="Times New Roman" w:hAnsi="Times New Roman" w:cs="Times New Roman" w:eastAsia="Times New Roman" w:hint="default"/>
        </w:rPr>
        <w:t>15</w:t>
      </w:r>
      <w:r>
        <w:rPr/>
        <w:t>、开发支出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397"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6" w:hRule="exact"/>
        </w:trPr>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435" w:right="77"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vMerge w:val="restart"/>
            <w:tcBorders>
              <w:top w:val="single" w:sz="4" w:space="0" w:color="000000"/>
              <w:left w:val="single" w:sz="9" w:space="0" w:color="D2D2D2"/>
              <w:right w:val="single" w:sz="9" w:space="0" w:color="D2D2D2"/>
            </w:tcBorders>
            <w:shd w:val="clear" w:color="auto" w:fill="E0FFF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345" w:right="77" w:hanging="270"/>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435" w:right="76"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3" w:type="dxa"/>
            <w:vMerge w:val="restart"/>
            <w:tcBorders>
              <w:top w:val="single" w:sz="4" w:space="0" w:color="000000"/>
              <w:left w:val="single" w:sz="10" w:space="0" w:color="D2D2D2"/>
              <w:right w:val="single" w:sz="9" w:space="0" w:color="D2D2D2"/>
            </w:tcBorders>
            <w:shd w:val="clear" w:color="auto" w:fill="E0FFFF"/>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其他减少</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6"/>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vMerge/>
            <w:tcBorders>
              <w:left w:val="single" w:sz="9" w:space="0" w:color="D2D2D2"/>
              <w:right w:val="single" w:sz="9" w:space="0" w:color="D2D2D2"/>
            </w:tcBorders>
            <w:shd w:val="clear" w:color="auto" w:fill="E0FFFF"/>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10" w:space="0" w:color="D2D2D2"/>
              <w:right w:val="single" w:sz="9" w:space="0" w:color="D2D2D2"/>
            </w:tcBorders>
            <w:shd w:val="clear" w:color="auto" w:fill="E0FFFF"/>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064" w:type="dxa"/>
            <w:vMerge w:val="restart"/>
            <w:tcBorders>
              <w:top w:val="nil" w:sz="6" w:space="0" w:color="auto"/>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2"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9" w:space="0" w:color="D2D2D2"/>
              <w:right w:val="single" w:sz="9" w:space="0" w:color="D2D2D2"/>
            </w:tcBorders>
            <w:shd w:val="clear" w:color="auto" w:fill="E0FFFF"/>
          </w:tcPr>
          <w:p>
            <w:pPr/>
          </w:p>
        </w:tc>
        <w:tc>
          <w:tcPr>
            <w:tcW w:w="1063"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3" w:type="dxa"/>
            <w:vMerge/>
            <w:tcBorders>
              <w:left w:val="single" w:sz="10" w:space="0" w:color="D2D2D2"/>
              <w:right w:val="single" w:sz="9" w:space="0" w:color="D2D2D2"/>
            </w:tcBorders>
            <w:shd w:val="clear" w:color="auto" w:fill="E0FFFF"/>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9" w:space="0" w:color="D2D2D2"/>
              <w:bottom w:val="single" w:sz="4" w:space="0" w:color="000000"/>
              <w:right w:val="single" w:sz="9" w:space="0" w:color="D2D2D2"/>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10" w:space="0" w:color="D2D2D2"/>
              <w:bottom w:val="single" w:sz="4" w:space="0" w:color="000000"/>
              <w:right w:val="single" w:sz="9" w:space="0" w:color="D2D2D2"/>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医院轨道物 流系统集成 与样机研发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17,346,708.9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17,346,708.9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机场智慧行 李分拣中心 监控平台研 发</w:t>
            </w:r>
          </w:p>
          <w:p>
            <w:pPr>
              <w:pStyle w:val="TableParagraph"/>
              <w:spacing w:line="240" w:lineRule="auto" w:before="60"/>
              <w:ind w:left="22" w:right="0"/>
              <w:jc w:val="both"/>
              <w:rPr>
                <w:rFonts w:ascii="Times New Roman" w:hAnsi="Times New Roman" w:cs="Times New Roman" w:eastAsia="Times New Roman" w:hint="default"/>
                <w:sz w:val="18"/>
                <w:szCs w:val="18"/>
              </w:rPr>
            </w:pPr>
            <w:r>
              <w:rPr>
                <w:rFonts w:ascii="Times New Roman"/>
                <w:sz w:val="18"/>
              </w:rPr>
              <w:t>ABSSV1.0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10,064,101.8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7,222,455.55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2,841,646.28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基于企业微 信的运维管 控系统研发</w:t>
            </w:r>
          </w:p>
          <w:p>
            <w:pPr>
              <w:pStyle w:val="TableParagraph"/>
              <w:spacing w:line="362" w:lineRule="auto" w:before="58"/>
              <w:ind w:left="22" w:right="136"/>
              <w:jc w:val="both"/>
              <w:rPr>
                <w:rFonts w:ascii="Times New Roman" w:hAnsi="Times New Roman" w:cs="Times New Roman" w:eastAsia="Times New Roman" w:hint="default"/>
                <w:sz w:val="18"/>
                <w:szCs w:val="18"/>
              </w:rPr>
            </w:pPr>
            <w:r>
              <w:rPr>
                <w:rFonts w:ascii="Times New Roman"/>
                <w:spacing w:val="-5"/>
                <w:sz w:val="18"/>
              </w:rPr>
              <w:t>WECHAT-F</w:t>
            </w:r>
            <w:r>
              <w:rPr>
                <w:rFonts w:ascii="Times New Roman"/>
                <w:w w:val="99"/>
                <w:sz w:val="18"/>
              </w:rPr>
              <w:t> </w:t>
            </w:r>
            <w:r>
              <w:rPr>
                <w:rFonts w:ascii="Times New Roman"/>
                <w:sz w:val="18"/>
              </w:rPr>
              <w:t>MV1.0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8,314,434.75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454,904.33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7,859,530.42</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基于人工智 能的深度节 能运维管理 系统</w:t>
            </w:r>
          </w:p>
          <w:p>
            <w:pPr>
              <w:pStyle w:val="TableParagraph"/>
              <w:spacing w:line="240" w:lineRule="auto" w:before="60"/>
              <w:ind w:left="22" w:right="0"/>
              <w:jc w:val="both"/>
              <w:rPr>
                <w:rFonts w:ascii="Times New Roman" w:hAnsi="Times New Roman" w:cs="Times New Roman" w:eastAsia="Times New Roman" w:hint="default"/>
                <w:sz w:val="18"/>
                <w:szCs w:val="18"/>
              </w:rPr>
            </w:pPr>
            <w:r>
              <w:rPr>
                <w:rFonts w:ascii="Times New Roman"/>
                <w:sz w:val="18"/>
              </w:rPr>
              <w:t>AI-EMv1.0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7,981,836.52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7,826,831.50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155,005.02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CPS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 医院轨道物 流信息采集</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7,425,176.03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7,425,176.03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67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与传输技术 研究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z w:val="18"/>
                <w:szCs w:val="18"/>
              </w:rPr>
              <w:t>智慧园区的 综合管控应 用平台研发</w:t>
            </w:r>
          </w:p>
          <w:p>
            <w:pPr>
              <w:pStyle w:val="TableParagraph"/>
              <w:spacing w:line="362" w:lineRule="auto" w:before="58"/>
              <w:ind w:left="22" w:right="96"/>
              <w:jc w:val="both"/>
              <w:rPr>
                <w:rFonts w:ascii="Times New Roman" w:hAnsi="Times New Roman" w:cs="Times New Roman" w:eastAsia="Times New Roman" w:hint="default"/>
                <w:sz w:val="18"/>
                <w:szCs w:val="18"/>
              </w:rPr>
            </w:pPr>
            <w:r>
              <w:rPr>
                <w:rFonts w:ascii="Times New Roman"/>
                <w:spacing w:val="-3"/>
                <w:sz w:val="18"/>
              </w:rPr>
              <w:t>WITPARKV</w:t>
            </w:r>
            <w:r>
              <w:rPr>
                <w:rFonts w:ascii="Times New Roman"/>
                <w:spacing w:val="-40"/>
                <w:sz w:val="18"/>
              </w:rPr>
              <w:t> </w:t>
            </w:r>
            <w:r>
              <w:rPr>
                <w:rFonts w:ascii="Times New Roman"/>
                <w:spacing w:val="-40"/>
                <w:sz w:val="18"/>
              </w:rPr>
            </w:r>
            <w:r>
              <w:rPr>
                <w:rFonts w:ascii="Times New Roman"/>
                <w:sz w:val="18"/>
              </w:rPr>
              <w:t>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5,519,040.73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722,610.94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4,796,429.79</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人脸识别管 理系统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5,291,323.54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5,291,323.54</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38"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项目现场智 慧管理系统 </w:t>
            </w:r>
            <w:r>
              <w:rPr>
                <w:rFonts w:ascii="Times New Roman" w:hAnsi="Times New Roman" w:cs="Times New Roman" w:eastAsia="Times New Roman" w:hint="default"/>
                <w:sz w:val="18"/>
                <w:szCs w:val="18"/>
              </w:rPr>
              <w:t>SCSSV1.0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4,498,089.25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708,226.24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3,789,863.01</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38" w:lineRule="auto" w:before="51"/>
              <w:ind w:left="22" w:right="27"/>
              <w:jc w:val="both"/>
              <w:rPr>
                <w:rFonts w:ascii="Times New Roman" w:hAnsi="Times New Roman" w:cs="Times New Roman" w:eastAsia="Times New Roman" w:hint="default"/>
                <w:sz w:val="18"/>
                <w:szCs w:val="18"/>
              </w:rPr>
            </w:pPr>
            <w:r>
              <w:rPr>
                <w:rFonts w:ascii="宋体" w:hAnsi="宋体" w:cs="宋体" w:eastAsia="宋体" w:hint="default"/>
                <w:sz w:val="18"/>
                <w:szCs w:val="18"/>
              </w:rPr>
              <w:t>中央空调模 糊控制系统 </w:t>
            </w:r>
            <w:r>
              <w:rPr>
                <w:rFonts w:ascii="Times New Roman" w:hAnsi="Times New Roman" w:cs="Times New Roman" w:eastAsia="Times New Roman" w:hint="default"/>
                <w:spacing w:val="-3"/>
                <w:sz w:val="18"/>
                <w:szCs w:val="18"/>
              </w:rPr>
              <w:t>HVAC-FCS1.</w:t>
            </w:r>
          </w:p>
          <w:p>
            <w:pPr>
              <w:pStyle w:val="TableParagraph"/>
              <w:spacing w:line="240" w:lineRule="auto" w:before="24"/>
              <w:ind w:left="22" w:right="0"/>
              <w:jc w:val="both"/>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3,533,168.81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3,254,136.88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279,031.93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4K</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高清数字 一体化手术 室系统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3,303,062.02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1,871,015.10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1,432,046.92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手术部资产 定位管理系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2,615,298.48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1,628,189.15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987,109.33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达实智能医 院运营管理 辅决策支持 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BIv1.0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2,438,091.15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444,903.76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1,993,187.39</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基于物联网 大数据的智 慧能源监控 系统关键技 术研发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2,389,848.33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1,170,294.87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1,219,553.46</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基于健康云 的移动诊疗 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2,258,038.35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330,880.61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1,927,157.74</w:t>
            </w: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基于</w:t>
            </w:r>
          </w:p>
          <w:p>
            <w:pPr>
              <w:pStyle w:val="TableParagraph"/>
              <w:spacing w:line="240" w:lineRule="auto" w:before="115"/>
              <w:ind w:left="22" w:right="0"/>
              <w:jc w:val="both"/>
              <w:rPr>
                <w:rFonts w:ascii="Times New Roman" w:hAnsi="Times New Roman" w:cs="Times New Roman" w:eastAsia="Times New Roman" w:hint="default"/>
                <w:sz w:val="18"/>
                <w:szCs w:val="18"/>
              </w:rPr>
            </w:pPr>
            <w:r>
              <w:rPr>
                <w:rFonts w:ascii="Times New Roman"/>
                <w:sz w:val="18"/>
              </w:rPr>
              <w:t>HIMSS/JCI</w:t>
            </w:r>
          </w:p>
          <w:p>
            <w:pPr>
              <w:pStyle w:val="TableParagraph"/>
              <w:spacing w:line="319" w:lineRule="auto" w:before="65"/>
              <w:ind w:left="22" w:right="74"/>
              <w:jc w:val="both"/>
              <w:rPr>
                <w:rFonts w:ascii="宋体" w:hAnsi="宋体" w:cs="宋体" w:eastAsia="宋体" w:hint="default"/>
                <w:sz w:val="18"/>
                <w:szCs w:val="18"/>
              </w:rPr>
            </w:pPr>
            <w:r>
              <w:rPr>
                <w:rFonts w:ascii="宋体" w:hAnsi="宋体" w:cs="宋体" w:eastAsia="宋体" w:hint="default"/>
                <w:sz w:val="18"/>
                <w:szCs w:val="18"/>
              </w:rPr>
              <w:t>认证的智慧 医院信息管 理系统</w:t>
            </w:r>
          </w:p>
          <w:p>
            <w:pPr>
              <w:pStyle w:val="TableParagraph"/>
              <w:spacing w:line="362" w:lineRule="auto" w:before="57"/>
              <w:ind w:left="22" w:right="74"/>
              <w:jc w:val="both"/>
              <w:rPr>
                <w:rFonts w:ascii="Times New Roman" w:hAnsi="Times New Roman" w:cs="Times New Roman" w:eastAsia="Times New Roman" w:hint="default"/>
                <w:sz w:val="18"/>
                <w:szCs w:val="18"/>
              </w:rPr>
            </w:pPr>
            <w:r>
              <w:rPr>
                <w:rFonts w:ascii="Times New Roman"/>
                <w:sz w:val="18"/>
              </w:rPr>
              <w:t>HIS/EMRv1. 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1,842,654.26</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1,615,580.92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227,073.34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达实智能医 院信息集成 平台研发</w:t>
            </w:r>
          </w:p>
          <w:p>
            <w:pPr>
              <w:pStyle w:val="TableParagraph"/>
              <w:spacing w:line="240" w:lineRule="auto" w:before="60"/>
              <w:ind w:left="22" w:right="0"/>
              <w:jc w:val="both"/>
              <w:rPr>
                <w:rFonts w:ascii="Times New Roman" w:hAnsi="Times New Roman" w:cs="Times New Roman" w:eastAsia="Times New Roman" w:hint="default"/>
                <w:sz w:val="18"/>
                <w:szCs w:val="18"/>
              </w:rPr>
            </w:pPr>
            <w:r>
              <w:rPr>
                <w:rFonts w:ascii="Times New Roman"/>
                <w:sz w:val="18"/>
              </w:rPr>
              <w:t>HIPv1.0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1,588,531.73</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1,361,458.39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227,073.34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39"/>
              <w:jc w:val="both"/>
              <w:rPr>
                <w:rFonts w:ascii="Times New Roman" w:hAnsi="Times New Roman" w:cs="Times New Roman" w:eastAsia="Times New Roman" w:hint="default"/>
                <w:sz w:val="18"/>
                <w:szCs w:val="18"/>
              </w:rPr>
            </w:pPr>
            <w:r>
              <w:rPr>
                <w:rFonts w:ascii="宋体" w:hAnsi="宋体" w:cs="宋体" w:eastAsia="宋体" w:hint="default"/>
                <w:sz w:val="18"/>
                <w:szCs w:val="18"/>
              </w:rPr>
              <w:t>基于医疗大 数据的智能 辅助诊疗系 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CDSSv1.0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1,501,521.19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227,073.34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1,274,447.85</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NB-LOT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技</w:t>
            </w:r>
          </w:p>
          <w:p>
            <w:pPr>
              <w:pStyle w:val="TableParagraph"/>
              <w:spacing w:line="319" w:lineRule="auto" w:before="63"/>
              <w:ind w:left="22" w:right="129"/>
              <w:jc w:val="left"/>
              <w:rPr>
                <w:rFonts w:ascii="宋体" w:hAnsi="宋体" w:cs="宋体" w:eastAsia="宋体" w:hint="default"/>
                <w:sz w:val="18"/>
                <w:szCs w:val="18"/>
              </w:rPr>
            </w:pPr>
            <w:r>
              <w:rPr>
                <w:rFonts w:ascii="宋体" w:hAnsi="宋体" w:cs="宋体" w:eastAsia="宋体" w:hint="default"/>
                <w:sz w:val="18"/>
                <w:szCs w:val="18"/>
              </w:rPr>
              <w:t>术的互联网 门禁系统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238,635.09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840,154.81</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1,078,789.90</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1"/>
              <w:ind w:left="22" w:right="128"/>
              <w:jc w:val="both"/>
              <w:rPr>
                <w:rFonts w:ascii="宋体" w:hAnsi="宋体" w:cs="宋体" w:eastAsia="宋体" w:hint="default"/>
                <w:sz w:val="18"/>
                <w:szCs w:val="18"/>
              </w:rPr>
            </w:pPr>
            <w:r>
              <w:rPr>
                <w:rFonts w:ascii="Times New Roman" w:hAnsi="Times New Roman" w:cs="Times New Roman" w:eastAsia="Times New Roman" w:hint="default"/>
                <w:sz w:val="18"/>
                <w:szCs w:val="18"/>
              </w:rPr>
              <w:t>LORA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 的无线门禁 系统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159,446.25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798,996.58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958,442.83</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309"/>
              <w:jc w:val="right"/>
              <w:rPr>
                <w:rFonts w:ascii="宋体" w:hAnsi="宋体" w:cs="宋体" w:eastAsia="宋体" w:hint="default"/>
                <w:sz w:val="18"/>
                <w:szCs w:val="18"/>
              </w:rPr>
            </w:pPr>
            <w:r>
              <w:rPr>
                <w:rFonts w:ascii="宋体" w:hAnsi="宋体" w:cs="宋体" w:eastAsia="宋体" w:hint="default"/>
                <w:sz w:val="18"/>
                <w:szCs w:val="18"/>
              </w:rPr>
              <w:t>其他项目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1,958,771.54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2,539,886.59</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829,267.31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1,511,002.74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1,958,771.54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199,616.54</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346"/>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2,356,852.88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92,089,963.9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25,608,934.8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36,490,767.9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1,958,771.54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30,388,342.4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16、商誉" w:id="275"/>
      <w:bookmarkEnd w:id="275"/>
      <w:r>
        <w:rPr>
          <w:b w:val="0"/>
          <w:bCs w:val="0"/>
        </w:rPr>
      </w:r>
      <w:r>
        <w:rPr>
          <w:rFonts w:ascii="Times New Roman" w:hAnsi="Times New Roman" w:cs="Times New Roman" w:eastAsia="Times New Roman" w:hint="default"/>
        </w:rPr>
        <w:t>16</w:t>
      </w:r>
      <w:r>
        <w:rPr/>
        <w:t>、商誉</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商誉账面原值" w:id="276"/>
      <w:bookmarkEnd w:id="276"/>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both"/>
              <w:rPr>
                <w:rFonts w:ascii="宋体" w:hAnsi="宋体" w:cs="宋体" w:eastAsia="宋体" w:hint="default"/>
                <w:sz w:val="18"/>
                <w:szCs w:val="18"/>
              </w:rPr>
            </w:pPr>
            <w:r>
              <w:rPr>
                <w:rFonts w:ascii="宋体" w:hAnsi="宋体" w:cs="宋体" w:eastAsia="宋体" w:hint="default"/>
                <w:sz w:val="18"/>
                <w:szCs w:val="18"/>
              </w:rPr>
              <w:t>上海腾隆变配电 设备管理有限公 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5,902,248.73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5,902,248.73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上海达实联欣科 技发展有限公司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155,406,465.96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155,406,465.96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江苏达实久信医 疗科技有限公司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621,786,969.96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621,786,969.96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深圳市小鹿暖暖 科技有限公司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2,826,403.28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2,826,403.28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成都聚雅医信科 技有限公司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3,500,640.00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3,500,640.00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783,095,684.65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6,327,043.28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161,308,714.69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628,114,013.24</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8"/>
        <w:rPr>
          <w:rFonts w:ascii="宋体" w:hAnsi="宋体" w:cs="宋体" w:eastAsia="宋体" w:hint="default"/>
          <w:sz w:val="21"/>
          <w:szCs w:val="21"/>
        </w:rPr>
      </w:pPr>
    </w:p>
    <w:p>
      <w:pPr>
        <w:pStyle w:val="Heading4"/>
        <w:spacing w:line="240" w:lineRule="auto" w:before="35"/>
        <w:ind w:right="0"/>
        <w:jc w:val="left"/>
        <w:rPr>
          <w:b w:val="0"/>
          <w:bCs w:val="0"/>
        </w:rPr>
      </w:pPr>
      <w:bookmarkStart w:name="（2）商誉减值准备" w:id="277"/>
      <w:bookmarkEnd w:id="277"/>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深圳市小鹿暖暖 科技有限公司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2,826,403.28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2,826,403.28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上海达实联欣科 技发展有限公司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25,102,454.25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25,102,454.25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25,102,454.25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2,826,403.28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25,102,454.25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2,826,403.28</w:t>
            </w:r>
          </w:p>
        </w:tc>
      </w:tr>
    </w:tbl>
    <w:p>
      <w:pPr>
        <w:pStyle w:val="BodyText"/>
        <w:spacing w:line="240" w:lineRule="auto" w:before="51"/>
        <w:ind w:right="0"/>
        <w:jc w:val="left"/>
      </w:pPr>
      <w:r>
        <w:rPr/>
        <w:t>商誉所在资产组或资产组组合的相关信息</w:t>
      </w:r>
    </w:p>
    <w:p>
      <w:pPr>
        <w:spacing w:line="240" w:lineRule="auto" w:before="10"/>
        <w:rPr>
          <w:rFonts w:ascii="宋体" w:hAnsi="宋体" w:cs="宋体" w:eastAsia="宋体" w:hint="default"/>
          <w:sz w:val="14"/>
          <w:szCs w:val="14"/>
        </w:rPr>
      </w:pPr>
    </w:p>
    <w:p>
      <w:pPr>
        <w:pStyle w:val="BodyText"/>
        <w:spacing w:line="465" w:lineRule="auto"/>
        <w:ind w:right="0" w:firstLine="42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 </w:t>
      </w:r>
      <w:r>
        <w:rPr/>
        <w:t>月</w:t>
      </w:r>
      <w:r>
        <w:rPr>
          <w:spacing w:val="-46"/>
        </w:rPr>
        <w:t> </w:t>
      </w:r>
      <w:r>
        <w:rPr>
          <w:rFonts w:ascii="Times New Roman" w:hAnsi="Times New Roman" w:cs="Times New Roman" w:eastAsia="Times New Roman" w:hint="default"/>
        </w:rPr>
        <w:t>31 </w:t>
      </w:r>
      <w:r>
        <w:rPr/>
        <w:t>日，公司对外转让上海达实联欣科技发展有限公司</w:t>
      </w:r>
      <w:r>
        <w:rPr>
          <w:spacing w:val="-46"/>
        </w:rPr>
        <w:t> </w:t>
      </w:r>
      <w:r>
        <w:rPr>
          <w:rFonts w:ascii="Times New Roman" w:hAnsi="Times New Roman" w:cs="Times New Roman" w:eastAsia="Times New Roman" w:hint="default"/>
        </w:rPr>
        <w:t>34%</w:t>
      </w:r>
      <w:r>
        <w:rPr/>
        <w:t>股权，不再对上海达实联欣科技发展有限公司 </w:t>
      </w:r>
      <w:r>
        <w:rPr>
          <w:spacing w:val="-2"/>
        </w:rPr>
        <w:t>实施控制，同时转销该合并商誉及合并商誉减值准备，上海达实联欣科技发展有限公司因合并上海腾隆变配电设备管理有限</w:t>
      </w:r>
      <w:r>
        <w:rPr>
          <w:spacing w:val="-64"/>
        </w:rPr>
        <w:t> </w:t>
      </w:r>
      <w:r>
        <w:rPr>
          <w:spacing w:val="-64"/>
        </w:rPr>
      </w:r>
      <w:r>
        <w:rPr/>
        <w:t>公司产生的商誉也同时减少。</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3）江苏达实久信医疗科技有限公司合并商誉减值测试情况" w:id="278"/>
      <w:bookmarkEnd w:id="278"/>
      <w:r>
        <w:rPr>
          <w:b w:val="0"/>
          <w:bCs w:val="0"/>
        </w:rPr>
      </w:r>
      <w:r>
        <w:rPr/>
        <w:t>（</w:t>
      </w:r>
      <w:r>
        <w:rPr>
          <w:rFonts w:ascii="Times New Roman" w:hAnsi="Times New Roman" w:cs="Times New Roman" w:eastAsia="Times New Roman" w:hint="default"/>
        </w:rPr>
        <w:t>3</w:t>
      </w:r>
      <w:r>
        <w:rPr/>
        <w:t>）江苏达实久信医疗科技有限公司合并商誉减值测试情况</w:t>
      </w:r>
      <w:r>
        <w:rPr>
          <w:b w:val="0"/>
          <w:bCs w:val="0"/>
        </w:rPr>
      </w:r>
    </w:p>
    <w:p>
      <w:pPr>
        <w:spacing w:line="240" w:lineRule="auto" w:before="7"/>
        <w:rPr>
          <w:rFonts w:ascii="宋体" w:hAnsi="宋体" w:cs="宋体" w:eastAsia="宋体" w:hint="default"/>
          <w:b/>
          <w:bCs/>
          <w:sz w:val="32"/>
          <w:szCs w:val="32"/>
        </w:rPr>
      </w:pPr>
    </w:p>
    <w:p>
      <w:pPr>
        <w:pStyle w:val="BodyText"/>
        <w:spacing w:line="504" w:lineRule="auto"/>
        <w:ind w:left="574" w:right="1872"/>
        <w:jc w:val="left"/>
      </w:pPr>
      <w:r>
        <w:rPr/>
        <w:t>①基于以下原因，公司将江苏达实久信医疗科技有限公司全部资产及负债整体认定为商誉所涉及的资产组： </w:t>
      </w:r>
      <w:r>
        <w:rPr>
          <w:rFonts w:ascii="Times New Roman" w:hAnsi="Times New Roman" w:cs="Times New Roman" w:eastAsia="Times New Roman" w:hint="default"/>
        </w:rPr>
        <w:t>a</w:t>
      </w:r>
      <w:r>
        <w:rPr/>
        <w:t>、符合公司管理层对该等资产组的日常经营管理方式和对资产的持续使用方式； </w:t>
      </w:r>
      <w:r>
        <w:rPr>
          <w:rFonts w:ascii="Times New Roman" w:hAnsi="Times New Roman" w:cs="Times New Roman" w:eastAsia="Times New Roman" w:hint="default"/>
        </w:rPr>
        <w:t>b</w:t>
      </w:r>
      <w:r>
        <w:rPr/>
        <w:t>、按此资产组确定，与初始形成该等商誉时的资产组划分一致；</w:t>
      </w:r>
    </w:p>
    <w:p>
      <w:pPr>
        <w:pStyle w:val="BodyText"/>
        <w:spacing w:line="516" w:lineRule="auto" w:before="39"/>
        <w:ind w:left="574" w:right="1152"/>
        <w:jc w:val="left"/>
      </w:pPr>
      <w:r>
        <w:rPr/>
        <w:t>②评估方法： 资产组可回收价值等于资产预计未来现金流量的现值或者公允价值减去处置费用的净额孰高者。由于资产组不存在销</w:t>
      </w:r>
    </w:p>
    <w:p>
      <w:pPr>
        <w:pStyle w:val="BodyText"/>
        <w:spacing w:line="477" w:lineRule="auto" w:before="25"/>
        <w:ind w:right="0"/>
        <w:jc w:val="left"/>
      </w:pPr>
      <w:r>
        <w:rPr>
          <w:spacing w:val="-2"/>
        </w:rPr>
        <w:t>售协议，也不存在类似资产交易的活跃市场，无法可靠估计资产组的公允价值减去处置费用后的净额，因此采用收益法对资</w:t>
      </w:r>
      <w:r>
        <w:rPr>
          <w:spacing w:val="-66"/>
        </w:rPr>
        <w:t> </w:t>
      </w:r>
      <w:r>
        <w:rPr>
          <w:spacing w:val="-66"/>
        </w:rPr>
      </w:r>
      <w:r>
        <w:rPr/>
        <w:t>产组的可回收价值进行估值。</w:t>
      </w:r>
    </w:p>
    <w:p>
      <w:pPr>
        <w:pStyle w:val="BodyText"/>
        <w:spacing w:line="240" w:lineRule="auto" w:before="94"/>
        <w:ind w:left="574" w:right="0"/>
        <w:jc w:val="left"/>
      </w:pPr>
      <w:r>
        <w:rPr/>
        <w:t>采用的收益法对资产组的可回收价值进行估值与商誉形成时采用的方法、以前年度减值测试采用的方法一致。</w:t>
      </w:r>
    </w:p>
    <w:p>
      <w:pPr>
        <w:spacing w:line="240" w:lineRule="auto" w:before="10"/>
        <w:rPr>
          <w:rFonts w:ascii="宋体" w:hAnsi="宋体" w:cs="宋体" w:eastAsia="宋体" w:hint="default"/>
          <w:sz w:val="20"/>
          <w:szCs w:val="20"/>
        </w:rPr>
      </w:pPr>
    </w:p>
    <w:p>
      <w:pPr>
        <w:pStyle w:val="BodyText"/>
        <w:spacing w:line="240" w:lineRule="auto"/>
        <w:ind w:left="574" w:right="0"/>
        <w:jc w:val="left"/>
      </w:pPr>
      <w:r>
        <w:rPr/>
        <w:t>③主要假设及依据</w:t>
      </w:r>
    </w:p>
    <w:p>
      <w:pPr>
        <w:spacing w:line="240" w:lineRule="auto" w:before="10"/>
        <w:rPr>
          <w:rFonts w:ascii="宋体" w:hAnsi="宋体" w:cs="宋体" w:eastAsia="宋体" w:hint="default"/>
          <w:sz w:val="20"/>
          <w:szCs w:val="20"/>
        </w:rPr>
      </w:pPr>
    </w:p>
    <w:p>
      <w:pPr>
        <w:pStyle w:val="BodyText"/>
        <w:spacing w:line="451" w:lineRule="auto"/>
        <w:ind w:right="1124" w:firstLine="420"/>
        <w:jc w:val="left"/>
      </w:pPr>
      <w:r>
        <w:rPr>
          <w:rFonts w:ascii="Times New Roman" w:hAnsi="Times New Roman" w:cs="Times New Roman" w:eastAsia="Times New Roman" w:hint="default"/>
          <w:spacing w:val="-1"/>
        </w:rPr>
        <w:t>a</w:t>
      </w:r>
      <w:r>
        <w:rPr>
          <w:spacing w:val="-1"/>
        </w:rPr>
        <w:t>、假设资产组生产所需的原辅材料等所有投入和产出的产品或者其他产出均处在正常的市场交易过程中，并依照基准</w:t>
      </w:r>
      <w:r>
        <w:rPr/>
        <w:t> 日已有的结算条件进行结算；</w:t>
      </w:r>
    </w:p>
    <w:p>
      <w:pPr>
        <w:pStyle w:val="BodyText"/>
        <w:spacing w:line="451" w:lineRule="auto" w:before="112"/>
        <w:ind w:right="0" w:firstLine="420"/>
        <w:jc w:val="left"/>
      </w:pPr>
      <w:r>
        <w:rPr>
          <w:rFonts w:ascii="Times New Roman" w:hAnsi="Times New Roman" w:cs="Times New Roman" w:eastAsia="Times New Roman" w:hint="default"/>
          <w:spacing w:val="-2"/>
        </w:rPr>
        <w:t>b</w:t>
      </w:r>
      <w:r>
        <w:rPr>
          <w:spacing w:val="-2"/>
        </w:rPr>
        <w:t>、假设资产组相对应的经济体于评估基准日所具有的经营团队、财务结构、业务模式、市场环境等基础上按照其既有</w:t>
      </w:r>
      <w:r>
        <w:rPr/>
        <w:t> 的经营目标持续经营；假设资产组相对应的所有资产均按目前的用途和使用的方式、规模、频度、环境等情况继续使用；</w:t>
      </w:r>
    </w:p>
    <w:p>
      <w:pPr>
        <w:pStyle w:val="BodyText"/>
        <w:spacing w:line="489" w:lineRule="auto" w:before="113"/>
        <w:ind w:left="574" w:right="0"/>
        <w:jc w:val="left"/>
      </w:pPr>
      <w:r>
        <w:rPr>
          <w:rFonts w:ascii="Times New Roman" w:hAnsi="Times New Roman" w:cs="Times New Roman" w:eastAsia="Times New Roman" w:hint="default"/>
        </w:rPr>
        <w:t>c</w:t>
      </w:r>
      <w:r>
        <w:rPr/>
        <w:t>、假设与资产组相关的预计资产的未来现金流量，是以资产组的当前状况为基础； </w:t>
      </w:r>
      <w:r>
        <w:rPr>
          <w:rFonts w:ascii="Times New Roman" w:hAnsi="Times New Roman" w:cs="Times New Roman" w:eastAsia="Times New Roman" w:hint="default"/>
          <w:spacing w:val="-2"/>
        </w:rPr>
        <w:t>d</w:t>
      </w:r>
      <w:r>
        <w:rPr>
          <w:spacing w:val="-2"/>
        </w:rPr>
        <w:t>、假设国家现行的有关法律法规及政策、国家宏观经济形势无重大变化，与资产组相关的业务所处地区的政治、经济</w:t>
      </w:r>
    </w:p>
    <w:p>
      <w:pPr>
        <w:spacing w:after="0" w:line="489" w:lineRule="auto"/>
        <w:jc w:val="left"/>
        <w:sectPr>
          <w:pgSz w:w="11910" w:h="16840"/>
          <w:pgMar w:header="787" w:footer="1019" w:top="1100" w:bottom="1200" w:left="980" w:right="0"/>
        </w:sectPr>
      </w:pPr>
    </w:p>
    <w:p>
      <w:pPr>
        <w:spacing w:line="240" w:lineRule="auto" w:before="10"/>
        <w:rPr>
          <w:rFonts w:ascii="宋体" w:hAnsi="宋体" w:cs="宋体" w:eastAsia="宋体" w:hint="default"/>
          <w:sz w:val="28"/>
          <w:szCs w:val="28"/>
        </w:rPr>
      </w:pPr>
    </w:p>
    <w:p>
      <w:pPr>
        <w:pStyle w:val="BodyText"/>
        <w:spacing w:line="477" w:lineRule="auto" w:before="44"/>
        <w:ind w:right="0"/>
        <w:jc w:val="left"/>
      </w:pPr>
      <w:r>
        <w:rPr>
          <w:spacing w:val="-2"/>
        </w:rPr>
        <w:t>和社会环境无重大变化；假设有关利率、汇率、赋税基准及税率、政策性征收费用、融资条件等不发生重大变化；假设无其</w:t>
      </w:r>
      <w:r>
        <w:rPr>
          <w:spacing w:val="-68"/>
        </w:rPr>
        <w:t> </w:t>
      </w:r>
      <w:r>
        <w:rPr>
          <w:spacing w:val="-68"/>
        </w:rPr>
      </w:r>
      <w:r>
        <w:rPr/>
        <w:t>他人力不可抗拒因素及不可预见因素对企业造成重大不利影响；</w:t>
      </w:r>
    </w:p>
    <w:p>
      <w:pPr>
        <w:pStyle w:val="BodyText"/>
        <w:spacing w:line="240" w:lineRule="auto" w:before="94"/>
        <w:ind w:left="574" w:right="0"/>
        <w:jc w:val="left"/>
      </w:pPr>
      <w:r>
        <w:rPr/>
        <w:t>④可回收金额计算的重要参数</w:t>
      </w:r>
    </w:p>
    <w:p>
      <w:pPr>
        <w:spacing w:line="240" w:lineRule="auto" w:before="12"/>
        <w:rPr>
          <w:rFonts w:ascii="宋体" w:hAnsi="宋体" w:cs="宋体" w:eastAsia="宋体" w:hint="default"/>
          <w:sz w:val="20"/>
          <w:szCs w:val="20"/>
        </w:rPr>
      </w:pPr>
    </w:p>
    <w:p>
      <w:pPr>
        <w:pStyle w:val="BodyText"/>
        <w:spacing w:line="487" w:lineRule="auto"/>
        <w:ind w:left="574" w:right="1027"/>
        <w:jc w:val="left"/>
      </w:pPr>
      <w:r>
        <w:rPr>
          <w:rFonts w:ascii="Times New Roman" w:hAnsi="Times New Roman" w:cs="Times New Roman" w:eastAsia="Times New Roman" w:hint="default"/>
        </w:rPr>
        <w:t>a</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年至</w:t>
      </w:r>
      <w:r>
        <w:rPr>
          <w:spacing w:val="-46"/>
        </w:rPr>
        <w:t> </w:t>
      </w:r>
      <w:r>
        <w:rPr>
          <w:rFonts w:ascii="Times New Roman" w:hAnsi="Times New Roman" w:cs="Times New Roman" w:eastAsia="Times New Roman" w:hint="default"/>
        </w:rPr>
        <w:t>2024</w:t>
      </w:r>
      <w:r>
        <w:rPr>
          <w:rFonts w:ascii="Times New Roman" w:hAnsi="Times New Roman" w:cs="Times New Roman" w:eastAsia="Times New Roman" w:hint="default"/>
          <w:spacing w:val="-1"/>
        </w:rPr>
        <w:t> </w:t>
      </w:r>
      <w:r>
        <w:rPr/>
        <w:t>年为预测期，</w:t>
      </w:r>
      <w:r>
        <w:rPr>
          <w:rFonts w:ascii="Times New Roman" w:hAnsi="Times New Roman" w:cs="Times New Roman" w:eastAsia="Times New Roman" w:hint="default"/>
        </w:rPr>
        <w:t>2024</w:t>
      </w:r>
      <w:r>
        <w:rPr>
          <w:rFonts w:ascii="Times New Roman" w:hAnsi="Times New Roman" w:cs="Times New Roman" w:eastAsia="Times New Roman" w:hint="default"/>
          <w:spacing w:val="-1"/>
        </w:rPr>
        <w:t> </w:t>
      </w:r>
      <w:r>
        <w:rPr/>
        <w:t>年以后为永续期。 </w:t>
      </w:r>
      <w:r>
        <w:rPr>
          <w:rFonts w:ascii="Times New Roman" w:hAnsi="Times New Roman" w:cs="Times New Roman" w:eastAsia="Times New Roman" w:hint="default"/>
        </w:rPr>
        <w:t>b</w:t>
      </w:r>
      <w:r>
        <w:rPr/>
        <w:t>、根据江苏达实久信医疗科技有限公司本部主营业务收入前三年平均增长率（</w:t>
      </w:r>
      <w:r>
        <w:rPr>
          <w:rFonts w:ascii="Times New Roman" w:hAnsi="Times New Roman" w:cs="Times New Roman" w:eastAsia="Times New Roman" w:hint="default"/>
        </w:rPr>
        <w:t>17%</w:t>
      </w:r>
      <w:r>
        <w:rPr/>
        <w:t>）对未来收入增长率进行预测： </w:t>
      </w:r>
      <w:r>
        <w:rPr>
          <w:spacing w:val="-2"/>
        </w:rPr>
        <w:t>江苏达实久信医疗科技有限公司本部净化工程业务，未来五年业务收入在前一年的基础上，按</w:t>
      </w:r>
      <w:r>
        <w:rPr>
          <w:spacing w:val="-27"/>
        </w:rPr>
        <w:t> </w:t>
      </w:r>
      <w:r>
        <w:rPr>
          <w:rFonts w:ascii="Times New Roman" w:hAnsi="Times New Roman" w:cs="Times New Roman" w:eastAsia="Times New Roman" w:hint="default"/>
          <w:spacing w:val="-6"/>
        </w:rPr>
        <w:t>17%</w:t>
      </w:r>
      <w:r>
        <w:rPr>
          <w:spacing w:val="-6"/>
        </w:rPr>
        <w:t>、</w:t>
      </w:r>
      <w:r>
        <w:rPr>
          <w:rFonts w:ascii="Times New Roman" w:hAnsi="Times New Roman" w:cs="Times New Roman" w:eastAsia="Times New Roman" w:hint="default"/>
          <w:spacing w:val="-6"/>
        </w:rPr>
        <w:t>16%</w:t>
      </w:r>
      <w:r>
        <w:rPr>
          <w:spacing w:val="-6"/>
        </w:rPr>
        <w:t>、</w:t>
      </w:r>
      <w:r>
        <w:rPr>
          <w:rFonts w:ascii="Times New Roman" w:hAnsi="Times New Roman" w:cs="Times New Roman" w:eastAsia="Times New Roman" w:hint="default"/>
          <w:spacing w:val="-6"/>
        </w:rPr>
        <w:t>15%</w:t>
      </w:r>
      <w:r>
        <w:rPr>
          <w:spacing w:val="-6"/>
        </w:rPr>
        <w:t>、</w:t>
      </w:r>
      <w:r>
        <w:rPr>
          <w:rFonts w:ascii="Times New Roman" w:hAnsi="Times New Roman" w:cs="Times New Roman" w:eastAsia="Times New Roman" w:hint="default"/>
          <w:spacing w:val="-6"/>
        </w:rPr>
        <w:t>12%</w:t>
      </w:r>
      <w:r>
        <w:rPr>
          <w:spacing w:val="-6"/>
        </w:rPr>
        <w:t>、</w:t>
      </w:r>
    </w:p>
    <w:p>
      <w:pPr>
        <w:pStyle w:val="BodyText"/>
        <w:spacing w:line="240" w:lineRule="auto" w:before="14"/>
        <w:ind w:right="0"/>
        <w:jc w:val="left"/>
      </w:pPr>
      <w:r>
        <w:rPr>
          <w:rFonts w:ascii="Times New Roman" w:hAnsi="Times New Roman" w:cs="Times New Roman" w:eastAsia="Times New Roman" w:hint="default"/>
        </w:rPr>
        <w:t>12%</w:t>
      </w:r>
      <w:r>
        <w:rPr/>
        <w:t>增长；</w:t>
      </w:r>
    </w:p>
    <w:p>
      <w:pPr>
        <w:spacing w:line="240" w:lineRule="auto" w:before="10"/>
        <w:rPr>
          <w:rFonts w:ascii="宋体" w:hAnsi="宋体" w:cs="宋体" w:eastAsia="宋体" w:hint="default"/>
          <w:sz w:val="19"/>
          <w:szCs w:val="19"/>
        </w:rPr>
      </w:pPr>
    </w:p>
    <w:p>
      <w:pPr>
        <w:pStyle w:val="BodyText"/>
        <w:spacing w:line="451" w:lineRule="auto"/>
        <w:ind w:right="1022" w:firstLine="420"/>
        <w:jc w:val="left"/>
      </w:pPr>
      <w:r>
        <w:rPr/>
        <w:t>江苏达实久信医疗科技有限公司本部物流工程业务，</w:t>
      </w:r>
      <w:r>
        <w:rPr>
          <w:rFonts w:ascii="Times New Roman" w:hAnsi="Times New Roman" w:cs="Times New Roman" w:eastAsia="Times New Roman" w:hint="default"/>
        </w:rPr>
        <w:t>2019</w:t>
      </w:r>
      <w:r>
        <w:rPr>
          <w:rFonts w:ascii="Times New Roman" w:hAnsi="Times New Roman" w:cs="Times New Roman" w:eastAsia="Times New Roman" w:hint="default"/>
          <w:spacing w:val="-24"/>
        </w:rPr>
        <w:t> </w:t>
      </w:r>
      <w:r>
        <w:rPr/>
        <w:t>年收入增长按该业务前三年平均增长值，之后按</w:t>
      </w:r>
      <w:r>
        <w:rPr>
          <w:spacing w:val="-69"/>
        </w:rPr>
        <w:t> </w:t>
      </w:r>
      <w:r>
        <w:rPr>
          <w:rFonts w:ascii="Times New Roman" w:hAnsi="Times New Roman" w:cs="Times New Roman" w:eastAsia="Times New Roman" w:hint="default"/>
          <w:spacing w:val="-4"/>
        </w:rPr>
        <w:t>15%</w:t>
      </w:r>
      <w:r>
        <w:rPr>
          <w:spacing w:val="-4"/>
        </w:rPr>
        <w:t>、</w:t>
      </w:r>
      <w:r>
        <w:rPr>
          <w:rFonts w:ascii="Times New Roman" w:hAnsi="Times New Roman" w:cs="Times New Roman" w:eastAsia="Times New Roman" w:hint="default"/>
          <w:spacing w:val="-4"/>
        </w:rPr>
        <w:t>15%</w:t>
      </w:r>
      <w:r>
        <w:rPr>
          <w:spacing w:val="-4"/>
        </w:rPr>
        <w:t>、</w:t>
      </w:r>
      <w:r>
        <w:rPr/>
        <w:t> </w:t>
      </w:r>
      <w:r>
        <w:rPr>
          <w:rFonts w:ascii="Times New Roman" w:hAnsi="Times New Roman" w:cs="Times New Roman" w:eastAsia="Times New Roman" w:hint="default"/>
        </w:rPr>
        <w:t>12%</w:t>
      </w:r>
      <w:r>
        <w:rPr/>
        <w:t>、</w:t>
      </w:r>
      <w:r>
        <w:rPr>
          <w:rFonts w:ascii="Times New Roman" w:hAnsi="Times New Roman" w:cs="Times New Roman" w:eastAsia="Times New Roman" w:hint="default"/>
        </w:rPr>
        <w:t>12%</w:t>
      </w:r>
      <w:r>
        <w:rPr/>
        <w:t>递增；</w:t>
      </w:r>
    </w:p>
    <w:p>
      <w:pPr>
        <w:pStyle w:val="BodyText"/>
        <w:spacing w:line="487" w:lineRule="auto" w:before="83"/>
        <w:ind w:left="574" w:right="1026"/>
        <w:jc w:val="left"/>
      </w:pPr>
      <w:r>
        <w:rPr/>
        <w:t>江苏达实久信医疗科技有限公司本部售后服务业务，未来五年收入按</w:t>
      </w:r>
      <w:r>
        <w:rPr>
          <w:spacing w:val="-45"/>
        </w:rPr>
        <w:t> </w:t>
      </w:r>
      <w:r>
        <w:rPr>
          <w:rFonts w:ascii="Times New Roman" w:hAnsi="Times New Roman" w:cs="Times New Roman" w:eastAsia="Times New Roman" w:hint="default"/>
        </w:rPr>
        <w:t>17%</w:t>
      </w:r>
      <w:r>
        <w:rPr/>
        <w:t>、</w:t>
      </w:r>
      <w:r>
        <w:rPr>
          <w:rFonts w:ascii="Times New Roman" w:hAnsi="Times New Roman" w:cs="Times New Roman" w:eastAsia="Times New Roman" w:hint="default"/>
        </w:rPr>
        <w:t>15%</w:t>
      </w:r>
      <w:r>
        <w:rPr/>
        <w:t>、</w:t>
      </w:r>
      <w:r>
        <w:rPr>
          <w:rFonts w:ascii="Times New Roman" w:hAnsi="Times New Roman" w:cs="Times New Roman" w:eastAsia="Times New Roman" w:hint="default"/>
        </w:rPr>
        <w:t>15%</w:t>
      </w:r>
      <w:r>
        <w:rPr/>
        <w:t>、</w:t>
      </w:r>
      <w:r>
        <w:rPr>
          <w:rFonts w:ascii="Times New Roman" w:hAnsi="Times New Roman" w:cs="Times New Roman" w:eastAsia="Times New Roman" w:hint="default"/>
        </w:rPr>
        <w:t>12%</w:t>
      </w:r>
      <w:r>
        <w:rPr/>
        <w:t>、</w:t>
      </w:r>
      <w:r>
        <w:rPr>
          <w:rFonts w:ascii="Times New Roman" w:hAnsi="Times New Roman" w:cs="Times New Roman" w:eastAsia="Times New Roman" w:hint="default"/>
        </w:rPr>
        <w:t>12%</w:t>
      </w:r>
      <w:r>
        <w:rPr/>
        <w:t>递增； 江苏达实久信医疗科技有限公司子公司江苏达实久信数字医疗科技有限公司业务，未来五年综合按</w:t>
      </w:r>
      <w:r>
        <w:rPr>
          <w:spacing w:val="-54"/>
        </w:rPr>
        <w:t> </w:t>
      </w:r>
      <w:r>
        <w:rPr>
          <w:rFonts w:ascii="Times New Roman" w:hAnsi="Times New Roman" w:cs="Times New Roman" w:eastAsia="Times New Roman" w:hint="default"/>
        </w:rPr>
        <w:t>20%</w:t>
      </w:r>
      <w:r>
        <w:rPr/>
        <w:t>、</w:t>
      </w:r>
      <w:r>
        <w:rPr>
          <w:rFonts w:ascii="Times New Roman" w:hAnsi="Times New Roman" w:cs="Times New Roman" w:eastAsia="Times New Roman" w:hint="default"/>
        </w:rPr>
        <w:t>15%</w:t>
      </w:r>
      <w:r>
        <w:rPr/>
        <w:t>、</w:t>
      </w:r>
      <w:r>
        <w:rPr>
          <w:rFonts w:ascii="Times New Roman" w:hAnsi="Times New Roman" w:cs="Times New Roman" w:eastAsia="Times New Roman" w:hint="default"/>
        </w:rPr>
        <w:t>15%</w:t>
      </w:r>
      <w:r>
        <w:rPr/>
        <w:t>、</w:t>
      </w:r>
    </w:p>
    <w:p>
      <w:pPr>
        <w:pStyle w:val="BodyText"/>
        <w:spacing w:line="240" w:lineRule="auto" w:before="14"/>
        <w:ind w:right="0"/>
        <w:jc w:val="left"/>
      </w:pPr>
      <w:r>
        <w:rPr>
          <w:rFonts w:ascii="Times New Roman" w:hAnsi="Times New Roman" w:cs="Times New Roman" w:eastAsia="Times New Roman" w:hint="default"/>
        </w:rPr>
        <w:t>12%</w:t>
      </w:r>
      <w:r>
        <w:rPr/>
        <w:t>、</w:t>
      </w:r>
      <w:r>
        <w:rPr>
          <w:rFonts w:ascii="Times New Roman" w:hAnsi="Times New Roman" w:cs="Times New Roman" w:eastAsia="Times New Roman" w:hint="default"/>
        </w:rPr>
        <w:t>12%</w:t>
      </w:r>
      <w:r>
        <w:rPr/>
        <w:t>递增。</w:t>
      </w:r>
    </w:p>
    <w:p>
      <w:pPr>
        <w:spacing w:line="240" w:lineRule="auto" w:before="10"/>
        <w:rPr>
          <w:rFonts w:ascii="宋体" w:hAnsi="宋体" w:cs="宋体" w:eastAsia="宋体" w:hint="default"/>
          <w:sz w:val="19"/>
          <w:szCs w:val="19"/>
        </w:rPr>
      </w:pPr>
    </w:p>
    <w:p>
      <w:pPr>
        <w:pStyle w:val="BodyText"/>
        <w:spacing w:line="451" w:lineRule="auto"/>
        <w:ind w:right="1139" w:firstLine="420"/>
        <w:jc w:val="left"/>
      </w:pPr>
      <w:r>
        <w:rPr>
          <w:rFonts w:ascii="Times New Roman" w:hAnsi="Times New Roman" w:cs="Times New Roman" w:eastAsia="Times New Roman" w:hint="default"/>
        </w:rPr>
        <w:t>c</w:t>
      </w:r>
      <w:r>
        <w:rPr/>
        <w:t>、收益法预测的基础为资产组税前自由现金流，故折现率相应采用税前的加权平均资本成本（税前</w:t>
      </w:r>
      <w:r>
        <w:rPr>
          <w:spacing w:val="-40"/>
        </w:rPr>
        <w:t> </w:t>
      </w:r>
      <w:r>
        <w:rPr>
          <w:rFonts w:ascii="Times New Roman" w:hAnsi="Times New Roman" w:cs="Times New Roman" w:eastAsia="Times New Roman" w:hint="default"/>
          <w:spacing w:val="-13"/>
        </w:rPr>
        <w:t>WACC</w:t>
      </w:r>
      <w:r>
        <w:rPr>
          <w:spacing w:val="-13"/>
        </w:rPr>
        <w:t>），资产组</w:t>
      </w:r>
      <w:r>
        <w:rPr/>
        <w:t> 可回收金额测算采用的折算率为</w:t>
      </w:r>
      <w:r>
        <w:rPr>
          <w:spacing w:val="-46"/>
        </w:rPr>
        <w:t> </w:t>
      </w:r>
      <w:r>
        <w:rPr>
          <w:rFonts w:ascii="Times New Roman" w:hAnsi="Times New Roman" w:cs="Times New Roman" w:eastAsia="Times New Roman" w:hint="default"/>
        </w:rPr>
        <w:t>14.55%</w:t>
      </w:r>
      <w:r>
        <w:rPr/>
        <w:t>。</w:t>
      </w:r>
    </w:p>
    <w:p>
      <w:pPr>
        <w:pStyle w:val="BodyText"/>
        <w:spacing w:line="240" w:lineRule="auto" w:before="83"/>
        <w:ind w:left="574" w:right="0"/>
        <w:jc w:val="left"/>
      </w:pPr>
      <w:r>
        <w:rPr/>
        <w:t>⑤商誉减值测试过程</w:t>
      </w:r>
    </w:p>
    <w:p>
      <w:pPr>
        <w:spacing w:line="240" w:lineRule="auto" w:before="12"/>
        <w:rPr>
          <w:rFonts w:ascii="宋体" w:hAnsi="宋体" w:cs="宋体" w:eastAsia="宋体" w:hint="default"/>
          <w:sz w:val="13"/>
          <w:szCs w:val="13"/>
        </w:rPr>
      </w:pPr>
    </w:p>
    <w:tbl>
      <w:tblPr>
        <w:tblW w:w="0" w:type="auto"/>
        <w:jc w:val="left"/>
        <w:tblInd w:w="146" w:type="dxa"/>
        <w:tblLayout w:type="fixed"/>
        <w:tblCellMar>
          <w:top w:w="0" w:type="dxa"/>
          <w:left w:w="0" w:type="dxa"/>
          <w:bottom w:w="0" w:type="dxa"/>
          <w:right w:w="0" w:type="dxa"/>
        </w:tblCellMar>
        <w:tblLook w:val="01E0"/>
      </w:tblPr>
      <w:tblGrid>
        <w:gridCol w:w="5779"/>
        <w:gridCol w:w="3402"/>
      </w:tblGrid>
      <w:tr>
        <w:trPr>
          <w:trHeight w:val="355" w:hRule="exact"/>
        </w:trPr>
        <w:tc>
          <w:tcPr>
            <w:tcW w:w="57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793" w:right="0"/>
              <w:jc w:val="left"/>
              <w:rPr>
                <w:rFonts w:ascii="宋体" w:hAnsi="宋体" w:cs="宋体" w:eastAsia="宋体" w:hint="default"/>
                <w:sz w:val="18"/>
                <w:szCs w:val="18"/>
              </w:rPr>
            </w:pPr>
            <w:r>
              <w:rPr>
                <w:rFonts w:ascii="宋体" w:hAnsi="宋体" w:cs="宋体" w:eastAsia="宋体" w:hint="default"/>
                <w:sz w:val="18"/>
                <w:szCs w:val="18"/>
              </w:rPr>
              <w:t>资产组（单位：万元）</w:t>
            </w:r>
          </w:p>
        </w:tc>
      </w:tr>
      <w:tr>
        <w:trPr>
          <w:trHeight w:val="353" w:hRule="exact"/>
        </w:trPr>
        <w:tc>
          <w:tcPr>
            <w:tcW w:w="5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62,178.70</w:t>
            </w:r>
          </w:p>
        </w:tc>
      </w:tr>
      <w:tr>
        <w:trPr>
          <w:trHeight w:val="352" w:hRule="exact"/>
        </w:trPr>
        <w:tc>
          <w:tcPr>
            <w:tcW w:w="5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商誉减值准备余额②</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2" w:hRule="exact"/>
        </w:trPr>
        <w:tc>
          <w:tcPr>
            <w:tcW w:w="5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商誉的账面价值③</w:t>
            </w:r>
            <w:r>
              <w:rPr>
                <w:rFonts w:ascii="Times New Roman" w:hAnsi="Times New Roman" w:cs="Times New Roman" w:eastAsia="Times New Roman" w:hint="default"/>
                <w:sz w:val="18"/>
                <w:szCs w:val="18"/>
              </w:rPr>
              <w:t>=</w:t>
            </w:r>
            <w:r>
              <w:rPr>
                <w:rFonts w:ascii="宋体" w:hAnsi="宋体" w:cs="宋体" w:eastAsia="宋体" w:hint="default"/>
                <w:sz w:val="18"/>
                <w:szCs w:val="18"/>
              </w:rPr>
              <w:t>①</w:t>
            </w:r>
            <w:r>
              <w:rPr>
                <w:rFonts w:ascii="Times New Roman" w:hAnsi="Times New Roman" w:cs="Times New Roman" w:eastAsia="Times New Roman" w:hint="default"/>
                <w:sz w:val="18"/>
                <w:szCs w:val="18"/>
              </w:rPr>
              <w:t>—</w:t>
            </w:r>
            <w:r>
              <w:rPr>
                <w:rFonts w:ascii="宋体" w:hAnsi="宋体" w:cs="宋体" w:eastAsia="宋体" w:hint="default"/>
                <w:sz w:val="18"/>
                <w:szCs w:val="18"/>
              </w:rPr>
              <w:t>②</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62,178.70</w:t>
            </w:r>
          </w:p>
        </w:tc>
      </w:tr>
      <w:tr>
        <w:trPr>
          <w:trHeight w:val="353" w:hRule="exact"/>
        </w:trPr>
        <w:tc>
          <w:tcPr>
            <w:tcW w:w="5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未确认归属于少数股东权益的商誉价值④</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2" w:hRule="exact"/>
        </w:trPr>
        <w:tc>
          <w:tcPr>
            <w:tcW w:w="5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包含未确认归属于少数股东权益的商誉价值⑤</w:t>
            </w:r>
            <w:r>
              <w:rPr>
                <w:rFonts w:ascii="Times New Roman" w:hAnsi="Times New Roman" w:cs="Times New Roman" w:eastAsia="Times New Roman" w:hint="default"/>
                <w:sz w:val="18"/>
                <w:szCs w:val="18"/>
              </w:rPr>
              <w:t>=</w:t>
            </w:r>
            <w:r>
              <w:rPr>
                <w:rFonts w:ascii="宋体" w:hAnsi="宋体" w:cs="宋体" w:eastAsia="宋体" w:hint="default"/>
                <w:sz w:val="18"/>
                <w:szCs w:val="18"/>
              </w:rPr>
              <w:t>④</w:t>
            </w:r>
            <w:r>
              <w:rPr>
                <w:rFonts w:ascii="Times New Roman" w:hAnsi="Times New Roman" w:cs="Times New Roman" w:eastAsia="Times New Roman" w:hint="default"/>
                <w:sz w:val="18"/>
                <w:szCs w:val="18"/>
              </w:rPr>
              <w:t>+</w:t>
            </w:r>
            <w:r>
              <w:rPr>
                <w:rFonts w:ascii="宋体" w:hAnsi="宋体" w:cs="宋体" w:eastAsia="宋体" w:hint="default"/>
                <w:sz w:val="18"/>
                <w:szCs w:val="18"/>
              </w:rPr>
              <w:t>③</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62,178.70</w:t>
            </w:r>
          </w:p>
        </w:tc>
      </w:tr>
      <w:tr>
        <w:trPr>
          <w:trHeight w:val="664" w:hRule="exact"/>
        </w:trPr>
        <w:tc>
          <w:tcPr>
            <w:tcW w:w="5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资产组按合并日可辨认净资产公允价值在存续期间持续计算至</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日的公允价值⑥</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55,909.99</w:t>
            </w:r>
          </w:p>
        </w:tc>
      </w:tr>
      <w:tr>
        <w:trPr>
          <w:trHeight w:val="353" w:hRule="exact"/>
        </w:trPr>
        <w:tc>
          <w:tcPr>
            <w:tcW w:w="5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包含整体商誉的资产组的可辨认净资产公允价值⑦</w:t>
            </w:r>
            <w:r>
              <w:rPr>
                <w:rFonts w:ascii="Times New Roman" w:hAnsi="Times New Roman" w:cs="Times New Roman" w:eastAsia="Times New Roman" w:hint="default"/>
                <w:sz w:val="18"/>
                <w:szCs w:val="18"/>
              </w:rPr>
              <w:t>=</w:t>
            </w:r>
            <w:r>
              <w:rPr>
                <w:rFonts w:ascii="宋体" w:hAnsi="宋体" w:cs="宋体" w:eastAsia="宋体" w:hint="default"/>
                <w:sz w:val="18"/>
                <w:szCs w:val="18"/>
              </w:rPr>
              <w:t>⑤</w:t>
            </w:r>
            <w:r>
              <w:rPr>
                <w:rFonts w:ascii="Times New Roman" w:hAnsi="Times New Roman" w:cs="Times New Roman" w:eastAsia="Times New Roman" w:hint="default"/>
                <w:sz w:val="18"/>
                <w:szCs w:val="18"/>
              </w:rPr>
              <w:t>+</w:t>
            </w:r>
            <w:r>
              <w:rPr>
                <w:rFonts w:ascii="宋体" w:hAnsi="宋体" w:cs="宋体" w:eastAsia="宋体" w:hint="default"/>
                <w:sz w:val="18"/>
                <w:szCs w:val="18"/>
              </w:rPr>
              <w:t>⑥</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118,088.69</w:t>
            </w:r>
          </w:p>
        </w:tc>
      </w:tr>
      <w:tr>
        <w:trPr>
          <w:trHeight w:val="664" w:hRule="exact"/>
        </w:trPr>
        <w:tc>
          <w:tcPr>
            <w:tcW w:w="577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
              <w:jc w:val="left"/>
              <w:rPr>
                <w:rFonts w:ascii="宋体" w:hAnsi="宋体" w:cs="宋体" w:eastAsia="宋体" w:hint="default"/>
                <w:sz w:val="18"/>
                <w:szCs w:val="18"/>
              </w:rPr>
            </w:pPr>
            <w:r>
              <w:rPr>
                <w:rFonts w:ascii="宋体" w:hAnsi="宋体" w:cs="宋体" w:eastAsia="宋体" w:hint="default"/>
                <w:sz w:val="18"/>
                <w:szCs w:val="18"/>
              </w:rPr>
              <w:t>扣除溢余资产、非经营性资产负债、付息债务后包含整体商誉的资产组的 可辨认净资产公允价值⑧</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121,811.41</w:t>
            </w:r>
          </w:p>
        </w:tc>
      </w:tr>
      <w:tr>
        <w:trPr>
          <w:trHeight w:val="352" w:hRule="exact"/>
        </w:trPr>
        <w:tc>
          <w:tcPr>
            <w:tcW w:w="5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资产组预计可回收金额⑨</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126,064.20</w:t>
            </w:r>
          </w:p>
        </w:tc>
      </w:tr>
      <w:tr>
        <w:trPr>
          <w:trHeight w:val="353" w:hRule="exact"/>
        </w:trPr>
        <w:tc>
          <w:tcPr>
            <w:tcW w:w="5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商誉减值损失（大于</w:t>
            </w:r>
            <w:r>
              <w:rPr>
                <w:rFonts w:ascii="Times New Roman" w:hAnsi="Times New Roman" w:cs="Times New Roman" w:eastAsia="Times New Roman" w:hint="default"/>
                <w:sz w:val="18"/>
                <w:szCs w:val="18"/>
              </w:rPr>
              <w:t>0</w:t>
            </w:r>
            <w:r>
              <w:rPr>
                <w:rFonts w:ascii="宋体" w:hAnsi="宋体" w:cs="宋体" w:eastAsia="宋体" w:hint="default"/>
                <w:sz w:val="18"/>
                <w:szCs w:val="18"/>
              </w:rPr>
              <w:t>时）⑩</w:t>
            </w:r>
            <w:r>
              <w:rPr>
                <w:rFonts w:ascii="Times New Roman" w:hAnsi="Times New Roman" w:cs="Times New Roman" w:eastAsia="Times New Roman" w:hint="default"/>
                <w:sz w:val="18"/>
                <w:szCs w:val="18"/>
              </w:rPr>
              <w:t>=</w:t>
            </w:r>
            <w:r>
              <w:rPr>
                <w:rFonts w:ascii="宋体" w:hAnsi="宋体" w:cs="宋体" w:eastAsia="宋体" w:hint="default"/>
                <w:sz w:val="18"/>
                <w:szCs w:val="18"/>
              </w:rPr>
              <w:t>⑧</w:t>
            </w:r>
            <w:r>
              <w:rPr>
                <w:rFonts w:ascii="Times New Roman" w:hAnsi="Times New Roman" w:cs="Times New Roman" w:eastAsia="Times New Roman" w:hint="default"/>
                <w:sz w:val="18"/>
                <w:szCs w:val="18"/>
              </w:rPr>
              <w:t>—</w:t>
            </w:r>
            <w:r>
              <w:rPr>
                <w:rFonts w:ascii="宋体" w:hAnsi="宋体" w:cs="宋体" w:eastAsia="宋体" w:hint="default"/>
                <w:sz w:val="18"/>
                <w:szCs w:val="18"/>
              </w:rPr>
              <w:t>⑨</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成都聚雅医信科技有限公司合并商誉减值测试情况" w:id="279"/>
      <w:bookmarkEnd w:id="279"/>
      <w:r>
        <w:rPr>
          <w:b w:val="0"/>
          <w:bCs w:val="0"/>
        </w:rPr>
      </w:r>
      <w:r>
        <w:rPr/>
        <w:t>（</w:t>
      </w:r>
      <w:r>
        <w:rPr>
          <w:rFonts w:ascii="Times New Roman" w:hAnsi="Times New Roman" w:cs="Times New Roman" w:eastAsia="Times New Roman" w:hint="default"/>
        </w:rPr>
        <w:t>4</w:t>
      </w:r>
      <w:r>
        <w:rPr/>
        <w:t>）成都聚雅医信科技有限公司合并商誉减值测试情况</w:t>
      </w:r>
      <w:r>
        <w:rPr>
          <w:b w:val="0"/>
          <w:bCs w:val="0"/>
        </w:rPr>
      </w:r>
    </w:p>
    <w:p>
      <w:pPr>
        <w:spacing w:line="240" w:lineRule="auto" w:before="8"/>
        <w:rPr>
          <w:rFonts w:ascii="宋体" w:hAnsi="宋体" w:cs="宋体" w:eastAsia="宋体" w:hint="default"/>
          <w:b/>
          <w:bCs/>
          <w:sz w:val="32"/>
          <w:szCs w:val="32"/>
        </w:rPr>
      </w:pPr>
    </w:p>
    <w:p>
      <w:pPr>
        <w:pStyle w:val="BodyText"/>
        <w:spacing w:line="240" w:lineRule="auto"/>
        <w:ind w:left="574" w:right="0"/>
        <w:jc w:val="left"/>
      </w:pPr>
      <w:r>
        <w:rPr/>
        <w:t>①基于以下原因，公司将成都聚雅医信科技有限公司全部资产及负债整体认定为商誉所涉及的资产组：</w:t>
      </w:r>
    </w:p>
    <w:p>
      <w:pPr>
        <w:spacing w:line="240" w:lineRule="auto" w:before="10"/>
        <w:rPr>
          <w:rFonts w:ascii="宋体" w:hAnsi="宋体" w:cs="宋体" w:eastAsia="宋体" w:hint="default"/>
          <w:sz w:val="20"/>
          <w:szCs w:val="20"/>
        </w:rPr>
      </w:pPr>
    </w:p>
    <w:p>
      <w:pPr>
        <w:pStyle w:val="BodyText"/>
        <w:spacing w:line="240" w:lineRule="auto"/>
        <w:ind w:left="574" w:right="0"/>
        <w:jc w:val="left"/>
      </w:pPr>
      <w:r>
        <w:rPr>
          <w:rFonts w:ascii="Times New Roman" w:hAnsi="Times New Roman" w:cs="Times New Roman" w:eastAsia="Times New Roman" w:hint="default"/>
        </w:rPr>
        <w:t>a</w:t>
      </w:r>
      <w:r>
        <w:rPr/>
        <w:t>、符合公司管理层对该等资产组的日常经营管理方式和对资产的持续使用方式；</w:t>
      </w:r>
    </w:p>
    <w:p>
      <w:pPr>
        <w:spacing w:after="0" w:line="240" w:lineRule="auto"/>
        <w:jc w:val="left"/>
        <w:sectPr>
          <w:pgSz w:w="11910" w:h="16840"/>
          <w:pgMar w:header="787" w:footer="1019" w:top="1100" w:bottom="1200" w:left="980" w:right="0"/>
        </w:sectPr>
      </w:pPr>
    </w:p>
    <w:p>
      <w:pPr>
        <w:spacing w:line="240" w:lineRule="auto" w:before="11"/>
        <w:rPr>
          <w:rFonts w:ascii="宋体" w:hAnsi="宋体" w:cs="宋体" w:eastAsia="宋体" w:hint="default"/>
          <w:sz w:val="28"/>
          <w:szCs w:val="28"/>
        </w:rPr>
      </w:pPr>
    </w:p>
    <w:p>
      <w:pPr>
        <w:pStyle w:val="BodyText"/>
        <w:spacing w:line="240" w:lineRule="auto" w:before="44"/>
        <w:ind w:left="574" w:right="0"/>
        <w:jc w:val="left"/>
      </w:pPr>
      <w:r>
        <w:rPr>
          <w:rFonts w:ascii="Times New Roman" w:hAnsi="Times New Roman" w:cs="Times New Roman" w:eastAsia="Times New Roman" w:hint="default"/>
        </w:rPr>
        <w:t>b</w:t>
      </w:r>
      <w:r>
        <w:rPr/>
        <w:t>、按此资产组确定，与初始形成该等商誉时的资产组划分一致；</w:t>
      </w:r>
    </w:p>
    <w:p>
      <w:pPr>
        <w:spacing w:line="240" w:lineRule="auto" w:before="10"/>
        <w:rPr>
          <w:rFonts w:ascii="宋体" w:hAnsi="宋体" w:cs="宋体" w:eastAsia="宋体" w:hint="default"/>
          <w:sz w:val="19"/>
          <w:szCs w:val="19"/>
        </w:rPr>
      </w:pPr>
    </w:p>
    <w:p>
      <w:pPr>
        <w:pStyle w:val="BodyText"/>
        <w:spacing w:line="516" w:lineRule="auto"/>
        <w:ind w:left="574" w:right="1152"/>
        <w:jc w:val="left"/>
      </w:pPr>
      <w:r>
        <w:rPr/>
        <w:t>②评估方法： 资产组可回收价值等于资产预计未来现金流量的现值或者公允价值减去处置费用的净额孰高者。由于资产组不存在销</w:t>
      </w:r>
    </w:p>
    <w:p>
      <w:pPr>
        <w:pStyle w:val="BodyText"/>
        <w:spacing w:line="477" w:lineRule="auto" w:before="26"/>
        <w:ind w:right="0"/>
        <w:jc w:val="left"/>
      </w:pPr>
      <w:r>
        <w:rPr>
          <w:spacing w:val="-2"/>
        </w:rPr>
        <w:t>售协议，也不存在类似资产交易的活跃市场，无法可靠估计资产组的公允价值减去处置费用后的净额，因此采用收益法对资</w:t>
      </w:r>
      <w:r>
        <w:rPr>
          <w:spacing w:val="-66"/>
        </w:rPr>
        <w:t> </w:t>
      </w:r>
      <w:r>
        <w:rPr>
          <w:spacing w:val="-66"/>
        </w:rPr>
      </w:r>
      <w:r>
        <w:rPr/>
        <w:t>产组的可回收价值进行估值。</w:t>
      </w:r>
    </w:p>
    <w:p>
      <w:pPr>
        <w:pStyle w:val="BodyText"/>
        <w:spacing w:line="240" w:lineRule="auto" w:before="94"/>
        <w:ind w:left="574" w:right="0"/>
        <w:jc w:val="left"/>
      </w:pPr>
      <w:r>
        <w:rPr/>
        <w:t>采用的收益法对资产组的可回收价值进行估值与商誉形成时采用的方法、以前年度减值测试采用的方法一致。</w:t>
      </w:r>
    </w:p>
    <w:p>
      <w:pPr>
        <w:spacing w:line="240" w:lineRule="auto" w:before="10"/>
        <w:rPr>
          <w:rFonts w:ascii="宋体" w:hAnsi="宋体" w:cs="宋体" w:eastAsia="宋体" w:hint="default"/>
          <w:sz w:val="20"/>
          <w:szCs w:val="20"/>
        </w:rPr>
      </w:pPr>
    </w:p>
    <w:p>
      <w:pPr>
        <w:pStyle w:val="BodyText"/>
        <w:spacing w:line="240" w:lineRule="auto"/>
        <w:ind w:left="574" w:right="0"/>
        <w:jc w:val="left"/>
      </w:pPr>
      <w:r>
        <w:rPr/>
        <w:t>③主要假设及依据</w:t>
      </w:r>
    </w:p>
    <w:p>
      <w:pPr>
        <w:spacing w:line="240" w:lineRule="auto" w:before="10"/>
        <w:rPr>
          <w:rFonts w:ascii="宋体" w:hAnsi="宋体" w:cs="宋体" w:eastAsia="宋体" w:hint="default"/>
          <w:sz w:val="20"/>
          <w:szCs w:val="20"/>
        </w:rPr>
      </w:pPr>
    </w:p>
    <w:p>
      <w:pPr>
        <w:pStyle w:val="BodyText"/>
        <w:spacing w:line="451" w:lineRule="auto"/>
        <w:ind w:right="1124" w:firstLine="420"/>
        <w:jc w:val="left"/>
      </w:pPr>
      <w:r>
        <w:rPr>
          <w:rFonts w:ascii="Times New Roman" w:hAnsi="Times New Roman" w:cs="Times New Roman" w:eastAsia="Times New Roman" w:hint="default"/>
          <w:spacing w:val="-1"/>
        </w:rPr>
        <w:t>a</w:t>
      </w:r>
      <w:r>
        <w:rPr>
          <w:spacing w:val="-1"/>
        </w:rPr>
        <w:t>、假设资产组生产所需的原辅材料等所有投入和产出的产品或者其他产出均处在正常的市场交易过程中，并依照基准</w:t>
      </w:r>
      <w:r>
        <w:rPr/>
        <w:t> 日已有的结算条件进行结算；</w:t>
      </w:r>
    </w:p>
    <w:p>
      <w:pPr>
        <w:pStyle w:val="BodyText"/>
        <w:spacing w:line="451" w:lineRule="auto" w:before="112"/>
        <w:ind w:right="0" w:firstLine="420"/>
        <w:jc w:val="left"/>
      </w:pPr>
      <w:r>
        <w:rPr>
          <w:rFonts w:ascii="Times New Roman" w:hAnsi="Times New Roman" w:cs="Times New Roman" w:eastAsia="Times New Roman" w:hint="default"/>
          <w:spacing w:val="-2"/>
        </w:rPr>
        <w:t>b</w:t>
      </w:r>
      <w:r>
        <w:rPr>
          <w:spacing w:val="-2"/>
        </w:rPr>
        <w:t>、假设资产组相对应的经济体于评估基准日所具有的经营团队、财务结构、业务模式、市场环境等基础上按照其既有</w:t>
      </w:r>
      <w:r>
        <w:rPr/>
        <w:t> 的经营目标持续经营；假设资产组相对应的所有资产均按目前的用途和使用的方式、规模、频度、环境等情况继续使用；</w:t>
      </w:r>
    </w:p>
    <w:p>
      <w:pPr>
        <w:pStyle w:val="BodyText"/>
        <w:spacing w:line="489" w:lineRule="auto" w:before="113"/>
        <w:ind w:left="574" w:right="0"/>
        <w:jc w:val="left"/>
      </w:pPr>
      <w:r>
        <w:rPr>
          <w:rFonts w:ascii="Times New Roman" w:hAnsi="Times New Roman" w:cs="Times New Roman" w:eastAsia="Times New Roman" w:hint="default"/>
        </w:rPr>
        <w:t>c</w:t>
      </w:r>
      <w:r>
        <w:rPr/>
        <w:t>、假设对资产组的确认与认定、初始计量及其于评估基准日前的后续计量均符合有关会计准则的规定； </w:t>
      </w:r>
      <w:r>
        <w:rPr>
          <w:rFonts w:ascii="Times New Roman" w:hAnsi="Times New Roman" w:cs="Times New Roman" w:eastAsia="Times New Roman" w:hint="default"/>
          <w:spacing w:val="-2"/>
        </w:rPr>
        <w:t>d</w:t>
      </w:r>
      <w:r>
        <w:rPr>
          <w:spacing w:val="-2"/>
        </w:rPr>
        <w:t>、假设国家现行的有关法律法规及政策、国家宏观经济形势无重大变化，与资产组相关的业务所处地区的政治、经济</w:t>
      </w:r>
    </w:p>
    <w:p>
      <w:pPr>
        <w:pStyle w:val="BodyText"/>
        <w:spacing w:line="477" w:lineRule="auto" w:before="11"/>
        <w:ind w:right="0"/>
        <w:jc w:val="left"/>
      </w:pPr>
      <w:r>
        <w:rPr>
          <w:spacing w:val="-2"/>
        </w:rPr>
        <w:t>和社会环境无重大变化；假设有关利率、汇率、赋税基准及税率、政策性征收费用、融资条件等不发生重大变化；假设无其</w:t>
      </w:r>
      <w:r>
        <w:rPr>
          <w:spacing w:val="-68"/>
        </w:rPr>
        <w:t> </w:t>
      </w:r>
      <w:r>
        <w:rPr>
          <w:spacing w:val="-68"/>
        </w:rPr>
      </w:r>
      <w:r>
        <w:rPr/>
        <w:t>他人力不可抗拒因素及不可预见因素对企业造成重大不利影响；</w:t>
      </w:r>
    </w:p>
    <w:p>
      <w:pPr>
        <w:pStyle w:val="BodyText"/>
        <w:spacing w:line="456" w:lineRule="auto" w:before="92"/>
        <w:ind w:right="1132" w:firstLine="420"/>
        <w:jc w:val="both"/>
      </w:pPr>
      <w:r>
        <w:rPr>
          <w:rFonts w:ascii="Times New Roman" w:hAnsi="Times New Roman" w:cs="Times New Roman" w:eastAsia="Times New Roman" w:hint="default"/>
        </w:rPr>
        <w:t>f</w:t>
      </w:r>
      <w:r>
        <w:rPr/>
        <w:t>、根据公司与四川聚雅科技有限公司签订的股权转让协议及相关协议，公司向四川聚雅科技有限公司支付</w:t>
      </w:r>
      <w:r>
        <w:rPr>
          <w:spacing w:val="-47"/>
        </w:rPr>
        <w:t> </w:t>
      </w:r>
      <w:r>
        <w:rPr>
          <w:rFonts w:ascii="Times New Roman" w:hAnsi="Times New Roman" w:cs="Times New Roman" w:eastAsia="Times New Roman" w:hint="default"/>
        </w:rPr>
        <w:t>1,350</w:t>
      </w:r>
      <w:r>
        <w:rPr>
          <w:rFonts w:ascii="Times New Roman" w:hAnsi="Times New Roman" w:cs="Times New Roman" w:eastAsia="Times New Roman" w:hint="default"/>
          <w:spacing w:val="-2"/>
        </w:rPr>
        <w:t> </w:t>
      </w:r>
      <w:r>
        <w:rPr/>
        <w:t>万元</w:t>
      </w:r>
      <w:r>
        <w:rPr>
          <w:w w:val="99"/>
        </w:rPr>
        <w:t> </w:t>
      </w:r>
      <w:r>
        <w:rPr/>
        <w:t>取得成都聚雅医信科技有限公司</w:t>
      </w:r>
      <w:r>
        <w:rPr>
          <w:spacing w:val="-52"/>
        </w:rPr>
        <w:t> </w:t>
      </w:r>
      <w:r>
        <w:rPr>
          <w:rFonts w:ascii="Times New Roman" w:hAnsi="Times New Roman" w:cs="Times New Roman" w:eastAsia="Times New Roman" w:hint="default"/>
        </w:rPr>
        <w:t>100%</w:t>
      </w:r>
      <w:r>
        <w:rPr/>
        <w:t>股权，公司将</w:t>
      </w:r>
      <w:r>
        <w:rPr>
          <w:rFonts w:ascii="Times New Roman" w:hAnsi="Times New Roman" w:cs="Times New Roman" w:eastAsia="Times New Roman" w:hint="default"/>
        </w:rPr>
        <w:t>“</w:t>
      </w:r>
      <w:r>
        <w:rPr/>
        <w:t>淮南智慧城市民生领域建设</w:t>
      </w:r>
      <w:r>
        <w:rPr>
          <w:spacing w:val="-52"/>
        </w:rPr>
        <w:t> </w:t>
      </w:r>
      <w:r>
        <w:rPr>
          <w:rFonts w:ascii="Times New Roman" w:hAnsi="Times New Roman" w:cs="Times New Roman" w:eastAsia="Times New Roman" w:hint="default"/>
        </w:rPr>
        <w:t>PPP</w:t>
      </w:r>
      <w:r>
        <w:rPr>
          <w:rFonts w:ascii="Times New Roman" w:hAnsi="Times New Roman" w:cs="Times New Roman" w:eastAsia="Times New Roman" w:hint="default"/>
          <w:spacing w:val="-6"/>
        </w:rPr>
        <w:t> </w:t>
      </w:r>
      <w:r>
        <w:rPr/>
        <w:t>项目</w:t>
      </w:r>
      <w:r>
        <w:rPr>
          <w:rFonts w:ascii="Times New Roman" w:hAnsi="Times New Roman" w:cs="Times New Roman" w:eastAsia="Times New Roman" w:hint="default"/>
        </w:rPr>
        <w:t>”</w:t>
      </w:r>
      <w:r>
        <w:rPr/>
        <w:t>中区域人口健康信息平台建设实 施分包给成都聚雅医信科技有限公司，在该项目通过项目甲方或项目甲方指定的验收方验收，且该项目通过</w:t>
      </w:r>
      <w:r>
        <w:rPr>
          <w:rFonts w:ascii="Times New Roman" w:hAnsi="Times New Roman" w:cs="Times New Roman" w:eastAsia="Times New Roman" w:hint="default"/>
        </w:rPr>
        <w:t>“</w:t>
      </w:r>
      <w:r>
        <w:rPr/>
        <w:t>国家医疗健康 信息互联互通标准化成熟度四级甲等测评</w:t>
      </w:r>
      <w:r>
        <w:rPr>
          <w:rFonts w:ascii="Times New Roman" w:hAnsi="Times New Roman" w:cs="Times New Roman" w:eastAsia="Times New Roman" w:hint="default"/>
        </w:rPr>
        <w:t>”</w:t>
      </w:r>
      <w:r>
        <w:rPr/>
        <w:t>，则公司按合同约定进度支付股权转让款；若因成都聚雅医信科技有限公司的产 </w:t>
      </w:r>
      <w:r>
        <w:rPr>
          <w:spacing w:val="-2"/>
        </w:rPr>
        <w:t>品本身问题或团队实施能力问题，使得淮南项目无法通过项目验收以及四级甲等测评，则剩余股权转让款无需支付，成都聚</w:t>
      </w:r>
      <w:r>
        <w:rPr>
          <w:spacing w:val="-66"/>
        </w:rPr>
        <w:t> </w:t>
      </w:r>
      <w:r>
        <w:rPr>
          <w:spacing w:val="-66"/>
        </w:rPr>
      </w:r>
      <w:r>
        <w:rPr/>
        <w:t>雅医信科技有限公司的整体股权转让款将调整为人民币</w:t>
      </w:r>
      <w:r>
        <w:rPr>
          <w:spacing w:val="-46"/>
        </w:rPr>
        <w:t> </w:t>
      </w:r>
      <w:r>
        <w:rPr>
          <w:rFonts w:ascii="Times New Roman" w:hAnsi="Times New Roman" w:cs="Times New Roman" w:eastAsia="Times New Roman" w:hint="default"/>
        </w:rPr>
        <w:t>675</w:t>
      </w:r>
      <w:r>
        <w:rPr>
          <w:rFonts w:ascii="Times New Roman" w:hAnsi="Times New Roman" w:cs="Times New Roman" w:eastAsia="Times New Roman" w:hint="default"/>
          <w:spacing w:val="-1"/>
        </w:rPr>
        <w:t> </w:t>
      </w:r>
      <w:r>
        <w:rPr>
          <w:spacing w:val="-3"/>
        </w:rPr>
        <w:t>万元。本次商誉减值测试假设成都聚雅医信科技有限公司产品本</w:t>
      </w:r>
      <w:r>
        <w:rPr/>
        <w:t> 身或团队实施能力，能够确保淮南项目通过项目验收以及四级甲等测评。</w:t>
      </w:r>
    </w:p>
    <w:p>
      <w:pPr>
        <w:pStyle w:val="BodyText"/>
        <w:spacing w:line="240" w:lineRule="auto" w:before="110"/>
        <w:ind w:left="574" w:right="0"/>
        <w:jc w:val="left"/>
      </w:pPr>
      <w:r>
        <w:rPr/>
        <w:t>④可回收金额计算的重要参数</w:t>
      </w:r>
    </w:p>
    <w:p>
      <w:pPr>
        <w:spacing w:line="240" w:lineRule="auto" w:before="12"/>
        <w:rPr>
          <w:rFonts w:ascii="宋体" w:hAnsi="宋体" w:cs="宋体" w:eastAsia="宋体" w:hint="default"/>
          <w:sz w:val="20"/>
          <w:szCs w:val="20"/>
        </w:rPr>
      </w:pPr>
    </w:p>
    <w:p>
      <w:pPr>
        <w:pStyle w:val="BodyText"/>
        <w:spacing w:line="240" w:lineRule="auto"/>
        <w:ind w:left="574" w:right="0"/>
        <w:jc w:val="left"/>
      </w:pPr>
      <w:r>
        <w:rPr>
          <w:rFonts w:ascii="Times New Roman" w:hAnsi="Times New Roman" w:cs="Times New Roman" w:eastAsia="Times New Roman" w:hint="default"/>
        </w:rPr>
        <w:t>a</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年至</w:t>
      </w:r>
      <w:r>
        <w:rPr>
          <w:spacing w:val="-46"/>
        </w:rPr>
        <w:t> </w:t>
      </w:r>
      <w:r>
        <w:rPr>
          <w:rFonts w:ascii="Times New Roman" w:hAnsi="Times New Roman" w:cs="Times New Roman" w:eastAsia="Times New Roman" w:hint="default"/>
        </w:rPr>
        <w:t>2024</w:t>
      </w:r>
      <w:r>
        <w:rPr>
          <w:rFonts w:ascii="Times New Roman" w:hAnsi="Times New Roman" w:cs="Times New Roman" w:eastAsia="Times New Roman" w:hint="default"/>
          <w:spacing w:val="-1"/>
        </w:rPr>
        <w:t> </w:t>
      </w:r>
      <w:r>
        <w:rPr/>
        <w:t>年为预测期，</w:t>
      </w:r>
      <w:r>
        <w:rPr>
          <w:rFonts w:ascii="Times New Roman" w:hAnsi="Times New Roman" w:cs="Times New Roman" w:eastAsia="Times New Roman" w:hint="default"/>
        </w:rPr>
        <w:t>2024</w:t>
      </w:r>
      <w:r>
        <w:rPr>
          <w:rFonts w:ascii="Times New Roman" w:hAnsi="Times New Roman" w:cs="Times New Roman" w:eastAsia="Times New Roman" w:hint="default"/>
          <w:spacing w:val="-1"/>
        </w:rPr>
        <w:t> </w:t>
      </w:r>
      <w:r>
        <w:rPr/>
        <w:t>年以后为永续期；</w:t>
      </w:r>
    </w:p>
    <w:p>
      <w:pPr>
        <w:spacing w:line="240" w:lineRule="auto" w:before="9"/>
        <w:rPr>
          <w:rFonts w:ascii="宋体" w:hAnsi="宋体" w:cs="宋体" w:eastAsia="宋体" w:hint="default"/>
          <w:sz w:val="19"/>
          <w:szCs w:val="19"/>
        </w:rPr>
      </w:pPr>
    </w:p>
    <w:p>
      <w:pPr>
        <w:pStyle w:val="BodyText"/>
        <w:spacing w:line="240" w:lineRule="auto"/>
        <w:ind w:left="574" w:right="0"/>
        <w:jc w:val="left"/>
      </w:pPr>
      <w:r>
        <w:rPr>
          <w:rFonts w:ascii="Times New Roman" w:hAnsi="Times New Roman" w:cs="Times New Roman" w:eastAsia="Times New Roman" w:hint="default"/>
        </w:rPr>
        <w:t>b</w:t>
      </w:r>
      <w:r>
        <w:rPr/>
        <w:t>、成都聚雅医信科技有限公司成立于</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spacing w:val="-3"/>
        </w:rPr>
        <w:t>月，时间较短，截至</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年底已承接的淮南项目尚未结算，公司根据</w:t>
      </w:r>
    </w:p>
    <w:p>
      <w:pPr>
        <w:spacing w:line="240" w:lineRule="auto" w:before="9"/>
        <w:rPr>
          <w:rFonts w:ascii="宋体" w:hAnsi="宋体" w:cs="宋体" w:eastAsia="宋体" w:hint="default"/>
          <w:sz w:val="16"/>
          <w:szCs w:val="16"/>
        </w:rPr>
      </w:pPr>
    </w:p>
    <w:p>
      <w:pPr>
        <w:pStyle w:val="BodyText"/>
        <w:spacing w:line="240" w:lineRule="auto"/>
        <w:ind w:right="0"/>
        <w:jc w:val="left"/>
        <w:rPr>
          <w:rFonts w:ascii="Times New Roman" w:hAnsi="Times New Roman" w:cs="Times New Roman" w:eastAsia="Times New Roman" w:hint="default"/>
        </w:rPr>
      </w:pPr>
      <w:r>
        <w:rPr>
          <w:spacing w:val="-3"/>
        </w:rPr>
        <w:t>已承接项目、过往团队承接项目情况、项目周期、团队人员配置对未来营业收入进行预测。成都聚雅医信科技有限公司</w:t>
      </w:r>
      <w:r>
        <w:rPr>
          <w:spacing w:val="-21"/>
        </w:rPr>
        <w:t> </w:t>
      </w:r>
      <w:r>
        <w:rPr>
          <w:rFonts w:ascii="Times New Roman" w:hAnsi="Times New Roman" w:cs="Times New Roman" w:eastAsia="Times New Roman" w:hint="default"/>
        </w:rPr>
        <w:t>2018</w:t>
      </w:r>
    </w:p>
    <w:p>
      <w:pPr>
        <w:spacing w:line="240" w:lineRule="auto" w:before="1"/>
        <w:rPr>
          <w:rFonts w:ascii="Times New Roman" w:hAnsi="Times New Roman" w:cs="Times New Roman" w:eastAsia="Times New Roman" w:hint="default"/>
          <w:sz w:val="19"/>
          <w:szCs w:val="19"/>
        </w:rPr>
      </w:pPr>
    </w:p>
    <w:p>
      <w:pPr>
        <w:pStyle w:val="BodyText"/>
        <w:spacing w:line="240" w:lineRule="auto"/>
        <w:ind w:right="0"/>
        <w:jc w:val="left"/>
        <w:rPr>
          <w:rFonts w:ascii="Times New Roman" w:hAnsi="Times New Roman" w:cs="Times New Roman" w:eastAsia="Times New Roman" w:hint="default"/>
        </w:rPr>
      </w:pPr>
      <w:r>
        <w:rPr/>
        <w:t>至</w:t>
      </w:r>
      <w:r>
        <w:rPr>
          <w:spacing w:val="-50"/>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年承接项目合同金额</w:t>
      </w:r>
      <w:r>
        <w:rPr>
          <w:spacing w:val="-50"/>
        </w:rPr>
        <w:t> </w:t>
      </w:r>
      <w:r>
        <w:rPr>
          <w:rFonts w:ascii="Times New Roman" w:hAnsi="Times New Roman" w:cs="Times New Roman" w:eastAsia="Times New Roman" w:hint="default"/>
        </w:rPr>
        <w:t>1,580</w:t>
      </w:r>
      <w:r>
        <w:rPr>
          <w:rFonts w:ascii="Times New Roman" w:hAnsi="Times New Roman" w:cs="Times New Roman" w:eastAsia="Times New Roman" w:hint="default"/>
          <w:spacing w:val="-5"/>
        </w:rPr>
        <w:t> </w:t>
      </w:r>
      <w:r>
        <w:rPr/>
        <w:t>万元，</w:t>
      </w:r>
      <w:r>
        <w:rPr>
          <w:rFonts w:ascii="Times New Roman" w:hAnsi="Times New Roman" w:cs="Times New Roman" w:eastAsia="Times New Roman" w:hint="default"/>
        </w:rPr>
        <w:t>2020</w:t>
      </w:r>
      <w:r>
        <w:rPr>
          <w:rFonts w:ascii="Times New Roman" w:hAnsi="Times New Roman" w:cs="Times New Roman" w:eastAsia="Times New Roman" w:hint="default"/>
          <w:spacing w:val="-5"/>
        </w:rPr>
        <w:t> </w:t>
      </w:r>
      <w:r>
        <w:rPr/>
        <w:t>年、</w:t>
      </w:r>
      <w:r>
        <w:rPr>
          <w:rFonts w:ascii="Times New Roman" w:hAnsi="Times New Roman" w:cs="Times New Roman" w:eastAsia="Times New Roman" w:hint="default"/>
        </w:rPr>
        <w:t>2021</w:t>
      </w:r>
      <w:r>
        <w:rPr>
          <w:rFonts w:ascii="Times New Roman" w:hAnsi="Times New Roman" w:cs="Times New Roman" w:eastAsia="Times New Roman" w:hint="default"/>
          <w:spacing w:val="-5"/>
        </w:rPr>
        <w:t> </w:t>
      </w:r>
      <w:r>
        <w:rPr/>
        <w:t>年承接项目合同金额分别预计为</w:t>
      </w:r>
      <w:r>
        <w:rPr>
          <w:spacing w:val="-50"/>
        </w:rPr>
        <w:t> </w:t>
      </w:r>
      <w:r>
        <w:rPr>
          <w:rFonts w:ascii="Times New Roman" w:hAnsi="Times New Roman" w:cs="Times New Roman" w:eastAsia="Times New Roman" w:hint="default"/>
        </w:rPr>
        <w:t>1,800</w:t>
      </w:r>
      <w:r>
        <w:rPr>
          <w:rFonts w:ascii="Times New Roman" w:hAnsi="Times New Roman" w:cs="Times New Roman" w:eastAsia="Times New Roman" w:hint="default"/>
          <w:spacing w:val="-5"/>
        </w:rPr>
        <w:t> </w:t>
      </w:r>
      <w:r>
        <w:rPr/>
        <w:t>万元，考虑完工进度后</w:t>
      </w:r>
      <w:r>
        <w:rPr>
          <w:spacing w:val="-50"/>
        </w:rPr>
        <w:t> </w:t>
      </w:r>
      <w:r>
        <w:rPr>
          <w:rFonts w:ascii="Times New Roman" w:hAnsi="Times New Roman" w:cs="Times New Roman" w:eastAsia="Times New Roman" w:hint="default"/>
        </w:rPr>
        <w:t>2019</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0"/>
        <w:jc w:val="left"/>
      </w:pPr>
      <w:r>
        <w:rPr/>
        <w:t>年至</w:t>
      </w:r>
      <w:r>
        <w:rPr>
          <w:spacing w:val="-50"/>
        </w:rPr>
        <w:t> </w:t>
      </w:r>
      <w:r>
        <w:rPr>
          <w:rFonts w:ascii="Times New Roman" w:hAnsi="Times New Roman" w:cs="Times New Roman" w:eastAsia="Times New Roman" w:hint="default"/>
        </w:rPr>
        <w:t>2021</w:t>
      </w:r>
      <w:r>
        <w:rPr>
          <w:rFonts w:ascii="Times New Roman" w:hAnsi="Times New Roman" w:cs="Times New Roman" w:eastAsia="Times New Roman" w:hint="default"/>
          <w:spacing w:val="-5"/>
        </w:rPr>
        <w:t> </w:t>
      </w:r>
      <w:r>
        <w:rPr/>
        <w:t>年营业收入预计分别为</w:t>
      </w:r>
      <w:r>
        <w:rPr>
          <w:spacing w:val="-50"/>
        </w:rPr>
        <w:t> </w:t>
      </w:r>
      <w:r>
        <w:rPr>
          <w:rFonts w:ascii="Times New Roman" w:hAnsi="Times New Roman" w:cs="Times New Roman" w:eastAsia="Times New Roman" w:hint="default"/>
        </w:rPr>
        <w:t>1,120.69</w:t>
      </w:r>
      <w:r>
        <w:rPr>
          <w:rFonts w:ascii="Times New Roman" w:hAnsi="Times New Roman" w:cs="Times New Roman" w:eastAsia="Times New Roman" w:hint="default"/>
          <w:spacing w:val="-5"/>
        </w:rPr>
        <w:t> </w:t>
      </w:r>
      <w:r>
        <w:rPr/>
        <w:t>万元、</w:t>
      </w:r>
      <w:r>
        <w:rPr>
          <w:rFonts w:ascii="Times New Roman" w:hAnsi="Times New Roman" w:cs="Times New Roman" w:eastAsia="Times New Roman" w:hint="default"/>
        </w:rPr>
        <w:t>1,318.97</w:t>
      </w:r>
      <w:r>
        <w:rPr>
          <w:rFonts w:ascii="Times New Roman" w:hAnsi="Times New Roman" w:cs="Times New Roman" w:eastAsia="Times New Roman" w:hint="default"/>
          <w:spacing w:val="-6"/>
        </w:rPr>
        <w:t> </w:t>
      </w:r>
      <w:r>
        <w:rPr/>
        <w:t>万元、</w:t>
      </w:r>
      <w:r>
        <w:rPr>
          <w:rFonts w:ascii="Times New Roman" w:hAnsi="Times New Roman" w:cs="Times New Roman" w:eastAsia="Times New Roman" w:hint="default"/>
        </w:rPr>
        <w:t>1,637.93</w:t>
      </w:r>
      <w:r>
        <w:rPr>
          <w:rFonts w:ascii="Times New Roman" w:hAnsi="Times New Roman" w:cs="Times New Roman" w:eastAsia="Times New Roman" w:hint="default"/>
          <w:spacing w:val="-6"/>
        </w:rPr>
        <w:t> </w:t>
      </w:r>
      <w:r>
        <w:rPr>
          <w:spacing w:val="-3"/>
        </w:rPr>
        <w:t>万元，基于对稳健增长因素的考虑，远期</w:t>
      </w:r>
      <w:r>
        <w:rPr>
          <w:spacing w:val="-50"/>
        </w:rPr>
        <w:t> </w:t>
      </w:r>
      <w:r>
        <w:rPr>
          <w:rFonts w:ascii="Times New Roman" w:hAnsi="Times New Roman" w:cs="Times New Roman" w:eastAsia="Times New Roman" w:hint="default"/>
        </w:rPr>
        <w:t>2022</w:t>
      </w:r>
      <w:r>
        <w:rPr>
          <w:rFonts w:ascii="Times New Roman" w:hAnsi="Times New Roman" w:cs="Times New Roman" w:eastAsia="Times New Roman" w:hint="default"/>
          <w:spacing w:val="-5"/>
        </w:rPr>
        <w:t> </w:t>
      </w:r>
      <w:r>
        <w:rPr/>
        <w:t>年、</w:t>
      </w:r>
    </w:p>
    <w:p>
      <w:pPr>
        <w:spacing w:line="240" w:lineRule="auto" w:before="11"/>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2023 </w:t>
      </w:r>
      <w:r>
        <w:rPr/>
        <w:t>年营业收入按增长率</w:t>
      </w:r>
      <w:r>
        <w:rPr>
          <w:spacing w:val="-47"/>
        </w:rPr>
        <w:t> </w:t>
      </w:r>
      <w:r>
        <w:rPr>
          <w:rFonts w:ascii="Times New Roman" w:hAnsi="Times New Roman" w:cs="Times New Roman" w:eastAsia="Times New Roman" w:hint="default"/>
        </w:rPr>
        <w:t>5%</w:t>
      </w:r>
      <w:r>
        <w:rPr/>
        <w:t>计算；</w:t>
      </w:r>
    </w:p>
    <w:p>
      <w:pPr>
        <w:spacing w:after="0" w:line="240" w:lineRule="auto"/>
        <w:jc w:val="left"/>
        <w:sectPr>
          <w:pgSz w:w="11910" w:h="16840"/>
          <w:pgMar w:header="787" w:footer="1019" w:top="1100" w:bottom="1200" w:left="980" w:right="0"/>
        </w:sectPr>
      </w:pPr>
    </w:p>
    <w:p>
      <w:pPr>
        <w:spacing w:line="240" w:lineRule="auto" w:before="10"/>
        <w:rPr>
          <w:rFonts w:ascii="宋体" w:hAnsi="宋体" w:cs="宋体" w:eastAsia="宋体" w:hint="default"/>
          <w:sz w:val="28"/>
          <w:szCs w:val="28"/>
        </w:rPr>
      </w:pPr>
    </w:p>
    <w:p>
      <w:pPr>
        <w:pStyle w:val="BodyText"/>
        <w:tabs>
          <w:tab w:pos="3514" w:val="left" w:leader="none"/>
        </w:tabs>
        <w:spacing w:line="451" w:lineRule="auto" w:before="44"/>
        <w:ind w:right="1153" w:firstLine="420"/>
        <w:jc w:val="left"/>
      </w:pPr>
      <w:r>
        <w:rPr>
          <w:rFonts w:ascii="Times New Roman" w:hAnsi="Times New Roman" w:cs="Times New Roman" w:eastAsia="Times New Roman" w:hint="default"/>
        </w:rPr>
        <w:t>c</w:t>
      </w:r>
      <w:r>
        <w:rPr/>
        <w:t>、收益法预测的基础为资产组税前自由现金流，故折现率相应采用税前的加权平均资本成本（税前</w:t>
      </w:r>
      <w:r>
        <w:rPr>
          <w:spacing w:val="-40"/>
        </w:rPr>
        <w:t> </w:t>
      </w:r>
      <w:r>
        <w:rPr>
          <w:rFonts w:ascii="Times New Roman" w:hAnsi="Times New Roman" w:cs="Times New Roman" w:eastAsia="Times New Roman" w:hint="default"/>
          <w:spacing w:val="-13"/>
        </w:rPr>
        <w:t>WACC</w:t>
      </w:r>
      <w:r>
        <w:rPr>
          <w:spacing w:val="-13"/>
        </w:rPr>
        <w:t>），资产组</w:t>
      </w:r>
      <w:r>
        <w:rPr/>
        <w:t> 可回收金额测算采用的折算率为</w:t>
      </w:r>
      <w:r>
        <w:rPr>
          <w:spacing w:val="-46"/>
        </w:rPr>
        <w:t> </w:t>
      </w:r>
      <w:r>
        <w:rPr>
          <w:rFonts w:ascii="Times New Roman" w:hAnsi="Times New Roman" w:cs="Times New Roman" w:eastAsia="Times New Roman" w:hint="default"/>
        </w:rPr>
        <w:t>16.41%</w:t>
        <w:tab/>
      </w:r>
      <w:r>
        <w:rPr/>
        <w:t>。</w:t>
      </w:r>
    </w:p>
    <w:p>
      <w:pPr>
        <w:pStyle w:val="BodyText"/>
        <w:spacing w:line="240" w:lineRule="auto" w:before="83"/>
        <w:ind w:left="574" w:right="0"/>
        <w:jc w:val="left"/>
      </w:pPr>
      <w:r>
        <w:rPr/>
        <w:t>⑤商誉减值测试过程</w:t>
      </w:r>
    </w:p>
    <w:p>
      <w:pPr>
        <w:spacing w:line="240" w:lineRule="auto" w:before="1"/>
        <w:rPr>
          <w:rFonts w:ascii="宋体" w:hAnsi="宋体" w:cs="宋体" w:eastAsia="宋体" w:hint="default"/>
          <w:sz w:val="14"/>
          <w:szCs w:val="14"/>
        </w:rPr>
      </w:pPr>
    </w:p>
    <w:tbl>
      <w:tblPr>
        <w:tblW w:w="0" w:type="auto"/>
        <w:jc w:val="left"/>
        <w:tblInd w:w="146" w:type="dxa"/>
        <w:tblLayout w:type="fixed"/>
        <w:tblCellMar>
          <w:top w:w="0" w:type="dxa"/>
          <w:left w:w="0" w:type="dxa"/>
          <w:bottom w:w="0" w:type="dxa"/>
          <w:right w:w="0" w:type="dxa"/>
        </w:tblCellMar>
        <w:tblLook w:val="01E0"/>
      </w:tblPr>
      <w:tblGrid>
        <w:gridCol w:w="5779"/>
        <w:gridCol w:w="3402"/>
      </w:tblGrid>
      <w:tr>
        <w:trPr>
          <w:trHeight w:val="355" w:hRule="exact"/>
        </w:trPr>
        <w:tc>
          <w:tcPr>
            <w:tcW w:w="57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0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left="883" w:right="0"/>
              <w:jc w:val="left"/>
              <w:rPr>
                <w:rFonts w:ascii="宋体" w:hAnsi="宋体" w:cs="宋体" w:eastAsia="宋体" w:hint="default"/>
                <w:sz w:val="18"/>
                <w:szCs w:val="18"/>
              </w:rPr>
            </w:pPr>
            <w:r>
              <w:rPr>
                <w:rFonts w:ascii="宋体" w:hAnsi="宋体" w:cs="宋体" w:eastAsia="宋体" w:hint="default"/>
                <w:sz w:val="18"/>
                <w:szCs w:val="18"/>
              </w:rPr>
              <w:t>资产组（单位万元）</w:t>
            </w:r>
          </w:p>
        </w:tc>
      </w:tr>
      <w:tr>
        <w:trPr>
          <w:trHeight w:val="352" w:hRule="exact"/>
        </w:trPr>
        <w:tc>
          <w:tcPr>
            <w:tcW w:w="5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商誉账面余额①</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350.06</w:t>
            </w:r>
          </w:p>
        </w:tc>
      </w:tr>
      <w:tr>
        <w:trPr>
          <w:trHeight w:val="352" w:hRule="exact"/>
        </w:trPr>
        <w:tc>
          <w:tcPr>
            <w:tcW w:w="5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商誉减值准备余额②</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5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商誉的账面价值③</w:t>
            </w:r>
            <w:r>
              <w:rPr>
                <w:rFonts w:ascii="Times New Roman" w:hAnsi="Times New Roman" w:cs="Times New Roman" w:eastAsia="Times New Roman" w:hint="default"/>
                <w:sz w:val="18"/>
                <w:szCs w:val="18"/>
              </w:rPr>
              <w:t>=</w:t>
            </w:r>
            <w:r>
              <w:rPr>
                <w:rFonts w:ascii="宋体" w:hAnsi="宋体" w:cs="宋体" w:eastAsia="宋体" w:hint="default"/>
                <w:sz w:val="18"/>
                <w:szCs w:val="18"/>
              </w:rPr>
              <w:t>①</w:t>
            </w:r>
            <w:r>
              <w:rPr>
                <w:rFonts w:ascii="Times New Roman" w:hAnsi="Times New Roman" w:cs="Times New Roman" w:eastAsia="Times New Roman" w:hint="default"/>
                <w:sz w:val="18"/>
                <w:szCs w:val="18"/>
              </w:rPr>
              <w:t>—</w:t>
            </w:r>
            <w:r>
              <w:rPr>
                <w:rFonts w:ascii="宋体" w:hAnsi="宋体" w:cs="宋体" w:eastAsia="宋体" w:hint="default"/>
                <w:sz w:val="18"/>
                <w:szCs w:val="18"/>
              </w:rPr>
              <w:t>②</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350.06</w:t>
            </w:r>
          </w:p>
        </w:tc>
      </w:tr>
      <w:tr>
        <w:trPr>
          <w:trHeight w:val="352" w:hRule="exact"/>
        </w:trPr>
        <w:tc>
          <w:tcPr>
            <w:tcW w:w="5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未确认归属于少数股东权益的商誉价值④</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2" w:hRule="exact"/>
        </w:trPr>
        <w:tc>
          <w:tcPr>
            <w:tcW w:w="5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包含未确认归属于少数股东权益的商誉价值⑤</w:t>
            </w:r>
            <w:r>
              <w:rPr>
                <w:rFonts w:ascii="Times New Roman" w:hAnsi="Times New Roman" w:cs="Times New Roman" w:eastAsia="Times New Roman" w:hint="default"/>
                <w:sz w:val="18"/>
                <w:szCs w:val="18"/>
              </w:rPr>
              <w:t>=</w:t>
            </w:r>
            <w:r>
              <w:rPr>
                <w:rFonts w:ascii="宋体" w:hAnsi="宋体" w:cs="宋体" w:eastAsia="宋体" w:hint="default"/>
                <w:sz w:val="18"/>
                <w:szCs w:val="18"/>
              </w:rPr>
              <w:t>④</w:t>
            </w:r>
            <w:r>
              <w:rPr>
                <w:rFonts w:ascii="Times New Roman" w:hAnsi="Times New Roman" w:cs="Times New Roman" w:eastAsia="Times New Roman" w:hint="default"/>
                <w:sz w:val="18"/>
                <w:szCs w:val="18"/>
              </w:rPr>
              <w:t>+</w:t>
            </w:r>
            <w:r>
              <w:rPr>
                <w:rFonts w:ascii="宋体" w:hAnsi="宋体" w:cs="宋体" w:eastAsia="宋体" w:hint="default"/>
                <w:sz w:val="18"/>
                <w:szCs w:val="18"/>
              </w:rPr>
              <w:t>③</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350.06</w:t>
            </w:r>
          </w:p>
        </w:tc>
      </w:tr>
      <w:tr>
        <w:trPr>
          <w:trHeight w:val="665" w:hRule="exact"/>
        </w:trPr>
        <w:tc>
          <w:tcPr>
            <w:tcW w:w="5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资产组按合并日可辨认净资产公允价值在存续期间持续计算至</w:t>
            </w:r>
            <w:r>
              <w:rPr>
                <w:rFonts w:ascii="Times New Roman" w:hAnsi="Times New Roman" w:cs="Times New Roman" w:eastAsia="Times New Roman" w:hint="default"/>
                <w:spacing w:val="4"/>
                <w:sz w:val="18"/>
                <w:szCs w:val="18"/>
              </w:rPr>
              <w:t>2018</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12</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日的公允价值⑥</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1,033.93</w:t>
            </w:r>
          </w:p>
        </w:tc>
      </w:tr>
      <w:tr>
        <w:trPr>
          <w:trHeight w:val="352" w:hRule="exact"/>
        </w:trPr>
        <w:tc>
          <w:tcPr>
            <w:tcW w:w="5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包含整体商誉的资产组的可辨认净资产公允价值⑦</w:t>
            </w:r>
            <w:r>
              <w:rPr>
                <w:rFonts w:ascii="Times New Roman" w:hAnsi="Times New Roman" w:cs="Times New Roman" w:eastAsia="Times New Roman" w:hint="default"/>
                <w:sz w:val="18"/>
                <w:szCs w:val="18"/>
              </w:rPr>
              <w:t>=</w:t>
            </w:r>
            <w:r>
              <w:rPr>
                <w:rFonts w:ascii="宋体" w:hAnsi="宋体" w:cs="宋体" w:eastAsia="宋体" w:hint="default"/>
                <w:sz w:val="18"/>
                <w:szCs w:val="18"/>
              </w:rPr>
              <w:t>⑤</w:t>
            </w:r>
            <w:r>
              <w:rPr>
                <w:rFonts w:ascii="Times New Roman" w:hAnsi="Times New Roman" w:cs="Times New Roman" w:eastAsia="Times New Roman" w:hint="default"/>
                <w:sz w:val="18"/>
                <w:szCs w:val="18"/>
              </w:rPr>
              <w:t>+</w:t>
            </w:r>
            <w:r>
              <w:rPr>
                <w:rFonts w:ascii="宋体" w:hAnsi="宋体" w:cs="宋体" w:eastAsia="宋体" w:hint="default"/>
                <w:sz w:val="18"/>
                <w:szCs w:val="18"/>
              </w:rPr>
              <w:t>⑥</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1,383.99</w:t>
            </w:r>
          </w:p>
        </w:tc>
      </w:tr>
      <w:tr>
        <w:trPr>
          <w:trHeight w:val="664" w:hRule="exact"/>
        </w:trPr>
        <w:tc>
          <w:tcPr>
            <w:tcW w:w="5779"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2" w:right="2"/>
              <w:jc w:val="left"/>
              <w:rPr>
                <w:rFonts w:ascii="宋体" w:hAnsi="宋体" w:cs="宋体" w:eastAsia="宋体" w:hint="default"/>
                <w:sz w:val="18"/>
                <w:szCs w:val="18"/>
              </w:rPr>
            </w:pPr>
            <w:r>
              <w:rPr>
                <w:rFonts w:ascii="宋体" w:hAnsi="宋体" w:cs="宋体" w:eastAsia="宋体" w:hint="default"/>
                <w:sz w:val="18"/>
                <w:szCs w:val="18"/>
              </w:rPr>
              <w:t>扣除溢余资产、非经营性资产负债、付息债务后包含整体商誉的资产组的 可辨认净资产公允价值⑧</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1,182.63</w:t>
            </w:r>
          </w:p>
        </w:tc>
      </w:tr>
      <w:tr>
        <w:trPr>
          <w:trHeight w:val="353" w:hRule="exact"/>
        </w:trPr>
        <w:tc>
          <w:tcPr>
            <w:tcW w:w="5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资产组预计可回收金额⑨</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1,202.31</w:t>
            </w:r>
          </w:p>
        </w:tc>
      </w:tr>
      <w:tr>
        <w:trPr>
          <w:trHeight w:val="352" w:hRule="exact"/>
        </w:trPr>
        <w:tc>
          <w:tcPr>
            <w:tcW w:w="57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商誉减值损失（大于</w:t>
            </w:r>
            <w:r>
              <w:rPr>
                <w:rFonts w:ascii="Times New Roman" w:hAnsi="Times New Roman" w:cs="Times New Roman" w:eastAsia="Times New Roman" w:hint="default"/>
                <w:sz w:val="18"/>
                <w:szCs w:val="18"/>
              </w:rPr>
              <w:t>0</w:t>
            </w:r>
            <w:r>
              <w:rPr>
                <w:rFonts w:ascii="宋体" w:hAnsi="宋体" w:cs="宋体" w:eastAsia="宋体" w:hint="default"/>
                <w:sz w:val="18"/>
                <w:szCs w:val="18"/>
              </w:rPr>
              <w:t>时）⑩</w:t>
            </w:r>
            <w:r>
              <w:rPr>
                <w:rFonts w:ascii="Times New Roman" w:hAnsi="Times New Roman" w:cs="Times New Roman" w:eastAsia="Times New Roman" w:hint="default"/>
                <w:sz w:val="18"/>
                <w:szCs w:val="18"/>
              </w:rPr>
              <w:t>=</w:t>
            </w:r>
            <w:r>
              <w:rPr>
                <w:rFonts w:ascii="宋体" w:hAnsi="宋体" w:cs="宋体" w:eastAsia="宋体" w:hint="default"/>
                <w:sz w:val="18"/>
                <w:szCs w:val="18"/>
              </w:rPr>
              <w:t>⑧</w:t>
            </w:r>
            <w:r>
              <w:rPr>
                <w:rFonts w:ascii="Times New Roman" w:hAnsi="Times New Roman" w:cs="Times New Roman" w:eastAsia="Times New Roman" w:hint="default"/>
                <w:sz w:val="18"/>
                <w:szCs w:val="18"/>
              </w:rPr>
              <w:t>—</w:t>
            </w:r>
            <w:r>
              <w:rPr>
                <w:rFonts w:ascii="宋体" w:hAnsi="宋体" w:cs="宋体" w:eastAsia="宋体" w:hint="default"/>
                <w:sz w:val="18"/>
                <w:szCs w:val="18"/>
              </w:rPr>
              <w:t>⑨</w:t>
            </w:r>
          </w:p>
        </w:tc>
        <w:tc>
          <w:tcPr>
            <w:tcW w:w="34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right="0"/>
        <w:jc w:val="left"/>
        <w:rPr>
          <w:b w:val="0"/>
          <w:bCs w:val="0"/>
        </w:rPr>
      </w:pPr>
      <w:bookmarkStart w:name="17、长期待摊费用" w:id="280"/>
      <w:bookmarkEnd w:id="280"/>
      <w:r>
        <w:rPr>
          <w:b w:val="0"/>
          <w:bCs w:val="0"/>
        </w:rPr>
      </w:r>
      <w:r>
        <w:rPr>
          <w:rFonts w:ascii="Times New Roman" w:hAnsi="Times New Roman" w:cs="Times New Roman" w:eastAsia="Times New Roman" w:hint="default"/>
        </w:rPr>
        <w:t>17</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9,601,277.43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2,248,455.83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2,838,720.00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632,943.84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8,378,069.42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4,178,661.33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1,381,668.11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2,796,993.22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9,676,277.43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6,427,117.16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4,250,388.11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632,943.84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11,220,062.64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8、递延所得税资产/递延所得税负债" w:id="281"/>
      <w:bookmarkEnd w:id="281"/>
      <w:r>
        <w:rPr>
          <w:b w:val="0"/>
          <w:bCs w:val="0"/>
        </w:rPr>
      </w: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282"/>
      <w:bookmarkEnd w:id="28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218,240,345.56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38,452,617.29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146,410,729.67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22,289,875.16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20,641,754.93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3,479,858.08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6,454,183.83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906,652.59</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固定资产折旧、无形资 产摊销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412,500.00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103,125.00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1,748,959.90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262,343.99</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3,003,000.00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259,014,600.49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44,993,600.37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174,633,873.40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26,461,871.74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经抵销的递延所得税负债" w:id="283"/>
      <w:bookmarkEnd w:id="28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以抵销后净额列示的递延所得税资产或负债" w:id="284"/>
      <w:bookmarkEnd w:id="28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13"/>
        <w:gridCol w:w="1905"/>
        <w:gridCol w:w="1914"/>
        <w:gridCol w:w="1914"/>
        <w:gridCol w:w="1903"/>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0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5"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03"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5"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5"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44,993,600.37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26,461,871.74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未确认递延所得税资产明细" w:id="285"/>
      <w:bookmarkEnd w:id="28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36,669,550.77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20,847,702.37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36,669,550.77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20,847,702.37</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5）未确认递延所得税资产的可抵扣亏损将于以下年度到期" w:id="286"/>
      <w:bookmarkEnd w:id="28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1,644,942.55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1,655,522.02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2,568,989.80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1,896,639.45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5,705,877.99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4,027,094.95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14,143,305.43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13,268,445.95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12,606,435.00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36,669,550.77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20,847,702.37</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9、短期借款" w:id="287"/>
      <w:bookmarkEnd w:id="287"/>
      <w:r>
        <w:rPr>
          <w:b w:val="0"/>
          <w:bCs w:val="0"/>
        </w:rPr>
      </w:r>
      <w:r>
        <w:rPr>
          <w:rFonts w:ascii="Times New Roman" w:hAnsi="Times New Roman" w:cs="Times New Roman" w:eastAsia="Times New Roman" w:hint="default"/>
        </w:rPr>
        <w:t>19</w:t>
      </w:r>
      <w:r>
        <w:rPr/>
        <w:t>、短期借款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短期借款分类" w:id="288"/>
      <w:bookmarkEnd w:id="288"/>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1" w:right="0"/>
              <w:jc w:val="left"/>
              <w:rPr>
                <w:rFonts w:ascii="Times New Roman" w:hAnsi="Times New Roman" w:cs="Times New Roman" w:eastAsia="Times New Roman" w:hint="default"/>
                <w:sz w:val="18"/>
                <w:szCs w:val="18"/>
              </w:rPr>
            </w:pPr>
            <w:r>
              <w:rPr>
                <w:rFonts w:ascii="Times New Roman"/>
                <w:sz w:val="18"/>
              </w:rPr>
              <w:t>142,290,000.00</w:t>
            </w:r>
          </w:p>
        </w:tc>
      </w:tr>
    </w:tbl>
    <w:p>
      <w:pPr>
        <w:spacing w:after="0" w:line="240" w:lineRule="auto"/>
        <w:jc w:val="lef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771,790,000.00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保证、质押借款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票据贴现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42,337,043.58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76,200,150.22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844,127,043.58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368,490,150.22</w:t>
            </w:r>
          </w:p>
        </w:tc>
      </w:tr>
    </w:tbl>
    <w:p>
      <w:pPr>
        <w:pStyle w:val="BodyText"/>
        <w:spacing w:line="240" w:lineRule="auto" w:before="51"/>
        <w:ind w:right="0"/>
        <w:jc w:val="left"/>
      </w:pPr>
      <w:r>
        <w:rPr/>
        <w:t>短期借款分类的说明：</w:t>
      </w:r>
    </w:p>
    <w:p>
      <w:pPr>
        <w:spacing w:line="240" w:lineRule="auto" w:before="11"/>
        <w:rPr>
          <w:rFonts w:ascii="宋体" w:hAnsi="宋体" w:cs="宋体" w:eastAsia="宋体" w:hint="default"/>
          <w:sz w:val="14"/>
          <w:szCs w:val="14"/>
        </w:rPr>
      </w:pPr>
    </w:p>
    <w:p>
      <w:pPr>
        <w:pStyle w:val="BodyText"/>
        <w:spacing w:line="240" w:lineRule="auto"/>
        <w:ind w:left="0" w:right="1132"/>
        <w:jc w:val="right"/>
      </w:pPr>
      <w:r>
        <w:rPr/>
        <w:t>公司所属子公司深圳达实融资租赁有限公司于</w:t>
      </w:r>
      <w:r>
        <w:rPr>
          <w:spacing w:val="-5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53"/>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9"/>
        </w:rPr>
        <w:t> </w:t>
      </w:r>
      <w:r>
        <w:rPr/>
        <w:t>月</w:t>
      </w:r>
      <w:r>
        <w:rPr>
          <w:spacing w:val="-54"/>
        </w:rPr>
        <w:t> </w:t>
      </w:r>
      <w:r>
        <w:rPr>
          <w:rFonts w:ascii="Times New Roman" w:hAnsi="Times New Roman" w:cs="Times New Roman" w:eastAsia="Times New Roman" w:hint="default"/>
        </w:rPr>
        <w:t>14</w:t>
      </w:r>
      <w:r>
        <w:rPr>
          <w:rFonts w:ascii="Times New Roman" w:hAnsi="Times New Roman" w:cs="Times New Roman" w:eastAsia="Times New Roman" w:hint="default"/>
          <w:spacing w:val="-9"/>
        </w:rPr>
        <w:t> </w:t>
      </w:r>
      <w:r>
        <w:rPr/>
        <w:t>日向汇丰银行（中国）有限公司深圳分行申请循环贷款</w:t>
      </w:r>
    </w:p>
    <w:p>
      <w:pPr>
        <w:spacing w:line="240" w:lineRule="auto" w:before="9"/>
        <w:rPr>
          <w:rFonts w:ascii="宋体" w:hAnsi="宋体" w:cs="宋体" w:eastAsia="宋体" w:hint="default"/>
          <w:sz w:val="16"/>
          <w:szCs w:val="16"/>
        </w:rPr>
      </w:pPr>
    </w:p>
    <w:p>
      <w:pPr>
        <w:pStyle w:val="BodyText"/>
        <w:spacing w:line="463" w:lineRule="auto"/>
        <w:ind w:right="1048"/>
        <w:jc w:val="left"/>
        <w:rPr>
          <w:rFonts w:ascii="Times New Roman" w:hAnsi="Times New Roman" w:cs="Times New Roman" w:eastAsia="Times New Roman" w:hint="default"/>
        </w:rPr>
      </w:pPr>
      <w:r>
        <w:rPr/>
        <w:t>授信</w:t>
      </w:r>
      <w:r>
        <w:rPr>
          <w:spacing w:val="-47"/>
        </w:rPr>
        <w:t> </w:t>
      </w:r>
      <w:r>
        <w:rPr>
          <w:rFonts w:ascii="Times New Roman" w:hAnsi="Times New Roman" w:cs="Times New Roman" w:eastAsia="Times New Roman" w:hint="default"/>
        </w:rPr>
        <w:t>80,000,000.00</w:t>
      </w:r>
      <w:r>
        <w:rPr>
          <w:rFonts w:ascii="Times New Roman" w:hAnsi="Times New Roman" w:cs="Times New Roman" w:eastAsia="Times New Roman" w:hint="default"/>
          <w:spacing w:val="-1"/>
        </w:rPr>
        <w:t> </w:t>
      </w:r>
      <w:r>
        <w:rPr/>
        <w:t>元，截至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日贷款余额为</w:t>
      </w:r>
      <w:r>
        <w:rPr>
          <w:spacing w:val="-47"/>
        </w:rPr>
        <w:t> </w:t>
      </w:r>
      <w:r>
        <w:rPr>
          <w:rFonts w:ascii="Times New Roman" w:hAnsi="Times New Roman" w:cs="Times New Roman" w:eastAsia="Times New Roman" w:hint="default"/>
        </w:rPr>
        <w:t>30,000,000.00</w:t>
      </w:r>
      <w:r>
        <w:rPr>
          <w:rFonts w:ascii="Times New Roman" w:hAnsi="Times New Roman" w:cs="Times New Roman" w:eastAsia="Times New Roman" w:hint="default"/>
          <w:spacing w:val="-1"/>
        </w:rPr>
        <w:t> </w:t>
      </w:r>
      <w:r>
        <w:rPr/>
        <w:t>元，本笔贷款由本公司提供连带责任担保。此外， </w:t>
      </w:r>
      <w:r>
        <w:rPr>
          <w:spacing w:val="-2"/>
        </w:rPr>
        <w:t>公司所属子公司深圳达实融资租赁有限公司以北京金一文化发展股份有限公司应收账款（包括对应于应收账款债务人的金钱</w:t>
      </w:r>
      <w:r>
        <w:rPr>
          <w:spacing w:val="-64"/>
        </w:rPr>
        <w:t> </w:t>
      </w:r>
      <w:r>
        <w:rPr>
          <w:spacing w:val="-64"/>
        </w:rPr>
      </w:r>
      <w:r>
        <w:rPr>
          <w:spacing w:val="-3"/>
        </w:rPr>
        <w:t>债务的相关（不论是现有的或将有的，或是实际的或或有的）权利或利益）为质押物，对上述贷款提供质押但保。截至</w:t>
      </w:r>
      <w:r>
        <w:rPr>
          <w:spacing w:val="-20"/>
        </w:rPr>
        <w:t> </w:t>
      </w:r>
      <w:r>
        <w:rPr>
          <w:rFonts w:ascii="Times New Roman" w:hAnsi="Times New Roman" w:cs="Times New Roman" w:eastAsia="Times New Roman" w:hint="default"/>
        </w:rPr>
        <w:t>2018</w:t>
      </w:r>
    </w:p>
    <w:p>
      <w:pPr>
        <w:pStyle w:val="BodyText"/>
        <w:spacing w:line="240" w:lineRule="auto" w:before="34"/>
        <w:ind w:right="0"/>
        <w:jc w:val="left"/>
      </w:pP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日，公司对北京金一文化发展股份有限公司应收账款余额为</w:t>
      </w:r>
      <w:r>
        <w:rPr>
          <w:spacing w:val="-46"/>
        </w:rPr>
        <w:t> </w:t>
      </w:r>
      <w:r>
        <w:rPr>
          <w:rFonts w:ascii="Times New Roman" w:hAnsi="Times New Roman" w:cs="Times New Roman" w:eastAsia="Times New Roman" w:hint="default"/>
        </w:rPr>
        <w:t>0</w:t>
      </w:r>
      <w:r>
        <w:rPr/>
        <w:t>。</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4"/>
        <w:spacing w:line="240" w:lineRule="auto"/>
        <w:ind w:right="0"/>
        <w:jc w:val="left"/>
        <w:rPr>
          <w:b w:val="0"/>
          <w:bCs w:val="0"/>
        </w:rPr>
      </w:pPr>
      <w:bookmarkStart w:name="（2）已逾期未偿还的短期借款情况" w:id="289"/>
      <w:bookmarkEnd w:id="289"/>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74" w:right="0"/>
        <w:jc w:val="left"/>
      </w:pPr>
      <w:r>
        <w:rPr/>
        <w:t>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0、应付票据及应付账款" w:id="290"/>
      <w:bookmarkEnd w:id="290"/>
      <w:r>
        <w:rPr>
          <w:b w:val="0"/>
          <w:bCs w:val="0"/>
        </w:rPr>
      </w:r>
      <w:r>
        <w:rPr>
          <w:rFonts w:ascii="Times New Roman" w:hAnsi="Times New Roman" w:cs="Times New Roman" w:eastAsia="Times New Roman" w:hint="default"/>
        </w:rPr>
        <w:t>20</w:t>
      </w:r>
      <w:r>
        <w:rPr/>
        <w:t>、应付票据及应付账款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236,782,228.73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186,838,310.84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985,038,338.10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912,358,772.75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1,221,820,566.83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1,099,197,083.59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付票据分类列示" w:id="291"/>
      <w:bookmarkEnd w:id="291"/>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27,309,249.93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10,707,493.79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209,472,978.80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176,130,817.05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236,782,228.73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186,838,310.84</w:t>
            </w:r>
          </w:p>
        </w:tc>
      </w:tr>
    </w:tbl>
    <w:p>
      <w:pPr>
        <w:pStyle w:val="BodyText"/>
        <w:spacing w:line="240" w:lineRule="auto" w:before="51"/>
        <w:ind w:left="574"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应付账款列示" w:id="292"/>
      <w:bookmarkEnd w:id="292"/>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5" w:right="0"/>
              <w:jc w:val="left"/>
              <w:rPr>
                <w:rFonts w:ascii="Times New Roman" w:hAnsi="Times New Roman" w:cs="Times New Roman" w:eastAsia="Times New Roman" w:hint="default"/>
                <w:sz w:val="18"/>
                <w:szCs w:val="18"/>
              </w:rPr>
            </w:pPr>
            <w:r>
              <w:rPr>
                <w:rFonts w:ascii="Times New Roman"/>
                <w:sz w:val="18"/>
              </w:rPr>
              <w:t>734,644,513.79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1" w:right="0"/>
              <w:jc w:val="left"/>
              <w:rPr>
                <w:rFonts w:ascii="Times New Roman" w:hAnsi="Times New Roman" w:cs="Times New Roman" w:eastAsia="Times New Roman" w:hint="default"/>
                <w:sz w:val="18"/>
                <w:szCs w:val="18"/>
              </w:rPr>
            </w:pPr>
            <w:r>
              <w:rPr>
                <w:rFonts w:ascii="Times New Roman"/>
                <w:sz w:val="18"/>
              </w:rPr>
              <w:t>660,279,067.84</w:t>
            </w:r>
          </w:p>
        </w:tc>
      </w:tr>
    </w:tbl>
    <w:p>
      <w:pPr>
        <w:spacing w:after="0" w:line="240" w:lineRule="auto"/>
        <w:jc w:val="lef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126,898,011.26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145,948,000.04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59,436,901.99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57,642,283.14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64,058,911.06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48,489,421.73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985,038,338.10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912,358,772.75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账龄超过1年的重要应付账款" w:id="293"/>
      <w:bookmarkEnd w:id="293"/>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重庆信泛通智能科技有限公司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17,652,156.59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结算未完成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深圳市深安视通科技发展有限公司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14,260,766.25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结算未完成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广州广电运通金融电子股份有限公司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9,002,849.20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结算未完成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成都巨安智能化工程有限公司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8,531,200.97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结算未完成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新加坡科技电子有限公司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6,564,102.60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结算未完成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56,011,075.61</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1、预收款项" w:id="294"/>
      <w:bookmarkEnd w:id="294"/>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预收款项列示" w:id="295"/>
      <w:bookmarkEnd w:id="295"/>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57,788,921.06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97,954,441.86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7,194,134.73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5,085,264.30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1,162,537.97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1,881,154.98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2,529,789.95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1,852,340.01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68,675,383.71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106,773,201.15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预收款项" w:id="296"/>
      <w:bookmarkEnd w:id="29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中铁成都投资发展有限公司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3,449,999.93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广州名科计算机网络有限公司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1,234,443.24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工程未结算</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4,684,443.17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8"/>
        <w:rPr>
          <w:rFonts w:ascii="宋体" w:hAnsi="宋体" w:cs="宋体" w:eastAsia="宋体" w:hint="default"/>
          <w:sz w:val="21"/>
          <w:szCs w:val="21"/>
        </w:rPr>
      </w:pPr>
    </w:p>
    <w:p>
      <w:pPr>
        <w:pStyle w:val="Heading4"/>
        <w:spacing w:line="240" w:lineRule="auto" w:before="35"/>
        <w:ind w:right="0"/>
        <w:jc w:val="left"/>
        <w:rPr>
          <w:b w:val="0"/>
          <w:bCs w:val="0"/>
        </w:rPr>
      </w:pPr>
      <w:bookmarkStart w:name="（3）期末建造合同形成的已结算未完工项目情况" w:id="297"/>
      <w:bookmarkEnd w:id="297"/>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2、应付职工薪酬" w:id="298"/>
      <w:bookmarkEnd w:id="298"/>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299"/>
      <w:bookmarkEnd w:id="29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51,525,461.13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311,210,730.72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310,274,508.31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52,461,683.54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23,001,276.59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23,001,276.59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57,410.80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1,752,544.63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1,809,955.43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51,582,871.93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335,964,551.94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335,085,740.33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52,461,683.54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短期薪酬列示" w:id="300"/>
      <w:bookmarkEnd w:id="30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51,525,461.13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288,430,097.06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287,503,266.56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52,452,291.63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4,412,055.99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4,409,985.99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2,070.00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9,903,332.09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9,903,332.09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8,268,023.78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8,268,023.78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715,300.81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715,300.81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920,007.50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920,007.50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7,128,381.85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7,128,381.85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1,302,787.55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1,295,465.64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7,321.91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、其他</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34,076.18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34,076.18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51,525,461.13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311,210,730.72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310,274,508.31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52,461,683.54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设定提存计划列示" w:id="301"/>
      <w:bookmarkEnd w:id="30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22,499,675.13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22,499,675.13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501,601.46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501,601.46</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6" w:type="dxa"/>
        <w:tblLayout w:type="fixed"/>
        <w:tblCellMar>
          <w:top w:w="0" w:type="dxa"/>
          <w:left w:w="0" w:type="dxa"/>
          <w:bottom w:w="0" w:type="dxa"/>
          <w:right w:w="0" w:type="dxa"/>
        </w:tblCellMar>
        <w:tblLook w:val="01E0"/>
      </w:tblPr>
      <w:tblGrid>
        <w:gridCol w:w="1914"/>
        <w:gridCol w:w="1917"/>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23,001,276.59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23,001,276.59</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3、应交税费" w:id="302"/>
      <w:bookmarkEnd w:id="302"/>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3,299,297.39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5,950,303.70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37,076,143.25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50,413,014.57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1,069,831.46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1,137,776.90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92,491.80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284,523.84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331,413.97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452,466.71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220,566.22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282,615.55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85,500.15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103,581.36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94,917.52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283,788.98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14,755.34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998.80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30,170.60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18,574.37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42,315,087.70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58,927,644.78</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4、其他应付款" w:id="303"/>
      <w:bookmarkEnd w:id="303"/>
      <w:r>
        <w:rPr>
          <w:b w:val="0"/>
          <w:bCs w:val="0"/>
        </w:rPr>
      </w:r>
      <w:r>
        <w:rPr>
          <w:rFonts w:ascii="Times New Roman" w:hAnsi="Times New Roman" w:cs="Times New Roman" w:eastAsia="Times New Roman" w:hint="default"/>
        </w:rPr>
        <w:t>24</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2,806,333.53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739,282.77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1,032,156.25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98,430,361.94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115,118,194.83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101,236,695.47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116,889,633.85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付利息" w:id="304"/>
      <w:bookmarkEnd w:id="304"/>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1,308,324.08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414,413.64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1,498,009.45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324,869.13</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2,806,333.53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739,282.77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应付股利" w:id="305"/>
      <w:bookmarkEnd w:id="305"/>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1,032,156.25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1,032,156.25</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其他应付款" w:id="306"/>
      <w:bookmarkEnd w:id="306"/>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其中：备用金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3,161,079.80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6,470,780.05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63,090,754.53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45,316,133.84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限制性股票激励回购义务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38,525,177.00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融资租赁业务预提税金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32,178,527.61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24,806,103.94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98,430,361.94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115,118,194.83</w:t>
            </w:r>
          </w:p>
        </w:tc>
      </w:tr>
    </w:tbl>
    <w:p>
      <w:pPr>
        <w:pStyle w:val="BodyText"/>
        <w:spacing w:line="240" w:lineRule="auto" w:before="51"/>
        <w:ind w:right="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3419"/>
        <w:gridCol w:w="1932"/>
        <w:gridCol w:w="1484"/>
        <w:gridCol w:w="2823"/>
      </w:tblGrid>
      <w:tr>
        <w:trPr>
          <w:trHeight w:val="342"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tabs>
                <w:tab w:pos="397"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00"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42" w:hRule="exact"/>
        </w:trPr>
        <w:tc>
          <w:tcPr>
            <w:tcW w:w="3419"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深圳虾皮信息科技有限公司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6"/>
              <w:jc w:val="right"/>
              <w:rPr>
                <w:rFonts w:ascii="Times New Roman" w:hAnsi="Times New Roman" w:cs="Times New Roman" w:eastAsia="Times New Roman" w:hint="default"/>
                <w:sz w:val="18"/>
                <w:szCs w:val="18"/>
              </w:rPr>
            </w:pPr>
            <w:r>
              <w:rPr>
                <w:rFonts w:ascii="Times New Roman"/>
                <w:spacing w:val="-1"/>
                <w:sz w:val="18"/>
              </w:rPr>
              <w:t>8,300,094.44</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房租押金</w:t>
            </w:r>
          </w:p>
        </w:tc>
      </w:tr>
      <w:tr>
        <w:trPr>
          <w:trHeight w:val="342" w:hRule="exact"/>
        </w:trPr>
        <w:tc>
          <w:tcPr>
            <w:tcW w:w="3419" w:type="dxa"/>
            <w:vMerge/>
            <w:tcBorders>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6"/>
              <w:jc w:val="right"/>
              <w:rPr>
                <w:rFonts w:ascii="Times New Roman" w:hAnsi="Times New Roman" w:cs="Times New Roman" w:eastAsia="Times New Roman" w:hint="default"/>
                <w:sz w:val="18"/>
                <w:szCs w:val="18"/>
              </w:rPr>
            </w:pPr>
            <w:r>
              <w:rPr>
                <w:rFonts w:ascii="Times New Roman"/>
                <w:spacing w:val="-1"/>
                <w:sz w:val="18"/>
              </w:rPr>
              <w:t>1,440,738.28</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房租押金</w:t>
            </w:r>
          </w:p>
        </w:tc>
      </w:tr>
      <w:tr>
        <w:trPr>
          <w:trHeight w:val="342"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珠海市蓝海之略医疗股份有限公司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6"/>
              <w:jc w:val="right"/>
              <w:rPr>
                <w:rFonts w:ascii="Times New Roman" w:hAnsi="Times New Roman" w:cs="Times New Roman" w:eastAsia="Times New Roman" w:hint="default"/>
                <w:sz w:val="18"/>
                <w:szCs w:val="18"/>
              </w:rPr>
            </w:pPr>
            <w:r>
              <w:rPr>
                <w:rFonts w:ascii="Times New Roman"/>
                <w:spacing w:val="-1"/>
                <w:sz w:val="18"/>
              </w:rPr>
              <w:t>9,171,091.66</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押金</w:t>
            </w:r>
          </w:p>
        </w:tc>
      </w:tr>
      <w:tr>
        <w:trPr>
          <w:trHeight w:val="342" w:hRule="exact"/>
        </w:trPr>
        <w:tc>
          <w:tcPr>
            <w:tcW w:w="3419"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深圳市美力机电安装有限公司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6"/>
              <w:jc w:val="right"/>
              <w:rPr>
                <w:rFonts w:ascii="Times New Roman" w:hAnsi="Times New Roman" w:cs="Times New Roman" w:eastAsia="Times New Roman" w:hint="default"/>
                <w:sz w:val="18"/>
                <w:szCs w:val="18"/>
              </w:rPr>
            </w:pPr>
            <w:r>
              <w:rPr>
                <w:rFonts w:ascii="Times New Roman"/>
                <w:sz w:val="18"/>
              </w:rPr>
              <w:t>713,500.00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押金</w:t>
            </w:r>
          </w:p>
        </w:tc>
      </w:tr>
      <w:tr>
        <w:trPr>
          <w:trHeight w:val="342" w:hRule="exact"/>
        </w:trPr>
        <w:tc>
          <w:tcPr>
            <w:tcW w:w="3419" w:type="dxa"/>
            <w:vMerge/>
            <w:tcBorders>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6"/>
              <w:jc w:val="right"/>
              <w:rPr>
                <w:rFonts w:ascii="Times New Roman" w:hAnsi="Times New Roman" w:cs="Times New Roman" w:eastAsia="Times New Roman" w:hint="default"/>
                <w:sz w:val="18"/>
                <w:szCs w:val="18"/>
              </w:rPr>
            </w:pPr>
            <w:r>
              <w:rPr>
                <w:rFonts w:ascii="Times New Roman"/>
                <w:spacing w:val="-1"/>
                <w:sz w:val="18"/>
              </w:rPr>
              <w:t>1,136,050.00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押金</w:t>
            </w:r>
          </w:p>
        </w:tc>
      </w:tr>
      <w:tr>
        <w:trPr>
          <w:trHeight w:val="342" w:hRule="exact"/>
        </w:trPr>
        <w:tc>
          <w:tcPr>
            <w:tcW w:w="3419" w:type="dxa"/>
            <w:vMerge w:val="restart"/>
            <w:tcBorders>
              <w:top w:val="single" w:sz="4" w:space="0" w:color="000000"/>
              <w:left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上海达实联欣科技发展有限公司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6"/>
              <w:jc w:val="right"/>
              <w:rPr>
                <w:rFonts w:ascii="Times New Roman" w:hAnsi="Times New Roman" w:cs="Times New Roman" w:eastAsia="Times New Roman" w:hint="default"/>
                <w:sz w:val="18"/>
                <w:szCs w:val="18"/>
              </w:rPr>
            </w:pPr>
            <w:r>
              <w:rPr>
                <w:rFonts w:ascii="Times New Roman"/>
                <w:sz w:val="18"/>
              </w:rPr>
              <w:t>106,479.83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押金</w:t>
            </w:r>
          </w:p>
        </w:tc>
      </w:tr>
      <w:tr>
        <w:trPr>
          <w:trHeight w:val="342" w:hRule="exact"/>
        </w:trPr>
        <w:tc>
          <w:tcPr>
            <w:tcW w:w="3419" w:type="dxa"/>
            <w:vMerge/>
            <w:tcBorders>
              <w:left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6"/>
              <w:jc w:val="right"/>
              <w:rPr>
                <w:rFonts w:ascii="Times New Roman" w:hAnsi="Times New Roman" w:cs="Times New Roman" w:eastAsia="Times New Roman" w:hint="default"/>
                <w:sz w:val="18"/>
                <w:szCs w:val="18"/>
              </w:rPr>
            </w:pPr>
            <w:r>
              <w:rPr>
                <w:rFonts w:ascii="Times New Roman"/>
                <w:sz w:val="18"/>
              </w:rPr>
              <w:t>666,317.13</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押金</w:t>
            </w:r>
          </w:p>
        </w:tc>
      </w:tr>
      <w:tr>
        <w:trPr>
          <w:trHeight w:val="342" w:hRule="exact"/>
        </w:trPr>
        <w:tc>
          <w:tcPr>
            <w:tcW w:w="3419" w:type="dxa"/>
            <w:vMerge/>
            <w:tcBorders>
              <w:left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6"/>
              <w:jc w:val="right"/>
              <w:rPr>
                <w:rFonts w:ascii="Times New Roman" w:hAnsi="Times New Roman" w:cs="Times New Roman" w:eastAsia="Times New Roman" w:hint="default"/>
                <w:sz w:val="18"/>
                <w:szCs w:val="18"/>
              </w:rPr>
            </w:pPr>
            <w:r>
              <w:rPr>
                <w:rFonts w:ascii="Times New Roman"/>
                <w:sz w:val="18"/>
              </w:rPr>
              <w:t>208,989.98</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押金</w:t>
            </w:r>
          </w:p>
        </w:tc>
      </w:tr>
      <w:tr>
        <w:trPr>
          <w:trHeight w:val="342" w:hRule="exact"/>
        </w:trPr>
        <w:tc>
          <w:tcPr>
            <w:tcW w:w="3419" w:type="dxa"/>
            <w:vMerge/>
            <w:tcBorders>
              <w:left w:val="single" w:sz="4" w:space="0" w:color="000000"/>
              <w:bottom w:val="single" w:sz="4" w:space="0" w:color="000000"/>
              <w:right w:val="single" w:sz="4" w:space="0" w:color="000000"/>
            </w:tcBorders>
          </w:tcPr>
          <w:p>
            <w:pP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6"/>
              <w:jc w:val="right"/>
              <w:rPr>
                <w:rFonts w:ascii="Times New Roman" w:hAnsi="Times New Roman" w:cs="Times New Roman" w:eastAsia="Times New Roman" w:hint="default"/>
                <w:sz w:val="18"/>
                <w:szCs w:val="18"/>
              </w:rPr>
            </w:pPr>
            <w:r>
              <w:rPr>
                <w:rFonts w:ascii="Times New Roman"/>
                <w:sz w:val="18"/>
              </w:rPr>
              <w:t>629,767.87</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押金</w:t>
            </w:r>
          </w:p>
        </w:tc>
      </w:tr>
      <w:tr>
        <w:trPr>
          <w:trHeight w:val="342"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北京洁诚服务管理有限公司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6"/>
              <w:jc w:val="right"/>
              <w:rPr>
                <w:rFonts w:ascii="Times New Roman" w:hAnsi="Times New Roman" w:cs="Times New Roman" w:eastAsia="Times New Roman" w:hint="default"/>
                <w:sz w:val="18"/>
                <w:szCs w:val="18"/>
              </w:rPr>
            </w:pPr>
            <w:r>
              <w:rPr>
                <w:rFonts w:ascii="Times New Roman"/>
                <w:spacing w:val="-1"/>
                <w:sz w:val="18"/>
              </w:rPr>
              <w:t>1,105,676.00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未结算</w:t>
            </w:r>
          </w:p>
        </w:tc>
      </w:tr>
      <w:tr>
        <w:trPr>
          <w:trHeight w:val="342"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深圳蓝色光标互动营销有限公司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6"/>
              <w:jc w:val="right"/>
              <w:rPr>
                <w:rFonts w:ascii="Times New Roman" w:hAnsi="Times New Roman" w:cs="Times New Roman" w:eastAsia="Times New Roman" w:hint="default"/>
                <w:sz w:val="18"/>
                <w:szCs w:val="18"/>
              </w:rPr>
            </w:pPr>
            <w:r>
              <w:rPr>
                <w:rFonts w:ascii="Times New Roman"/>
                <w:sz w:val="18"/>
              </w:rPr>
              <w:t>656,690.00</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房租押金</w:t>
            </w:r>
          </w:p>
        </w:tc>
      </w:tr>
      <w:tr>
        <w:trPr>
          <w:trHeight w:val="342"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深圳市深安视通科技发展有限公司</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6"/>
              <w:jc w:val="right"/>
              <w:rPr>
                <w:rFonts w:ascii="Times New Roman" w:hAnsi="Times New Roman" w:cs="Times New Roman" w:eastAsia="Times New Roman" w:hint="default"/>
                <w:sz w:val="18"/>
                <w:szCs w:val="18"/>
              </w:rPr>
            </w:pPr>
            <w:r>
              <w:rPr>
                <w:rFonts w:ascii="Times New Roman"/>
                <w:sz w:val="18"/>
              </w:rPr>
              <w:t>625,354.79</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押金</w:t>
            </w:r>
          </w:p>
        </w:tc>
      </w:tr>
      <w:tr>
        <w:trPr>
          <w:trHeight w:val="34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tabs>
                <w:tab w:pos="397"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6"/>
              <w:jc w:val="right"/>
              <w:rPr>
                <w:rFonts w:ascii="Times New Roman" w:hAnsi="Times New Roman" w:cs="Times New Roman" w:eastAsia="Times New Roman" w:hint="default"/>
                <w:sz w:val="18"/>
                <w:szCs w:val="18"/>
              </w:rPr>
            </w:pPr>
            <w:r>
              <w:rPr>
                <w:rFonts w:ascii="Times New Roman"/>
                <w:spacing w:val="-1"/>
                <w:sz w:val="18"/>
              </w:rPr>
              <w:t>24,760,749.98</w:t>
            </w:r>
          </w:p>
        </w:tc>
        <w:tc>
          <w:tcPr>
            <w:tcW w:w="1484" w:type="dxa"/>
            <w:tcBorders>
              <w:top w:val="single" w:sz="4" w:space="0" w:color="000000"/>
              <w:left w:val="single" w:sz="4" w:space="0" w:color="000000"/>
              <w:bottom w:val="single" w:sz="4" w:space="0" w:color="000000"/>
              <w:right w:val="single" w:sz="4" w:space="0" w:color="000000"/>
            </w:tcBorders>
          </w:tcPr>
          <w:p>
            <w:pPr/>
          </w:p>
        </w:tc>
        <w:tc>
          <w:tcPr>
            <w:tcW w:w="282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5、一年内到期的非流动负债" w:id="307"/>
      <w:bookmarkEnd w:id="307"/>
      <w:r>
        <w:rPr>
          <w:b w:val="0"/>
          <w:bCs w:val="0"/>
        </w:rPr>
      </w:r>
      <w:r>
        <w:rPr>
          <w:rFonts w:ascii="Times New Roman" w:hAnsi="Times New Roman" w:cs="Times New Roman" w:eastAsia="Times New Roman" w:hint="default"/>
        </w:rPr>
        <w:t>25</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19,599,999.96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17,499,999.96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19,049,302.74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16,332,239.83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38,649,302.70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33,832,239.79</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8"/>
        <w:rPr>
          <w:rFonts w:ascii="宋体" w:hAnsi="宋体" w:cs="宋体" w:eastAsia="宋体" w:hint="default"/>
          <w:sz w:val="21"/>
          <w:szCs w:val="21"/>
        </w:rPr>
      </w:pPr>
    </w:p>
    <w:p>
      <w:pPr>
        <w:pStyle w:val="Heading4"/>
        <w:spacing w:line="240" w:lineRule="auto" w:before="35"/>
        <w:ind w:right="0"/>
        <w:jc w:val="left"/>
        <w:rPr>
          <w:b w:val="0"/>
          <w:bCs w:val="0"/>
        </w:rPr>
      </w:pPr>
      <w:bookmarkStart w:name="26、其他流动负债" w:id="308"/>
      <w:bookmarkEnd w:id="308"/>
      <w:r>
        <w:rPr>
          <w:b w:val="0"/>
          <w:bCs w:val="0"/>
        </w:rPr>
      </w:r>
      <w:r>
        <w:rPr>
          <w:rFonts w:ascii="Times New Roman" w:hAnsi="Times New Roman" w:cs="Times New Roman" w:eastAsia="Times New Roman" w:hint="default"/>
        </w:rPr>
        <w:t>26</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135,982,245.92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94,207,565.63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135,982,245.92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94,207,565.63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7、长期借款" w:id="309"/>
      <w:bookmarkEnd w:id="309"/>
      <w:r>
        <w:rPr>
          <w:b w:val="0"/>
          <w:bCs w:val="0"/>
        </w:rPr>
      </w:r>
      <w:r>
        <w:rPr>
          <w:rFonts w:ascii="Times New Roman" w:hAnsi="Times New Roman" w:cs="Times New Roman" w:eastAsia="Times New Roman" w:hint="default"/>
        </w:rPr>
        <w:t>27</w:t>
      </w:r>
      <w:r>
        <w:rPr/>
        <w:t>、长期借款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长期借款分类" w:id="310"/>
      <w:bookmarkEnd w:id="310"/>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保证、抵押、质押借款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760,943,033.42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233,163,273.86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860,943,033.42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233,163,273.86</w:t>
            </w:r>
          </w:p>
        </w:tc>
      </w:tr>
    </w:tbl>
    <w:p>
      <w:pPr>
        <w:pStyle w:val="BodyText"/>
        <w:spacing w:line="240" w:lineRule="auto" w:before="51"/>
        <w:ind w:right="0"/>
        <w:jc w:val="left"/>
      </w:pPr>
      <w:r>
        <w:rPr/>
        <w:t>长期借款分类的说明：</w:t>
      </w:r>
    </w:p>
    <w:p>
      <w:pPr>
        <w:pStyle w:val="BodyText"/>
        <w:spacing w:line="240" w:lineRule="auto" w:before="115"/>
        <w:ind w:left="574"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t>日，本公司所属子公司淮南达实智慧城市投资发展有限公司与徽商银行股份有限公司淮南国庆中</w:t>
      </w:r>
    </w:p>
    <w:p>
      <w:pPr>
        <w:pStyle w:val="BodyText"/>
        <w:spacing w:line="240" w:lineRule="auto" w:before="63"/>
        <w:ind w:right="0"/>
        <w:jc w:val="left"/>
      </w:pPr>
      <w:r>
        <w:rPr/>
        <w:t>路支行签订授信字第</w:t>
      </w:r>
      <w:r>
        <w:rPr>
          <w:spacing w:val="-46"/>
        </w:rPr>
        <w:t> </w:t>
      </w:r>
      <w:r>
        <w:rPr>
          <w:rFonts w:ascii="Times New Roman" w:hAnsi="Times New Roman" w:cs="Times New Roman" w:eastAsia="Times New Roman" w:hint="default"/>
        </w:rPr>
        <w:t>186032017032301</w:t>
      </w:r>
      <w:r>
        <w:rPr>
          <w:rFonts w:ascii="Times New Roman" w:hAnsi="Times New Roman" w:cs="Times New Roman" w:eastAsia="Times New Roman" w:hint="default"/>
          <w:spacing w:val="-1"/>
        </w:rPr>
        <w:t> </w:t>
      </w:r>
      <w:r>
        <w:rPr/>
        <w:t>号固定资产贷款授信协议，授信金额</w:t>
      </w:r>
      <w:r>
        <w:rPr>
          <w:spacing w:val="-46"/>
        </w:rPr>
        <w:t> </w:t>
      </w:r>
      <w:r>
        <w:rPr>
          <w:rFonts w:ascii="Times New Roman" w:hAnsi="Times New Roman" w:cs="Times New Roman" w:eastAsia="Times New Roman" w:hint="default"/>
        </w:rPr>
        <w:t>9,000.00</w:t>
      </w:r>
      <w:r>
        <w:rPr>
          <w:rFonts w:ascii="Times New Roman" w:hAnsi="Times New Roman" w:cs="Times New Roman" w:eastAsia="Times New Roman" w:hint="default"/>
          <w:spacing w:val="-1"/>
        </w:rPr>
        <w:t> </w:t>
      </w:r>
      <w:r>
        <w:rPr/>
        <w:t>万元，截至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日，贷款</w:t>
      </w:r>
    </w:p>
    <w:p>
      <w:pPr>
        <w:pStyle w:val="BodyText"/>
        <w:spacing w:line="240" w:lineRule="auto" w:before="63"/>
        <w:ind w:right="0"/>
        <w:jc w:val="left"/>
      </w:pPr>
      <w:r>
        <w:rPr/>
        <w:t>余额为</w:t>
      </w:r>
      <w:r>
        <w:rPr>
          <w:spacing w:val="-47"/>
        </w:rPr>
        <w:t> </w:t>
      </w:r>
      <w:r>
        <w:rPr>
          <w:rFonts w:ascii="Times New Roman" w:hAnsi="Times New Roman" w:cs="Times New Roman" w:eastAsia="Times New Roman" w:hint="default"/>
        </w:rPr>
        <w:t>56,484,700.00</w:t>
      </w:r>
      <w:r>
        <w:rPr>
          <w:rFonts w:ascii="Times New Roman" w:hAnsi="Times New Roman" w:cs="Times New Roman" w:eastAsia="Times New Roman" w:hint="default"/>
          <w:spacing w:val="-1"/>
        </w:rPr>
        <w:t> </w:t>
      </w:r>
      <w:r>
        <w:rPr/>
        <w:t>元。本笔贷款以所属子公司淮南达实智慧城市投资发展有限公司与淮南市人民政府信息化工作办公室</w:t>
      </w:r>
    </w:p>
    <w:p>
      <w:pPr>
        <w:pStyle w:val="BodyText"/>
        <w:spacing w:line="302" w:lineRule="auto" w:before="63"/>
        <w:ind w:right="1142"/>
        <w:jc w:val="left"/>
      </w:pPr>
      <w:r>
        <w:rPr/>
        <w:t>签订的淮南智慧城市民生领域建设（智慧医疗）</w:t>
      </w:r>
      <w:r>
        <w:rPr>
          <w:rFonts w:ascii="Times New Roman" w:hAnsi="Times New Roman" w:cs="Times New Roman" w:eastAsia="Times New Roman" w:hint="default"/>
        </w:rPr>
        <w:t>PPP</w:t>
      </w:r>
      <w:r>
        <w:rPr>
          <w:rFonts w:ascii="Times New Roman" w:hAnsi="Times New Roman" w:cs="Times New Roman" w:eastAsia="Times New Roman" w:hint="default"/>
          <w:spacing w:val="-1"/>
        </w:rPr>
        <w:t> </w:t>
      </w:r>
      <w:r>
        <w:rPr/>
        <w:t>项目协议中未来</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年应收淮南市政府共计</w:t>
      </w:r>
      <w:r>
        <w:rPr>
          <w:spacing w:val="-46"/>
        </w:rPr>
        <w:t> </w:t>
      </w:r>
      <w:r>
        <w:rPr>
          <w:rFonts w:ascii="Times New Roman" w:hAnsi="Times New Roman" w:cs="Times New Roman" w:eastAsia="Times New Roman" w:hint="default"/>
        </w:rPr>
        <w:t>23,850.00</w:t>
      </w:r>
      <w:r>
        <w:rPr>
          <w:rFonts w:ascii="Times New Roman" w:hAnsi="Times New Roman" w:cs="Times New Roman" w:eastAsia="Times New Roman" w:hint="default"/>
          <w:spacing w:val="-1"/>
        </w:rPr>
        <w:t> </w:t>
      </w:r>
      <w:r>
        <w:rPr/>
        <w:t>万元款项作为质押 担保。</w:t>
      </w:r>
    </w:p>
    <w:p>
      <w:pPr>
        <w:pStyle w:val="BodyText"/>
        <w:spacing w:line="240" w:lineRule="auto" w:before="69"/>
        <w:ind w:left="574"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日，本公司所属子公司深圳达实融资租赁有限公司与中国光大银行股份有限公司深圳宝新支行</w:t>
      </w:r>
    </w:p>
    <w:p>
      <w:pPr>
        <w:pStyle w:val="BodyText"/>
        <w:spacing w:line="240" w:lineRule="auto" w:before="63"/>
        <w:ind w:right="0"/>
        <w:jc w:val="left"/>
      </w:pPr>
      <w:r>
        <w:rPr/>
        <w:t>签订</w:t>
      </w:r>
      <w:r>
        <w:rPr>
          <w:spacing w:val="-50"/>
        </w:rPr>
        <w:t> </w:t>
      </w:r>
      <w:r>
        <w:rPr>
          <w:rFonts w:ascii="Times New Roman" w:hAnsi="Times New Roman" w:cs="Times New Roman" w:eastAsia="Times New Roman" w:hint="default"/>
        </w:rPr>
        <w:t>JK38011710001</w:t>
      </w:r>
      <w:r>
        <w:rPr>
          <w:rFonts w:ascii="Times New Roman" w:hAnsi="Times New Roman" w:cs="Times New Roman" w:eastAsia="Times New Roman" w:hint="default"/>
          <w:spacing w:val="-5"/>
        </w:rPr>
        <w:t> </w:t>
      </w:r>
      <w:r>
        <w:rPr/>
        <w:t>号流动资金贷款合同，贷款期限为四年，截至</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日贷款余额为</w:t>
      </w:r>
      <w:r>
        <w:rPr>
          <w:spacing w:val="-50"/>
        </w:rPr>
        <w:t> </w:t>
      </w:r>
      <w:r>
        <w:rPr>
          <w:rFonts w:ascii="Times New Roman" w:hAnsi="Times New Roman" w:cs="Times New Roman" w:eastAsia="Times New Roman" w:hint="default"/>
        </w:rPr>
        <w:t>49,583,333.38</w:t>
      </w:r>
      <w:r>
        <w:rPr>
          <w:rFonts w:ascii="Times New Roman" w:hAnsi="Times New Roman" w:cs="Times New Roman" w:eastAsia="Times New Roman" w:hint="default"/>
          <w:spacing w:val="-4"/>
        </w:rPr>
        <w:t> </w:t>
      </w:r>
      <w:r>
        <w:rPr>
          <w:spacing w:val="-4"/>
        </w:rPr>
        <w:t>元。本笔贷</w:t>
      </w:r>
    </w:p>
    <w:p>
      <w:pPr>
        <w:pStyle w:val="BodyText"/>
        <w:spacing w:line="240" w:lineRule="auto" w:before="63"/>
        <w:ind w:right="0"/>
        <w:jc w:val="left"/>
        <w:rPr>
          <w:rFonts w:ascii="Times New Roman" w:hAnsi="Times New Roman" w:cs="Times New Roman" w:eastAsia="Times New Roman" w:hint="default"/>
        </w:rPr>
      </w:pPr>
      <w:r>
        <w:rPr/>
        <w:t>款由本公司提供担保外，深圳达实融资租赁有限公司以其对峡江县人民医院</w:t>
      </w:r>
      <w:r>
        <w:rPr>
          <w:spacing w:val="-66"/>
        </w:rPr>
        <w:t> </w:t>
      </w:r>
      <w:r>
        <w:rPr>
          <w:rFonts w:ascii="Times New Roman" w:hAnsi="Times New Roman" w:cs="Times New Roman" w:eastAsia="Times New Roman" w:hint="default"/>
        </w:rPr>
        <w:t>18,786,273.00</w:t>
      </w:r>
      <w:r>
        <w:rPr>
          <w:rFonts w:ascii="Times New Roman" w:hAnsi="Times New Roman" w:cs="Times New Roman" w:eastAsia="Times New Roman" w:hint="default"/>
          <w:spacing w:val="-20"/>
        </w:rPr>
        <w:t> </w:t>
      </w:r>
      <w:r>
        <w:rPr>
          <w:spacing w:val="-8"/>
        </w:rPr>
        <w:t>元、余干县人民医院</w:t>
      </w:r>
      <w:r>
        <w:rPr>
          <w:spacing w:val="-66"/>
        </w:rPr>
        <w:t> </w:t>
      </w:r>
      <w:r>
        <w:rPr>
          <w:rFonts w:ascii="Times New Roman" w:hAnsi="Times New Roman" w:cs="Times New Roman" w:eastAsia="Times New Roman" w:hint="default"/>
        </w:rPr>
        <w:t>36,214,209.99</w:t>
      </w:r>
    </w:p>
    <w:p>
      <w:pPr>
        <w:pStyle w:val="BodyText"/>
        <w:spacing w:line="240" w:lineRule="auto" w:before="64"/>
        <w:ind w:right="0"/>
        <w:jc w:val="left"/>
      </w:pPr>
      <w:r>
        <w:rPr/>
        <w:t>元、南部县人民医院</w:t>
      </w:r>
      <w:r>
        <w:rPr>
          <w:spacing w:val="-47"/>
        </w:rPr>
        <w:t> </w:t>
      </w:r>
      <w:r>
        <w:rPr>
          <w:rFonts w:ascii="Times New Roman" w:hAnsi="Times New Roman" w:cs="Times New Roman" w:eastAsia="Times New Roman" w:hint="default"/>
        </w:rPr>
        <w:t>57,585,525.20</w:t>
      </w:r>
      <w:r>
        <w:rPr>
          <w:rFonts w:ascii="Times New Roman" w:hAnsi="Times New Roman" w:cs="Times New Roman" w:eastAsia="Times New Roman" w:hint="default"/>
          <w:spacing w:val="-1"/>
        </w:rPr>
        <w:t> </w:t>
      </w:r>
      <w:r>
        <w:rPr/>
        <w:t>元应收债权提供质押提保。</w:t>
      </w:r>
    </w:p>
    <w:p>
      <w:pPr>
        <w:pStyle w:val="BodyText"/>
        <w:spacing w:line="240" w:lineRule="auto" w:before="101"/>
        <w:ind w:left="574"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3</w:t>
      </w:r>
      <w:r>
        <w:rPr>
          <w:spacing w:val="-90"/>
        </w:rPr>
        <w:t>）</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09</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rPr>
        <w:t>28</w:t>
      </w:r>
      <w:r>
        <w:rPr>
          <w:rFonts w:ascii="Times New Roman" w:hAnsi="Times New Roman" w:cs="Times New Roman" w:eastAsia="Times New Roman" w:hint="default"/>
          <w:spacing w:val="-9"/>
        </w:rPr>
        <w:t> </w:t>
      </w:r>
      <w:r>
        <w:rPr/>
        <w:t>日</w:t>
      </w:r>
      <w:r>
        <w:rPr>
          <w:spacing w:val="-90"/>
        </w:rPr>
        <w:t>，</w:t>
      </w:r>
      <w:r>
        <w:rPr/>
        <w:t>本</w:t>
      </w:r>
      <w:r>
        <w:rPr>
          <w:spacing w:val="1"/>
        </w:rPr>
        <w:t>公</w:t>
      </w:r>
      <w:r>
        <w:rPr/>
        <w:t>司所属子公司深圳达实融资租赁有限公司与浙商银行股份有限公司深圳分行签订</w:t>
      </w:r>
      <w:r>
        <w:rPr>
          <w:spacing w:val="-54"/>
        </w:rPr>
        <w:t> </w:t>
      </w:r>
      <w:r>
        <w:rPr>
          <w:rFonts w:ascii="Times New Roman" w:hAnsi="Times New Roman" w:cs="Times New Roman" w:eastAsia="Times New Roman" w:hint="default"/>
        </w:rPr>
        <w:t>2092500</w:t>
      </w:r>
    </w:p>
    <w:p>
      <w:pPr>
        <w:pStyle w:val="BodyText"/>
        <w:spacing w:line="240" w:lineRule="auto" w:before="63"/>
        <w:ind w:right="0"/>
        <w:jc w:val="left"/>
      </w:pPr>
      <w:r>
        <w:rPr/>
        <w:t>浙商银借字</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第</w:t>
      </w:r>
      <w:r>
        <w:rPr>
          <w:spacing w:val="-48"/>
        </w:rPr>
        <w:t> </w:t>
      </w:r>
      <w:r>
        <w:rPr>
          <w:rFonts w:ascii="Times New Roman" w:hAnsi="Times New Roman" w:cs="Times New Roman" w:eastAsia="Times New Roman" w:hint="default"/>
        </w:rPr>
        <w:t>01176</w:t>
      </w:r>
      <w:r>
        <w:rPr>
          <w:rFonts w:ascii="Times New Roman" w:hAnsi="Times New Roman" w:cs="Times New Roman" w:eastAsia="Times New Roman" w:hint="default"/>
          <w:spacing w:val="-3"/>
        </w:rPr>
        <w:t> </w:t>
      </w:r>
      <w:r>
        <w:rPr/>
        <w:t>号贷款合同，用于</w:t>
      </w:r>
      <w:r>
        <w:rPr>
          <w:rFonts w:ascii="Times New Roman" w:hAnsi="Times New Roman" w:cs="Times New Roman" w:eastAsia="Times New Roman" w:hint="default"/>
        </w:rPr>
        <w:t>“</w:t>
      </w:r>
      <w:r>
        <w:rPr/>
        <w:t>向防城港澳加粮油工业有限公司购买租赁物</w:t>
      </w:r>
      <w:r>
        <w:rPr>
          <w:rFonts w:ascii="Times New Roman" w:hAnsi="Times New Roman" w:cs="Times New Roman" w:eastAsia="Times New Roman" w:hint="default"/>
        </w:rPr>
        <w:t>”</w:t>
      </w:r>
      <w:r>
        <w:rPr/>
        <w:t>，贷款期限两年，贷款金额为</w:t>
      </w:r>
    </w:p>
    <w:p>
      <w:pPr>
        <w:pStyle w:val="BodyText"/>
        <w:spacing w:line="240" w:lineRule="auto" w:before="63"/>
        <w:ind w:right="0"/>
        <w:jc w:val="left"/>
      </w:pPr>
      <w:r>
        <w:rPr>
          <w:rFonts w:ascii="Times New Roman" w:hAnsi="Times New Roman" w:cs="Times New Roman" w:eastAsia="Times New Roman" w:hint="default"/>
        </w:rPr>
        <w:t>35,000,000.00</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日，贷款余额为</w:t>
      </w:r>
      <w:r>
        <w:rPr>
          <w:spacing w:val="-47"/>
        </w:rPr>
        <w:t> </w:t>
      </w:r>
      <w:r>
        <w:rPr>
          <w:rFonts w:ascii="Times New Roman" w:hAnsi="Times New Roman" w:cs="Times New Roman" w:eastAsia="Times New Roman" w:hint="default"/>
        </w:rPr>
        <w:t>34,475,000.00</w:t>
      </w:r>
      <w:r>
        <w:rPr>
          <w:rFonts w:ascii="Times New Roman" w:hAnsi="Times New Roman" w:cs="Times New Roman" w:eastAsia="Times New Roman" w:hint="default"/>
          <w:spacing w:val="-1"/>
        </w:rPr>
        <w:t> </w:t>
      </w:r>
      <w:r>
        <w:rPr/>
        <w:t>元。本笔贷款由本公司提供担保外，深圳达实融资租赁有</w:t>
      </w:r>
    </w:p>
    <w:p>
      <w:pPr>
        <w:pStyle w:val="BodyText"/>
        <w:spacing w:line="302" w:lineRule="auto" w:before="63"/>
        <w:ind w:right="1170"/>
        <w:jc w:val="left"/>
      </w:pPr>
      <w:r>
        <w:rPr/>
        <w:t>限公司以其</w:t>
      </w:r>
      <w:r>
        <w:rPr>
          <w:spacing w:val="-47"/>
        </w:rPr>
        <w:t> </w:t>
      </w:r>
      <w:r>
        <w:rPr>
          <w:rFonts w:ascii="Times New Roman" w:hAnsi="Times New Roman" w:cs="Times New Roman" w:eastAsia="Times New Roman" w:hint="default"/>
        </w:rPr>
        <w:t>10,000.000.00</w:t>
      </w:r>
      <w:r>
        <w:rPr>
          <w:rFonts w:ascii="Times New Roman" w:hAnsi="Times New Roman" w:cs="Times New Roman" w:eastAsia="Times New Roman" w:hint="default"/>
          <w:spacing w:val="-1"/>
        </w:rPr>
        <w:t> </w:t>
      </w:r>
      <w:r>
        <w:rPr/>
        <w:t>元定期存款以及将租赁物出租给防城港澳加粮油工业有限公司的所有租金收入对本笔贷款提供质 押担保。</w:t>
      </w:r>
    </w:p>
    <w:p>
      <w:pPr>
        <w:pStyle w:val="BodyText"/>
        <w:spacing w:line="300" w:lineRule="auto" w:before="68"/>
        <w:ind w:right="1132" w:firstLine="420"/>
        <w:jc w:val="both"/>
      </w:pPr>
      <w:r>
        <w:rPr>
          <w:spacing w:val="-3"/>
        </w:rPr>
        <w:t>（</w:t>
      </w:r>
      <w:r>
        <w:rPr>
          <w:rFonts w:ascii="Times New Roman" w:hAnsi="Times New Roman" w:cs="Times New Roman" w:eastAsia="Times New Roman" w:hint="default"/>
          <w:spacing w:val="-3"/>
        </w:rPr>
        <w:t>4</w:t>
      </w:r>
      <w:r>
        <w:rPr>
          <w:spacing w:val="-3"/>
        </w:rPr>
        <w:t>）本公司所属子公司深圳达实信息技术有限公司于</w:t>
      </w:r>
      <w:r>
        <w:rPr>
          <w:spacing w:val="-4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3"/>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w:t>
      </w:r>
      <w:r>
        <w:rPr>
          <w:spacing w:val="-43"/>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spacing w:val="-4"/>
        </w:rPr>
        <w:t>日与平安银行股份有限公司深圳分行签订平银（深</w:t>
      </w:r>
      <w:r>
        <w:rPr/>
        <w:t> 圳）固贷字第</w:t>
      </w:r>
      <w:r>
        <w:rPr>
          <w:spacing w:val="-49"/>
        </w:rPr>
        <w:t> </w:t>
      </w:r>
      <w:r>
        <w:rPr>
          <w:rFonts w:ascii="Times New Roman" w:hAnsi="Times New Roman" w:cs="Times New Roman" w:eastAsia="Times New Roman" w:hint="default"/>
        </w:rPr>
        <w:t>C268201604190001</w:t>
      </w:r>
      <w:r>
        <w:rPr>
          <w:rFonts w:ascii="Times New Roman" w:hAnsi="Times New Roman" w:cs="Times New Roman" w:eastAsia="Times New Roman" w:hint="default"/>
          <w:spacing w:val="-4"/>
        </w:rPr>
        <w:t> </w:t>
      </w:r>
      <w:r>
        <w:rPr/>
        <w:t>号贷款合同，贷款金额为</w:t>
      </w:r>
      <w:r>
        <w:rPr>
          <w:spacing w:val="-49"/>
        </w:rPr>
        <w:t> </w:t>
      </w:r>
      <w:r>
        <w:rPr>
          <w:rFonts w:ascii="Times New Roman" w:hAnsi="Times New Roman" w:cs="Times New Roman" w:eastAsia="Times New Roman" w:hint="default"/>
        </w:rPr>
        <w:t>640,000,000.00</w:t>
      </w:r>
      <w:r>
        <w:rPr>
          <w:rFonts w:ascii="Times New Roman" w:hAnsi="Times New Roman" w:cs="Times New Roman" w:eastAsia="Times New Roman" w:hint="default"/>
          <w:spacing w:val="-3"/>
        </w:rPr>
        <w:t> </w:t>
      </w:r>
      <w:r>
        <w:rPr/>
        <w:t>元，用于</w:t>
      </w:r>
      <w:r>
        <w:rPr>
          <w:rFonts w:ascii="Times New Roman" w:hAnsi="Times New Roman" w:cs="Times New Roman" w:eastAsia="Times New Roman" w:hint="default"/>
        </w:rPr>
        <w:t>“</w:t>
      </w:r>
      <w:r>
        <w:rPr/>
        <w:t>达实智能大厦项目</w:t>
      </w:r>
      <w:r>
        <w:rPr>
          <w:rFonts w:ascii="Times New Roman" w:hAnsi="Times New Roman" w:cs="Times New Roman" w:eastAsia="Times New Roman" w:hint="default"/>
        </w:rPr>
        <w:t>”</w:t>
      </w:r>
      <w:r>
        <w:rPr/>
        <w:t>项目建设，贷款期 限为十年。截止至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日，借款余额为</w:t>
      </w:r>
      <w:r>
        <w:rPr>
          <w:spacing w:val="-46"/>
        </w:rPr>
        <w:t> </w:t>
      </w:r>
      <w:r>
        <w:rPr>
          <w:rFonts w:ascii="Times New Roman" w:hAnsi="Times New Roman" w:cs="Times New Roman" w:eastAsia="Times New Roman" w:hint="default"/>
        </w:rPr>
        <w:t>640,000,000.00 </w:t>
      </w:r>
      <w:r>
        <w:rPr/>
        <w:t>元。本笔贷款由本公司提供担保外，深圳达实信息技术 有限公司以南山街道科技南一路高新工业村</w:t>
      </w:r>
      <w:r>
        <w:rPr>
          <w:spacing w:val="-52"/>
        </w:rPr>
        <w:t> </w:t>
      </w:r>
      <w:r>
        <w:rPr>
          <w:rFonts w:ascii="Times New Roman" w:hAnsi="Times New Roman" w:cs="Times New Roman" w:eastAsia="Times New Roman" w:hint="default"/>
        </w:rPr>
        <w:t>C2</w:t>
      </w:r>
      <w:r>
        <w:rPr>
          <w:rFonts w:ascii="Times New Roman" w:hAnsi="Times New Roman" w:cs="Times New Roman" w:eastAsia="Times New Roman" w:hint="default"/>
          <w:spacing w:val="-7"/>
        </w:rPr>
        <w:t> </w:t>
      </w:r>
      <w:r>
        <w:rPr/>
        <w:t>栋厂房（粤（</w:t>
      </w:r>
      <w:r>
        <w:rPr>
          <w:rFonts w:ascii="Times New Roman" w:hAnsi="Times New Roman" w:cs="Times New Roman" w:eastAsia="Times New Roman" w:hint="default"/>
        </w:rPr>
        <w:t>2018</w:t>
      </w:r>
      <w:r>
        <w:rPr/>
        <w:t>）深圳市不动产权第</w:t>
      </w:r>
      <w:r>
        <w:rPr>
          <w:spacing w:val="-52"/>
        </w:rPr>
        <w:t> </w:t>
      </w:r>
      <w:r>
        <w:rPr>
          <w:rFonts w:ascii="Times New Roman" w:hAnsi="Times New Roman" w:cs="Times New Roman" w:eastAsia="Times New Roman" w:hint="default"/>
        </w:rPr>
        <w:t>0210712</w:t>
      </w:r>
      <w:r>
        <w:rPr>
          <w:rFonts w:ascii="Times New Roman" w:hAnsi="Times New Roman" w:cs="Times New Roman" w:eastAsia="Times New Roman" w:hint="default"/>
          <w:spacing w:val="-7"/>
        </w:rPr>
        <w:t> </w:t>
      </w:r>
      <w:r>
        <w:rPr/>
        <w:t>号）及南山街道科技南一路 达实大厦</w:t>
      </w:r>
      <w:r>
        <w:rPr>
          <w:spacing w:val="-46"/>
        </w:rPr>
        <w:t> </w:t>
      </w:r>
      <w:r>
        <w:rPr>
          <w:rFonts w:ascii="Times New Roman" w:hAnsi="Times New Roman" w:cs="Times New Roman" w:eastAsia="Times New Roman" w:hint="default"/>
        </w:rPr>
        <w:t>101</w:t>
      </w:r>
      <w:r>
        <w:rPr/>
        <w:t>（粤（</w:t>
      </w:r>
      <w:r>
        <w:rPr>
          <w:rFonts w:ascii="Times New Roman" w:hAnsi="Times New Roman" w:cs="Times New Roman" w:eastAsia="Times New Roman" w:hint="default"/>
        </w:rPr>
        <w:t>2018</w:t>
      </w:r>
      <w:r>
        <w:rPr/>
        <w:t>）深圳市不动产权第</w:t>
      </w:r>
      <w:r>
        <w:rPr>
          <w:spacing w:val="-46"/>
        </w:rPr>
        <w:t> </w:t>
      </w:r>
      <w:r>
        <w:rPr>
          <w:rFonts w:ascii="Times New Roman" w:hAnsi="Times New Roman" w:cs="Times New Roman" w:eastAsia="Times New Roman" w:hint="default"/>
        </w:rPr>
        <w:t>0215894</w:t>
      </w:r>
      <w:r>
        <w:rPr>
          <w:rFonts w:ascii="Times New Roman" w:hAnsi="Times New Roman" w:cs="Times New Roman" w:eastAsia="Times New Roman" w:hint="default"/>
          <w:spacing w:val="-1"/>
        </w:rPr>
        <w:t> </w:t>
      </w:r>
      <w:r>
        <w:rPr/>
        <w:t>号）房产以及全部应收租金收入为本笔贷款提供抵押及质押担保。</w:t>
      </w:r>
    </w:p>
    <w:p>
      <w:pPr>
        <w:spacing w:line="240" w:lineRule="auto" w:before="0"/>
        <w:rPr>
          <w:rFonts w:ascii="宋体" w:hAnsi="宋体" w:cs="宋体" w:eastAsia="宋体" w:hint="default"/>
          <w:sz w:val="22"/>
          <w:szCs w:val="22"/>
        </w:rPr>
      </w:pPr>
    </w:p>
    <w:p>
      <w:pPr>
        <w:pStyle w:val="Heading4"/>
        <w:spacing w:line="240" w:lineRule="auto"/>
        <w:ind w:right="0"/>
        <w:jc w:val="left"/>
        <w:rPr>
          <w:b w:val="0"/>
          <w:bCs w:val="0"/>
        </w:rPr>
      </w:pPr>
      <w:bookmarkStart w:name="28、长期应付款" w:id="311"/>
      <w:bookmarkEnd w:id="311"/>
      <w:r>
        <w:rPr>
          <w:b w:val="0"/>
          <w:bCs w:val="0"/>
        </w:rPr>
      </w:r>
      <w:r>
        <w:rPr>
          <w:rFonts w:ascii="Times New Roman" w:hAnsi="Times New Roman" w:cs="Times New Roman" w:eastAsia="Times New Roman" w:hint="default"/>
        </w:rPr>
        <w:t>28</w:t>
      </w:r>
      <w:r>
        <w:rPr/>
        <w:t>、长期应付款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37,271,912.83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9,351,212.98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37,271,912.83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9,351,212.98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按款项性质列示长期应付款" w:id="312"/>
      <w:bookmarkEnd w:id="312"/>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专项应付款" w:id="313"/>
      <w:bookmarkEnd w:id="313"/>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9、递延收益" w:id="314"/>
      <w:bookmarkEnd w:id="314"/>
      <w:r>
        <w:rPr>
          <w:b w:val="0"/>
          <w:bCs w:val="0"/>
        </w:rPr>
      </w:r>
      <w:r>
        <w:rPr>
          <w:rFonts w:ascii="Times New Roman" w:hAnsi="Times New Roman" w:cs="Times New Roman" w:eastAsia="Times New Roman" w:hint="default"/>
        </w:rPr>
        <w:t>29</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1" w:hRule="exact"/>
        </w:trPr>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20,020,000.00</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4,000,000.00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4,300,000.00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19,720,000.00</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尚不符合确认营业 外收入的条件</w:t>
            </w:r>
          </w:p>
        </w:tc>
      </w:tr>
      <w:tr>
        <w:trPr>
          <w:trHeight w:val="392" w:hRule="exact"/>
        </w:trPr>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未确认售后租回损 益</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15,186,067.70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15,186,067.70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未确认售后租回损 益</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22" w:right="0"/>
              <w:jc w:val="left"/>
              <w:rPr>
                <w:rFonts w:ascii="Times New Roman" w:hAnsi="Times New Roman" w:cs="Times New Roman" w:eastAsia="Times New Roman" w:hint="default"/>
                <w:sz w:val="18"/>
                <w:szCs w:val="18"/>
              </w:rPr>
            </w:pPr>
            <w:r>
              <w:rPr>
                <w:rFonts w:ascii="Times New Roman"/>
                <w:sz w:val="18"/>
              </w:rPr>
              <w:t>20,020,000.00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19,186,067.70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4,300,000.00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34,906,067.70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深圳市财政 委员会节能 环保补贴款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大型建筑主 动蓄冷中央 空调系统合 同能源管理 产业化项目 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7,500,000.00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7,500,000.00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3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大型建筑主 动蓄冷的中 央空调系统 合同能源管 理产业化项 目（深发改</w:t>
            </w:r>
          </w:p>
          <w:p>
            <w:pPr>
              <w:pStyle w:val="TableParagraph"/>
              <w:spacing w:line="240" w:lineRule="auto" w:before="19"/>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宋体" w:hAnsi="宋体" w:cs="宋体" w:eastAsia="宋体" w:hint="default"/>
                <w:spacing w:val="-74"/>
                <w:sz w:val="18"/>
                <w:szCs w:val="18"/>
              </w:rPr>
              <w:t>）</w:t>
            </w:r>
            <w:r>
              <w:rPr>
                <w:rFonts w:ascii="Times New Roman" w:hAnsi="Times New Roman" w:cs="Times New Roman" w:eastAsia="Times New Roman" w:hint="default"/>
                <w:sz w:val="18"/>
                <w:szCs w:val="18"/>
              </w:rPr>
              <w:t>1581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2,220,000.00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2,220,000.00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广东省建筑 节能与环境 控制工程技 术研究中心</w:t>
            </w:r>
          </w:p>
          <w:p>
            <w:pPr>
              <w:pStyle w:val="TableParagraph"/>
              <w:spacing w:line="316" w:lineRule="auto" w:before="19"/>
              <w:ind w:left="22" w:right="100"/>
              <w:jc w:val="both"/>
              <w:rPr>
                <w:rFonts w:ascii="Times New Roman" w:hAnsi="Times New Roman" w:cs="Times New Roman" w:eastAsia="Times New Roman" w:hint="default"/>
                <w:sz w:val="18"/>
                <w:szCs w:val="18"/>
              </w:rPr>
            </w:pPr>
            <w:r>
              <w:rPr>
                <w:rFonts w:ascii="宋体" w:hAnsi="宋体" w:cs="宋体" w:eastAsia="宋体" w:hint="default"/>
                <w:sz w:val="18"/>
                <w:szCs w:val="18"/>
              </w:rPr>
              <w:t>（粤科规财 字</w:t>
            </w:r>
            <w:r>
              <w:rPr>
                <w:rFonts w:ascii="Times New Roman" w:hAnsi="Times New Roman" w:cs="Times New Roman" w:eastAsia="Times New Roman" w:hint="default"/>
                <w:sz w:val="18"/>
                <w:szCs w:val="18"/>
              </w:rPr>
              <w:t>[2014]205</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深圳集中式 空调能效管 控技术工程 实验室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89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深圳市财政 委员会关于 </w:t>
            </w:r>
            <w:r>
              <w:rPr>
                <w:rFonts w:ascii="宋体" w:hAnsi="宋体" w:cs="宋体" w:eastAsia="宋体" w:hint="default"/>
                <w:spacing w:val="-13"/>
                <w:sz w:val="18"/>
                <w:szCs w:val="18"/>
              </w:rPr>
              <w:t>节能工程、循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环经济和资 源节约重大 示范项目及 重大污染治 理工程政府 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智能建筑人 工坏境下的 实时机电节 能控制技术 产业化项目 </w:t>
            </w:r>
            <w:r>
              <w:rPr>
                <w:rFonts w:ascii="宋体" w:hAnsi="宋体" w:cs="宋体" w:eastAsia="宋体" w:hint="default"/>
                <w:spacing w:val="-13"/>
                <w:sz w:val="18"/>
                <w:szCs w:val="18"/>
              </w:rPr>
              <w:t>补助（深发改</w:t>
            </w:r>
          </w:p>
          <w:p>
            <w:pPr>
              <w:pStyle w:val="TableParagraph"/>
              <w:spacing w:line="240" w:lineRule="auto" w:before="58"/>
              <w:ind w:left="22" w:right="0"/>
              <w:jc w:val="both"/>
              <w:rPr>
                <w:rFonts w:ascii="Times New Roman" w:hAnsi="Times New Roman" w:cs="Times New Roman" w:eastAsia="Times New Roman" w:hint="default"/>
                <w:sz w:val="18"/>
                <w:szCs w:val="18"/>
              </w:rPr>
            </w:pPr>
            <w:r>
              <w:rPr>
                <w:rFonts w:ascii="Times New Roman"/>
                <w:sz w:val="18"/>
              </w:rPr>
              <w:t>[2017]516</w:t>
            </w:r>
          </w:p>
          <w:p>
            <w:pPr>
              <w:pStyle w:val="TableParagraph"/>
              <w:spacing w:line="240" w:lineRule="auto" w:before="66"/>
              <w:ind w:left="22" w:right="0"/>
              <w:jc w:val="both"/>
              <w:rPr>
                <w:rFonts w:ascii="宋体" w:hAnsi="宋体" w:cs="宋体" w:eastAsia="宋体" w:hint="default"/>
                <w:sz w:val="18"/>
                <w:szCs w:val="18"/>
              </w:rPr>
            </w:pPr>
            <w:r>
              <w:rPr>
                <w:rFonts w:ascii="宋体" w:hAnsi="宋体" w:cs="宋体" w:eastAsia="宋体" w:hint="default"/>
                <w:sz w:val="18"/>
                <w:szCs w:val="18"/>
              </w:rPr>
              <w:t>号）</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基于物联网 大数据的智 慧能源监控 系统关键技 术研发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0、股本" w:id="315"/>
      <w:bookmarkEnd w:id="315"/>
      <w:r>
        <w:rPr>
          <w:b w:val="0"/>
          <w:bCs w:val="0"/>
        </w:rPr>
      </w:r>
      <w:r>
        <w:rPr>
          <w:rFonts w:ascii="Times New Roman" w:hAnsi="Times New Roman" w:cs="Times New Roman" w:eastAsia="Times New Roman" w:hint="default"/>
        </w:rPr>
        <w:t>30</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714"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1,923,597,501.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-21,438,272.00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-21,438,272.00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1,902,159,229.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1、资本公积" w:id="316"/>
      <w:bookmarkEnd w:id="316"/>
      <w:r>
        <w:rPr>
          <w:b w:val="0"/>
          <w:bCs w:val="0"/>
        </w:rPr>
      </w:r>
      <w:r>
        <w:rPr>
          <w:rFonts w:ascii="Times New Roman" w:hAnsi="Times New Roman" w:cs="Times New Roman" w:eastAsia="Times New Roman" w:hint="default"/>
        </w:rPr>
        <w:t>31</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219,445,929.25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16,157,591.08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83,650,728.24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151,952,792.09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1,462,766.32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1,462,766.32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220,908,695.57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16,157,591.08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83,650,728.24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153,415,558.41</w:t>
            </w:r>
          </w:p>
        </w:tc>
      </w:tr>
    </w:tbl>
    <w:p>
      <w:pPr>
        <w:pStyle w:val="BodyText"/>
        <w:spacing w:line="240" w:lineRule="auto" w:before="51"/>
        <w:ind w:right="0"/>
        <w:jc w:val="left"/>
      </w:pPr>
      <w:r>
        <w:rPr/>
        <w:t>其他说明，包括本期增减变动情况、变动原因说明：</w:t>
      </w:r>
    </w:p>
    <w:p>
      <w:pPr>
        <w:pStyle w:val="BodyText"/>
        <w:spacing w:line="240" w:lineRule="auto" w:before="116"/>
        <w:ind w:left="574" w:right="0"/>
        <w:jc w:val="left"/>
      </w:pPr>
      <w:r>
        <w:rPr/>
        <w:t>（</w:t>
      </w:r>
      <w:r>
        <w:rPr>
          <w:rFonts w:ascii="Times New Roman" w:hAnsi="Times New Roman" w:cs="Times New Roman" w:eastAsia="Times New Roman" w:hint="default"/>
        </w:rPr>
        <w:t>1</w:t>
      </w:r>
      <w:r>
        <w:rPr/>
        <w:t>）本报告期资本溢价（股本溢价）增加系公司限制性股票激励费用企业所得税税前可抵扣差异增加资本公积</w:t>
      </w:r>
    </w:p>
    <w:p>
      <w:pPr>
        <w:pStyle w:val="BodyText"/>
        <w:spacing w:line="240" w:lineRule="auto" w:before="64"/>
        <w:ind w:right="0"/>
        <w:jc w:val="left"/>
      </w:pPr>
      <w:r>
        <w:rPr>
          <w:rFonts w:ascii="Times New Roman" w:hAnsi="Times New Roman" w:cs="Times New Roman" w:eastAsia="Times New Roman" w:hint="default"/>
        </w:rPr>
        <w:t>16,157,591.08</w:t>
      </w:r>
      <w:r>
        <w:rPr>
          <w:rFonts w:ascii="Times New Roman" w:hAnsi="Times New Roman" w:cs="Times New Roman" w:eastAsia="Times New Roman" w:hint="default"/>
          <w:spacing w:val="-2"/>
        </w:rPr>
        <w:t> </w:t>
      </w:r>
      <w:r>
        <w:rPr/>
        <w:t>元。</w:t>
      </w:r>
    </w:p>
    <w:p>
      <w:pPr>
        <w:pStyle w:val="BodyText"/>
        <w:spacing w:line="240" w:lineRule="auto" w:before="102"/>
        <w:ind w:left="574" w:right="0"/>
        <w:jc w:val="left"/>
      </w:pPr>
      <w:r>
        <w:rPr/>
        <w:t>（</w:t>
      </w:r>
      <w:r>
        <w:rPr>
          <w:rFonts w:ascii="Times New Roman" w:hAnsi="Times New Roman" w:cs="Times New Roman" w:eastAsia="Times New Roman" w:hint="default"/>
        </w:rPr>
        <w:t>2</w:t>
      </w:r>
      <w:r>
        <w:rPr/>
        <w:t>）本报告期资本溢价（股本溢价）减少系股票回购注销股份减少资本公积</w:t>
      </w:r>
      <w:r>
        <w:rPr>
          <w:spacing w:val="-47"/>
        </w:rPr>
        <w:t> </w:t>
      </w:r>
      <w:r>
        <w:rPr>
          <w:rFonts w:ascii="Times New Roman" w:hAnsi="Times New Roman" w:cs="Times New Roman" w:eastAsia="Times New Roman" w:hint="default"/>
        </w:rPr>
        <w:t>83,650,728.24</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2、库存股" w:id="317"/>
      <w:bookmarkEnd w:id="317"/>
      <w:r>
        <w:rPr>
          <w:b w:val="0"/>
          <w:bCs w:val="0"/>
        </w:rPr>
      </w:r>
      <w:r>
        <w:rPr>
          <w:rFonts w:ascii="Times New Roman" w:hAnsi="Times New Roman" w:cs="Times New Roman" w:eastAsia="Times New Roman" w:hint="default"/>
        </w:rPr>
        <w:t>32</w:t>
      </w:r>
      <w:r>
        <w:rPr/>
        <w:t>、库存股</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因减少注册资本而收购 的本公司股份</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99,948,204.74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99,948,204.74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股权激励授予限制性股 票的回购义务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38,525,177.00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38,525,177.00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38,525,177.00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99,948,204.74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138,473,381.74</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其他说明，包括本期增减变动情况、变动原因说明：</w:t>
      </w:r>
    </w:p>
    <w:p>
      <w:pPr>
        <w:pStyle w:val="BodyText"/>
        <w:spacing w:line="300" w:lineRule="auto" w:before="115"/>
        <w:ind w:right="1130" w:firstLine="420"/>
        <w:jc w:val="right"/>
      </w:pPr>
      <w:r>
        <w:rPr>
          <w:spacing w:val="-1"/>
        </w:rPr>
        <w:t>（</w:t>
      </w:r>
      <w:r>
        <w:rPr>
          <w:rFonts w:ascii="Times New Roman" w:hAnsi="Times New Roman" w:cs="Times New Roman" w:eastAsia="Times New Roman" w:hint="default"/>
          <w:spacing w:val="-1"/>
        </w:rPr>
        <w:t>1</w:t>
      </w:r>
      <w:r>
        <w:rPr>
          <w:spacing w:val="-1"/>
        </w:rPr>
        <w:t>）公司第六届董事会第十三次会议审议、</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1"/>
        </w:rPr>
        <w:t> </w:t>
      </w:r>
      <w:r>
        <w:rPr>
          <w:spacing w:val="-4"/>
        </w:rPr>
        <w:t>年第二次临时股东大会决议通过了《关于回购公司股份的预案》，同</w:t>
      </w:r>
      <w:r>
        <w:rPr/>
        <w:t> 意公司用自有资金回购公司部分社会公众股份，回购的股份用作注销以减少公司注册资本。自</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日至</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p>
    <w:p>
      <w:pPr>
        <w:pStyle w:val="BodyText"/>
        <w:spacing w:line="240" w:lineRule="auto" w:before="13"/>
        <w:ind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日回购了</w:t>
      </w:r>
      <w:r>
        <w:rPr>
          <w:spacing w:val="-46"/>
        </w:rPr>
        <w:t> </w:t>
      </w:r>
      <w:r>
        <w:rPr>
          <w:rFonts w:ascii="Times New Roman" w:hAnsi="Times New Roman" w:cs="Times New Roman" w:eastAsia="Times New Roman" w:hint="default"/>
        </w:rPr>
        <w:t>19,318,322</w:t>
      </w:r>
      <w:r>
        <w:rPr>
          <w:rFonts w:ascii="Times New Roman" w:hAnsi="Times New Roman" w:cs="Times New Roman" w:eastAsia="Times New Roman" w:hint="default"/>
          <w:spacing w:val="-1"/>
        </w:rPr>
        <w:t> </w:t>
      </w:r>
      <w:r>
        <w:rPr/>
        <w:t>股流通股份，占回购股份方案实施前公司总股本的</w:t>
      </w:r>
      <w:r>
        <w:rPr>
          <w:spacing w:val="-46"/>
        </w:rPr>
        <w:t> </w:t>
      </w:r>
      <w:r>
        <w:rPr>
          <w:rFonts w:ascii="Times New Roman" w:hAnsi="Times New Roman" w:cs="Times New Roman" w:eastAsia="Times New Roman" w:hint="default"/>
        </w:rPr>
        <w:t>1.00%</w:t>
      </w:r>
      <w:r>
        <w:rPr/>
        <w:t>，最高成交价为</w:t>
      </w:r>
      <w:r>
        <w:rPr>
          <w:spacing w:val="-46"/>
        </w:rPr>
        <w:t> </w:t>
      </w:r>
      <w:r>
        <w:rPr>
          <w:rFonts w:ascii="Times New Roman" w:hAnsi="Times New Roman" w:cs="Times New Roman" w:eastAsia="Times New Roman" w:hint="default"/>
        </w:rPr>
        <w:t>5.5</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股，最低成交</w:t>
      </w:r>
    </w:p>
    <w:p>
      <w:pPr>
        <w:pStyle w:val="BodyText"/>
        <w:spacing w:line="240" w:lineRule="auto" w:before="64"/>
        <w:ind w:right="0"/>
        <w:jc w:val="left"/>
      </w:pPr>
      <w:r>
        <w:rPr/>
        <w:t>价为</w:t>
      </w:r>
      <w:r>
        <w:rPr>
          <w:spacing w:val="-46"/>
        </w:rPr>
        <w:t> </w:t>
      </w:r>
      <w:r>
        <w:rPr>
          <w:rFonts w:ascii="Times New Roman" w:hAnsi="Times New Roman" w:cs="Times New Roman" w:eastAsia="Times New Roman" w:hint="default"/>
        </w:rPr>
        <w:t>4.95 </w:t>
      </w:r>
      <w:r>
        <w:rPr/>
        <w:t>元</w:t>
      </w:r>
      <w:r>
        <w:rPr>
          <w:rFonts w:ascii="Times New Roman" w:hAnsi="Times New Roman" w:cs="Times New Roman" w:eastAsia="Times New Roman" w:hint="default"/>
        </w:rPr>
        <w:t>/</w:t>
      </w:r>
      <w:r>
        <w:rPr/>
        <w:t>股。公司于</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日完成股份回购注销手续。</w:t>
      </w:r>
    </w:p>
    <w:p>
      <w:pPr>
        <w:pStyle w:val="BodyText"/>
        <w:spacing w:line="240" w:lineRule="auto" w:before="103"/>
        <w:ind w:left="574" w:right="0"/>
        <w:jc w:val="left"/>
      </w:pPr>
      <w:r>
        <w:rPr/>
        <w:t>（</w:t>
      </w:r>
      <w:r>
        <w:rPr>
          <w:rFonts w:ascii="Times New Roman" w:hAnsi="Times New Roman" w:cs="Times New Roman" w:eastAsia="Times New Roman" w:hint="default"/>
        </w:rPr>
        <w:t>2</w:t>
      </w:r>
      <w:r>
        <w:rPr/>
        <w:t>）限制性股票激励计划相关内容详见附注十三、股份支付说明。</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3、盈余公积" w:id="318"/>
      <w:bookmarkEnd w:id="318"/>
      <w:r>
        <w:rPr>
          <w:b w:val="0"/>
          <w:bCs w:val="0"/>
        </w:rPr>
      </w:r>
      <w:r>
        <w:rPr>
          <w:rFonts w:ascii="Times New Roman" w:hAnsi="Times New Roman" w:cs="Times New Roman" w:eastAsia="Times New Roman" w:hint="default"/>
        </w:rPr>
        <w:t>33</w:t>
      </w:r>
      <w:r>
        <w:rPr/>
        <w:t>、盈余公积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75,593,568.46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20,823,886.91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96,417,455.37</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75,593,568.46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20,823,886.91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96,417,455.37</w:t>
            </w:r>
          </w:p>
        </w:tc>
      </w:tr>
    </w:tbl>
    <w:p>
      <w:pPr>
        <w:pStyle w:val="BodyText"/>
        <w:spacing w:line="240" w:lineRule="auto" w:before="51"/>
        <w:ind w:right="0"/>
        <w:jc w:val="left"/>
      </w:pPr>
      <w:r>
        <w:rPr/>
        <w:t>盈余公积说明，包括本期增减变动情况、变动原因说明：</w:t>
      </w:r>
    </w:p>
    <w:p>
      <w:pPr>
        <w:pStyle w:val="BodyText"/>
        <w:spacing w:line="300" w:lineRule="auto" w:before="115"/>
        <w:ind w:right="1117" w:firstLine="420"/>
        <w:jc w:val="left"/>
      </w:pPr>
      <w:r>
        <w:rPr>
          <w:spacing w:val="-6"/>
        </w:rPr>
        <w:t>根据《公司法》、公司章程的规定，本公司按净利润的</w:t>
      </w:r>
      <w:r>
        <w:rPr>
          <w:spacing w:val="-32"/>
        </w:rPr>
        <w:t> </w:t>
      </w:r>
      <w:r>
        <w:rPr>
          <w:rFonts w:ascii="Times New Roman" w:hAnsi="Times New Roman" w:cs="Times New Roman" w:eastAsia="Times New Roman" w:hint="default"/>
          <w:spacing w:val="-1"/>
        </w:rPr>
        <w:t>10%</w:t>
      </w:r>
      <w:r>
        <w:rPr>
          <w:spacing w:val="-1"/>
        </w:rPr>
        <w:t>提取法定盈余公积。法定盈余公积累计额达到本公司注册资</w:t>
      </w:r>
      <w:r>
        <w:rPr/>
        <w:t> 本</w:t>
      </w:r>
      <w:r>
        <w:rPr>
          <w:spacing w:val="-46"/>
        </w:rPr>
        <w:t> </w:t>
      </w:r>
      <w:r>
        <w:rPr>
          <w:rFonts w:ascii="Times New Roman" w:hAnsi="Times New Roman" w:cs="Times New Roman" w:eastAsia="Times New Roman" w:hint="default"/>
        </w:rPr>
        <w:t>50%</w:t>
      </w:r>
      <w:r>
        <w:rPr/>
        <w:t>以上的，不再提取。在提取法定盈余公积金后，可提取任意盈余公积金。经批准，任意盈余公积金可用于弥补以前</w:t>
      </w:r>
    </w:p>
    <w:p>
      <w:pPr>
        <w:spacing w:after="0" w:line="300" w:lineRule="auto"/>
        <w:jc w:val="left"/>
        <w:sectPr>
          <w:pgSz w:w="11910" w:h="16840"/>
          <w:pgMar w:header="787" w:footer="1019" w:top="1100" w:bottom="1200" w:left="980" w:right="0"/>
        </w:sectPr>
      </w:pPr>
    </w:p>
    <w:p>
      <w:pPr>
        <w:spacing w:line="240" w:lineRule="auto" w:before="11"/>
        <w:rPr>
          <w:rFonts w:ascii="宋体" w:hAnsi="宋体" w:cs="宋体" w:eastAsia="宋体" w:hint="default"/>
          <w:sz w:val="22"/>
          <w:szCs w:val="22"/>
        </w:rPr>
      </w:pPr>
    </w:p>
    <w:p>
      <w:pPr>
        <w:pStyle w:val="BodyText"/>
        <w:spacing w:line="240" w:lineRule="auto" w:before="44"/>
        <w:ind w:right="0"/>
        <w:jc w:val="left"/>
      </w:pPr>
      <w:r>
        <w:rPr/>
        <w:t>年度亏损或增加股本。</w:t>
      </w:r>
    </w:p>
    <w:p>
      <w:pPr>
        <w:pStyle w:val="BodyText"/>
        <w:spacing w:line="240" w:lineRule="auto" w:before="116"/>
        <w:ind w:left="574" w:right="0"/>
        <w:jc w:val="left"/>
      </w:pPr>
      <w:r>
        <w:rPr/>
        <w:t>本公司按母公司口径本年实现净利润</w:t>
      </w:r>
      <w:r>
        <w:rPr>
          <w:spacing w:val="-47"/>
        </w:rPr>
        <w:t> </w:t>
      </w:r>
      <w:r>
        <w:rPr>
          <w:rFonts w:ascii="Times New Roman" w:hAnsi="Times New Roman" w:cs="Times New Roman" w:eastAsia="Times New Roman" w:hint="default"/>
        </w:rPr>
        <w:t>208,238,869.12</w:t>
      </w:r>
      <w:r>
        <w:rPr>
          <w:rFonts w:ascii="Times New Roman" w:hAnsi="Times New Roman" w:cs="Times New Roman" w:eastAsia="Times New Roman" w:hint="default"/>
          <w:spacing w:val="-1"/>
        </w:rPr>
        <w:t> </w:t>
      </w:r>
      <w:r>
        <w:rPr/>
        <w:t>元，按照</w:t>
      </w:r>
      <w:r>
        <w:rPr>
          <w:spacing w:val="-47"/>
        </w:rPr>
        <w:t> </w:t>
      </w:r>
      <w:r>
        <w:rPr>
          <w:rFonts w:ascii="Times New Roman" w:hAnsi="Times New Roman" w:cs="Times New Roman" w:eastAsia="Times New Roman" w:hint="default"/>
        </w:rPr>
        <w:t>10%</w:t>
      </w:r>
      <w:r>
        <w:rPr/>
        <w:t>的比例提取盈余公积</w:t>
      </w:r>
      <w:r>
        <w:rPr>
          <w:spacing w:val="-47"/>
        </w:rPr>
        <w:t> </w:t>
      </w:r>
      <w:r>
        <w:rPr>
          <w:rFonts w:ascii="Times New Roman" w:hAnsi="Times New Roman" w:cs="Times New Roman" w:eastAsia="Times New Roman" w:hint="default"/>
        </w:rPr>
        <w:t>20,823,886.91</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4、未分配利润" w:id="319"/>
      <w:bookmarkEnd w:id="319"/>
      <w:r>
        <w:rPr>
          <w:b w:val="0"/>
          <w:bCs w:val="0"/>
        </w:rPr>
      </w:r>
      <w:r>
        <w:rPr>
          <w:rFonts w:ascii="Times New Roman" w:hAnsi="Times New Roman" w:cs="Times New Roman" w:eastAsia="Times New Roman" w:hint="default"/>
        </w:rPr>
        <w:t>34</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915,758,650.75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678,378,928.30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915,758,650.75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678,378,928.30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216,769,784.07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311,825,825.86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20,823,886.91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16,757,688.63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56,884,300.61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57,688,414.78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1,054,820,247.30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915,758,650.75</w:t>
            </w:r>
          </w:p>
        </w:tc>
      </w:tr>
    </w:tbl>
    <w:p>
      <w:pPr>
        <w:pStyle w:val="BodyText"/>
        <w:spacing w:line="240" w:lineRule="auto" w:before="51"/>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5、营业收入和营业成本" w:id="320"/>
      <w:bookmarkEnd w:id="320"/>
      <w:r>
        <w:rPr>
          <w:b w:val="0"/>
          <w:bCs w:val="0"/>
        </w:rPr>
      </w:r>
      <w:r>
        <w:rPr>
          <w:rFonts w:ascii="Times New Roman" w:hAnsi="Times New Roman" w:cs="Times New Roman" w:eastAsia="Times New Roman" w:hint="default"/>
        </w:rPr>
        <w:t>35</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2,512,555,112.68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1,712,184,136.03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2,547,682,627.09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1,723,754,411.27</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14,860,162.42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7,439,807.91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24,805,098.93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11,826,392.95</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2,527,415,275.10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1,719,623,943.94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2,572,487,726.02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1,735,580,804.22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6、税金及附加" w:id="321"/>
      <w:bookmarkEnd w:id="321"/>
      <w:r>
        <w:rPr>
          <w:b w:val="0"/>
          <w:bCs w:val="0"/>
        </w:rPr>
      </w:r>
      <w:r>
        <w:rPr>
          <w:rFonts w:ascii="Times New Roman" w:hAnsi="Times New Roman" w:cs="Times New Roman" w:eastAsia="Times New Roman" w:hint="default"/>
        </w:rPr>
        <w:t>36</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3,015,317.71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2,822,078.99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1,352,002.32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1,700,331.53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1,388,906.30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1,193,302.56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428,851.24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428,419.84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18,342.90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16,385.44</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1,648,553.42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1,478,852.01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909,982.54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1,069,141.89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18,720.00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86,933.22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50,940.06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34,092.68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8,831,616.49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8,829,538.16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7、销售费用" w:id="322"/>
      <w:bookmarkEnd w:id="322"/>
      <w:r>
        <w:rPr>
          <w:b w:val="0"/>
          <w:bCs w:val="0"/>
        </w:rPr>
      </w:r>
      <w:r>
        <w:rPr>
          <w:rFonts w:ascii="Times New Roman" w:hAnsi="Times New Roman" w:cs="Times New Roman" w:eastAsia="Times New Roman" w:hint="default"/>
        </w:rPr>
        <w:t>37</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134,537,675.32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110,547,457.11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25,131,036.80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22,792,239.53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业务及劳务费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23,066,815.20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16,382,363.10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15,576,098.49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12,548,000.34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工程及售后维护费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13,643,761.72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7,923,612.06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会务及展览费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6,239,406.19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5,508,041.48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咨询会员费、设计费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5,362,134.53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3,834,927.80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4,617,066.88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2,824,101.21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无形资产、长期待摊等资产摊销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4,540,935.42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2,130,598.06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2,982,983.19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2,370,913.05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18,071,295.54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15,231,258.11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253,769,209.28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202,093,511.85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8、管理费用" w:id="323"/>
      <w:bookmarkEnd w:id="323"/>
      <w:r>
        <w:rPr>
          <w:b w:val="0"/>
          <w:bCs w:val="0"/>
        </w:rPr>
      </w:r>
      <w:r>
        <w:rPr>
          <w:rFonts w:ascii="Times New Roman" w:hAnsi="Times New Roman" w:cs="Times New Roman" w:eastAsia="Times New Roman" w:hint="default"/>
        </w:rPr>
        <w:t>38</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52,592,430.94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60,305,434.70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11,430,397.57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9,133,673.87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无形资产、长期待摊等资产摊销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10,299,672.64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8,420,795.40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10,162,785.36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10,113,942.96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咨询及审计费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8,826,292.17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8,258,772.72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5,995,659.14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4,159,207.36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5,954,433.68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7,194,722.41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4,551,258.55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5,524,680.31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水电费及物管费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3,711,924.89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5,393,440.27</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3,583,995.22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2,777,905.69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19,038,950.02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22,237,811.83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136,147,800.18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143,520,387.52</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9、研发费用" w:id="324"/>
      <w:bookmarkEnd w:id="324"/>
      <w:r>
        <w:rPr>
          <w:b w:val="0"/>
          <w:bCs w:val="0"/>
        </w:rPr>
      </w:r>
      <w:r>
        <w:rPr>
          <w:rFonts w:ascii="Times New Roman" w:hAnsi="Times New Roman" w:cs="Times New Roman" w:eastAsia="Times New Roman" w:hint="default"/>
        </w:rPr>
        <w:t>39</w:t>
      </w:r>
      <w:r>
        <w:rPr/>
        <w:t>、研发费用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医院轨道物流系统集成与样机研发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17,346,708.95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6,544,317.60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CPS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的医院轨道物流信息采集与传 输技术研究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7,425,176.03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4,711,089.72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新一代手术导航机器人</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10,162,426.77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达实云门禁系统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4,668,164.53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4,885,894.22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城市轨道交通能源管理系统</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6,679,093.57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智能建筑设备运维移动互联网平台研发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4,606,837.73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动态冰蓄冷及其节能控制技术研究</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3,416,914.27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城市轨道交通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AFC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设备运维系统</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3,302,546.42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智慧医院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BIM+FM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运维管理平台开发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3,093,241.44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智慧医院后勤运维综合管控平台开发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3,054,633.39</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机场智慧行李分拣中心监控平台研发</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ABSSV1.0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2,841,646.28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BIM</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智能空调控制系统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749,301.12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1,448,792.74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达实实时数据库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dasRdbv3.0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开发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1,922,578.80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视频分析的主控室智能监控系统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987,563.94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525,438.87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4K</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高清数字一体化手术室系统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1,432,046.92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58,671.40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无人机电力线巡检系统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1,041,680.35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352,258.21</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基于物联网大数据的智慧能源监控系统 关键技术研发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1,170,294.87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物联网智能家居终端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1,108,354.81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中央空调模糊控制系统</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HVAC-FCS1.0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279,031.93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790,801.68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BIM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的环境监测系统管理软件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261,821.92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773,184.96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BIM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的空调管理系统软件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103,788.15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927,689.00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手术部资产定位管理系统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987,109.33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SmartIBMS</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969,025.03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肝胆专科数字一体化手术室系统</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955,736.72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7,310,047.07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7,734,539.01</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47,573,406.42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67,055,041.33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0、财务费用" w:id="325"/>
      <w:bookmarkEnd w:id="325"/>
      <w:r>
        <w:rPr>
          <w:b w:val="0"/>
          <w:bCs w:val="0"/>
        </w:rPr>
      </w:r>
      <w:r>
        <w:rPr>
          <w:rFonts w:ascii="Times New Roman" w:hAnsi="Times New Roman" w:cs="Times New Roman" w:eastAsia="Times New Roman" w:hint="default"/>
        </w:rPr>
        <w:t>40</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29,888,739.08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12,431,341.16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6,009,102.95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8,144,217.52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未确认融资损失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减：未确认融资收益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231,684.34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460,486.82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2,426,318.74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803,931.93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501,256.17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283,503.29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26,575,526.70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4,914,072.04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1、资产减值损失" w:id="326"/>
      <w:bookmarkEnd w:id="326"/>
      <w:r>
        <w:rPr>
          <w:b w:val="0"/>
          <w:bCs w:val="0"/>
        </w:rPr>
      </w:r>
      <w:r>
        <w:rPr>
          <w:rFonts w:ascii="Times New Roman" w:hAnsi="Times New Roman" w:cs="Times New Roman" w:eastAsia="Times New Roman" w:hint="default"/>
        </w:rPr>
        <w:t>41</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85,829,529.79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29,897,466.45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2,826,403.28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9,679,896.30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88,655,933.07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39,577,362.75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2、其他收益" w:id="327"/>
      <w:bookmarkEnd w:id="327"/>
      <w:r>
        <w:rPr>
          <w:b w:val="0"/>
          <w:bCs w:val="0"/>
        </w:rPr>
      </w:r>
      <w:r>
        <w:rPr>
          <w:rFonts w:ascii="Times New Roman" w:hAnsi="Times New Roman" w:cs="Times New Roman" w:eastAsia="Times New Roman" w:hint="default"/>
        </w:rPr>
        <w:t>42</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即征即退增值税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12,451,673.94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7,599,622.74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深圳市财政委员会节能环保补贴款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动态冰蓄冷及其节能控制技术在商用建 筑中的应用示范政府项目补助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深圳市南山区财政局工业增加值奖励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2,411,300.00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1,819,200.00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深圳市科技创新委员会资助款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1,871,000.00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智能建筑人工环境下的实时机电节能控 制技术产业化项目深发改</w:t>
            </w:r>
            <w:r>
              <w:rPr>
                <w:rFonts w:ascii="Times New Roman" w:hAnsi="Times New Roman" w:cs="Times New Roman" w:eastAsia="Times New Roman" w:hint="default"/>
                <w:sz w:val="18"/>
                <w:szCs w:val="18"/>
              </w:rPr>
              <w:t>[2017]516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年南山区自主创新产业发展专项资金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上海市青浦区扶持资金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546,800.00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2,520,700.00</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深圳市企业研究开发资助款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534,000.00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省级工业和信息产业转型升级专项资金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373,257.14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135,397.12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363,148.70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821,286.19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创新人才补助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299,680.00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334,182.50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其他专项政府补助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268,380.00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28,600.00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261,718.08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196,624.66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深圳市南山区经济促进局工业旅游资助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人才实训基地计划资助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122,700.00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杨浦财政局科技专项资金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企业倍增支持计划项目补助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科学技术进步奖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深圳市民营及中小企业发展专项资金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108,890.00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深圳市住房和建设局绿色建筑标识评价 补贴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企业所得税手续费返还</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18,852.11</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主动蓄能的分布式冷热电联产系统集成 研究补助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深圳市战略新兴产业发展专项资金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深圳市南山区财政局南山区建筑节能技 术工程技术研究开发中心专项资金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深圳市住房和建设局市公安局机关合同 能源管理节能改造项目补助款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416,203.20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深圳市南山区住房和建设局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年度南 山区自主创新产业发展专项资金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南山区发展和改革局节能减排专项资金 资助款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上海市青浦区朱家角镇政府奖励款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28,821,457.86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19,217,258.52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3、投资收益" w:id="328"/>
      <w:bookmarkEnd w:id="328"/>
      <w:r>
        <w:rPr>
          <w:b w:val="0"/>
          <w:bCs w:val="0"/>
        </w:rPr>
      </w:r>
      <w:r>
        <w:rPr>
          <w:rFonts w:ascii="Times New Roman" w:hAnsi="Times New Roman" w:cs="Times New Roman" w:eastAsia="Times New Roman" w:hint="default"/>
        </w:rPr>
        <w:t>43</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701,495.18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-329,995.02</w:t>
            </w:r>
            <w:r>
              <w:rPr>
                <w:rFonts w:ascii="Times New Roman"/>
                <w:sz w:val="18"/>
              </w:rPr>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-13,432,428.28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-2,516.87</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323,365.63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量产生的利得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-3,138,656.35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-15,546,223.82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-332,511.89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4、资产处置收益" w:id="329"/>
      <w:bookmarkEnd w:id="329"/>
      <w:r>
        <w:rPr>
          <w:b w:val="0"/>
          <w:bCs w:val="0"/>
        </w:rPr>
      </w:r>
      <w:r>
        <w:rPr>
          <w:rFonts w:ascii="Times New Roman" w:hAnsi="Times New Roman" w:cs="Times New Roman" w:eastAsia="Times New Roman" w:hint="default"/>
        </w:rPr>
        <w:t>44</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未划分为持有待售的资产处置利得或损 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140,347.93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-274,190.11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140,347.93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-274,190.11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140,347.93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-274,190.11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5、营业外收入" w:id="330"/>
      <w:bookmarkEnd w:id="330"/>
      <w:r>
        <w:rPr>
          <w:b w:val="0"/>
          <w:bCs w:val="0"/>
        </w:rPr>
      </w:r>
      <w:r>
        <w:rPr>
          <w:rFonts w:ascii="Times New Roman" w:hAnsi="Times New Roman" w:cs="Times New Roman" w:eastAsia="Times New Roman" w:hint="default"/>
        </w:rPr>
        <w:t>45</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罚没收入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17,322.59</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17,322.59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党群经费补助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206,000.00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789,130.59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874,153.63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789,130.59</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1,012,453.18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924,153.63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1,012,453.18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6、营业外支出" w:id="331"/>
      <w:bookmarkEnd w:id="331"/>
      <w:r>
        <w:rPr>
          <w:b w:val="0"/>
          <w:bCs w:val="0"/>
        </w:rPr>
      </w:r>
      <w:r>
        <w:rPr>
          <w:rFonts w:ascii="Times New Roman" w:hAnsi="Times New Roman" w:cs="Times New Roman" w:eastAsia="Times New Roman" w:hint="default"/>
        </w:rPr>
        <w:t>46</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1,327,659.56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1,327,659.56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845,710.00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845,710.00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罚没支出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47,438.69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47,438.69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288,743.20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6,748.68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288,743.20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2,601,770.60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152,915.67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2,601,770.60</w:t>
            </w:r>
          </w:p>
        </w:tc>
      </w:tr>
      <w:tr>
        <w:trPr>
          <w:trHeight w:val="40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5,111,322.05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549,691.33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5,111,322.05</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8"/>
        <w:rPr>
          <w:rFonts w:ascii="宋体" w:hAnsi="宋体" w:cs="宋体" w:eastAsia="宋体" w:hint="default"/>
          <w:sz w:val="21"/>
          <w:szCs w:val="21"/>
        </w:rPr>
      </w:pPr>
    </w:p>
    <w:p>
      <w:pPr>
        <w:pStyle w:val="Heading4"/>
        <w:spacing w:line="240" w:lineRule="auto" w:before="35"/>
        <w:ind w:right="0"/>
        <w:jc w:val="left"/>
        <w:rPr>
          <w:b w:val="0"/>
          <w:bCs w:val="0"/>
        </w:rPr>
      </w:pPr>
      <w:bookmarkStart w:name="47、所得税费用" w:id="332"/>
      <w:bookmarkEnd w:id="332"/>
      <w:r>
        <w:rPr>
          <w:b w:val="0"/>
          <w:bCs w:val="0"/>
        </w:rPr>
      </w:r>
      <w:r>
        <w:rPr>
          <w:rFonts w:ascii="Times New Roman" w:hAnsi="Times New Roman" w:cs="Times New Roman" w:eastAsia="Times New Roman" w:hint="default"/>
        </w:rPr>
        <w:t>47</w:t>
      </w:r>
      <w:r>
        <w:rPr/>
        <w:t>、所得税费用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333"/>
      <w:bookmarkEnd w:id="33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62,063,636.40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59,907,085.34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-20,321,680.17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-3,283,854.78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41,741,956.23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56,623,230.56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会计利润与所得税费用调整过程" w:id="334"/>
      <w:bookmarkEnd w:id="33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255,554,552.12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38,333,182.82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-2,564,742.03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729,326.19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2,331,933.57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4,498,623.83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109,889.81</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2,781,222.83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税率调整导致年初递延所得税资产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-32,375.00</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税法规定的额外可扣除费用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-4,445,994.39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888.60</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41,741,956.23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8、现金流量表项目" w:id="335"/>
      <w:bookmarkEnd w:id="335"/>
      <w:r>
        <w:rPr>
          <w:b w:val="0"/>
          <w:bCs w:val="0"/>
        </w:rPr>
      </w:r>
      <w:r>
        <w:rPr>
          <w:rFonts w:ascii="Times New Roman" w:hAnsi="Times New Roman" w:cs="Times New Roman" w:eastAsia="Times New Roman" w:hint="default"/>
        </w:rPr>
        <w:t>48</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收到的其他与经营活动有关的现金" w:id="336"/>
      <w:bookmarkEnd w:id="33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施工、投标等保证金收支净额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22,544,340.05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22,397,110.91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其他收益、递延收益收到的政府补助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12,345,231.48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8,522,100.36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4,129,713.25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8,428,919.13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保函及票据保证金收支净额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1,778,361.33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8,569,300.88</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9,383,297.40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1,013,257.68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50,180,943.51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48,930,688.96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支付的其他与经营活动有关的现金" w:id="337"/>
      <w:bookmarkEnd w:id="33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管理费用、销售费用等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123,989,925.93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110,892,617.30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845,710.00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施工、投标、保函等保证金收支净额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63,506,246.61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23,263,493.72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保函保证金收支净额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14,280,199.38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493,168.00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3,941,382.92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11,997,397.44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206,563,464.84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147,036,676.46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收到的其他与投资活动有关的现金" w:id="338"/>
      <w:bookmarkEnd w:id="338"/>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保本型银行理财款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692,050,000.00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320,025,506.85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外部公司拆借还款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16,103,972.22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858,523.10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29,418.53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709,012,495.32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320,054,925.38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支付的其他与投资活动有关的现金" w:id="339"/>
      <w:bookmarkEnd w:id="339"/>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保本型银行理财款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737,050,000.00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外部公司拆借资金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处置子公司收到现金净额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9,857,657.78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15,625,809.92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755,907,657.78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215,625,809.92</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4"/>
        <w:spacing w:line="240" w:lineRule="auto" w:before="35"/>
        <w:ind w:right="0"/>
        <w:jc w:val="left"/>
        <w:rPr>
          <w:b w:val="0"/>
          <w:bCs w:val="0"/>
        </w:rPr>
      </w:pPr>
      <w:bookmarkStart w:name="（5）收到的其他与筹资活动有关的现金" w:id="340"/>
      <w:bookmarkEnd w:id="340"/>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r>
        <w:rPr/>
        <w:pict>
          <v:group style="position:absolute;margin-left:223.339996pt;margin-top:663.369995pt;width:151.25pt;height:20.8pt;mso-position-horizontal-relative:page;mso-position-vertical-relative:page;z-index:-1176232" coordorigin="4467,13267" coordsize="3025,416">
            <v:group style="position:absolute;left:4478;top:13279;width:2;height:393" coordorigin="4478,13279" coordsize="2,393">
              <v:shape style="position:absolute;left:4478;top:13279;width:2;height:393" coordorigin="4478,13279" coordsize="0,393" path="m4478,13279l4478,13671e" filled="false" stroked="true" strokeweight="1.140pt" strokecolor="#ffffff">
                <v:path arrowok="t"/>
              </v:shape>
            </v:group>
            <v:group style="position:absolute;left:4490;top:13279;width:3002;height:393" coordorigin="4490,13279" coordsize="3002,393">
              <v:shape style="position:absolute;left:4490;top:13279;width:3002;height:393" coordorigin="4490,13279" coordsize="3002,393" path="m4490,13671l7491,13671,7491,13279,4490,13279,4490,13671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5,028,059.53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外部资金拆借款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5,028,059.53</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6）支付的其他与筹资活动有关的现金" w:id="341"/>
      <w:bookmarkEnd w:id="341"/>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限制性股票中介费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23,521.83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出质银行定期存单</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105,136,974.35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7,677,351.75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2,496,709.50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116,166,974.35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10,197,583.08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9、现金流量表补充资料" w:id="342"/>
      <w:bookmarkEnd w:id="342"/>
      <w:r>
        <w:rPr>
          <w:b w:val="0"/>
          <w:bCs w:val="0"/>
        </w:rPr>
      </w:r>
      <w:r>
        <w:rPr>
          <w:rFonts w:ascii="Times New Roman" w:hAnsi="Times New Roman" w:cs="Times New Roman" w:eastAsia="Times New Roman" w:hint="default"/>
        </w:rPr>
        <w:t>49</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343"/>
      <w:bookmarkEnd w:id="343"/>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10"/>
        <w:gridCol w:w="205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213,812,595.89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333,278,796.41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88,655,933.07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39,577,362.75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40,452,960.49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42,434,956.93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23,356,040.30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13,619,706.68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4,250,388.11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3,097,842.80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-140,347.93</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274,190.11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658.95</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27,460,437.65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12,714,844.45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15,546,223.82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332,511.89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-19,997,621.48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-3,109,241.54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-86,408,628.84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41,813,008.68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-656,823,979.58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-253,356,988.53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158,860,321.03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-20,549,645.09</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36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-190,975,018.52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210,127,345.54</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820,062,796.84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662,555,637.29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662,555,637.29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507,650,217.06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157,507,159.55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154,905,420.23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本期支付的取得子公司的现金净额" w:id="344"/>
      <w:bookmarkEnd w:id="344"/>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6,850,000.00</w:t>
            </w:r>
          </w:p>
        </w:tc>
      </w:tr>
      <w:tr>
        <w:trPr>
          <w:trHeight w:val="401"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深圳市小鹿暖暖科技有限公司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成都聚雅医信科技有限公司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6,650,000.00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4,343,337.82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深圳市小鹿暖暖科技有限公司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4,243,397.82</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成都聚雅医信科技有限公司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99,940.00</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2,506,662.18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本期收到的处置子公司的现金净额" w:id="345"/>
      <w:bookmarkEnd w:id="345"/>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001"/>
        <w:gridCol w:w="4568"/>
      </w:tblGrid>
      <w:tr>
        <w:trPr>
          <w:trHeight w:val="402" w:hRule="exact"/>
        </w:trPr>
        <w:tc>
          <w:tcPr>
            <w:tcW w:w="50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5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9,857,657.78</w:t>
            </w:r>
          </w:p>
        </w:tc>
      </w:tr>
      <w:tr>
        <w:trPr>
          <w:trHeight w:val="402" w:hRule="exact"/>
        </w:trPr>
        <w:tc>
          <w:tcPr>
            <w:tcW w:w="5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上海达实联欣科技发展有限公司</w:t>
            </w:r>
          </w:p>
        </w:tc>
        <w:tc>
          <w:tcPr>
            <w:tcW w:w="4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9,857,657.78</w:t>
            </w:r>
          </w:p>
        </w:tc>
      </w:tr>
      <w:tr>
        <w:trPr>
          <w:trHeight w:val="402" w:hRule="exact"/>
        </w:trPr>
        <w:tc>
          <w:tcPr>
            <w:tcW w:w="5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-9,857,657.78</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8"/>
        <w:rPr>
          <w:rFonts w:ascii="宋体" w:hAnsi="宋体" w:cs="宋体" w:eastAsia="宋体" w:hint="default"/>
          <w:sz w:val="21"/>
          <w:szCs w:val="21"/>
        </w:rPr>
      </w:pPr>
    </w:p>
    <w:p>
      <w:pPr>
        <w:pStyle w:val="Heading4"/>
        <w:spacing w:line="240" w:lineRule="auto" w:before="35"/>
        <w:ind w:right="0"/>
        <w:jc w:val="left"/>
        <w:rPr>
          <w:b w:val="0"/>
          <w:bCs w:val="0"/>
        </w:rPr>
      </w:pPr>
      <w:bookmarkStart w:name="（4）现金和现金等价物的构成" w:id="346"/>
      <w:bookmarkEnd w:id="346"/>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820,062,796.84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662,555,637.29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397,235.80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369,167.75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819,665,561.04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662,186,469.54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820,062,796.84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662,555,637.29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0、所有权或使用权受到限制的资产" w:id="347"/>
      <w:bookmarkEnd w:id="347"/>
      <w:r>
        <w:rPr>
          <w:b w:val="0"/>
          <w:bCs w:val="0"/>
        </w:rPr>
      </w:r>
      <w:r>
        <w:rPr>
          <w:rFonts w:ascii="Times New Roman" w:hAnsi="Times New Roman" w:cs="Times New Roman" w:eastAsia="Times New Roman" w:hint="default"/>
        </w:rPr>
        <w:t>50</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before="44"/>
        <w:ind w:left="0" w:right="1139"/>
        <w:jc w:val="right"/>
      </w:pPr>
      <w:r>
        <w:rPr/>
        <w:pict>
          <v:shape style="position:absolute;margin-left:56.459999pt;margin-top:-20.94829pt;width:479.2pt;height:156.8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61" w:hRule="exact"/>
                    </w:trPr>
                    <w:tc>
                      <w:tcPr>
                        <w:tcW w:w="3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72,315,119.27</w:t>
                        </w:r>
                      </w:p>
                    </w:tc>
                    <w:tc>
                      <w:tcPr>
                        <w:tcW w:w="3184"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pacing w:val="-2"/>
                            <w:sz w:val="18"/>
                            <w:szCs w:val="18"/>
                          </w:rPr>
                          <w:t>保函及票据保证金、定期存款质押贷款</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银行存款冻结参见附注七、</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货币资金</w:t>
                        </w:r>
                      </w:p>
                    </w:tc>
                  </w:tr>
                  <w:tr>
                    <w:trPr>
                      <w:trHeight w:val="392" w:hRule="exact"/>
                    </w:trPr>
                    <w:tc>
                      <w:tcPr>
                        <w:tcW w:w="33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161" w:hRule="exact"/>
                    </w:trPr>
                    <w:tc>
                      <w:tcPr>
                        <w:tcW w:w="3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7"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有追索权的票据贴现</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33,412,906.11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抵押贷款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44,172,966.54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抵押贷款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629,362,388.84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抵押贷款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822,263,380.76</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4"/>
        <w:spacing w:line="240" w:lineRule="auto" w:before="35"/>
        <w:ind w:right="0"/>
        <w:jc w:val="left"/>
        <w:rPr>
          <w:b w:val="0"/>
          <w:bCs w:val="0"/>
        </w:rPr>
      </w:pPr>
      <w:bookmarkStart w:name="51、外币货币性项目" w:id="348"/>
      <w:bookmarkEnd w:id="348"/>
      <w:r>
        <w:rPr>
          <w:b w:val="0"/>
          <w:bCs w:val="0"/>
        </w:rPr>
      </w:r>
      <w:r>
        <w:rPr>
          <w:rFonts w:ascii="Times New Roman" w:hAnsi="Times New Roman" w:cs="Times New Roman" w:eastAsia="Times New Roman" w:hint="default"/>
        </w:rPr>
        <w:t>51</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349"/>
      <w:bookmarkEnd w:id="349"/>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4,053,961.09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12,121.79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6.8308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82,801.62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499,972.56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3,923,434.67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41,754.32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36,585.14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0.0619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11,139.66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14,410,114.39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1,836,314.97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14,410,114.39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0"/>
              <w:jc w:val="righ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50"/>
              <w:jc w:val="righ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59" w:lineRule="auto" w:before="35"/>
        <w:ind w:right="0"/>
        <w:jc w:val="left"/>
        <w:rPr>
          <w:b w:val="0"/>
          <w:bCs w:val="0"/>
        </w:rPr>
      </w:pPr>
      <w:bookmarkStart w:name="（2）境外经营实体说明，包括对于重要的境外经营实体，应披露其境外主要经营地、记账" w:id="350"/>
      <w:bookmarkEnd w:id="350"/>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2"/>
        </w:rPr>
        <w:t> </w:t>
      </w:r>
      <w:r>
        <w:rPr>
          <w:spacing w:val="-72"/>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2、政府补助" w:id="351"/>
      <w:bookmarkEnd w:id="351"/>
      <w:r>
        <w:rPr>
          <w:b w:val="0"/>
          <w:bCs w:val="0"/>
        </w:rPr>
      </w:r>
      <w:r>
        <w:rPr>
          <w:rFonts w:ascii="Times New Roman" w:hAnsi="Times New Roman" w:cs="Times New Roman" w:eastAsia="Times New Roman" w:hint="default"/>
        </w:rPr>
        <w:t>52</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政府补助基本情况" w:id="352"/>
      <w:bookmarkEnd w:id="352"/>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即征即退增值税</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12,451,673.94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12,451,673.94</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基于物联网大数据的智慧能 源监控系统关键技术研发资 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both"/>
              <w:rPr>
                <w:rFonts w:ascii="宋体" w:hAnsi="宋体" w:cs="宋体" w:eastAsia="宋体" w:hint="default"/>
                <w:sz w:val="18"/>
                <w:szCs w:val="18"/>
              </w:rPr>
            </w:pPr>
            <w:r>
              <w:rPr>
                <w:rFonts w:ascii="宋体" w:hAnsi="宋体" w:cs="宋体" w:eastAsia="宋体" w:hint="default"/>
                <w:sz w:val="18"/>
                <w:szCs w:val="18"/>
              </w:rPr>
              <w:t>动态冰蓄冷及其节能控制技 术在商用建筑中的应用示范 政府项目补助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深圳市南山区财政局工业增 加值奖励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2,411,300.00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2,411,300.00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深圳市科技创新委员会资助 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1,871,000.00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1,871,000.00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53"/>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年南山区自主创新产业发 展专项资金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上海市青浦区扶持资金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546,800.00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深圳市企业研究开发资助款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省级工业和信息产业转型升 级专项资金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363,148.70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363,148.70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创新人才补助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专利资助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299,680.00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299,680.00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261,718.08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261,718.08</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深圳市南山区经济促进局工 业旅游资助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373,257.14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373,257.14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人才实训基地计划资助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134,500.00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杨浦财政局科技专项资金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科学技术进步奖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企业倍增支持计划项目补助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其他专项政府补助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268,380.00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268,380.00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28,521,457.86</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24,521,457.86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政府补助退回情况" w:id="353"/>
      <w:bookmarkEnd w:id="353"/>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八、合并范围的变更" w:id="354"/>
      <w:bookmarkEnd w:id="354"/>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非同一控制下企业合并" w:id="355"/>
      <w:bookmarkEnd w:id="355"/>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本期发生的非同一控制下企业合并" w:id="356"/>
      <w:bookmarkEnd w:id="356"/>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成都聚雅医 信科技有限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股权受让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-1,660,096.16</w:t>
            </w:r>
          </w:p>
        </w:tc>
      </w:tr>
      <w:tr>
        <w:trPr>
          <w:trHeight w:val="714" w:hRule="exact"/>
        </w:trPr>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2" w:right="129"/>
              <w:jc w:val="both"/>
              <w:rPr>
                <w:rFonts w:ascii="宋体" w:hAnsi="宋体" w:cs="宋体" w:eastAsia="宋体" w:hint="default"/>
                <w:sz w:val="18"/>
                <w:szCs w:val="18"/>
              </w:rPr>
            </w:pPr>
            <w:r>
              <w:rPr>
                <w:rFonts w:ascii="宋体" w:hAnsi="宋体" w:cs="宋体" w:eastAsia="宋体" w:hint="default"/>
                <w:sz w:val="18"/>
                <w:szCs w:val="18"/>
              </w:rPr>
              <w:t>深圳市小鹿 暖暖科技有 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现金出资</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2" w:type="dxa"/>
            <w:vMerge w:val="restart"/>
            <w:tcBorders>
              <w:top w:val="single" w:sz="4" w:space="0" w:color="000000"/>
              <w:left w:val="single" w:sz="4" w:space="0" w:color="000000"/>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23" w:right="0"/>
              <w:jc w:val="left"/>
              <w:rPr>
                <w:rFonts w:ascii="Times New Roman" w:hAnsi="Times New Roman" w:cs="Times New Roman" w:eastAsia="Times New Roman" w:hint="default"/>
                <w:sz w:val="18"/>
                <w:szCs w:val="18"/>
              </w:rPr>
            </w:pPr>
            <w:r>
              <w:rPr>
                <w:rFonts w:ascii="Times New Roman"/>
                <w:sz w:val="18"/>
              </w:rPr>
              <w:t>-1,502,712.80</w:t>
            </w:r>
          </w:p>
        </w:tc>
      </w:tr>
      <w:tr>
        <w:trPr>
          <w:trHeight w:val="714" w:hRule="exact"/>
        </w:trPr>
        <w:tc>
          <w:tcPr>
            <w:tcW w:w="1064" w:type="dxa"/>
            <w:vMerge/>
            <w:tcBorders>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200,000.00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股权受让</w:t>
            </w:r>
          </w:p>
        </w:tc>
        <w:tc>
          <w:tcPr>
            <w:tcW w:w="1063"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合并成本及商誉" w:id="357"/>
      <w:bookmarkEnd w:id="357"/>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成都聚雅医信科技有限公司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深圳市小鹿暖暖科技有限公司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w:t>
            </w:r>
            <w:r>
              <w:rPr>
                <w:rFonts w:ascii="宋体" w:hAnsi="宋体" w:cs="宋体" w:eastAsia="宋体" w:hint="default"/>
                <w:w w:val="99"/>
                <w:sz w:val="18"/>
                <w:szCs w:val="18"/>
              </w:rPr>
              <w:t> </w:t>
            </w:r>
            <w:r>
              <w:rPr>
                <w:rFonts w:ascii="宋体" w:hAnsi="宋体" w:cs="宋体" w:eastAsia="宋体" w:hint="default"/>
                <w:sz w:val="18"/>
                <w:szCs w:val="18"/>
              </w:rPr>
              <w:t>允价值</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8,177,140.52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8,377,140.52</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9,999,360.00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5,550,737.24</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3,500,640.00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2,826,403.28</w:t>
            </w:r>
          </w:p>
        </w:tc>
      </w:tr>
    </w:tbl>
    <w:p>
      <w:pPr>
        <w:pStyle w:val="BodyText"/>
        <w:spacing w:line="240" w:lineRule="auto" w:before="51"/>
        <w:ind w:right="0"/>
        <w:jc w:val="left"/>
      </w:pPr>
      <w:r>
        <w:rPr/>
        <w:t>其他说明：</w:t>
      </w:r>
    </w:p>
    <w:p>
      <w:pPr>
        <w:pStyle w:val="BodyText"/>
        <w:spacing w:line="302" w:lineRule="auto" w:before="116"/>
        <w:ind w:right="1200" w:firstLine="420"/>
        <w:jc w:val="left"/>
      </w:pPr>
      <w:r>
        <w:rPr/>
        <w:t>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年对成都聚雅医信科技有限公司并购的对价为货币资产。</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年年末公司对深圳市小鹿暖暖科技有限公司 持股</w:t>
      </w:r>
      <w:r>
        <w:rPr>
          <w:spacing w:val="-46"/>
        </w:rPr>
        <w:t> </w:t>
      </w:r>
      <w:r>
        <w:rPr>
          <w:rFonts w:ascii="Times New Roman" w:hAnsi="Times New Roman" w:cs="Times New Roman" w:eastAsia="Times New Roman" w:hint="default"/>
        </w:rPr>
        <w:t>40%</w:t>
      </w:r>
      <w:r>
        <w:rPr/>
        <w:t>，为公司联营企业，本期并购完成后，深圳市小鹿暖暖科技有限公司为公司全资子公司。</w:t>
      </w:r>
    </w:p>
    <w:p>
      <w:pPr>
        <w:spacing w:line="240" w:lineRule="auto" w:before="10"/>
        <w:rPr>
          <w:rFonts w:ascii="宋体" w:hAnsi="宋体" w:cs="宋体" w:eastAsia="宋体" w:hint="default"/>
          <w:sz w:val="21"/>
          <w:szCs w:val="21"/>
        </w:rPr>
      </w:pPr>
    </w:p>
    <w:p>
      <w:pPr>
        <w:pStyle w:val="Heading4"/>
        <w:spacing w:line="240" w:lineRule="auto"/>
        <w:ind w:right="0"/>
        <w:jc w:val="left"/>
        <w:rPr>
          <w:b w:val="0"/>
          <w:bCs w:val="0"/>
        </w:rPr>
      </w:pPr>
      <w:bookmarkStart w:name="（3）被购买方于购买日可辨认资产、负债" w:id="358"/>
      <w:bookmarkEnd w:id="358"/>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9" w:space="0" w:color="E0FFFF"/>
            </w:tcBorders>
            <w:shd w:val="clear" w:color="auto" w:fill="D2D2D2"/>
          </w:tcPr>
          <w:p>
            <w:pPr/>
          </w:p>
        </w:tc>
        <w:tc>
          <w:tcPr>
            <w:tcW w:w="3828"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left="816" w:right="0"/>
              <w:jc w:val="left"/>
              <w:rPr>
                <w:rFonts w:ascii="宋体" w:hAnsi="宋体" w:cs="宋体" w:eastAsia="宋体" w:hint="default"/>
                <w:sz w:val="18"/>
                <w:szCs w:val="18"/>
              </w:rPr>
            </w:pPr>
            <w:r>
              <w:rPr>
                <w:rFonts w:ascii="宋体" w:hAnsi="宋体" w:cs="宋体" w:eastAsia="宋体" w:hint="default"/>
                <w:sz w:val="18"/>
                <w:szCs w:val="18"/>
              </w:rPr>
              <w:t>成都聚雅医信科技有限公司</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深圳市小鹿暖暖科技有限公司</w:t>
            </w:r>
          </w:p>
        </w:tc>
      </w:tr>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99,940.00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99,940.00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4,243,397.82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4,243,397.82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14"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3,858.54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3,858.54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14"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11,235.90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11,235.90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14"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37,948.57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37,948.57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1,228,610.66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1,228,610.66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27,832.89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27,832.89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15,970.50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15,970.50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4,020.00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4,927.50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4,927.50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9,170.14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9,170.14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9,999,360.00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9,999,360.00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5,550,737.24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5,550,737.24</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9,999,360.00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9,999,360.00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5,550,737.24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5,550,737.24</w:t>
            </w:r>
          </w:p>
        </w:tc>
      </w:tr>
    </w:tbl>
    <w:p>
      <w:pPr>
        <w:pStyle w:val="BodyText"/>
        <w:spacing w:line="240" w:lineRule="auto" w:before="51"/>
        <w:ind w:right="0"/>
        <w:jc w:val="left"/>
      </w:pPr>
      <w:r>
        <w:rPr/>
        <w:t>可辨认资产、负债公允价值的确定方法：</w:t>
      </w:r>
    </w:p>
    <w:p>
      <w:pPr>
        <w:pStyle w:val="BodyText"/>
        <w:spacing w:line="302" w:lineRule="auto" w:before="115"/>
        <w:ind w:right="1119" w:firstLine="420"/>
        <w:jc w:val="left"/>
      </w:pPr>
      <w:r>
        <w:rPr/>
        <w:t>①成都聚雅医信科技有限公司资产主要构成为公司成立时原股东以经评估（川天平评报字【</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0333</w:t>
      </w:r>
      <w:r>
        <w:rPr>
          <w:rFonts w:ascii="Times New Roman" w:hAnsi="Times New Roman" w:cs="Times New Roman" w:eastAsia="Times New Roman" w:hint="default"/>
          <w:spacing w:val="-4"/>
        </w:rPr>
        <w:t> </w:t>
      </w:r>
      <w:r>
        <w:rPr/>
        <w:t>号）的</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项软 件著作权入股的无形资产，并购日公允价值与并购日账面价值相同。</w:t>
      </w:r>
    </w:p>
    <w:p>
      <w:pPr>
        <w:pStyle w:val="BodyText"/>
        <w:spacing w:line="319" w:lineRule="auto" w:before="69"/>
        <w:ind w:right="1152" w:firstLine="420"/>
        <w:jc w:val="left"/>
      </w:pPr>
      <w:r>
        <w:rPr/>
        <w:t>②深圳市小鹿暖暖科技有限公司资产主要构成为货币资金及公司自行开发的软件及软件著作权，并购日公允价值与并 购日账面价值相同。</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4）购买日之前持有的股权按照公允价值重新计量产生的利得或损失" w:id="359"/>
      <w:bookmarkEnd w:id="359"/>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87" w:footer="1019" w:top="1100" w:bottom="1200" w:left="980" w:right="0"/>
        </w:sectPr>
      </w:pPr>
    </w:p>
    <w:p>
      <w:pPr>
        <w:pStyle w:val="BodyText"/>
        <w:spacing w:line="240" w:lineRule="auto" w:before="44"/>
        <w:ind w:right="-20"/>
        <w:jc w:val="left"/>
      </w:pPr>
      <w:r>
        <w:rPr/>
        <w:t>是否存在通过多次交易分步实现企业合并且在报告期内取得控制权的交易</w:t>
      </w:r>
    </w:p>
    <w:p>
      <w:pPr>
        <w:pStyle w:val="BodyText"/>
        <w:spacing w:line="240" w:lineRule="auto" w:before="116"/>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100" w:bottom="1200" w:left="980" w:right="0"/>
          <w:cols w:num="2" w:equalWidth="0">
            <w:col w:w="5915" w:space="2915"/>
            <w:col w:w="2100"/>
          </w:cols>
        </w:sectPr>
      </w:pPr>
    </w:p>
    <w:p>
      <w:pPr>
        <w:spacing w:line="240" w:lineRule="auto" w:before="6"/>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2"/>
        <w:gridCol w:w="1591"/>
        <w:gridCol w:w="1596"/>
        <w:gridCol w:w="1596"/>
        <w:gridCol w:w="1596"/>
        <w:gridCol w:w="1596"/>
      </w:tblGrid>
      <w:tr>
        <w:trPr>
          <w:trHeight w:val="1016"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9" w:right="0"/>
              <w:jc w:val="left"/>
              <w:rPr>
                <w:rFonts w:ascii="宋体" w:hAnsi="宋体" w:cs="宋体" w:eastAsia="宋体" w:hint="default"/>
                <w:sz w:val="18"/>
                <w:szCs w:val="18"/>
              </w:rPr>
            </w:pPr>
            <w:r>
              <w:rPr>
                <w:rFonts w:ascii="宋体" w:hAnsi="宋体" w:cs="宋体" w:eastAsia="宋体" w:hint="default"/>
                <w:sz w:val="18"/>
                <w:szCs w:val="18"/>
              </w:rPr>
              <w:t>被购买方名称</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69" w:right="71"/>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股权在购买日的账 面价值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6"/>
              <w:ind w:left="71" w:right="72"/>
              <w:jc w:val="center"/>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71" w:right="72"/>
              <w:jc w:val="both"/>
              <w:rPr>
                <w:rFonts w:ascii="宋体" w:hAnsi="宋体" w:cs="宋体" w:eastAsia="宋体" w:hint="default"/>
                <w:sz w:val="18"/>
                <w:szCs w:val="18"/>
              </w:rPr>
            </w:pPr>
            <w:r>
              <w:rPr>
                <w:rFonts w:ascii="宋体" w:hAnsi="宋体" w:cs="宋体" w:eastAsia="宋体" w:hint="default"/>
                <w:sz w:val="18"/>
                <w:szCs w:val="18"/>
              </w:rPr>
              <w:t>购买日之前原持有 股权按照公允价值 重新计量产生的利</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72" w:right="72"/>
              <w:jc w:val="both"/>
              <w:rPr>
                <w:rFonts w:ascii="宋体" w:hAnsi="宋体" w:cs="宋体" w:eastAsia="宋体" w:hint="default"/>
                <w:sz w:val="18"/>
                <w:szCs w:val="18"/>
              </w:rPr>
            </w:pPr>
            <w:r>
              <w:rPr>
                <w:rFonts w:ascii="宋体" w:hAnsi="宋体" w:cs="宋体" w:eastAsia="宋体" w:hint="default"/>
                <w:sz w:val="18"/>
                <w:szCs w:val="18"/>
              </w:rPr>
              <w:t>购买日之前原持有 股权在购买日的公 允价值的确定方法</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71" w:right="72"/>
              <w:jc w:val="both"/>
              <w:rPr>
                <w:rFonts w:ascii="宋体" w:hAnsi="宋体" w:cs="宋体" w:eastAsia="宋体" w:hint="default"/>
                <w:sz w:val="18"/>
                <w:szCs w:val="18"/>
              </w:rPr>
            </w:pPr>
            <w:r>
              <w:rPr>
                <w:rFonts w:ascii="宋体" w:hAnsi="宋体" w:cs="宋体" w:eastAsia="宋体" w:hint="default"/>
                <w:sz w:val="18"/>
                <w:szCs w:val="18"/>
              </w:rPr>
              <w:t>购买日之前与原持 有股权相关的其他 综合收益转入投资</w:t>
            </w:r>
          </w:p>
        </w:tc>
      </w:tr>
    </w:tbl>
    <w:p>
      <w:pPr>
        <w:spacing w:after="0" w:line="316" w:lineRule="auto"/>
        <w:jc w:val="both"/>
        <w:rPr>
          <w:rFonts w:ascii="宋体" w:hAnsi="宋体" w:cs="宋体" w:eastAsia="宋体" w:hint="default"/>
          <w:sz w:val="18"/>
          <w:szCs w:val="18"/>
        </w:rPr>
        <w:sectPr>
          <w:type w:val="continuous"/>
          <w:pgSz w:w="11910" w:h="16840"/>
          <w:pgMar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592"/>
        <w:gridCol w:w="1591"/>
        <w:gridCol w:w="1596"/>
        <w:gridCol w:w="1596"/>
        <w:gridCol w:w="1596"/>
        <w:gridCol w:w="1596"/>
      </w:tblGrid>
      <w:tr>
        <w:trPr>
          <w:trHeight w:val="362" w:hRule="exact"/>
        </w:trPr>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31" w:right="0"/>
              <w:jc w:val="left"/>
              <w:rPr>
                <w:rFonts w:ascii="宋体" w:hAnsi="宋体" w:cs="宋体" w:eastAsia="宋体" w:hint="default"/>
                <w:sz w:val="18"/>
                <w:szCs w:val="18"/>
              </w:rPr>
            </w:pPr>
            <w:r>
              <w:rPr>
                <w:rFonts w:ascii="宋体" w:hAnsi="宋体" w:cs="宋体" w:eastAsia="宋体" w:hint="default"/>
                <w:sz w:val="18"/>
                <w:szCs w:val="18"/>
              </w:rPr>
              <w:t>得或损失</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2" w:right="0"/>
              <w:jc w:val="left"/>
              <w:rPr>
                <w:rFonts w:ascii="宋体" w:hAnsi="宋体" w:cs="宋体" w:eastAsia="宋体" w:hint="default"/>
                <w:sz w:val="18"/>
                <w:szCs w:val="18"/>
              </w:rPr>
            </w:pPr>
            <w:r>
              <w:rPr>
                <w:rFonts w:ascii="宋体" w:hAnsi="宋体" w:cs="宋体" w:eastAsia="宋体" w:hint="default"/>
                <w:sz w:val="18"/>
                <w:szCs w:val="18"/>
              </w:rPr>
              <w:t>及主要假设</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1" w:right="0"/>
              <w:jc w:val="left"/>
              <w:rPr>
                <w:rFonts w:ascii="宋体" w:hAnsi="宋体" w:cs="宋体" w:eastAsia="宋体" w:hint="default"/>
                <w:sz w:val="18"/>
                <w:szCs w:val="18"/>
              </w:rPr>
            </w:pPr>
            <w:r>
              <w:rPr>
                <w:rFonts w:ascii="宋体" w:hAnsi="宋体" w:cs="宋体" w:eastAsia="宋体" w:hint="default"/>
                <w:sz w:val="18"/>
                <w:szCs w:val="18"/>
              </w:rPr>
              <w:t>收益的金额</w:t>
            </w:r>
          </w:p>
        </w:tc>
      </w:tr>
      <w:tr>
        <w:trPr>
          <w:trHeight w:val="714" w:hRule="exact"/>
        </w:trPr>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深圳市小鹿暖暖科 技有限公司</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3" w:right="0"/>
              <w:jc w:val="left"/>
              <w:rPr>
                <w:rFonts w:ascii="Times New Roman" w:hAnsi="Times New Roman" w:cs="Times New Roman" w:eastAsia="Times New Roman" w:hint="default"/>
                <w:sz w:val="18"/>
                <w:szCs w:val="18"/>
              </w:rPr>
            </w:pPr>
            <w:r>
              <w:rPr>
                <w:rFonts w:ascii="Times New Roman"/>
                <w:sz w:val="18"/>
              </w:rPr>
              <w:t>8,177,140.52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8,177,140.52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购买日或合并当期期末无法合理确定合并对价或被购买方可辨认资产、负债公允价值" w:id="360"/>
      <w:bookmarkEnd w:id="360"/>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处置子公司" w:id="361"/>
      <w:bookmarkEnd w:id="361"/>
      <w:r>
        <w:rPr>
          <w:b w:val="0"/>
          <w:bCs w:val="0"/>
        </w:rPr>
      </w:r>
      <w:r>
        <w:rPr>
          <w:rFonts w:ascii="Times New Roman" w:hAnsi="Times New Roman" w:cs="Times New Roman" w:eastAsia="Times New Roman" w:hint="default"/>
        </w:rPr>
        <w:t>2</w:t>
      </w:r>
      <w:r>
        <w:rPr/>
        <w:t>、处置子公司</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87" w:footer="1019" w:top="1100" w:bottom="1200" w:left="980" w:right="0"/>
        </w:sectPr>
      </w:pPr>
    </w:p>
    <w:p>
      <w:pPr>
        <w:pStyle w:val="BodyText"/>
        <w:spacing w:line="240" w:lineRule="auto" w:before="44"/>
        <w:ind w:right="-20"/>
        <w:jc w:val="left"/>
      </w:pPr>
      <w:r>
        <w:rPr/>
        <w:t>是否存在单次处置对子公司投资即丧失控制权的情形</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100" w:bottom="120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83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2275"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61"/>
              <w:jc w:val="both"/>
              <w:rPr>
                <w:rFonts w:ascii="宋体" w:hAnsi="宋体" w:cs="宋体" w:eastAsia="宋体" w:hint="default"/>
                <w:sz w:val="18"/>
                <w:szCs w:val="18"/>
              </w:rPr>
            </w:pPr>
            <w:r>
              <w:rPr>
                <w:rFonts w:ascii="宋体" w:hAnsi="宋体" w:cs="宋体" w:eastAsia="宋体" w:hint="default"/>
                <w:sz w:val="18"/>
                <w:szCs w:val="18"/>
              </w:rPr>
              <w:t>上海达 实联欣 科技发 展有限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122,400,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34.00%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2" w:right="161"/>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股权转 让协议 约定日 期</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-13,432,</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428.28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17.00%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64,338,6</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56.35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61,200,0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-3,138,6</w:t>
            </w:r>
          </w:p>
          <w:p>
            <w:pPr>
              <w:pStyle w:val="TableParagraph"/>
              <w:spacing w:line="240" w:lineRule="auto" w:before="105"/>
              <w:ind w:left="276" w:right="0"/>
              <w:jc w:val="center"/>
              <w:rPr>
                <w:rFonts w:ascii="Times New Roman" w:hAnsi="Times New Roman" w:cs="Times New Roman" w:eastAsia="Times New Roman" w:hint="default"/>
                <w:sz w:val="18"/>
                <w:szCs w:val="18"/>
              </w:rPr>
            </w:pPr>
            <w:r>
              <w:rPr>
                <w:rFonts w:ascii="Times New Roman"/>
                <w:sz w:val="18"/>
              </w:rPr>
              <w:t>56.35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61"/>
              <w:jc w:val="both"/>
              <w:rPr>
                <w:rFonts w:ascii="宋体" w:hAnsi="宋体" w:cs="宋体" w:eastAsia="宋体" w:hint="default"/>
                <w:sz w:val="18"/>
                <w:szCs w:val="18"/>
              </w:rPr>
            </w:pPr>
            <w:r>
              <w:rPr>
                <w:rFonts w:ascii="宋体" w:hAnsi="宋体" w:cs="宋体" w:eastAsia="宋体" w:hint="default"/>
                <w:sz w:val="18"/>
                <w:szCs w:val="18"/>
              </w:rPr>
              <w:t>充分知 悉情况 的交易 双方自 愿进行 交易的 价格</w:t>
            </w: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是否存在通过多次交易分步处置对子公司投资且在本期丧失控制权的情形</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其他原因的合并范围变动" w:id="362"/>
      <w:bookmarkEnd w:id="362"/>
      <w:r>
        <w:rPr>
          <w:b w:val="0"/>
          <w:bCs w:val="0"/>
        </w:rPr>
      </w:r>
      <w:r>
        <w:rPr>
          <w:rFonts w:ascii="Times New Roman" w:hAnsi="Times New Roman" w:cs="Times New Roman" w:eastAsia="Times New Roman" w:hint="default"/>
        </w:rPr>
        <w:t>3</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spacing w:line="240" w:lineRule="auto" w:before="13"/>
        <w:rPr>
          <w:rFonts w:ascii="宋体" w:hAnsi="宋体" w:cs="宋体" w:eastAsia="宋体" w:hint="default"/>
          <w:sz w:val="7"/>
          <w:szCs w:val="7"/>
        </w:rPr>
      </w:pPr>
    </w:p>
    <w:tbl>
      <w:tblPr>
        <w:tblW w:w="0" w:type="auto"/>
        <w:jc w:val="left"/>
        <w:tblInd w:w="139" w:type="dxa"/>
        <w:tblLayout w:type="fixed"/>
        <w:tblCellMar>
          <w:top w:w="0" w:type="dxa"/>
          <w:left w:w="0" w:type="dxa"/>
          <w:bottom w:w="0" w:type="dxa"/>
          <w:right w:w="0" w:type="dxa"/>
        </w:tblCellMar>
        <w:tblLook w:val="01E0"/>
      </w:tblPr>
      <w:tblGrid>
        <w:gridCol w:w="3311"/>
        <w:gridCol w:w="1809"/>
        <w:gridCol w:w="1668"/>
        <w:gridCol w:w="1542"/>
        <w:gridCol w:w="1328"/>
      </w:tblGrid>
      <w:tr>
        <w:trPr>
          <w:trHeight w:val="342"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子公司级次</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股权取得时点</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新增方式</w:t>
            </w:r>
          </w:p>
        </w:tc>
      </w:tr>
      <w:tr>
        <w:trPr>
          <w:trHeight w:val="342"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湖南桃江达实智慧医养有限公司</w:t>
            </w:r>
          </w:p>
        </w:tc>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货币出资</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2018-3-30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2"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合肥达实信息科技有限公司</w:t>
            </w:r>
          </w:p>
        </w:tc>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货币出资</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2018-8-14</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center"/>
        <w:rPr>
          <w:rFonts w:ascii="宋体" w:hAnsi="宋体" w:cs="宋体" w:eastAsia="宋体" w:hint="default"/>
          <w:sz w:val="18"/>
          <w:szCs w:val="18"/>
        </w:rPr>
        <w:sectPr>
          <w:type w:val="continuous"/>
          <w:pgSz w:w="11910" w:h="16840"/>
          <w:pgMar w:top="1100" w:bottom="1200" w:left="980" w:right="0"/>
        </w:sectPr>
      </w:pPr>
    </w:p>
    <w:p>
      <w:pPr>
        <w:spacing w:line="240" w:lineRule="auto" w:before="5"/>
        <w:rPr>
          <w:rFonts w:ascii="宋体" w:hAnsi="宋体" w:cs="宋体" w:eastAsia="宋体" w:hint="default"/>
          <w:sz w:val="25"/>
          <w:szCs w:val="25"/>
        </w:rPr>
      </w:pPr>
    </w:p>
    <w:tbl>
      <w:tblPr>
        <w:tblW w:w="0" w:type="auto"/>
        <w:jc w:val="left"/>
        <w:tblInd w:w="139" w:type="dxa"/>
        <w:tblLayout w:type="fixed"/>
        <w:tblCellMar>
          <w:top w:w="0" w:type="dxa"/>
          <w:left w:w="0" w:type="dxa"/>
          <w:bottom w:w="0" w:type="dxa"/>
          <w:right w:w="0" w:type="dxa"/>
        </w:tblCellMar>
        <w:tblLook w:val="01E0"/>
      </w:tblPr>
      <w:tblGrid>
        <w:gridCol w:w="3311"/>
        <w:gridCol w:w="1809"/>
        <w:gridCol w:w="1668"/>
        <w:gridCol w:w="1542"/>
        <w:gridCol w:w="1328"/>
      </w:tblGrid>
      <w:tr>
        <w:trPr>
          <w:trHeight w:val="342"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达实智能科技（成都）有限公司</w:t>
            </w:r>
          </w:p>
        </w:tc>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货币出资</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91" w:right="0"/>
              <w:jc w:val="left"/>
              <w:rPr>
                <w:rFonts w:ascii="Times New Roman" w:hAnsi="Times New Roman" w:cs="Times New Roman" w:eastAsia="Times New Roman" w:hint="default"/>
                <w:sz w:val="18"/>
                <w:szCs w:val="18"/>
              </w:rPr>
            </w:pPr>
            <w:r>
              <w:rPr>
                <w:rFonts w:ascii="Times New Roman"/>
                <w:sz w:val="18"/>
              </w:rPr>
              <w:t>2018-2-01</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2"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深圳达实智慧医疗有限公司</w:t>
            </w:r>
          </w:p>
        </w:tc>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二级子公司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货币出资</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91" w:right="0"/>
              <w:jc w:val="left"/>
              <w:rPr>
                <w:rFonts w:ascii="Times New Roman" w:hAnsi="Times New Roman" w:cs="Times New Roman" w:eastAsia="Times New Roman" w:hint="default"/>
                <w:sz w:val="18"/>
                <w:szCs w:val="18"/>
              </w:rPr>
            </w:pPr>
            <w:r>
              <w:rPr>
                <w:rFonts w:ascii="Times New Roman"/>
                <w:sz w:val="18"/>
              </w:rPr>
              <w:t>2018-1-23</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新设</w:t>
            </w:r>
          </w:p>
        </w:tc>
      </w:tr>
      <w:tr>
        <w:trPr>
          <w:trHeight w:val="342" w:hRule="exact"/>
        </w:trPr>
        <w:tc>
          <w:tcPr>
            <w:tcW w:w="3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云浮市济天企业管理有限公司</w:t>
            </w:r>
          </w:p>
        </w:tc>
        <w:tc>
          <w:tcPr>
            <w:tcW w:w="1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三级子公司</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货币出资</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47" w:right="0"/>
              <w:jc w:val="left"/>
              <w:rPr>
                <w:rFonts w:ascii="Times New Roman" w:hAnsi="Times New Roman" w:cs="Times New Roman" w:eastAsia="Times New Roman" w:hint="default"/>
                <w:sz w:val="18"/>
                <w:szCs w:val="18"/>
              </w:rPr>
            </w:pPr>
            <w:r>
              <w:rPr>
                <w:rFonts w:ascii="Times New Roman"/>
                <w:sz w:val="18"/>
              </w:rPr>
              <w:t>2018-12-20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新设</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九、在其他主体中的权益" w:id="363"/>
      <w:bookmarkEnd w:id="363"/>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在子公司中的权益" w:id="364"/>
      <w:bookmarkEnd w:id="364"/>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pict>
          <v:shape style="position:absolute;margin-left:324.399994pt;margin-top:72.083641pt;width:74.05pt;height:233pt;mso-position-horizontal-relative:page;mso-position-vertical-relative:paragraph;z-index:-117618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2"/>
                    <w:rPr>
                      <w:rFonts w:ascii="宋体" w:hAnsi="宋体" w:cs="宋体" w:eastAsia="宋体" w:hint="default"/>
                      <w:b/>
                      <w:bCs/>
                      <w:sz w:val="20"/>
                      <w:szCs w:val="20"/>
                    </w:rPr>
                  </w:pPr>
                </w:p>
                <w:p>
                  <w:pPr>
                    <w:pStyle w:val="BodyText"/>
                    <w:spacing w:line="240" w:lineRule="auto"/>
                    <w:ind w:left="0" w:right="0"/>
                    <w:jc w:val="left"/>
                  </w:pPr>
                  <w:r>
                    <w:rPr/>
                    <w:t>、</w:t>
                  </w:r>
                </w:p>
              </w:txbxContent>
            </v:textbox>
            <w10:wrap type="none"/>
          </v:shape>
        </w:pict>
      </w:r>
      <w:r>
        <w:rPr/>
        <w:pict>
          <v:group style="position:absolute;margin-left:330.579987pt;margin-top:72.083641pt;width:67.9pt;height:233pt;mso-position-horizontal-relative:page;mso-position-vertical-relative:paragraph;z-index:-1176160" coordorigin="6612,1442" coordsize="1358,4660">
            <v:shape style="position:absolute;left:6612;top:1442;width:1358;height:4660" coordorigin="6612,1442" coordsize="1358,4660" path="m6612,6102l7969,6102,7969,1442,6612,1442,6612,6102xe" filled="true" fillcolor="#ffffff" stroked="false">
              <v:path arrowok="t"/>
              <v:fill type="solid"/>
            </v:shape>
            <w10:wrap type="none"/>
          </v:group>
        </w:pict>
      </w:r>
      <w:bookmarkStart w:name="（1）企业集团的构成" w:id="365"/>
      <w:bookmarkEnd w:id="36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972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江苏达实久信医 疗科技有限公司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数字化手术室的 研发、医用机器 人导航系统的研 发、微创手术平 台系统的研发； 空气净化处理 </w:t>
            </w:r>
            <w:r>
              <w:rPr>
                <w:rFonts w:ascii="宋体" w:hAnsi="宋体" w:cs="宋体" w:eastAsia="宋体" w:hint="default"/>
                <w:spacing w:val="-6"/>
                <w:sz w:val="18"/>
                <w:szCs w:val="18"/>
              </w:rPr>
              <w:t>机、不锈钢柜橱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保温柜、保冷柜 的制造、加工； 一类医用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X</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射线</w:t>
            </w:r>
            <w:r>
              <w:rPr>
                <w:rFonts w:ascii="宋体" w:hAnsi="宋体" w:cs="宋体" w:eastAsia="宋体" w:hint="default"/>
                <w:spacing w:val="1"/>
                <w:sz w:val="18"/>
                <w:szCs w:val="18"/>
              </w:rPr>
              <w:t> </w:t>
            </w:r>
            <w:r>
              <w:rPr>
                <w:rFonts w:ascii="宋体" w:hAnsi="宋体" w:cs="宋体" w:eastAsia="宋体" w:hint="default"/>
                <w:sz w:val="18"/>
                <w:szCs w:val="18"/>
              </w:rPr>
              <w:t>附属设备及部件</w:t>
            </w:r>
            <w:r>
              <w:rPr>
                <w:rFonts w:ascii="宋体" w:hAnsi="宋体" w:cs="宋体" w:eastAsia="宋体" w:hint="default"/>
                <w:sz w:val="18"/>
                <w:szCs w:val="18"/>
              </w:rPr>
              <w:t> 的制造；建筑装 饰工程、净化工 程设计、施工； 数字化手术室软 件开发、销售、 安装；空气净化 设备的销售、安 装；物流传输系 统的设计、安装 及相关装置的销 售；信息管理系 统软件与硬件开 发、销售、技术 服务；Ⅱ类医疗 器械：</w:t>
            </w:r>
            <w:r>
              <w:rPr>
                <w:rFonts w:ascii="Times New Roman" w:hAnsi="Times New Roman" w:cs="Times New Roman" w:eastAsia="Times New Roman" w:hint="default"/>
                <w:sz w:val="18"/>
                <w:szCs w:val="18"/>
              </w:rPr>
              <w:t>6856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病房 护理设备及器 具、</w:t>
            </w:r>
            <w:r>
              <w:rPr>
                <w:rFonts w:ascii="Times New Roman" w:hAnsi="Times New Roman" w:cs="Times New Roman" w:eastAsia="Times New Roman" w:hint="default"/>
                <w:sz w:val="18"/>
                <w:szCs w:val="18"/>
              </w:rPr>
              <w:t>6870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软件， Ⅲ类医疗器械： </w:t>
            </w:r>
            <w:r>
              <w:rPr>
                <w:rFonts w:ascii="Times New Roman" w:hAnsi="Times New Roman" w:cs="Times New Roman" w:eastAsia="Times New Roman" w:hint="default"/>
                <w:sz w:val="18"/>
                <w:szCs w:val="18"/>
              </w:rPr>
              <w:t>6854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手术室、急 救室、诊疗室设</w:t>
            </w:r>
          </w:p>
        </w:tc>
        <w:tc>
          <w:tcPr>
            <w:tcW w:w="378"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9" w:lineRule="auto"/>
        <w:jc w:val="left"/>
        <w:rPr>
          <w:rFonts w:ascii="宋体" w:hAnsi="宋体" w:cs="宋体" w:eastAsia="宋体" w:hint="default"/>
          <w:sz w:val="18"/>
          <w:szCs w:val="18"/>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r>
        <w:rPr/>
        <w:pict>
          <v:shape style="position:absolute;margin-left:324.390991pt;margin-top:223.939987pt;width:74.05pt;height:31.2pt;mso-position-horizontal-relative:page;mso-position-vertical-relative:page;z-index:-1176088" type="#_x0000_t202" filled="false" stroked="false">
            <v:textbox inset="0,0,0,0">
              <w:txbxContent>
                <w:p>
                  <w:pPr>
                    <w:spacing w:line="240" w:lineRule="auto" w:before="7"/>
                    <w:rPr>
                      <w:rFonts w:ascii="Times New Roman" w:hAnsi="Times New Roman" w:cs="Times New Roman" w:eastAsia="Times New Roman" w:hint="default"/>
                      <w:sz w:val="24"/>
                      <w:szCs w:val="24"/>
                    </w:rPr>
                  </w:pPr>
                </w:p>
                <w:p>
                  <w:pPr>
                    <w:pStyle w:val="BodyText"/>
                    <w:spacing w:line="240" w:lineRule="auto"/>
                    <w:ind w:left="0" w:right="0"/>
                    <w:jc w:val="left"/>
                  </w:pPr>
                  <w:r>
                    <w:rPr/>
                    <w:t>。</w:t>
                  </w:r>
                </w:p>
              </w:txbxContent>
            </v:textbox>
            <w10:wrap type="none"/>
          </v:shape>
        </w:pict>
      </w:r>
      <w:r>
        <w:rPr/>
        <w:pict>
          <v:shape style="position:absolute;margin-left:324.399994pt;margin-top:306.919983pt;width:74.05pt;height:148.25pt;mso-position-horizontal-relative:page;mso-position-vertical-relative:page;z-index:-11760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8"/>
                    <w:ind w:left="0" w:right="0"/>
                    <w:jc w:val="left"/>
                  </w:pPr>
                  <w:r>
                    <w:rPr/>
                    <w:t>、</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备及器具的销售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一类医疗器械销</w:t>
            </w: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常州丹迪医疗器 械有限公司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31"/>
              <w:jc w:val="both"/>
              <w:rPr>
                <w:rFonts w:ascii="宋体" w:hAnsi="宋体" w:cs="宋体" w:eastAsia="宋体" w:hint="default"/>
                <w:sz w:val="18"/>
                <w:szCs w:val="18"/>
              </w:rPr>
            </w:pPr>
            <w:r>
              <w:rPr>
                <w:rFonts w:ascii="宋体" w:hAnsi="宋体" w:cs="宋体" w:eastAsia="宋体" w:hint="default"/>
                <w:sz w:val="18"/>
                <w:szCs w:val="18"/>
              </w:rPr>
              <w:t>售；医用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X</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射线</w:t>
            </w:r>
            <w:r>
              <w:rPr>
                <w:rFonts w:ascii="宋体" w:hAnsi="宋体" w:cs="宋体" w:eastAsia="宋体" w:hint="default"/>
                <w:spacing w:val="1"/>
                <w:sz w:val="18"/>
                <w:szCs w:val="18"/>
              </w:rPr>
              <w:t> </w:t>
            </w:r>
            <w:r>
              <w:rPr>
                <w:rFonts w:ascii="宋体" w:hAnsi="宋体" w:cs="宋体" w:eastAsia="宋体" w:hint="default"/>
                <w:sz w:val="18"/>
                <w:szCs w:val="18"/>
              </w:rPr>
              <w:t>胶片观察装置、</w:t>
            </w:r>
            <w:r>
              <w:rPr>
                <w:rFonts w:ascii="宋体" w:hAnsi="宋体" w:cs="宋体" w:eastAsia="宋体" w:hint="default"/>
                <w:sz w:val="18"/>
                <w:szCs w:val="18"/>
              </w:rPr>
              <w:t> 不锈钢制品的制</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造，加工</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室内空气净化</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67.9pt;height:31.2pt;mso-position-horizontal-relative:char;mso-position-vertical-relative:line" coordorigin="0,0" coordsize="1358,624">
                  <v:group style="position:absolute;left:0;top:0;width:1358;height:624" coordorigin="0,0" coordsize="1358,624">
                    <v:shape style="position:absolute;left:0;top:0;width:1358;height:624" coordorigin="0,0" coordsize="1358,624" path="m0,624l1357,624,1357,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江苏久信净化设 备有限公司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器、车载空气净 化器、空气净化 消毒设备的制</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6"/>
                <w:sz w:val="18"/>
                <w:szCs w:val="18"/>
              </w:rPr>
              <w:t>造、销售、安装</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江苏达实久信智 慧物流系统有限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传输物流系统的 设计、安装及相 关装置的销售。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62"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二类</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6870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软件的</w:t>
            </w:r>
          </w:p>
        </w:tc>
        <w:tc>
          <w:tcPr>
            <w:tcW w:w="1367" w:type="dxa"/>
            <w:vMerge w:val="restart"/>
            <w:tcBorders>
              <w:top w:val="single" w:sz="4" w:space="0" w:color="000000"/>
              <w:left w:val="single" w:sz="4" w:space="0" w:color="000000"/>
              <w:right w:val="single" w:sz="4" w:space="0" w:color="000000"/>
            </w:tcBorders>
          </w:tcPr>
          <w:p>
            <w:pPr>
              <w:pStyle w:val="TableParagraph"/>
              <w:spacing w:line="296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8"/>
                <w:sz w:val="20"/>
                <w:szCs w:val="20"/>
              </w:rPr>
              <w:pict>
                <v:group style="width:67.9pt;height:148.25pt;mso-position-horizontal-relative:char;mso-position-vertical-relative:line" coordorigin="0,0" coordsize="1358,2965">
                  <v:group style="position:absolute;left:0;top:0;width:1358;height:2965" coordorigin="0,0" coordsize="1358,2965">
                    <v:shape style="position:absolute;left:0;top:0;width:1358;height:2965" coordorigin="0,0" coordsize="1358,2965" path="m0,2964l1357,2964,1357,0,0,0,0,2964xe" filled="true" fillcolor="#ffffff" stroked="false">
                      <v:path arrowok="t"/>
                      <v:fill type="solid"/>
                    </v:shape>
                  </v:group>
                </v:group>
              </w:pict>
            </w:r>
            <w:r>
              <w:rPr>
                <w:rFonts w:ascii="Times New Roman" w:hAnsi="Times New Roman" w:cs="Times New Roman" w:eastAsia="Times New Roman" w:hint="default"/>
                <w:position w:val="-58"/>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生产；医疗信息</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管理系统软件与</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硬件开发、销售</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技术服务；医疗</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器械（除三类）</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的销售与技术服</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务；医疗设备安</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江苏达实久信数 字医疗科技有限 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常州</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装工程、楼宇智 能化系统工程的 设计、施工；数 字化手术室系统</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软件的研发、销</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售、安装；自营</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和代理各类商品</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和技术的进出口</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业务，国家限定</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公司经营或禁止</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进出口的商品除</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外</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开发、销售非接</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触式智能卡应用</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产品及系统、计</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77"/>
              <w:jc w:val="left"/>
              <w:rPr>
                <w:rFonts w:ascii="宋体" w:hAnsi="宋体" w:cs="宋体" w:eastAsia="宋体" w:hint="default"/>
                <w:sz w:val="18"/>
                <w:szCs w:val="18"/>
              </w:rPr>
            </w:pPr>
            <w:r>
              <w:rPr>
                <w:rFonts w:ascii="宋体" w:hAnsi="宋体" w:cs="宋体" w:eastAsia="宋体" w:hint="default"/>
                <w:sz w:val="18"/>
                <w:szCs w:val="18"/>
              </w:rPr>
              <w:t>深圳达实信息技 术有限公司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算机网络、计算 机软件、办公自 动化设备、网络</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连接设备；提供</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上述产品相应的</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技术服务；生产</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r>
        <w:rPr/>
        <w:pict>
          <v:shape style="position:absolute;margin-left:324.399994pt;margin-top:453.939972pt;width:74.05pt;height:62.4pt;mso-position-horizontal-relative:page;mso-position-vertical-relative:page;z-index:-11759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w:t>
                  </w:r>
                </w:p>
              </w:txbxContent>
            </v:textbox>
            <w10:wrap type="none"/>
          </v:shape>
        </w:pict>
      </w:r>
      <w:r>
        <w:rPr/>
        <w:pict>
          <v:shape style="position:absolute;margin-left:324.390991pt;margin-top:535.959961pt;width:74.05pt;height:62.4pt;mso-position-horizontal-relative:page;mso-position-vertical-relative:page;z-index:-1175968" type="#_x0000_t202" filled="false" stroked="false">
            <v:textbox inset="0,0,0,0">
              <w:txbxContent>
                <w:p>
                  <w:pPr>
                    <w:pStyle w:val="BodyText"/>
                    <w:spacing w:line="205" w:lineRule="exact"/>
                    <w:ind w:left="0" w:right="0"/>
                    <w:jc w:val="left"/>
                  </w:pPr>
                  <w:r>
                    <w:rPr/>
                    <w:t>、</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17" w:hRule="exact"/>
        </w:trPr>
        <w:tc>
          <w:tcPr>
            <w:tcW w:w="1372"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智能卡读写终</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端、智能控制设</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备（由分支机构</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生产</w:t>
            </w:r>
            <w:r>
              <w:rPr>
                <w:rFonts w:ascii="宋体" w:hAnsi="宋体" w:cs="宋体" w:eastAsia="宋体" w:hint="default"/>
                <w:spacing w:val="-90"/>
                <w:sz w:val="18"/>
                <w:szCs w:val="18"/>
              </w:rPr>
              <w:t>）</w:t>
            </w:r>
            <w:r>
              <w:rPr>
                <w:rFonts w:ascii="宋体" w:hAnsi="宋体" w:cs="宋体" w:eastAsia="宋体" w:hint="default"/>
                <w:spacing w:val="-39"/>
                <w:sz w:val="18"/>
                <w:szCs w:val="18"/>
              </w:rPr>
              <w:t>；</w:t>
            </w:r>
            <w:r>
              <w:rPr>
                <w:rFonts w:ascii="宋体" w:hAnsi="宋体" w:cs="宋体" w:eastAsia="宋体" w:hint="default"/>
                <w:sz w:val="18"/>
                <w:szCs w:val="18"/>
              </w:rPr>
              <w:t>自有</w:t>
            </w:r>
            <w:r>
              <w:rPr>
                <w:rFonts w:ascii="宋体" w:hAnsi="宋体" w:cs="宋体" w:eastAsia="宋体" w:hint="default"/>
                <w:spacing w:val="-2"/>
                <w:sz w:val="18"/>
                <w:szCs w:val="18"/>
              </w:rPr>
              <w:t>物</w:t>
            </w:r>
            <w:r>
              <w:rPr>
                <w:rFonts w:ascii="宋体" w:hAnsi="宋体" w:cs="宋体" w:eastAsia="宋体" w:hint="default"/>
                <w:sz w:val="18"/>
                <w:szCs w:val="18"/>
              </w:rPr>
              <w:t>业</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租赁。生产非接</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触式智能卡应用</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产品及系统、计</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算机网络、计算</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机软件、办公自</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动化设备、网络</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连接设备；提供</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3"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上述产品相应的</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57" w:hRule="exact"/>
        </w:trPr>
        <w:tc>
          <w:tcPr>
            <w:tcW w:w="1372"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安装、维修服务</w:t>
            </w: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融资租赁业务；</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租赁业务；向国</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内外购买租赁资</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产；租赁资产的</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深圳达实融资租 赁有限公司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残值处理及维 修；租赁交易咨 询和担保；从事</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通过设立方式取 得</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与主营业务有关</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的商业保理业务</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（非银行融资</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类）</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财务咨询、投资</w:t>
            </w:r>
          </w:p>
        </w:tc>
        <w:tc>
          <w:tcPr>
            <w:tcW w:w="1367" w:type="dxa"/>
            <w:vMerge w:val="restart"/>
            <w:tcBorders>
              <w:top w:val="single" w:sz="4" w:space="0" w:color="000000"/>
              <w:left w:val="single" w:sz="4" w:space="0" w:color="000000"/>
              <w:right w:val="single" w:sz="4" w:space="0" w:color="000000"/>
            </w:tcBorders>
          </w:tcPr>
          <w:p>
            <w:pPr>
              <w:pStyle w:val="TableParagraph"/>
              <w:spacing w:line="124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pict>
                <v:group style="width:67.9pt;height:62.4pt;mso-position-horizontal-relative:char;mso-position-vertical-relative:line" coordorigin="0,0" coordsize="1358,1248">
                  <v:group style="position:absolute;left:0;top:0;width:1358;height:1248" coordorigin="0,0" coordsize="1358,1248">
                    <v:shape style="position:absolute;left:0;top:0;width:1358;height:1248" coordorigin="0,0" coordsize="1358,1248" path="m0,1248l1357,1248,1357,0,0,0,0,1248xe" filled="true" fillcolor="#ffffff" stroked="false">
                      <v:path arrowok="t"/>
                      <v:fill type="solid"/>
                    </v:shape>
                  </v:group>
                </v:group>
              </w:pict>
            </w:r>
            <w:r>
              <w:rPr>
                <w:rFonts w:ascii="Times New Roman" w:hAnsi="Times New Roman" w:cs="Times New Roman" w:eastAsia="Times New Roman" w:hint="default"/>
                <w:position w:val="-24"/>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124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pict>
                <v:group style="width:67.9pt;height:62.4pt;mso-position-horizontal-relative:char;mso-position-vertical-relative:line" coordorigin="0,0" coordsize="1358,1248">
                  <v:group style="position:absolute;left:0;top:0;width:1358;height:1248" coordorigin="0,0" coordsize="1358,1248">
                    <v:shape style="position:absolute;left:0;top:0;width:1358;height:1248" coordorigin="0,0" coordsize="1358,1248" path="m0,1248l1357,1248,1357,0,0,0,0,1248xe" filled="true" fillcolor="#ffffff" stroked="false">
                      <v:path arrowok="t"/>
                      <v:fill type="solid"/>
                    </v:shape>
                  </v:group>
                </v:group>
              </w:pict>
            </w:r>
            <w:r>
              <w:rPr>
                <w:rFonts w:ascii="Times New Roman" w:hAnsi="Times New Roman" w:cs="Times New Roman" w:eastAsia="Times New Roman" w:hint="default"/>
                <w:position w:val="-24"/>
                <w:sz w:val="20"/>
                <w:szCs w:val="20"/>
              </w:rPr>
            </w:r>
          </w:p>
        </w:tc>
        <w:tc>
          <w:tcPr>
            <w:tcW w:w="1367" w:type="dxa"/>
            <w:tcBorders>
              <w:top w:val="single" w:sz="4" w:space="0" w:color="000000"/>
              <w:left w:val="single" w:sz="4" w:space="0" w:color="000000"/>
              <w:bottom w:val="nil" w:sz="6" w:space="0" w:color="auto"/>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咨询、管理咨询</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税务咨询、商务</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昌都市达实投资 咨询有限公司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昌都</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昌都</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咨询兼并重组咨 询（咨询不含证 </w:t>
            </w:r>
            <w:r>
              <w:rPr>
                <w:rFonts w:ascii="宋体" w:hAnsi="宋体" w:cs="宋体" w:eastAsia="宋体" w:hint="default"/>
                <w:spacing w:val="-6"/>
                <w:sz w:val="18"/>
                <w:szCs w:val="18"/>
              </w:rPr>
              <w:t>券、保险、基金</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通过设立方式取 得</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金融业务、人才</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中介服务及其限</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制项目）</w:t>
            </w: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云浮市济天企业 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企业管理服务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通过设立方式取 得</w:t>
            </w: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能源监测与节能</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服务；合同能源</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管理服务；新能</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77"/>
              <w:jc w:val="left"/>
              <w:rPr>
                <w:rFonts w:ascii="宋体" w:hAnsi="宋体" w:cs="宋体" w:eastAsia="宋体" w:hint="default"/>
                <w:sz w:val="18"/>
                <w:szCs w:val="18"/>
              </w:rPr>
            </w:pPr>
            <w:r>
              <w:rPr>
                <w:rFonts w:ascii="宋体" w:hAnsi="宋体" w:cs="宋体" w:eastAsia="宋体" w:hint="default"/>
                <w:sz w:val="18"/>
                <w:szCs w:val="18"/>
              </w:rPr>
              <w:t>深圳达实智慧医 疗有限公司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9" w:lineRule="auto" w:before="20"/>
              <w:ind w:left="22" w:right="72"/>
              <w:jc w:val="left"/>
              <w:rPr>
                <w:rFonts w:ascii="宋体" w:hAnsi="宋体" w:cs="宋体" w:eastAsia="宋体" w:hint="default"/>
                <w:sz w:val="18"/>
                <w:szCs w:val="18"/>
              </w:rPr>
            </w:pPr>
            <w:r>
              <w:rPr>
                <w:rFonts w:ascii="宋体" w:hAnsi="宋体" w:cs="宋体" w:eastAsia="宋体" w:hint="default"/>
                <w:sz w:val="18"/>
                <w:szCs w:val="18"/>
              </w:rPr>
              <w:t>源技术开发和咨 询设计服务（以</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71"/>
              <w:jc w:val="left"/>
              <w:rPr>
                <w:rFonts w:ascii="宋体" w:hAnsi="宋体" w:cs="宋体" w:eastAsia="宋体" w:hint="default"/>
                <w:sz w:val="18"/>
                <w:szCs w:val="18"/>
              </w:rPr>
            </w:pPr>
            <w:r>
              <w:rPr>
                <w:rFonts w:ascii="宋体" w:hAnsi="宋体" w:cs="宋体" w:eastAsia="宋体" w:hint="default"/>
                <w:sz w:val="18"/>
                <w:szCs w:val="18"/>
              </w:rPr>
              <w:t>通过设立方式取 得</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上均不含需许可</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审批项目）互联</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网医疗服务、互</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r>
        <w:rPr/>
        <w:pict>
          <v:shape style="position:absolute;margin-left:324.394012pt;margin-top:422.259979pt;width:74.05pt;height:31.2pt;mso-position-horizontal-relative:page;mso-position-vertical-relative:page;z-index:-1175944" type="#_x0000_t202" filled="false" stroked="false">
            <v:textbox inset="0,0,0,0">
              <w:txbxContent>
                <w:p>
                  <w:pPr>
                    <w:pStyle w:val="BodyText"/>
                    <w:spacing w:line="205" w:lineRule="exact"/>
                    <w:ind w:left="0" w:right="0"/>
                    <w:jc w:val="left"/>
                  </w:pPr>
                  <w:r>
                    <w:rPr/>
                    <w:t>、</w:t>
                  </w:r>
                </w:p>
              </w:txbxContent>
            </v:textbox>
            <w10:wrap type="none"/>
          </v:shape>
        </w:pict>
      </w:r>
      <w:r>
        <w:rPr/>
        <w:pict>
          <v:shape style="position:absolute;margin-left:324.399994pt;margin-top:620.73999pt;width:74.05pt;height:147.2pt;mso-position-horizontal-relative:page;mso-position-vertical-relative:page;z-index:-1175920" type="#_x0000_t202" filled="false" stroked="false">
            <v:textbox inset="0,0,0,0">
              <w:txbxContent>
                <w:p>
                  <w:pPr>
                    <w:pStyle w:val="BodyText"/>
                    <w:spacing w:line="240" w:lineRule="auto" w:before="146"/>
                    <w:ind w:left="0" w:right="0"/>
                    <w:jc w:val="left"/>
                  </w:pPr>
                  <w:r>
                    <w:rPr/>
                    <w:t>）</w:t>
                  </w:r>
                </w:p>
              </w:txbxContent>
            </v:textbox>
            <w10:wrap type="none"/>
          </v:shape>
        </w:pict>
      </w:r>
      <w:r>
        <w:rPr/>
        <w:pict>
          <v:group style="position:absolute;margin-left:330.579987pt;margin-top:422.259979pt;width:67.9pt;height:31.2pt;mso-position-horizontal-relative:page;mso-position-vertical-relative:page;z-index:-1175896" coordorigin="6612,8445" coordsize="1358,624">
            <v:shape style="position:absolute;left:6612;top:8445;width:1358;height:624" coordorigin="6612,8445" coordsize="1358,624" path="m6612,9069l7969,9069,7969,8445,6612,8445,6612,9069xe" filled="true" fillcolor="#ffffff" stroked="false">
              <v:path arrowok="t"/>
              <v:fill type="solid"/>
            </v:shape>
            <w10:wrap type="none"/>
          </v:group>
        </w:pict>
      </w:r>
      <w:r>
        <w:rPr/>
        <w:pict>
          <v:group style="position:absolute;margin-left:330.579987pt;margin-top:620.73999pt;width:67.9pt;height:147.2pt;mso-position-horizontal-relative:page;mso-position-vertical-relative:page;z-index:-1175872" coordorigin="6612,12415" coordsize="1358,2944">
            <v:shape style="position:absolute;left:6612;top:12415;width:1358;height:2944" coordorigin="6612,12415" coordsize="1358,2944" path="m6612,15359l7969,15359,7969,12415,6612,12415,6612,15359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5979"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联网、云计算软 件与平台服务； 物联网系统研发 与应用服务；智 慧医疗信息系统 研发与集成服 务；医疗大数据 开发与应用服 务；医疗专业系 统咨询、设计、 集成服务；医疗 大数据与人工智 能开发和生产</w:t>
            </w:r>
          </w:p>
          <w:p>
            <w:pPr>
              <w:pStyle w:val="TableParagraph"/>
              <w:spacing w:line="319"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（不含限制项 </w:t>
            </w:r>
            <w:r>
              <w:rPr>
                <w:rFonts w:ascii="宋体" w:hAnsi="宋体" w:cs="宋体" w:eastAsia="宋体" w:hint="default"/>
                <w:spacing w:val="-17"/>
                <w:sz w:val="18"/>
                <w:szCs w:val="18"/>
              </w:rPr>
              <w:t>目）；城市智慧医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疗创新研究；智 慧医院建设和运 营管理；智慧医 疗展览和体验</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77"/>
              <w:jc w:val="left"/>
              <w:rPr>
                <w:rFonts w:ascii="宋体" w:hAnsi="宋体" w:cs="宋体" w:eastAsia="宋体" w:hint="default"/>
                <w:sz w:val="18"/>
                <w:szCs w:val="18"/>
              </w:rPr>
            </w:pPr>
            <w:r>
              <w:rPr>
                <w:rFonts w:ascii="宋体" w:hAnsi="宋体" w:cs="宋体" w:eastAsia="宋体" w:hint="default"/>
                <w:sz w:val="18"/>
                <w:szCs w:val="18"/>
              </w:rPr>
              <w:t>上海达实自动化 工程有限公司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楼宇自动化、工 业自动化、办公 自动化系统的设 </w:t>
            </w:r>
            <w:r>
              <w:rPr>
                <w:rFonts w:ascii="宋体" w:hAnsi="宋体" w:cs="宋体" w:eastAsia="宋体" w:hint="default"/>
                <w:spacing w:val="-6"/>
                <w:sz w:val="18"/>
                <w:szCs w:val="18"/>
              </w:rPr>
              <w:t>计、开发、安装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调试及维修服务</w:t>
            </w:r>
          </w:p>
        </w:tc>
        <w:tc>
          <w:tcPr>
            <w:tcW w:w="378"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6291"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2" w:right="77"/>
              <w:jc w:val="left"/>
              <w:rPr>
                <w:rFonts w:ascii="宋体" w:hAnsi="宋体" w:cs="宋体" w:eastAsia="宋体" w:hint="default"/>
                <w:sz w:val="18"/>
                <w:szCs w:val="18"/>
              </w:rPr>
            </w:pPr>
            <w:r>
              <w:rPr>
                <w:rFonts w:ascii="宋体" w:hAnsi="宋体" w:cs="宋体" w:eastAsia="宋体" w:hint="default"/>
                <w:sz w:val="18"/>
                <w:szCs w:val="18"/>
              </w:rPr>
              <w:t>遵义达实绿色智 慧发展有限公司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遵义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遵义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法律、法规、国 务院决定规定禁 止的不得经营； 法律、法规、国 务院决定规定应 当许可（审批） 的，经审批机关 批准后凭许可</w:t>
            </w:r>
          </w:p>
          <w:p>
            <w:pPr>
              <w:pStyle w:val="TableParagraph"/>
              <w:spacing w:line="316"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（审批）文件经 营</w:t>
            </w:r>
            <w:r>
              <w:rPr>
                <w:rFonts w:ascii="Times New Roman" w:hAnsi="Times New Roman" w:cs="Times New Roman" w:eastAsia="Times New Roman" w:hint="default"/>
                <w:sz w:val="18"/>
                <w:szCs w:val="18"/>
              </w:rPr>
              <w:t>;</w:t>
            </w:r>
            <w:r>
              <w:rPr>
                <w:rFonts w:ascii="宋体" w:hAnsi="宋体" w:cs="宋体" w:eastAsia="宋体" w:hint="default"/>
                <w:sz w:val="18"/>
                <w:szCs w:val="18"/>
              </w:rPr>
              <w:t>法律、法规、 国务院决定规定 </w:t>
            </w:r>
            <w:r>
              <w:rPr>
                <w:rFonts w:ascii="宋体" w:hAnsi="宋体" w:cs="宋体" w:eastAsia="宋体" w:hint="default"/>
                <w:spacing w:val="-6"/>
                <w:sz w:val="18"/>
                <w:szCs w:val="18"/>
              </w:rPr>
              <w:t>无需许可（审批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的，市场主体自 </w:t>
            </w:r>
            <w:r>
              <w:rPr>
                <w:rFonts w:ascii="宋体" w:hAnsi="宋体" w:cs="宋体" w:eastAsia="宋体" w:hint="default"/>
                <w:spacing w:val="-17"/>
                <w:sz w:val="18"/>
                <w:szCs w:val="18"/>
              </w:rPr>
              <w:t>主选择经营。（智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慧城市建设、基 础设施建设、科 普设施建设、展 览设施建设、绿 色节能项目建 设；项目咨询及</w:t>
            </w:r>
          </w:p>
        </w:tc>
        <w:tc>
          <w:tcPr>
            <w:tcW w:w="378"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2" w:right="71"/>
              <w:jc w:val="left"/>
              <w:rPr>
                <w:rFonts w:ascii="宋体" w:hAnsi="宋体" w:cs="宋体" w:eastAsia="宋体" w:hint="default"/>
                <w:sz w:val="18"/>
                <w:szCs w:val="18"/>
              </w:rPr>
            </w:pPr>
            <w:r>
              <w:rPr>
                <w:rFonts w:ascii="宋体" w:hAnsi="宋体" w:cs="宋体" w:eastAsia="宋体" w:hint="default"/>
                <w:sz w:val="18"/>
                <w:szCs w:val="18"/>
              </w:rPr>
              <w:t>通过设立方式取 得</w:t>
            </w:r>
          </w:p>
        </w:tc>
      </w:tr>
    </w:tbl>
    <w:p>
      <w:pPr>
        <w:spacing w:after="0" w:line="319" w:lineRule="auto"/>
        <w:jc w:val="left"/>
        <w:rPr>
          <w:rFonts w:ascii="宋体" w:hAnsi="宋体" w:cs="宋体" w:eastAsia="宋体" w:hint="default"/>
          <w:sz w:val="18"/>
          <w:szCs w:val="18"/>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r>
        <w:rPr/>
        <w:pict>
          <v:shape style="position:absolute;margin-left:324.390991pt;margin-top:235.039978pt;width:74.05pt;height:124.8pt;mso-position-horizontal-relative:page;mso-position-vertical-relative:page;z-index:-11758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5"/>
                      <w:szCs w:val="15"/>
                    </w:rPr>
                  </w:pPr>
                </w:p>
                <w:p>
                  <w:pPr>
                    <w:pStyle w:val="BodyText"/>
                    <w:spacing w:line="240" w:lineRule="auto"/>
                    <w:ind w:left="0" w:right="0"/>
                    <w:jc w:val="left"/>
                  </w:pPr>
                  <w:r>
                    <w:rPr/>
                    <w:t>、</w:t>
                  </w:r>
                </w:p>
              </w:txbxContent>
            </v:textbox>
            <w10:wrap type="none"/>
          </v:shape>
        </w:pict>
      </w:r>
      <w:r>
        <w:rPr/>
        <w:pict>
          <v:group style="position:absolute;margin-left:330.579987pt;margin-top:235.039978pt;width:67.9pt;height:124.8pt;mso-position-horizontal-relative:page;mso-position-vertical-relative:page;z-index:-1175824" coordorigin="6612,4701" coordsize="1358,2496">
            <v:shape style="position:absolute;left:6612;top:4701;width:1358;height:2496" coordorigin="6612,4701" coordsize="1358,2496" path="m6612,7197l7969,7197,7969,4701,6612,4701,6612,7197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管理</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77"/>
              <w:jc w:val="left"/>
              <w:rPr>
                <w:rFonts w:ascii="宋体" w:hAnsi="宋体" w:cs="宋体" w:eastAsia="宋体" w:hint="default"/>
                <w:sz w:val="18"/>
                <w:szCs w:val="18"/>
              </w:rPr>
            </w:pPr>
            <w:r>
              <w:rPr>
                <w:rFonts w:ascii="宋体" w:hAnsi="宋体" w:cs="宋体" w:eastAsia="宋体" w:hint="default"/>
                <w:sz w:val="18"/>
                <w:szCs w:val="18"/>
              </w:rPr>
              <w:t>珠海达实科技发 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研发能源管理产 品；</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卡读写机 具产品、安装监 控设备和信息终 端、智能大厦监 控系统、现场网 络控制设备、机 电设备和仪器仪 表的技术开发及 相关系统软件销 售；承接建筑智 能化系统和工业 自动化系统的设 </w:t>
            </w:r>
            <w:r>
              <w:rPr>
                <w:rFonts w:ascii="宋体" w:hAnsi="宋体" w:cs="宋体" w:eastAsia="宋体" w:hint="default"/>
                <w:spacing w:val="-6"/>
                <w:sz w:val="18"/>
                <w:szCs w:val="18"/>
              </w:rPr>
              <w:t>计、集成、安装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技术咨询；提供 能源监测、节能 咨询服务</w:t>
            </w:r>
          </w:p>
        </w:tc>
        <w:tc>
          <w:tcPr>
            <w:tcW w:w="378"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316"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71"/>
              <w:jc w:val="left"/>
              <w:rPr>
                <w:rFonts w:ascii="宋体" w:hAnsi="宋体" w:cs="宋体" w:eastAsia="宋体" w:hint="default"/>
                <w:sz w:val="18"/>
                <w:szCs w:val="18"/>
              </w:rPr>
            </w:pPr>
            <w:r>
              <w:rPr>
                <w:rFonts w:ascii="宋体" w:hAnsi="宋体" w:cs="宋体" w:eastAsia="宋体" w:hint="default"/>
                <w:sz w:val="18"/>
                <w:szCs w:val="18"/>
              </w:rPr>
              <w:t>通过设立方式取 得</w:t>
            </w:r>
          </w:p>
        </w:tc>
      </w:tr>
      <w:tr>
        <w:trPr>
          <w:trHeight w:val="816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9" w:lineRule="auto"/>
              <w:ind w:left="22" w:right="77"/>
              <w:jc w:val="both"/>
              <w:rPr>
                <w:rFonts w:ascii="宋体" w:hAnsi="宋体" w:cs="宋体" w:eastAsia="宋体" w:hint="default"/>
                <w:sz w:val="18"/>
                <w:szCs w:val="18"/>
              </w:rPr>
            </w:pPr>
            <w:r>
              <w:rPr>
                <w:rFonts w:ascii="宋体" w:hAnsi="宋体" w:cs="宋体" w:eastAsia="宋体" w:hint="default"/>
                <w:sz w:val="18"/>
                <w:szCs w:val="18"/>
              </w:rPr>
              <w:t>淮南达实智慧城 市投资发展有限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淮南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淮南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智慧城市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 目投资，智慧医 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项目投 资，智慧教育 </w:t>
            </w:r>
            <w:r>
              <w:rPr>
                <w:rFonts w:ascii="Times New Roman" w:hAnsi="Times New Roman" w:cs="Times New Roman" w:eastAsia="Times New Roman" w:hint="default"/>
                <w:sz w:val="18"/>
                <w:szCs w:val="18"/>
              </w:rPr>
              <w:t>PPP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项目投资， 互联网医疗经营</w:t>
            </w:r>
          </w:p>
          <w:p>
            <w:pPr>
              <w:pStyle w:val="TableParagraph"/>
              <w:spacing w:line="316" w:lineRule="auto" w:before="26"/>
              <w:ind w:left="22" w:right="23"/>
              <w:jc w:val="left"/>
              <w:rPr>
                <w:rFonts w:ascii="宋体" w:hAnsi="宋体" w:cs="宋体" w:eastAsia="宋体" w:hint="default"/>
                <w:sz w:val="18"/>
                <w:szCs w:val="18"/>
              </w:rPr>
            </w:pPr>
            <w:r>
              <w:rPr>
                <w:rFonts w:ascii="宋体" w:hAnsi="宋体" w:cs="宋体" w:eastAsia="宋体" w:hint="default"/>
                <w:sz w:val="18"/>
                <w:szCs w:val="18"/>
              </w:rPr>
              <w:t>（不含医学治 </w:t>
            </w:r>
            <w:r>
              <w:rPr>
                <w:rFonts w:ascii="宋体" w:hAnsi="宋体" w:cs="宋体" w:eastAsia="宋体" w:hint="default"/>
                <w:spacing w:val="-17"/>
                <w:sz w:val="18"/>
                <w:szCs w:val="18"/>
              </w:rPr>
              <w:t>疗），健康养生管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理咨询，心理咨 询（不含医学心 理咨询、医学心 理训练、医学心 理辅导等医疗行 </w:t>
            </w:r>
            <w:r>
              <w:rPr>
                <w:rFonts w:ascii="宋体" w:hAnsi="宋体" w:cs="宋体" w:eastAsia="宋体" w:hint="default"/>
                <w:spacing w:val="-17"/>
                <w:sz w:val="18"/>
                <w:szCs w:val="18"/>
              </w:rPr>
              <w:t>为），健康档案管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理技术平台的研 发和运营，商务 信息咨询，经济 信息咨询，计算 机编程，计算机 软硬件的技术开 发销售，基础设 施投资，绿色节 能建筑投资，投 资咨询及管理， 承接建筑智能化 系统和工业自动</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通过设立方式取 得</w:t>
            </w:r>
          </w:p>
        </w:tc>
      </w:tr>
    </w:tbl>
    <w:p>
      <w:pPr>
        <w:spacing w:after="0" w:line="319" w:lineRule="auto"/>
        <w:jc w:val="left"/>
        <w:rPr>
          <w:rFonts w:ascii="宋体" w:hAnsi="宋体" w:cs="宋体" w:eastAsia="宋体" w:hint="default"/>
          <w:sz w:val="18"/>
          <w:szCs w:val="18"/>
        </w:rPr>
        <w:sectPr>
          <w:footerReference w:type="default" r:id="rId20"/>
          <w:pgSz w:w="11910" w:h="16840"/>
          <w:pgMar w:footer="1019" w:header="787" w:top="1100" w:bottom="1200" w:left="980" w:right="0"/>
          <w:pgNumType w:start="190"/>
        </w:sectPr>
      </w:pPr>
    </w:p>
    <w:p>
      <w:pPr>
        <w:spacing w:line="240" w:lineRule="auto" w:before="10"/>
        <w:rPr>
          <w:rFonts w:ascii="Times New Roman" w:hAnsi="Times New Roman" w:cs="Times New Roman" w:eastAsia="Times New Roman" w:hint="default"/>
          <w:sz w:val="28"/>
          <w:szCs w:val="28"/>
        </w:rPr>
      </w:pPr>
      <w:r>
        <w:rPr/>
        <w:pict>
          <v:shape style="position:absolute;margin-left:324.399994pt;margin-top:72.47998pt;width:74.05pt;height:48.85pt;mso-position-horizontal-relative:page;mso-position-vertical-relative:page;z-index:-1175776" type="#_x0000_t202" filled="false" stroked="false">
            <v:textbox inset="0,0,0,0">
              <w:txbxContent>
                <w:p>
                  <w:pPr>
                    <w:pStyle w:val="BodyText"/>
                    <w:spacing w:line="240" w:lineRule="auto" w:before="10"/>
                    <w:ind w:left="0" w:right="0"/>
                    <w:jc w:val="left"/>
                  </w:pPr>
                  <w:r>
                    <w:rPr/>
                    <w:t>、</w:t>
                  </w:r>
                </w:p>
                <w:p>
                  <w:pPr>
                    <w:pStyle w:val="BodyText"/>
                    <w:spacing w:line="240" w:lineRule="auto" w:before="76"/>
                    <w:ind w:left="0" w:right="0"/>
                    <w:jc w:val="left"/>
                  </w:pPr>
                  <w:r>
                    <w:rPr/>
                    <w:t>，</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986"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both"/>
              <w:rPr>
                <w:rFonts w:ascii="宋体" w:hAnsi="宋体" w:cs="宋体" w:eastAsia="宋体" w:hint="default"/>
                <w:sz w:val="18"/>
                <w:szCs w:val="18"/>
              </w:rPr>
            </w:pPr>
            <w:r>
              <w:rPr>
                <w:rFonts w:ascii="宋体" w:hAnsi="宋体" w:cs="宋体" w:eastAsia="宋体" w:hint="default"/>
                <w:spacing w:val="-6"/>
                <w:sz w:val="18"/>
                <w:szCs w:val="18"/>
              </w:rPr>
              <w:t>化的设计、集成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安装、技术咨询</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节能咨询服务。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97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pict>
                <v:group style="width:67.9pt;height:48.85pt;mso-position-horizontal-relative:char;mso-position-vertical-relative:line" coordorigin="0,0" coordsize="1358,977">
                  <v:group style="position:absolute;left:0;top:0;width:1358;height:977" coordorigin="0,0" coordsize="1358,977">
                    <v:shape style="position:absolute;left:0;top:0;width:1358;height:977" coordorigin="0,0" coordsize="1358,977" path="m0,977l1357,977,1357,0,0,0,0,977xe" filled="true" fillcolor="#ffffff" stroked="false">
                      <v:path arrowok="t"/>
                      <v:fill type="solid"/>
                    </v:shape>
                  </v:group>
                </v:group>
              </w:pict>
            </w:r>
            <w:r>
              <w:rPr>
                <w:rFonts w:ascii="Times New Roman" w:hAnsi="Times New Roman" w:cs="Times New Roman" w:eastAsia="Times New Roman" w:hint="default"/>
                <w:position w:val="-19"/>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物联网、智慧医</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深圳达实软件有 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院、智慧交通、 智能建筑应用系 统软件和产品软</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通过设立方式取 得</w:t>
            </w: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件开发和销售。</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72"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互互联网、云计</w:t>
            </w: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算软件与平台服</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务，物联网系统</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研发与应用服</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务；智慧医疗信</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息系统研发与集</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成服务，医疗大</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数据开发与应用</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服务，智能交通</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含轨道交通信号</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监控系统开发、</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技术咨询设计、</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销售与集成服</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务；智能建筑系</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37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雄安达实智慧科 技有限公司</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保定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2" w:right="0"/>
              <w:jc w:val="left"/>
              <w:rPr>
                <w:rFonts w:ascii="宋体" w:hAnsi="宋体" w:cs="宋体" w:eastAsia="宋体" w:hint="default"/>
                <w:sz w:val="18"/>
                <w:szCs w:val="18"/>
              </w:rPr>
            </w:pPr>
            <w:r>
              <w:rPr>
                <w:rFonts w:ascii="宋体" w:hAnsi="宋体" w:cs="宋体" w:eastAsia="宋体" w:hint="default"/>
                <w:sz w:val="18"/>
                <w:szCs w:val="18"/>
              </w:rPr>
              <w:t>保定</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统开发与集成、 技术咨询设计， 机电总包服务，</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通过设立方式取 得</w:t>
            </w: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机电设备安装工</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程；能源监测与</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节能服务、合同</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能源管理服务，</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新能源技术开发</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和咨询设计服</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务，电力建设工</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程施工，承装、</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承修、承试电力</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设施，变电站、</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施工用电箱式变</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压器的运行管</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372"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理、设备调试、</w:t>
            </w: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72"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维修保养服务</w:t>
            </w: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tcBorders>
              <w:top w:val="nil" w:sz="6" w:space="0" w:color="auto"/>
              <w:left w:val="single" w:sz="4" w:space="0" w:color="000000"/>
              <w:bottom w:val="single" w:sz="4" w:space="0" w:color="000000"/>
              <w:right w:val="single" w:sz="4" w:space="0" w:color="000000"/>
            </w:tcBorders>
          </w:tcPr>
          <w:p>
            <w:pPr/>
          </w:p>
        </w:tc>
      </w:tr>
      <w:tr>
        <w:trPr>
          <w:trHeight w:val="1299"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77"/>
              <w:jc w:val="both"/>
              <w:rPr>
                <w:rFonts w:ascii="宋体" w:hAnsi="宋体" w:cs="宋体" w:eastAsia="宋体" w:hint="default"/>
                <w:sz w:val="18"/>
                <w:szCs w:val="18"/>
              </w:rPr>
            </w:pPr>
            <w:r>
              <w:rPr>
                <w:rFonts w:ascii="宋体" w:hAnsi="宋体" w:cs="宋体" w:eastAsia="宋体" w:hint="default"/>
                <w:sz w:val="18"/>
                <w:szCs w:val="18"/>
              </w:rPr>
              <w:t>江苏洪泽湖达实 智慧医养有限公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淮安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淮安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医养一体化健康 服务，健康养生 管理及咨询服 务，医疗和健康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71"/>
              <w:jc w:val="left"/>
              <w:rPr>
                <w:rFonts w:ascii="宋体" w:hAnsi="宋体" w:cs="宋体" w:eastAsia="宋体" w:hint="default"/>
                <w:sz w:val="18"/>
                <w:szCs w:val="18"/>
              </w:rPr>
            </w:pPr>
            <w:r>
              <w:rPr>
                <w:rFonts w:ascii="宋体" w:hAnsi="宋体" w:cs="宋体" w:eastAsia="宋体" w:hint="default"/>
                <w:sz w:val="18"/>
                <w:szCs w:val="18"/>
              </w:rPr>
              <w:t>通过设立方式取 得</w:t>
            </w:r>
          </w:p>
        </w:tc>
      </w:tr>
    </w:tbl>
    <w:p>
      <w:pPr>
        <w:spacing w:after="0" w:line="319" w:lineRule="auto"/>
        <w:jc w:val="left"/>
        <w:rPr>
          <w:rFonts w:ascii="宋体" w:hAnsi="宋体" w:cs="宋体" w:eastAsia="宋体" w:hint="default"/>
          <w:sz w:val="18"/>
          <w:szCs w:val="18"/>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r>
        <w:rPr/>
        <w:pict>
          <v:shape style="position:absolute;margin-left:324.399994pt;margin-top:141.919983pt;width:74.05pt;height:46.8pt;mso-position-horizontal-relative:page;mso-position-vertical-relative:page;z-index:-11757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w:t>
                  </w:r>
                </w:p>
              </w:txbxContent>
            </v:textbox>
            <w10:wrap type="none"/>
          </v:shape>
        </w:pict>
      </w:r>
      <w:r>
        <w:rPr/>
        <w:pict>
          <v:group style="position:absolute;margin-left:330.579987pt;margin-top:141.919983pt;width:67.9pt;height:46.8pt;mso-position-horizontal-relative:page;mso-position-vertical-relative:page;z-index:-1175728" coordorigin="6612,2838" coordsize="1358,936">
            <v:shape style="position:absolute;left:6612;top:2838;width:1358;height:936" coordorigin="6612,2838" coordsize="1358,936" path="m6612,3774l7969,3774,7969,2838,6612,2838,6612,3774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423"/>
        <w:gridCol w:w="944"/>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养生项目投资、 建设、运营</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深圳市小鹿暖暖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计算机编程；计 算机软件设计</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22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湖南桃江达实智 慧医养有限公司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益阳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益阳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医疗和健康养生 </w:t>
            </w:r>
            <w:r>
              <w:rPr>
                <w:rFonts w:ascii="宋体" w:hAnsi="宋体" w:cs="宋体" w:eastAsia="宋体" w:hint="default"/>
                <w:spacing w:val="-6"/>
                <w:sz w:val="18"/>
                <w:szCs w:val="18"/>
              </w:rPr>
              <w:t>项目投资、建设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运营；医养一体 化健康服务经 营；医疗养生服 务；健康养生管 理及咨询服务</w:t>
            </w:r>
          </w:p>
        </w:tc>
        <w:tc>
          <w:tcPr>
            <w:tcW w:w="423" w:type="dxa"/>
            <w:tcBorders>
              <w:top w:val="single" w:sz="4" w:space="0" w:color="000000"/>
              <w:left w:val="single" w:sz="4" w:space="0" w:color="000000"/>
              <w:bottom w:val="single" w:sz="4" w:space="0" w:color="000000"/>
              <w:right w:val="nil" w:sz="6" w:space="0" w:color="auto"/>
            </w:tcBorders>
          </w:tcPr>
          <w:p>
            <w:pPr/>
          </w:p>
        </w:tc>
        <w:tc>
          <w:tcPr>
            <w:tcW w:w="94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通过设立方式取 得</w:t>
            </w:r>
          </w:p>
        </w:tc>
      </w:tr>
      <w:tr>
        <w:trPr>
          <w:trHeight w:val="1003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2" w:right="77"/>
              <w:jc w:val="left"/>
              <w:rPr>
                <w:rFonts w:ascii="宋体" w:hAnsi="宋体" w:cs="宋体" w:eastAsia="宋体" w:hint="default"/>
                <w:sz w:val="18"/>
                <w:szCs w:val="18"/>
              </w:rPr>
            </w:pPr>
            <w:r>
              <w:rPr>
                <w:rFonts w:ascii="宋体" w:hAnsi="宋体" w:cs="宋体" w:eastAsia="宋体" w:hint="default"/>
                <w:sz w:val="18"/>
                <w:szCs w:val="18"/>
              </w:rPr>
              <w:t>合肥达实信息科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互联网、云计算 机软件研发与平 台服务；物联网 系统研发与应用 服务；智慧医疗 信息系统研发与 集成服务；医疗 大数据开发与应 用服务；医疗项 目投资（未经金 融监管部门批 准，不得从事吸 收存款，融资担 保，代客理财等 </w:t>
            </w:r>
            <w:r>
              <w:rPr>
                <w:rFonts w:ascii="宋体" w:hAnsi="宋体" w:cs="宋体" w:eastAsia="宋体" w:hint="default"/>
                <w:spacing w:val="-17"/>
                <w:sz w:val="18"/>
                <w:szCs w:val="18"/>
              </w:rPr>
              <w:t>金融业务）；智能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交通含轨道交通 信号监控系统开 发、技术咨询、 设计、产品销售 与集成服务；智 能建筑系统开发 与集成、技术咨 询、设计；机电 总包服务；智能 卡、智能管控、 安防监控、终端 设备与软件的研 发、销售及应用 服务；能源监测 与节能服务；合 同能源管理服 务；新能源技术</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6"/>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2" w:right="71"/>
              <w:jc w:val="left"/>
              <w:rPr>
                <w:rFonts w:ascii="宋体" w:hAnsi="宋体" w:cs="宋体" w:eastAsia="宋体" w:hint="default"/>
                <w:sz w:val="18"/>
                <w:szCs w:val="18"/>
              </w:rPr>
            </w:pPr>
            <w:r>
              <w:rPr>
                <w:rFonts w:ascii="宋体" w:hAnsi="宋体" w:cs="宋体" w:eastAsia="宋体" w:hint="default"/>
                <w:sz w:val="18"/>
                <w:szCs w:val="18"/>
              </w:rPr>
              <w:t>通过设立方式取 得</w:t>
            </w:r>
          </w:p>
        </w:tc>
      </w:tr>
    </w:tbl>
    <w:p>
      <w:pPr>
        <w:spacing w:after="0" w:line="319" w:lineRule="auto"/>
        <w:jc w:val="left"/>
        <w:rPr>
          <w:rFonts w:ascii="宋体" w:hAnsi="宋体" w:cs="宋体" w:eastAsia="宋体" w:hint="default"/>
          <w:sz w:val="18"/>
          <w:szCs w:val="18"/>
        </w:rPr>
        <w:sectPr>
          <w:pgSz w:w="11910" w:h="16840"/>
          <w:pgMar w:header="787" w:footer="1019" w:top="1100" w:bottom="1200" w:left="980" w:right="0"/>
        </w:sectPr>
      </w:pPr>
    </w:p>
    <w:p>
      <w:pPr>
        <w:spacing w:line="240" w:lineRule="auto" w:before="9"/>
        <w:rPr>
          <w:rFonts w:ascii="Times New Roman" w:hAnsi="Times New Roman" w:cs="Times New Roman" w:eastAsia="Times New Roman" w:hint="default"/>
          <w:sz w:val="26"/>
          <w:szCs w:val="26"/>
        </w:rPr>
      </w:pPr>
    </w:p>
    <w:p>
      <w:pPr>
        <w:pStyle w:val="BodyText"/>
        <w:spacing w:line="319" w:lineRule="auto" w:before="44"/>
        <w:ind w:left="4287" w:right="5376"/>
        <w:jc w:val="both"/>
      </w:pPr>
      <w:r>
        <w:rPr/>
        <w:pict>
          <v:shape style="position:absolute;margin-left:324.399994pt;margin-top:1.671743pt;width:74.05pt;height:64.45pt;mso-position-horizontal-relative:page;mso-position-vertical-relative:paragraph;z-index:-1175704" type="#_x0000_t202" filled="false" stroked="false">
            <v:textbox inset="0,0,0,0">
              <w:txbxContent>
                <w:p>
                  <w:pPr>
                    <w:spacing w:line="240" w:lineRule="auto" w:before="9"/>
                    <w:rPr>
                      <w:rFonts w:ascii="宋体" w:hAnsi="宋体" w:cs="宋体" w:eastAsia="宋体" w:hint="default"/>
                      <w:sz w:val="24"/>
                      <w:szCs w:val="24"/>
                    </w:rPr>
                  </w:pPr>
                </w:p>
                <w:p>
                  <w:pPr>
                    <w:pStyle w:val="BodyText"/>
                    <w:spacing w:line="240" w:lineRule="auto"/>
                    <w:ind w:left="0" w:right="0"/>
                    <w:jc w:val="left"/>
                  </w:pPr>
                  <w:r>
                    <w:rPr/>
                    <w:t>；</w:t>
                  </w:r>
                </w:p>
              </w:txbxContent>
            </v:textbox>
            <w10:wrap type="none"/>
          </v:shape>
        </w:pict>
      </w:r>
      <w:r>
        <w:rPr/>
        <w:t>开发和咨询设计 </w:t>
      </w:r>
      <w:r>
        <w:rPr>
          <w:spacing w:val="-6"/>
        </w:rPr>
        <w:t>服务；售电业务</w:t>
      </w:r>
      <w:r>
        <w:rPr>
          <w:spacing w:val="-87"/>
        </w:rPr>
        <w:t> </w:t>
      </w:r>
      <w:r>
        <w:rPr>
          <w:spacing w:val="-87"/>
        </w:rPr>
      </w:r>
      <w:r>
        <w:rPr/>
        <w:t>电网项目投资建 设服务</w:t>
      </w:r>
    </w:p>
    <w:p>
      <w:pPr>
        <w:spacing w:after="0" w:line="319" w:lineRule="auto"/>
        <w:jc w:val="both"/>
        <w:sectPr>
          <w:pgSz w:w="11910" w:h="16840"/>
          <w:pgMar w:header="787" w:footer="1019" w:top="1100" w:bottom="120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5"/>
          <w:szCs w:val="25"/>
        </w:rPr>
      </w:pPr>
    </w:p>
    <w:p>
      <w:pPr>
        <w:pStyle w:val="BodyText"/>
        <w:spacing w:line="316" w:lineRule="auto"/>
        <w:ind w:left="181" w:right="-20"/>
        <w:jc w:val="left"/>
      </w:pPr>
      <w:r>
        <w:rPr/>
        <w:t>成都聚雅医信科 技有限公司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8"/>
          <w:szCs w:val="18"/>
        </w:rPr>
      </w:pPr>
    </w:p>
    <w:p>
      <w:pPr>
        <w:pStyle w:val="BodyText"/>
        <w:tabs>
          <w:tab w:pos="1438" w:val="left" w:leader="none"/>
        </w:tabs>
        <w:spacing w:line="240" w:lineRule="auto"/>
        <w:ind w:left="71" w:right="-20"/>
        <w:jc w:val="left"/>
      </w:pPr>
      <w:r>
        <w:rPr/>
        <w:t>成都</w:t>
        <w:tab/>
        <w:t>成都</w:t>
      </w:r>
    </w:p>
    <w:p>
      <w:pPr>
        <w:pStyle w:val="BodyText"/>
        <w:spacing w:line="316" w:lineRule="auto" w:before="107"/>
        <w:ind w:left="181" w:right="-14"/>
        <w:jc w:val="left"/>
      </w:pPr>
      <w:r>
        <w:rPr>
          <w:spacing w:val="-6"/>
        </w:rPr>
        <w:br w:type="column"/>
      </w:r>
      <w:r>
        <w:rPr>
          <w:spacing w:val="-6"/>
        </w:rPr>
        <w:t>软件开发、销售</w:t>
      </w:r>
      <w:r>
        <w:rPr>
          <w:spacing w:val="-87"/>
        </w:rPr>
        <w:t> </w:t>
      </w:r>
      <w:r>
        <w:rPr>
          <w:spacing w:val="-87"/>
        </w:rPr>
      </w:r>
      <w:r>
        <w:rPr/>
        <w:t>电子技术咨询、 技术转让；计算 机系统集成；销 售：计算机硬件 及辅助设备、办 公用品及耗材、 一类医疗器械、 电子产品、安防 设备（国家有专 </w:t>
      </w:r>
      <w:r>
        <w:rPr>
          <w:spacing w:val="-12"/>
        </w:rPr>
        <w:t>项规定的除外）；</w:t>
      </w:r>
      <w:r>
        <w:rPr>
          <w:spacing w:val="-84"/>
        </w:rPr>
        <w:t> </w:t>
      </w:r>
      <w:r>
        <w:rPr>
          <w:spacing w:val="-84"/>
        </w:rPr>
      </w:r>
      <w:r>
        <w:rPr/>
        <w:t>楼宇智能化工程 设计（凭资质证 </w:t>
      </w:r>
      <w:r>
        <w:rPr>
          <w:spacing w:val="-17"/>
        </w:rPr>
        <w:t>书经营）；计算机</w:t>
      </w:r>
      <w:r>
        <w:rPr>
          <w:spacing w:val="-85"/>
        </w:rPr>
        <w:t> </w:t>
      </w:r>
      <w:r>
        <w:rPr>
          <w:spacing w:val="-85"/>
        </w:rPr>
      </w:r>
      <w:r>
        <w:rPr/>
        <w:t>网络工程施工</w:t>
      </w:r>
    </w:p>
    <w:p>
      <w:pPr>
        <w:pStyle w:val="BodyText"/>
        <w:spacing w:line="319" w:lineRule="auto" w:before="19"/>
        <w:ind w:left="181" w:right="70"/>
        <w:jc w:val="left"/>
      </w:pPr>
      <w:r>
        <w:rPr/>
        <w:pict>
          <v:shape style="position:absolute;margin-left:324.399994pt;margin-top:-235.578278pt;width:74.05pt;height:124.85pt;mso-position-horizontal-relative:page;mso-position-vertical-relative:paragraph;z-index:-1175680" type="#_x0000_t202" filled="false" stroked="false">
            <v:textbox inset="0,0,0,0">
              <w:txbxContent>
                <w:p>
                  <w:pPr>
                    <w:pStyle w:val="BodyText"/>
                    <w:spacing w:line="240" w:lineRule="auto" w:before="51"/>
                    <w:ind w:left="0" w:right="0"/>
                    <w:jc w:val="left"/>
                  </w:pPr>
                  <w:r>
                    <w:rPr/>
                    <w:t>；</w:t>
                  </w:r>
                </w:p>
              </w:txbxContent>
            </v:textbox>
            <w10:wrap type="none"/>
          </v:shape>
        </w:pict>
      </w:r>
      <w:r>
        <w:rPr/>
        <w:t>（凭资质证书经 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1"/>
          <w:szCs w:val="21"/>
        </w:rPr>
      </w:pPr>
    </w:p>
    <w:p>
      <w:pPr>
        <w:pStyle w:val="BodyText"/>
        <w:spacing w:line="240" w:lineRule="auto"/>
        <w:ind w:left="181" w:right="-20"/>
        <w:jc w:val="left"/>
        <w:rPr>
          <w:rFonts w:ascii="Times New Roman" w:hAnsi="Times New Roman" w:cs="Times New Roman" w:eastAsia="Times New Roman" w:hint="default"/>
        </w:rPr>
      </w:pPr>
      <w:r>
        <w:rPr>
          <w:rFonts w:ascii="Times New Roman"/>
        </w:rPr>
        <w:t>100.00%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14"/>
          <w:szCs w:val="14"/>
        </w:rPr>
      </w:pPr>
    </w:p>
    <w:p>
      <w:pPr>
        <w:pStyle w:val="BodyText"/>
        <w:spacing w:line="316" w:lineRule="auto"/>
        <w:ind w:left="181" w:right="1258"/>
        <w:jc w:val="left"/>
      </w:pPr>
      <w:r>
        <w:rPr/>
        <w:t>非同一控制下企 业合并</w:t>
      </w:r>
    </w:p>
    <w:p>
      <w:pPr>
        <w:spacing w:after="0" w:line="316" w:lineRule="auto"/>
        <w:jc w:val="left"/>
        <w:sectPr>
          <w:type w:val="continuous"/>
          <w:pgSz w:w="11910" w:h="16840"/>
          <w:pgMar w:top="1100" w:bottom="1200" w:left="980" w:right="0"/>
          <w:cols w:num="5" w:equalWidth="0">
            <w:col w:w="1442" w:space="40"/>
            <w:col w:w="1799" w:space="825"/>
            <w:col w:w="1532" w:space="502"/>
            <w:col w:w="827" w:space="1239"/>
            <w:col w:w="2724"/>
          </w:cols>
        </w:sectPr>
      </w:pPr>
    </w:p>
    <w:p>
      <w:pPr>
        <w:spacing w:line="240" w:lineRule="auto" w:before="0"/>
        <w:rPr>
          <w:rFonts w:ascii="宋体" w:hAnsi="宋体" w:cs="宋体" w:eastAsia="宋体" w:hint="default"/>
          <w:sz w:val="18"/>
          <w:szCs w:val="18"/>
        </w:rPr>
      </w:pPr>
      <w:r>
        <w:rPr/>
        <w:pict>
          <v:group style="position:absolute;margin-left:56.459999pt;margin-top:71.759979pt;width:479.1pt;height:697pt;mso-position-horizontal-relative:page;mso-position-vertical-relative:page;z-index:-1175632" coordorigin="1129,1435" coordsize="9582,13940">
            <v:group style="position:absolute;left:6612;top:1450;width:1358;height:1289" coordorigin="6612,1450" coordsize="1358,1289">
              <v:shape style="position:absolute;left:6612;top:1450;width:1358;height:1289" coordorigin="6612,1450" coordsize="1358,1289" path="m6612,2738l7969,2738,7969,1450,6612,1450,6612,2738xe" filled="true" fillcolor="#ffffff" stroked="false">
                <v:path arrowok="t"/>
                <v:fill type="solid"/>
              </v:shape>
            </v:group>
            <v:group style="position:absolute;left:1139;top:1445;width:1363;height:2" coordorigin="1139,1445" coordsize="1363,2">
              <v:shape style="position:absolute;left:1139;top:1445;width:1363;height:2" coordorigin="1139,1445" coordsize="1363,0" path="m1139,1445l2501,1445e" filled="false" stroked="true" strokeweight=".48pt" strokecolor="#000000">
                <v:path arrowok="t"/>
              </v:shape>
            </v:group>
            <v:group style="position:absolute;left:2511;top:1445;width:1358;height:2" coordorigin="2511,1445" coordsize="1358,2">
              <v:shape style="position:absolute;left:2511;top:1445;width:1358;height:2" coordorigin="2511,1445" coordsize="1358,0" path="m2511,1445l3868,1445e" filled="false" stroked="true" strokeweight=".48pt" strokecolor="#000000">
                <v:path arrowok="t"/>
              </v:shape>
            </v:group>
            <v:group style="position:absolute;left:3878;top:1445;width:1358;height:2" coordorigin="3878,1445" coordsize="1358,2">
              <v:shape style="position:absolute;left:3878;top:1445;width:1358;height:2" coordorigin="3878,1445" coordsize="1358,0" path="m3878,1445l5235,1445e" filled="false" stroked="true" strokeweight=".48pt" strokecolor="#000000">
                <v:path arrowok="t"/>
              </v:shape>
            </v:group>
            <v:group style="position:absolute;left:5245;top:1445;width:1358;height:2" coordorigin="5245,1445" coordsize="1358,2">
              <v:shape style="position:absolute;left:5245;top:1445;width:1358;height:2" coordorigin="5245,1445" coordsize="1358,0" path="m5245,1445l6602,1445e" filled="false" stroked="true" strokeweight=".48pt" strokecolor="#000000">
                <v:path arrowok="t"/>
              </v:shape>
            </v:group>
            <v:group style="position:absolute;left:6612;top:1445;width:1358;height:2" coordorigin="6612,1445" coordsize="1358,2">
              <v:shape style="position:absolute;left:6612;top:1445;width:1358;height:2" coordorigin="6612,1445" coordsize="1358,0" path="m6612,1445l7969,1445e" filled="false" stroked="true" strokeweight=".48pt" strokecolor="#000000">
                <v:path arrowok="t"/>
              </v:shape>
            </v:group>
            <v:group style="position:absolute;left:7978;top:1445;width:1358;height:2" coordorigin="7978,1445" coordsize="1358,2">
              <v:shape style="position:absolute;left:7978;top:1445;width:1358;height:2" coordorigin="7978,1445" coordsize="1358,0" path="m7978,1445l9336,1445e" filled="false" stroked="true" strokeweight=".48pt" strokecolor="#000000">
                <v:path arrowok="t"/>
              </v:shape>
            </v:group>
            <v:group style="position:absolute;left:9346;top:1445;width:1356;height:2" coordorigin="9346,1445" coordsize="1356,2">
              <v:shape style="position:absolute;left:9346;top:1445;width:1356;height:2" coordorigin="9346,1445" coordsize="1356,0" path="m9346,1445l10702,1445e" filled="false" stroked="true" strokeweight=".48pt" strokecolor="#000000">
                <v:path arrowok="t"/>
              </v:shape>
            </v:group>
            <v:group style="position:absolute;left:6612;top:2748;width:1358;height:2497" coordorigin="6612,2748" coordsize="1358,2497">
              <v:shape style="position:absolute;left:6612;top:2748;width:1358;height:2497" coordorigin="6612,2748" coordsize="1358,2497" path="m6612,5244l7969,5244,7969,2748,6612,2748,6612,5244xe" filled="true" fillcolor="#ffffff" stroked="false">
                <v:path arrowok="t"/>
                <v:fill type="solid"/>
              </v:shape>
            </v:group>
            <v:group style="position:absolute;left:1139;top:2743;width:1363;height:2" coordorigin="1139,2743" coordsize="1363,2">
              <v:shape style="position:absolute;left:1139;top:2743;width:1363;height:2" coordorigin="1139,2743" coordsize="1363,0" path="m1139,2743l2501,2743e" filled="false" stroked="true" strokeweight=".48pt" strokecolor="#000000">
                <v:path arrowok="t"/>
              </v:shape>
            </v:group>
            <v:group style="position:absolute;left:2511;top:2743;width:1358;height:2" coordorigin="2511,2743" coordsize="1358,2">
              <v:shape style="position:absolute;left:2511;top:2743;width:1358;height:2" coordorigin="2511,2743" coordsize="1358,0" path="m2511,2743l3868,2743e" filled="false" stroked="true" strokeweight=".48pt" strokecolor="#000000">
                <v:path arrowok="t"/>
              </v:shape>
            </v:group>
            <v:group style="position:absolute;left:3878;top:2743;width:1358;height:2" coordorigin="3878,2743" coordsize="1358,2">
              <v:shape style="position:absolute;left:3878;top:2743;width:1358;height:2" coordorigin="3878,2743" coordsize="1358,0" path="m3878,2743l5235,2743e" filled="false" stroked="true" strokeweight=".48pt" strokecolor="#000000">
                <v:path arrowok="t"/>
              </v:shape>
            </v:group>
            <v:group style="position:absolute;left:5245;top:2743;width:1358;height:2" coordorigin="5245,2743" coordsize="1358,2">
              <v:shape style="position:absolute;left:5245;top:2743;width:1358;height:2" coordorigin="5245,2743" coordsize="1358,0" path="m5245,2743l6602,2743e" filled="false" stroked="true" strokeweight=".48pt" strokecolor="#000000">
                <v:path arrowok="t"/>
              </v:shape>
            </v:group>
            <v:group style="position:absolute;left:6612;top:2743;width:1358;height:2" coordorigin="6612,2743" coordsize="1358,2">
              <v:shape style="position:absolute;left:6612;top:2743;width:1358;height:2" coordorigin="6612,2743" coordsize="1358,0" path="m6612,2743l7969,2743e" filled="false" stroked="true" strokeweight=".48pt" strokecolor="#000000">
                <v:path arrowok="t"/>
              </v:shape>
            </v:group>
            <v:group style="position:absolute;left:7978;top:2743;width:1358;height:2" coordorigin="7978,2743" coordsize="1358,2">
              <v:shape style="position:absolute;left:7978;top:2743;width:1358;height:2" coordorigin="7978,2743" coordsize="1358,0" path="m7978,2743l9336,2743e" filled="false" stroked="true" strokeweight=".48pt" strokecolor="#000000">
                <v:path arrowok="t"/>
              </v:shape>
            </v:group>
            <v:group style="position:absolute;left:9346;top:2743;width:1356;height:2" coordorigin="9346,2743" coordsize="1356,2">
              <v:shape style="position:absolute;left:9346;top:2743;width:1356;height:2" coordorigin="9346,2743" coordsize="1356,0" path="m9346,2743l10702,2743e" filled="false" stroked="true" strokeweight=".48pt" strokecolor="#000000">
                <v:path arrowok="t"/>
              </v:shape>
            </v:group>
            <v:group style="position:absolute;left:1139;top:8138;width:1363;height:2" coordorigin="1139,8138" coordsize="1363,2">
              <v:shape style="position:absolute;left:1139;top:8138;width:1363;height:2" coordorigin="1139,8138" coordsize="1363,0" path="m1139,8138l2501,8138e" filled="false" stroked="true" strokeweight=".48001pt" strokecolor="#000000">
                <v:path arrowok="t"/>
              </v:shape>
            </v:group>
            <v:group style="position:absolute;left:2511;top:8138;width:1358;height:2" coordorigin="2511,8138" coordsize="1358,2">
              <v:shape style="position:absolute;left:2511;top:8138;width:1358;height:2" coordorigin="2511,8138" coordsize="1358,0" path="m2511,8138l3868,8138e" filled="false" stroked="true" strokeweight=".48001pt" strokecolor="#000000">
                <v:path arrowok="t"/>
              </v:shape>
            </v:group>
            <v:group style="position:absolute;left:3878;top:8138;width:1358;height:2" coordorigin="3878,8138" coordsize="1358,2">
              <v:shape style="position:absolute;left:3878;top:8138;width:1358;height:2" coordorigin="3878,8138" coordsize="1358,0" path="m3878,8138l5235,8138e" filled="false" stroked="true" strokeweight=".48001pt" strokecolor="#000000">
                <v:path arrowok="t"/>
              </v:shape>
            </v:group>
            <v:group style="position:absolute;left:5245;top:8138;width:1358;height:2" coordorigin="5245,8138" coordsize="1358,2">
              <v:shape style="position:absolute;left:5245;top:8138;width:1358;height:2" coordorigin="5245,8138" coordsize="1358,0" path="m5245,8138l6602,8138e" filled="false" stroked="true" strokeweight=".48001pt" strokecolor="#000000">
                <v:path arrowok="t"/>
              </v:shape>
            </v:group>
            <v:group style="position:absolute;left:6612;top:8138;width:1358;height:2" coordorigin="6612,8138" coordsize="1358,2">
              <v:shape style="position:absolute;left:6612;top:8138;width:1358;height:2" coordorigin="6612,8138" coordsize="1358,0" path="m6612,8138l7969,8138e" filled="false" stroked="true" strokeweight=".48001pt" strokecolor="#000000">
                <v:path arrowok="t"/>
              </v:shape>
            </v:group>
            <v:group style="position:absolute;left:7978;top:8138;width:1358;height:2" coordorigin="7978,8138" coordsize="1358,2">
              <v:shape style="position:absolute;left:7978;top:8138;width:1358;height:2" coordorigin="7978,8138" coordsize="1358,0" path="m7978,8138l9336,8138e" filled="false" stroked="true" strokeweight=".48001pt" strokecolor="#000000">
                <v:path arrowok="t"/>
              </v:shape>
            </v:group>
            <v:group style="position:absolute;left:9346;top:8138;width:1356;height:2" coordorigin="9346,8138" coordsize="1356,2">
              <v:shape style="position:absolute;left:9346;top:8138;width:1356;height:2" coordorigin="9346,8138" coordsize="1356,0" path="m9346,8138l10702,8138e" filled="false" stroked="true" strokeweight=".48001pt" strokecolor="#000000">
                <v:path arrowok="t"/>
              </v:shape>
            </v:group>
            <v:group style="position:absolute;left:1134;top:1440;width:2;height:13930" coordorigin="1134,1440" coordsize="2,13930">
              <v:shape style="position:absolute;left:1134;top:1440;width:2;height:13930" coordorigin="1134,1440" coordsize="0,13930" path="m1134,1440l1134,15370e" filled="false" stroked="true" strokeweight=".48pt" strokecolor="#000000">
                <v:path arrowok="t"/>
              </v:shape>
            </v:group>
            <v:group style="position:absolute;left:1139;top:15365;width:1363;height:2" coordorigin="1139,15365" coordsize="1363,2">
              <v:shape style="position:absolute;left:1139;top:15365;width:1363;height:2" coordorigin="1139,15365" coordsize="1363,0" path="m1139,15365l2501,15365e" filled="false" stroked="true" strokeweight=".47998pt" strokecolor="#000000">
                <v:path arrowok="t"/>
              </v:shape>
            </v:group>
            <v:group style="position:absolute;left:2506;top:1440;width:2;height:13930" coordorigin="2506,1440" coordsize="2,13930">
              <v:shape style="position:absolute;left:2506;top:1440;width:2;height:13930" coordorigin="2506,1440" coordsize="0,13930" path="m2506,1440l2506,15370e" filled="false" stroked="true" strokeweight=".48pt" strokecolor="#000000">
                <v:path arrowok="t"/>
              </v:shape>
            </v:group>
            <v:group style="position:absolute;left:2511;top:15365;width:1358;height:2" coordorigin="2511,15365" coordsize="1358,2">
              <v:shape style="position:absolute;left:2511;top:15365;width:1358;height:2" coordorigin="2511,15365" coordsize="1358,0" path="m2511,15365l3868,15365e" filled="false" stroked="true" strokeweight=".47998pt" strokecolor="#000000">
                <v:path arrowok="t"/>
              </v:shape>
            </v:group>
            <v:group style="position:absolute;left:3873;top:1440;width:2;height:13930" coordorigin="3873,1440" coordsize="2,13930">
              <v:shape style="position:absolute;left:3873;top:1440;width:2;height:13930" coordorigin="3873,1440" coordsize="0,13930" path="m3873,1440l3873,15370e" filled="false" stroked="true" strokeweight=".48pt" strokecolor="#000000">
                <v:path arrowok="t"/>
              </v:shape>
            </v:group>
            <v:group style="position:absolute;left:3878;top:15365;width:1358;height:2" coordorigin="3878,15365" coordsize="1358,2">
              <v:shape style="position:absolute;left:3878;top:15365;width:1358;height:2" coordorigin="3878,15365" coordsize="1358,0" path="m3878,15365l5235,15365e" filled="false" stroked="true" strokeweight=".47998pt" strokecolor="#000000">
                <v:path arrowok="t"/>
              </v:shape>
            </v:group>
            <v:group style="position:absolute;left:5240;top:1440;width:2;height:13930" coordorigin="5240,1440" coordsize="2,13930">
              <v:shape style="position:absolute;left:5240;top:1440;width:2;height:13930" coordorigin="5240,1440" coordsize="0,13930" path="m5240,1440l5240,15370e" filled="false" stroked="true" strokeweight=".48001pt" strokecolor="#000000">
                <v:path arrowok="t"/>
              </v:shape>
            </v:group>
            <v:group style="position:absolute;left:6623;top:11554;width:2;height:393" coordorigin="6623,11554" coordsize="2,393">
              <v:shape style="position:absolute;left:6623;top:11554;width:2;height:393" coordorigin="6623,11554" coordsize="0,393" path="m6623,11554l6623,11947e" filled="false" stroked="true" strokeweight="1.140pt" strokecolor="#ffffff">
                <v:path arrowok="t"/>
              </v:shape>
            </v:group>
            <v:group style="position:absolute;left:6612;top:11947;width:1358;height:3412" coordorigin="6612,11947" coordsize="1358,3412">
              <v:shape style="position:absolute;left:6612;top:11947;width:1358;height:3412" coordorigin="6612,11947" coordsize="1358,3412" path="m6612,15359l7969,15359,7969,11947,6612,11947,6612,15359xe" filled="true" fillcolor="#ffffff" stroked="false">
                <v:path arrowok="t"/>
                <v:fill type="solid"/>
              </v:shape>
            </v:group>
            <v:group style="position:absolute;left:6634;top:11554;width:1312;height:393" coordorigin="6634,11554" coordsize="1312,393">
              <v:shape style="position:absolute;left:6634;top:11554;width:1312;height:393" coordorigin="6634,11554" coordsize="1312,393" path="m6634,11947l7946,11947,7946,11554,6634,11554,6634,11947xe" filled="true" fillcolor="#ffffff" stroked="false">
                <v:path arrowok="t"/>
                <v:fill type="solid"/>
              </v:shape>
            </v:group>
            <v:group style="position:absolute;left:5245;top:15365;width:1358;height:2" coordorigin="5245,15365" coordsize="1358,2">
              <v:shape style="position:absolute;left:5245;top:15365;width:1358;height:2" coordorigin="5245,15365" coordsize="1358,0" path="m5245,15365l6602,15365e" filled="false" stroked="true" strokeweight=".47998pt" strokecolor="#000000">
                <v:path arrowok="t"/>
              </v:shape>
            </v:group>
            <v:group style="position:absolute;left:6607;top:1440;width:2;height:13930" coordorigin="6607,1440" coordsize="2,13930">
              <v:shape style="position:absolute;left:6607;top:1440;width:2;height:13930" coordorigin="6607,1440" coordsize="0,13930" path="m6607,1440l6607,15370e" filled="false" stroked="true" strokeweight=".47998pt" strokecolor="#000000">
                <v:path arrowok="t"/>
              </v:shape>
            </v:group>
            <v:group style="position:absolute;left:6612;top:15365;width:1358;height:2" coordorigin="6612,15365" coordsize="1358,2">
              <v:shape style="position:absolute;left:6612;top:15365;width:1358;height:2" coordorigin="6612,15365" coordsize="1358,0" path="m6612,15365l7969,15365e" filled="false" stroked="true" strokeweight=".47998pt" strokecolor="#000000">
                <v:path arrowok="t"/>
              </v:shape>
            </v:group>
            <v:group style="position:absolute;left:7974;top:1440;width:2;height:13930" coordorigin="7974,1440" coordsize="2,13930">
              <v:shape style="position:absolute;left:7974;top:1440;width:2;height:13930" coordorigin="7974,1440" coordsize="0,13930" path="m7974,1440l7974,15370e" filled="false" stroked="true" strokeweight=".47998pt" strokecolor="#000000">
                <v:path arrowok="t"/>
              </v:shape>
            </v:group>
            <v:group style="position:absolute;left:7978;top:15365;width:1358;height:2" coordorigin="7978,15365" coordsize="1358,2">
              <v:shape style="position:absolute;left:7978;top:15365;width:1358;height:2" coordorigin="7978,15365" coordsize="1358,0" path="m7978,15365l9336,15365e" filled="false" stroked="true" strokeweight=".47998pt" strokecolor="#000000">
                <v:path arrowok="t"/>
              </v:shape>
            </v:group>
            <v:group style="position:absolute;left:9341;top:1440;width:2;height:13930" coordorigin="9341,1440" coordsize="2,13930">
              <v:shape style="position:absolute;left:9341;top:1440;width:2;height:13930" coordorigin="9341,1440" coordsize="0,13930" path="m9341,1440l9341,15370e" filled="false" stroked="true" strokeweight=".48001pt" strokecolor="#000000">
                <v:path arrowok="t"/>
              </v:shape>
            </v:group>
            <v:group style="position:absolute;left:9346;top:15365;width:1356;height:2" coordorigin="9346,15365" coordsize="1356,2">
              <v:shape style="position:absolute;left:9346;top:15365;width:1356;height:2" coordorigin="9346,15365" coordsize="1356,0" path="m9346,15365l10702,15365e" filled="false" stroked="true" strokeweight=".47998pt" strokecolor="#000000">
                <v:path arrowok="t"/>
              </v:shape>
            </v:group>
            <v:group style="position:absolute;left:10706;top:1440;width:2;height:13930" coordorigin="10706,1440" coordsize="2,13930">
              <v:shape style="position:absolute;left:10706;top:1440;width:2;height:13930" coordorigin="10706,1440" coordsize="0,13930" path="m10706,1440l10706,15370e" filled="false" stroked="true" strokeweight=".47998pt" strokecolor="#000000">
                <v:path arrowok="t"/>
              </v:shape>
            </v:group>
            <w10:wrap type="none"/>
          </v:group>
        </w:pic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2"/>
          <w:szCs w:val="22"/>
        </w:rPr>
      </w:pPr>
    </w:p>
    <w:p>
      <w:pPr>
        <w:pStyle w:val="BodyText"/>
        <w:spacing w:line="319" w:lineRule="auto"/>
        <w:ind w:left="181" w:right="-20"/>
        <w:jc w:val="left"/>
      </w:pPr>
      <w:r>
        <w:rPr/>
        <w:t>仁怀达实绿色智 慧发展有限公司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BodyText"/>
        <w:tabs>
          <w:tab w:pos="1438" w:val="left" w:leader="none"/>
        </w:tabs>
        <w:spacing w:line="240" w:lineRule="auto"/>
        <w:ind w:left="71" w:right="-20"/>
        <w:jc w:val="left"/>
      </w:pPr>
      <w:r>
        <w:rPr/>
        <w:t>仁怀</w:t>
        <w:tab/>
        <w:t>仁怀</w:t>
      </w:r>
    </w:p>
    <w:p>
      <w:pPr>
        <w:pStyle w:val="BodyText"/>
        <w:spacing w:line="316" w:lineRule="auto" w:before="107"/>
        <w:ind w:left="181" w:right="138"/>
        <w:jc w:val="both"/>
      </w:pPr>
      <w:r>
        <w:rPr/>
        <w:br w:type="column"/>
      </w:r>
      <w:r>
        <w:rPr/>
        <w:t>法律、法规、国 务院决定规定禁 止的不得经营； 法律、法规、国 务院决定规定应 当许可（审批） 的，经审批机关 批准后凭许可</w:t>
      </w:r>
    </w:p>
    <w:p>
      <w:pPr>
        <w:pStyle w:val="BodyText"/>
        <w:spacing w:line="314" w:lineRule="auto" w:before="19"/>
        <w:ind w:left="181" w:right="-11"/>
        <w:jc w:val="left"/>
      </w:pPr>
      <w:r>
        <w:rPr/>
        <w:pict>
          <v:shape style="position:absolute;margin-left:324.399994pt;margin-top:63.841709pt;width:74.05pt;height:170.6pt;mso-position-horizontal-relative:page;mso-position-vertical-relative:paragraph;z-index:-11756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5"/>
                      <w:szCs w:val="15"/>
                    </w:rPr>
                  </w:pPr>
                </w:p>
                <w:p>
                  <w:pPr>
                    <w:pStyle w:val="BodyText"/>
                    <w:spacing w:line="240" w:lineRule="auto"/>
                    <w:ind w:left="0" w:right="0"/>
                    <w:jc w:val="left"/>
                  </w:pPr>
                  <w:r>
                    <w:rPr/>
                    <w:t>、</w:t>
                  </w:r>
                </w:p>
              </w:txbxContent>
            </v:textbox>
            <w10:wrap type="none"/>
          </v:shape>
        </w:pict>
      </w:r>
      <w:r>
        <w:rPr/>
        <w:t>（审批）文件经 营</w:t>
      </w:r>
      <w:r>
        <w:rPr>
          <w:rFonts w:ascii="Times New Roman" w:hAnsi="Times New Roman" w:cs="Times New Roman" w:eastAsia="Times New Roman" w:hint="default"/>
        </w:rPr>
        <w:t>;</w:t>
      </w:r>
      <w:r>
        <w:rPr/>
        <w:t>法律、法规、 国务院决定规定 </w:t>
      </w:r>
      <w:r>
        <w:rPr>
          <w:spacing w:val="-6"/>
        </w:rPr>
        <w:t>无需许可（审批）</w:t>
      </w:r>
      <w:r>
        <w:rPr>
          <w:spacing w:val="-83"/>
        </w:rPr>
        <w:t> </w:t>
      </w:r>
      <w:r>
        <w:rPr>
          <w:spacing w:val="-83"/>
        </w:rPr>
      </w:r>
      <w:r>
        <w:rPr/>
        <w:t>的，市场主体自 </w:t>
      </w:r>
      <w:r>
        <w:rPr>
          <w:spacing w:val="-17"/>
        </w:rPr>
        <w:t>主选择经营。（建</w:t>
      </w:r>
      <w:r>
        <w:rPr>
          <w:spacing w:val="-85"/>
        </w:rPr>
        <w:t> </w:t>
      </w:r>
      <w:r>
        <w:rPr>
          <w:spacing w:val="-85"/>
        </w:rPr>
      </w:r>
      <w:r>
        <w:rPr/>
        <w:t>筑智能化及机电 设备工程、净化 工程（手术室、 供应室、</w:t>
      </w:r>
      <w:r>
        <w:rPr>
          <w:rFonts w:ascii="Times New Roman" w:hAnsi="Times New Roman" w:cs="Times New Roman" w:eastAsia="Times New Roman" w:hint="default"/>
        </w:rPr>
        <w:t>ICU </w:t>
      </w:r>
      <w:r>
        <w:rPr/>
        <w:t>病 </w:t>
      </w:r>
      <w:r>
        <w:rPr>
          <w:spacing w:val="-12"/>
        </w:rPr>
        <w:t>房）、制氧工程、</w:t>
      </w:r>
      <w:r>
        <w:rPr>
          <w:spacing w:val="-84"/>
        </w:rPr>
        <w:t> </w:t>
      </w:r>
      <w:r>
        <w:rPr>
          <w:spacing w:val="-84"/>
        </w:rPr>
      </w:r>
      <w:r>
        <w:rPr/>
        <w:t>屏蔽防辐射工 程、高压氧舱工 </w:t>
      </w:r>
      <w:r>
        <w:rPr>
          <w:spacing w:val="-6"/>
        </w:rPr>
        <w:t>程、实验室工程</w:t>
      </w:r>
      <w:r>
        <w:rPr>
          <w:spacing w:val="-87"/>
        </w:rPr>
        <w:t> </w:t>
      </w:r>
      <w:r>
        <w:rPr>
          <w:spacing w:val="-87"/>
        </w:rPr>
      </w:r>
      <w:r>
        <w:rPr/>
        <w:t>检验室工程、隔</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pStyle w:val="BodyText"/>
        <w:spacing w:line="240" w:lineRule="auto"/>
        <w:ind w:left="181" w:right="-20"/>
        <w:jc w:val="left"/>
        <w:rPr>
          <w:rFonts w:ascii="Times New Roman" w:hAnsi="Times New Roman" w:cs="Times New Roman" w:eastAsia="Times New Roman" w:hint="default"/>
        </w:rPr>
      </w:pPr>
      <w:r>
        <w:rPr>
          <w:rFonts w:ascii="Times New Roman"/>
        </w:rPr>
        <w:t>100.00%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2"/>
          <w:szCs w:val="22"/>
        </w:rPr>
      </w:pPr>
    </w:p>
    <w:p>
      <w:pPr>
        <w:pStyle w:val="BodyText"/>
        <w:spacing w:line="319" w:lineRule="auto"/>
        <w:ind w:left="181" w:right="1258"/>
        <w:jc w:val="left"/>
      </w:pPr>
      <w:r>
        <w:rPr/>
        <w:t>通过设立方式取 得</w:t>
      </w:r>
    </w:p>
    <w:p>
      <w:pPr>
        <w:spacing w:after="0" w:line="319" w:lineRule="auto"/>
        <w:jc w:val="left"/>
        <w:sectPr>
          <w:type w:val="continuous"/>
          <w:pgSz w:w="11910" w:h="16840"/>
          <w:pgMar w:top="1100" w:bottom="1200" w:left="980" w:right="0"/>
          <w:cols w:num="5" w:equalWidth="0">
            <w:col w:w="1442" w:space="40"/>
            <w:col w:w="1799" w:space="825"/>
            <w:col w:w="1583" w:space="451"/>
            <w:col w:w="827" w:space="1239"/>
            <w:col w:w="2724"/>
          </w:cols>
        </w:sectPr>
      </w:pPr>
    </w:p>
    <w:p>
      <w:pPr>
        <w:spacing w:line="240" w:lineRule="auto" w:before="10"/>
        <w:rPr>
          <w:rFonts w:ascii="Times New Roman" w:hAnsi="Times New Roman" w:cs="Times New Roman" w:eastAsia="Times New Roman" w:hint="default"/>
          <w:sz w:val="28"/>
          <w:szCs w:val="28"/>
        </w:rPr>
      </w:pPr>
      <w:r>
        <w:rPr/>
        <w:pict>
          <v:shape style="position:absolute;margin-left:324.399994pt;margin-top:359.839996pt;width:74.05pt;height:202.85pt;mso-position-horizontal-relative:page;mso-position-vertical-relative:page;z-index:-11756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5"/>
                      <w:szCs w:val="25"/>
                    </w:rPr>
                  </w:pPr>
                </w:p>
                <w:p>
                  <w:pPr>
                    <w:pStyle w:val="BodyText"/>
                    <w:spacing w:line="240" w:lineRule="auto"/>
                    <w:ind w:left="0" w:right="0"/>
                    <w:jc w:val="left"/>
                  </w:pPr>
                  <w:r>
                    <w:rPr/>
                    <w:t>、</w:t>
                  </w:r>
                </w:p>
                <w:p>
                  <w:pPr>
                    <w:pStyle w:val="BodyText"/>
                    <w:spacing w:line="240" w:lineRule="auto" w:before="76"/>
                    <w:ind w:left="0" w:right="0"/>
                    <w:jc w:val="left"/>
                  </w:pPr>
                  <w:r>
                    <w:rPr/>
                    <w:t>；</w:t>
                  </w:r>
                </w:p>
              </w:txbxContent>
            </v:textbox>
            <w10:wrap type="none"/>
          </v:shape>
        </w:pict>
      </w:r>
      <w:r>
        <w:rPr/>
        <w:pict>
          <v:group style="position:absolute;margin-left:330.579987pt;margin-top:359.839996pt;width:67.9pt;height:202.85pt;mso-position-horizontal-relative:page;mso-position-vertical-relative:page;z-index:-1175584" coordorigin="6612,7197" coordsize="1358,4057">
            <v:shape style="position:absolute;left:6612;top:7197;width:1358;height:4057" coordorigin="6612,7197" coordsize="1358,4057" path="m6612,11253l7969,11253,7969,7197,6612,7197,6612,11253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378"/>
        <w:gridCol w:w="989"/>
        <w:gridCol w:w="1367"/>
        <w:gridCol w:w="1366"/>
      </w:tblGrid>
      <w:tr>
        <w:trPr>
          <w:trHeight w:val="1298"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离病房工程、锅 炉工程的设计、 采购、集成及安 </w:t>
            </w:r>
            <w:r>
              <w:rPr>
                <w:rFonts w:ascii="宋体" w:hAnsi="宋体" w:cs="宋体" w:eastAsia="宋体" w:hint="default"/>
                <w:spacing w:val="-30"/>
                <w:sz w:val="18"/>
                <w:szCs w:val="18"/>
              </w:rPr>
              <w:t>装。）</w:t>
            </w: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85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达实智能科技</w:t>
            </w:r>
          </w:p>
          <w:p>
            <w:pPr>
              <w:pStyle w:val="TableParagraph"/>
              <w:spacing w:line="319" w:lineRule="auto" w:before="75"/>
              <w:ind w:left="22" w:right="77"/>
              <w:jc w:val="left"/>
              <w:rPr>
                <w:rFonts w:ascii="宋体" w:hAnsi="宋体" w:cs="宋体" w:eastAsia="宋体" w:hint="default"/>
                <w:sz w:val="18"/>
                <w:szCs w:val="18"/>
              </w:rPr>
            </w:pPr>
            <w:r>
              <w:rPr>
                <w:rFonts w:ascii="宋体" w:hAnsi="宋体" w:cs="宋体" w:eastAsia="宋体" w:hint="default"/>
                <w:sz w:val="18"/>
                <w:szCs w:val="18"/>
              </w:rPr>
              <w:t>（成都）有限公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大数据服务；云 计算服务；物联 网系统、智慧医 疗系统、智能交 通系统、智能建 筑系统的设计、 技术开发、技术 咨询、销售与集 成服务；智能终 端设备与软件的 技术开发、销售 及技术服务；信 息系统集成服 务；数据处理与 存储服务；能源 监测服务；合同 能源管理服务； 新能源技术开 发、咨询、设计 </w:t>
            </w:r>
            <w:r>
              <w:rPr>
                <w:rFonts w:ascii="宋体" w:hAnsi="宋体" w:cs="宋体" w:eastAsia="宋体" w:hint="default"/>
                <w:spacing w:val="-6"/>
                <w:sz w:val="18"/>
                <w:szCs w:val="18"/>
              </w:rPr>
              <w:t>服务；节能设计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评估、认证服务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节能工程施工； 碳交易市场服 务；机电工程； 智能电网建设服 务；电力系统设 备销售</w:t>
            </w:r>
          </w:p>
        </w:tc>
        <w:tc>
          <w:tcPr>
            <w:tcW w:w="378"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316"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通过设立方式取 得</w:t>
            </w:r>
          </w:p>
        </w:tc>
      </w:tr>
      <w:tr>
        <w:trPr>
          <w:trHeight w:val="4107"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2"/>
              <w:ind w:left="22" w:right="77"/>
              <w:jc w:val="both"/>
              <w:rPr>
                <w:rFonts w:ascii="宋体" w:hAnsi="宋体" w:cs="宋体" w:eastAsia="宋体" w:hint="default"/>
                <w:sz w:val="18"/>
                <w:szCs w:val="18"/>
              </w:rPr>
            </w:pPr>
            <w:r>
              <w:rPr>
                <w:rFonts w:ascii="宋体" w:hAnsi="宋体" w:cs="宋体" w:eastAsia="宋体" w:hint="default"/>
                <w:sz w:val="18"/>
                <w:szCs w:val="18"/>
              </w:rPr>
              <w:t>汕头达实智慧医 疗投资发展有限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汕头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汕头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智慧医疗项目投 资，智慧城市项 目投资，基础设 施投资，绿色节 能建筑投资，投 资咨询；健康养 生管理咨询、心 理咨询（不含医 学心理咨询、医 学心理训练、医 </w:t>
            </w:r>
            <w:r>
              <w:rPr>
                <w:rFonts w:ascii="宋体" w:hAnsi="宋体" w:cs="宋体" w:eastAsia="宋体" w:hint="default"/>
                <w:spacing w:val="-17"/>
                <w:sz w:val="18"/>
                <w:szCs w:val="18"/>
              </w:rPr>
              <w:t>学心理辅导），健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康档案管理技术 平台的研发，商</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71"/>
              <w:jc w:val="left"/>
              <w:rPr>
                <w:rFonts w:ascii="宋体" w:hAnsi="宋体" w:cs="宋体" w:eastAsia="宋体" w:hint="default"/>
                <w:sz w:val="18"/>
                <w:szCs w:val="18"/>
              </w:rPr>
            </w:pPr>
            <w:r>
              <w:rPr>
                <w:rFonts w:ascii="宋体" w:hAnsi="宋体" w:cs="宋体" w:eastAsia="宋体" w:hint="default"/>
                <w:sz w:val="18"/>
                <w:szCs w:val="18"/>
              </w:rPr>
              <w:t>通过设立方式取 得</w:t>
            </w:r>
          </w:p>
        </w:tc>
      </w:tr>
    </w:tbl>
    <w:p>
      <w:pPr>
        <w:spacing w:after="0" w:line="319" w:lineRule="auto"/>
        <w:jc w:val="left"/>
        <w:rPr>
          <w:rFonts w:ascii="宋体" w:hAnsi="宋体" w:cs="宋体" w:eastAsia="宋体" w:hint="default"/>
          <w:sz w:val="18"/>
          <w:szCs w:val="18"/>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17" w:hRule="exact"/>
        </w:trPr>
        <w:tc>
          <w:tcPr>
            <w:tcW w:w="1372"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务信息咨询；增</w:t>
            </w:r>
          </w:p>
        </w:tc>
        <w:tc>
          <w:tcPr>
            <w:tcW w:w="1367" w:type="dxa"/>
            <w:vMerge w:val="restart"/>
            <w:tcBorders>
              <w:top w:val="single" w:sz="4" w:space="0" w:color="000000"/>
              <w:left w:val="single" w:sz="4" w:space="0" w:color="000000"/>
              <w:right w:val="single" w:sz="4" w:space="0" w:color="000000"/>
            </w:tcBorders>
          </w:tcPr>
          <w:p>
            <w:pPr>
              <w:pStyle w:val="TableParagraph"/>
              <w:spacing w:line="440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7"/>
                <w:sz w:val="20"/>
                <w:szCs w:val="20"/>
              </w:rPr>
              <w:pict>
                <v:group style="width:67.9pt;height:220.5pt;mso-position-horizontal-relative:char;mso-position-vertical-relative:line" coordorigin="0,0" coordsize="1358,4410">
                  <v:group style="position:absolute;left:0;top:0;width:1358;height:4410" coordorigin="0,0" coordsize="1358,4410">
                    <v:shape style="position:absolute;left:0;top:0;width:1358;height:4410" coordorigin="0,0" coordsize="1358,4410" path="m0,4409l1357,4409,1357,0,0,0,0,4409xe" filled="true" fillcolor="#ffffff" stroked="false">
                      <v:path arrowok="t"/>
                      <v:fill type="solid"/>
                    </v:shape>
                  </v:group>
                </v:group>
              </w:pict>
            </w:r>
            <w:r>
              <w:rPr>
                <w:rFonts w:ascii="Times New Roman" w:hAnsi="Times New Roman" w:cs="Times New Roman" w:eastAsia="Times New Roman" w:hint="default"/>
                <w:position w:val="-87"/>
                <w:sz w:val="20"/>
                <w:szCs w:val="20"/>
              </w:rPr>
            </w:r>
          </w:p>
        </w:tc>
        <w:tc>
          <w:tcPr>
            <w:tcW w:w="1367"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值电信业务，计</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算机软硬件的技</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术开发销售，承</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接建筑智能化系</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统和工业自动化</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的设计、集成、</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安装、技术咨询</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能源监测、综合</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节能和用能咨询</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服务，新能源的</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技术开发和技术</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3"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咨询服务，合同</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57" w:hRule="exact"/>
        </w:trPr>
        <w:tc>
          <w:tcPr>
            <w:tcW w:w="1372"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能源管理</w:t>
            </w: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r>
        <w:rPr/>
        <w:pict>
          <v:shape style="position:absolute;margin-left:324.399994pt;margin-top:-233.506348pt;width:74.05pt;height:220.5pt;mso-position-horizontal-relative:page;mso-position-vertical-relative:paragraph;z-index:-117553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3"/>
                      <w:szCs w:val="23"/>
                    </w:rPr>
                  </w:pPr>
                </w:p>
                <w:p>
                  <w:pPr>
                    <w:pStyle w:val="BodyText"/>
                    <w:spacing w:line="240" w:lineRule="auto"/>
                    <w:ind w:left="0" w:right="0"/>
                    <w:jc w:val="left"/>
                  </w:pPr>
                  <w:r>
                    <w:rPr/>
                    <w:t>，</w:t>
                  </w:r>
                </w:p>
              </w:txbxContent>
            </v:textbox>
            <w10:wrap type="none"/>
          </v:shape>
        </w:pict>
      </w:r>
      <w:bookmarkStart w:name="（2）重要的非全资子公司" w:id="366"/>
      <w:bookmarkEnd w:id="366"/>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淮南达实智慧城市投资 发展有限公司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1,095,383.11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11,689,310.22</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深圳达实融资租赁有限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-5,744,838.09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67,444,428.21</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江苏洪泽湖达实智慧医 养有限公司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-324,343.28</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40,159,975.45</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湖南桃江达实智慧医养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-42,731.80</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-42,731.80</w:t>
            </w:r>
            <w:r>
              <w:rPr>
                <w:rFonts w:ascii="Times New Roman"/>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重要非全资子公司的主要财务信息" w:id="367"/>
      <w:bookmarkEnd w:id="367"/>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淮南达 实智慧 城市投 资发展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18,308,4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74.84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95,507,0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02.59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113,815,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477.43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18,366,4</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10.02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56,484,7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74,851,1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10.02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18,832,8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05.48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81,442,2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88.53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100,275,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094.01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36,962,0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03.64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28,000,0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64,962,0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03.64</w:t>
            </w:r>
          </w:p>
        </w:tc>
      </w:tr>
    </w:tbl>
    <w:p>
      <w:pPr>
        <w:spacing w:after="0" w:line="240" w:lineRule="auto"/>
        <w:jc w:val="lef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深圳达 实融资 租赁有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568,326,</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591.98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115,849,</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887.26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684,176,</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479.24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349,940,</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433.01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64,458,3</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33.42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414,398,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766.43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549,144,</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279.20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66,998,5</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06.49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616,142,</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785.69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192,152,</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387.10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131,233,</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333.38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323,385,</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720.48</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江苏洪 泽湖达 实智慧 医养有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99,043,4</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46.89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11,180,4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41.06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110,223,</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887.95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857,303.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857,303.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70,009,0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89.30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28,279.0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70,037,3</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68.30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89,639.2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89,639.2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湖南桃 江达实 智慧医 养有限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195,476.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1,435,38</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1,630,86</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3.61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2,058,18</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1.62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2,058,18</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1.62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淮南达实智 慧城市投资 发展有限公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3,651,277.04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3,651,277.04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14,653,321.7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14,424,528.3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5,301,534.09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5,301,534.09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-23,470,663.1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深圳达实融 资租赁有限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41,172,101.5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-22,979,352.4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-22,979,352.4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2,329,584.76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63,070,237.8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42,017,577.6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42,017,577.6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59,520,253.9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江苏洪泽湖 达实智慧医 养有限公司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500,616.51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-1,081,144.26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-1,081,144.26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-2,543,155.50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-52,270.91</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-52,270.91</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9,089.30</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湖南桃江达 实智慧医养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-427,318.01</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0" w:right="0"/>
              <w:jc w:val="center"/>
              <w:rPr>
                <w:rFonts w:ascii="Times New Roman" w:hAnsi="Times New Roman" w:cs="Times New Roman" w:eastAsia="Times New Roman" w:hint="default"/>
                <w:sz w:val="18"/>
                <w:szCs w:val="18"/>
              </w:rPr>
            </w:pPr>
            <w:r>
              <w:rPr>
                <w:rFonts w:ascii="Times New Roman"/>
                <w:sz w:val="18"/>
              </w:rPr>
              <w:t>-427,318.01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540,240.58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使用企业集团资产和清偿企业集团债务的重大限制" w:id="368"/>
      <w:bookmarkEnd w:id="368"/>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向纳入合并财务报表范围的结构化主体提供的财务支持或其他支持" w:id="369"/>
      <w:bookmarkEnd w:id="369"/>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87" w:footer="1019" w:top="1100" w:bottom="1200" w:left="980" w:right="0"/>
        </w:sectPr>
      </w:pPr>
    </w:p>
    <w:p>
      <w:pPr>
        <w:spacing w:line="240" w:lineRule="auto" w:before="7"/>
        <w:rPr>
          <w:rFonts w:ascii="宋体" w:hAnsi="宋体" w:cs="宋体" w:eastAsia="宋体" w:hint="default"/>
          <w:sz w:val="21"/>
          <w:szCs w:val="21"/>
        </w:rPr>
      </w:pPr>
      <w:r>
        <w:rPr/>
        <w:pict>
          <v:shape style="position:absolute;margin-left:324.399994pt;margin-top:559.779968pt;width:74.05pt;height:201.8pt;mso-position-horizontal-relative:page;mso-position-vertical-relative:page;z-index:-117548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15"/>
                      <w:szCs w:val="15"/>
                    </w:rPr>
                  </w:pPr>
                </w:p>
                <w:p>
                  <w:pPr>
                    <w:pStyle w:val="BodyText"/>
                    <w:spacing w:line="240" w:lineRule="auto"/>
                    <w:ind w:left="0" w:right="0"/>
                    <w:jc w:val="left"/>
                  </w:pPr>
                  <w:r>
                    <w:rPr/>
                    <w:t>、</w:t>
                  </w:r>
                </w:p>
              </w:txbxContent>
            </v:textbox>
            <w10:wrap type="none"/>
          </v:shape>
        </w:pict>
      </w:r>
      <w:r>
        <w:rPr/>
        <w:pict>
          <v:group style="position:absolute;margin-left:330.579987pt;margin-top:559.779968pt;width:67.9pt;height:201.8pt;mso-position-horizontal-relative:page;mso-position-vertical-relative:page;z-index:-1175440" coordorigin="6612,11196" coordsize="1358,4036">
            <v:shape style="position:absolute;left:6612;top:11196;width:1358;height:4036" coordorigin="6612,11196" coordsize="1358,4036" path="m6612,15232l7969,15232,7969,11196,6612,11196,6612,15232xe" filled="true" fillcolor="#ffffff" stroked="false">
              <v:path arrowok="t"/>
              <v:fill type="solid"/>
            </v:shape>
            <w10:wrap type="none"/>
          </v:group>
        </w:pict>
      </w:r>
    </w:p>
    <w:p>
      <w:pPr>
        <w:pStyle w:val="Heading4"/>
        <w:spacing w:line="240" w:lineRule="auto" w:before="35"/>
        <w:ind w:right="0"/>
        <w:jc w:val="left"/>
        <w:rPr>
          <w:b w:val="0"/>
          <w:bCs w:val="0"/>
        </w:rPr>
      </w:pPr>
      <w:bookmarkStart w:name="2、在子公司的所有者权益份额发生变化且仍控制子公司的交易" w:id="370"/>
      <w:bookmarkEnd w:id="370"/>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在子公司所有者权益份额发生变化的情况说明" w:id="371"/>
      <w:bookmarkEnd w:id="371"/>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交易对于少数股东权益及归属于母公司所有者权益的影响" w:id="372"/>
      <w:bookmarkEnd w:id="372"/>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在合营安排或联营企业中的权益" w:id="373"/>
      <w:bookmarkEnd w:id="373"/>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pict>
          <v:shape style="position:absolute;margin-left:324.399994pt;margin-top:83.183655pt;width:74.05pt;height:201.8pt;mso-position-horizontal-relative:page;mso-position-vertical-relative:paragraph;z-index:-117551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8"/>
                    <w:rPr>
                      <w:rFonts w:ascii="宋体" w:hAnsi="宋体" w:cs="宋体" w:eastAsia="宋体" w:hint="default"/>
                      <w:b/>
                      <w:bCs/>
                      <w:sz w:val="14"/>
                      <w:szCs w:val="14"/>
                    </w:rPr>
                  </w:pPr>
                </w:p>
                <w:p>
                  <w:pPr>
                    <w:pStyle w:val="BodyText"/>
                    <w:spacing w:line="240" w:lineRule="auto"/>
                    <w:ind w:left="0" w:right="0"/>
                    <w:jc w:val="left"/>
                  </w:pPr>
                  <w:r>
                    <w:rPr/>
                    <w:t>；</w:t>
                  </w:r>
                </w:p>
              </w:txbxContent>
            </v:textbox>
            <w10:wrap type="none"/>
          </v:shape>
        </w:pict>
      </w:r>
      <w:r>
        <w:rPr/>
        <w:pict>
          <v:group style="position:absolute;margin-left:330.579987pt;margin-top:83.183655pt;width:67.9pt;height:201.8pt;mso-position-horizontal-relative:page;mso-position-vertical-relative:paragraph;z-index:-1175464" coordorigin="6612,1664" coordsize="1358,4036">
            <v:shape style="position:absolute;left:6612;top:1664;width:1358;height:4036" coordorigin="6612,1664" coordsize="1358,4036" path="m6612,5700l7969,5700,7969,1664,6612,1664,6612,5700xe" filled="true" fillcolor="#ffffff" stroked="false">
              <v:path arrowok="t"/>
              <v:fill type="solid"/>
            </v:shape>
            <w10:wrap type="none"/>
          </v:group>
        </w:pict>
      </w:r>
      <w:bookmarkStart w:name="（1）重要的合营企业或联营企业" w:id="374"/>
      <w:bookmarkEnd w:id="374"/>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423"/>
        <w:gridCol w:w="944"/>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847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融智节能环保</w:t>
            </w:r>
          </w:p>
          <w:p>
            <w:pPr>
              <w:pStyle w:val="TableParagraph"/>
              <w:spacing w:line="319" w:lineRule="auto" w:before="75"/>
              <w:ind w:left="22" w:right="77"/>
              <w:jc w:val="left"/>
              <w:rPr>
                <w:rFonts w:ascii="宋体" w:hAnsi="宋体" w:cs="宋体" w:eastAsia="宋体" w:hint="default"/>
                <w:sz w:val="18"/>
                <w:szCs w:val="18"/>
              </w:rPr>
            </w:pPr>
            <w:r>
              <w:rPr>
                <w:rFonts w:ascii="宋体" w:hAnsi="宋体" w:cs="宋体" w:eastAsia="宋体" w:hint="default"/>
                <w:sz w:val="18"/>
                <w:szCs w:val="18"/>
              </w:rPr>
              <w:t>（深圳）有限公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节能技术领域的 技术开发、技术 转让、技术咨询 和技术服务；合 同能源管理服 务；销售环保设 备、建筑材料、 节能照明、电子 </w:t>
            </w:r>
            <w:r>
              <w:rPr>
                <w:rFonts w:ascii="宋体" w:hAnsi="宋体" w:cs="宋体" w:eastAsia="宋体" w:hint="default"/>
                <w:spacing w:val="-6"/>
                <w:sz w:val="18"/>
                <w:szCs w:val="18"/>
              </w:rPr>
              <w:t>零件、电器设备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节能方案的设 计；建筑工程咨 询；建筑智能化 系统的设计、集 成；商务信息咨 询；货物及技术 进出口（法律、 行政法规、国务 院决定禁止的项 目除外，限制的 项目须取得许可 </w:t>
            </w:r>
            <w:r>
              <w:rPr>
                <w:rFonts w:ascii="宋体" w:hAnsi="宋体" w:cs="宋体" w:eastAsia="宋体" w:hint="default"/>
                <w:spacing w:val="-17"/>
                <w:sz w:val="18"/>
                <w:szCs w:val="18"/>
              </w:rPr>
              <w:t>后方可经营）；分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布式光伏发电及 相关配套系统的 </w:t>
            </w:r>
            <w:r>
              <w:rPr>
                <w:rFonts w:ascii="宋体" w:hAnsi="宋体" w:cs="宋体" w:eastAsia="宋体" w:hint="default"/>
                <w:spacing w:val="-6"/>
                <w:sz w:val="18"/>
                <w:szCs w:val="18"/>
              </w:rPr>
              <w:t>技术开发、设计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系统建设及相关 设施的运营、管 理；分布式供冷</w:t>
            </w:r>
          </w:p>
        </w:tc>
        <w:tc>
          <w:tcPr>
            <w:tcW w:w="423" w:type="dxa"/>
            <w:tcBorders>
              <w:top w:val="single" w:sz="4" w:space="0" w:color="000000"/>
              <w:left w:val="single" w:sz="4" w:space="0" w:color="000000"/>
              <w:bottom w:val="single" w:sz="4" w:space="0" w:color="000000"/>
              <w:right w:val="nil" w:sz="6" w:space="0" w:color="auto"/>
            </w:tcBorders>
          </w:tcPr>
          <w:p>
            <w:pPr/>
          </w:p>
        </w:tc>
        <w:tc>
          <w:tcPr>
            <w:tcW w:w="94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61" w:right="0"/>
              <w:jc w:val="lef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603"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设施、供热设施 和热电联产设施 的技术开发、设 计、系统建设及 相关设施的运营</w:t>
            </w:r>
          </w:p>
          <w:p>
            <w:pPr>
              <w:pStyle w:val="TableParagraph"/>
              <w:spacing w:line="316" w:lineRule="auto" w:before="17"/>
              <w:ind w:left="22" w:right="-16"/>
              <w:jc w:val="left"/>
              <w:rPr>
                <w:rFonts w:ascii="宋体" w:hAnsi="宋体" w:cs="宋体" w:eastAsia="宋体" w:hint="default"/>
                <w:sz w:val="18"/>
                <w:szCs w:val="18"/>
              </w:rPr>
            </w:pPr>
            <w:r>
              <w:rPr>
                <w:rFonts w:ascii="宋体" w:hAnsi="宋体" w:cs="宋体" w:eastAsia="宋体" w:hint="default"/>
                <w:sz w:val="18"/>
                <w:szCs w:val="18"/>
              </w:rPr>
              <w:t>（不涉及外商投 资准入特别管理 </w:t>
            </w:r>
            <w:r>
              <w:rPr>
                <w:rFonts w:ascii="宋体" w:hAnsi="宋体" w:cs="宋体" w:eastAsia="宋体" w:hint="default"/>
                <w:spacing w:val="-17"/>
                <w:sz w:val="18"/>
                <w:szCs w:val="18"/>
              </w:rPr>
              <w:t>措施）、管理（不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含限制性和禁止</w:t>
            </w:r>
            <w:r>
              <w:rPr>
                <w:rFonts w:ascii="宋体" w:hAnsi="宋体" w:cs="宋体" w:eastAsia="宋体" w:hint="default"/>
                <w:sz w:val="18"/>
                <w:szCs w:val="18"/>
              </w:rPr>
              <w:t> 性项目，涉及许 可证管理及其他 专项规定管理 的，取得许可后 </w:t>
            </w:r>
            <w:r>
              <w:rPr>
                <w:rFonts w:ascii="宋体" w:hAnsi="宋体" w:cs="宋体" w:eastAsia="宋体" w:hint="default"/>
                <w:spacing w:val="-23"/>
                <w:sz w:val="18"/>
                <w:szCs w:val="18"/>
              </w:rPr>
              <w:t>方可经营）。（以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上各项涉及法 律、行政法规、 国务院决定禁止 的项目除外，限 制的项目须取得 许可后方可经 </w:t>
            </w:r>
            <w:r>
              <w:rPr>
                <w:rFonts w:ascii="宋体" w:hAnsi="宋体" w:cs="宋体" w:eastAsia="宋体" w:hint="default"/>
                <w:spacing w:val="-12"/>
                <w:sz w:val="18"/>
                <w:szCs w:val="18"/>
              </w:rPr>
              <w:t>营）。售电服务。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山东茗信股权投 资管理有限公司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股权投资管理； 企业管理咨询。</w:t>
            </w:r>
          </w:p>
          <w:p>
            <w:pPr>
              <w:pStyle w:val="TableParagraph"/>
              <w:spacing w:line="319" w:lineRule="auto" w:before="19"/>
              <w:ind w:left="22" w:right="72"/>
              <w:jc w:val="left"/>
              <w:rPr>
                <w:rFonts w:ascii="宋体" w:hAnsi="宋体" w:cs="宋体" w:eastAsia="宋体" w:hint="default"/>
                <w:sz w:val="18"/>
                <w:szCs w:val="18"/>
              </w:rPr>
            </w:pPr>
            <w:r>
              <w:rPr>
                <w:rFonts w:ascii="宋体" w:hAnsi="宋体" w:cs="宋体" w:eastAsia="宋体" w:hint="default"/>
                <w:sz w:val="18"/>
                <w:szCs w:val="18"/>
              </w:rPr>
              <w:t>（依法须经批准 的项目，经相关 部门批准后，方 可开展经营活 动；未经金融监 管部门批准，不 得从事吸收存 款、融资担保、 代客理财等金融 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348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上海沧洱实业有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房地产咨询，建 筑防水建设工程 专业施工，建筑 劳务分包，企业 管理咨询，建筑 设备租赁，文化 艺术交流策划咨 询，计算机软硬 件开发，销售计 算机网络设备、 计算机软硬件及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787" w:footer="1019" w:top="1100" w:bottom="1200" w:left="980" w:right="0"/>
        </w:sectPr>
      </w:pPr>
    </w:p>
    <w:p>
      <w:pPr>
        <w:spacing w:line="240" w:lineRule="auto" w:before="10"/>
        <w:rPr>
          <w:rFonts w:ascii="Times New Roman" w:hAnsi="Times New Roman" w:cs="Times New Roman" w:eastAsia="Times New Roman"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17" w:hRule="exact"/>
        </w:trPr>
        <w:tc>
          <w:tcPr>
            <w:tcW w:w="1372"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周边产品、化工</w:t>
            </w: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产品及原料（除</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危险化学品、监</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控化学品、烟花</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2"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爆竹、民用爆炸</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13" w:hRule="exact"/>
        </w:trPr>
        <w:tc>
          <w:tcPr>
            <w:tcW w:w="1372"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物品、易制毒化</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6" w:type="dxa"/>
            <w:vMerge/>
            <w:tcBorders>
              <w:left w:val="single" w:sz="4" w:space="0" w:color="000000"/>
              <w:right w:val="single" w:sz="4" w:space="0" w:color="000000"/>
            </w:tcBorders>
          </w:tcPr>
          <w:p>
            <w:pPr/>
          </w:p>
        </w:tc>
      </w:tr>
      <w:tr>
        <w:trPr>
          <w:trHeight w:val="357" w:hRule="exact"/>
        </w:trPr>
        <w:tc>
          <w:tcPr>
            <w:tcW w:w="1372"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学品）</w:t>
            </w: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在合营企业或联营企业的持股比例不同于表决权比例的说明：</w:t>
      </w:r>
    </w:p>
    <w:p>
      <w:pPr>
        <w:spacing w:line="240" w:lineRule="auto" w:before="6"/>
        <w:rPr>
          <w:rFonts w:ascii="宋体" w:hAnsi="宋体" w:cs="宋体" w:eastAsia="宋体" w:hint="default"/>
          <w:sz w:val="16"/>
          <w:szCs w:val="16"/>
        </w:rPr>
      </w:pPr>
    </w:p>
    <w:p>
      <w:pPr>
        <w:pStyle w:val="BodyText"/>
        <w:spacing w:line="386" w:lineRule="auto"/>
        <w:ind w:right="1119" w:firstLine="360"/>
        <w:jc w:val="left"/>
      </w:pPr>
      <w:r>
        <w:rPr/>
        <w:t>注：根据上海沧洱实业有限公司</w:t>
      </w:r>
      <w:r>
        <w:rPr>
          <w:spacing w:val="-34"/>
        </w:rPr>
        <w:t> </w:t>
      </w:r>
      <w:r>
        <w:rPr>
          <w:rFonts w:ascii="Arial Narrow" w:hAnsi="Arial Narrow" w:cs="Arial Narrow" w:eastAsia="Arial Narrow" w:hint="default"/>
        </w:rPr>
        <w:t>2018</w:t>
      </w:r>
      <w:r>
        <w:rPr>
          <w:rFonts w:ascii="Arial Narrow" w:hAnsi="Arial Narrow" w:cs="Arial Narrow" w:eastAsia="Arial Narrow" w:hint="default"/>
          <w:spacing w:val="15"/>
        </w:rPr>
        <w:t> </w:t>
      </w:r>
      <w:r>
        <w:rPr/>
        <w:t>年</w:t>
      </w:r>
      <w:r>
        <w:rPr>
          <w:spacing w:val="-34"/>
        </w:rPr>
        <w:t> </w:t>
      </w:r>
      <w:r>
        <w:rPr>
          <w:rFonts w:ascii="Arial Narrow" w:hAnsi="Arial Narrow" w:cs="Arial Narrow" w:eastAsia="Arial Narrow" w:hint="default"/>
        </w:rPr>
        <w:t>10</w:t>
      </w:r>
      <w:r>
        <w:rPr>
          <w:rFonts w:ascii="Arial Narrow" w:hAnsi="Arial Narrow" w:cs="Arial Narrow" w:eastAsia="Arial Narrow" w:hint="default"/>
          <w:spacing w:val="15"/>
        </w:rPr>
        <w:t> </w:t>
      </w:r>
      <w:r>
        <w:rPr/>
        <w:t>月</w:t>
      </w:r>
      <w:r>
        <w:rPr>
          <w:spacing w:val="-33"/>
        </w:rPr>
        <w:t> </w:t>
      </w:r>
      <w:r>
        <w:rPr>
          <w:rFonts w:ascii="Arial Narrow" w:hAnsi="Arial Narrow" w:cs="Arial Narrow" w:eastAsia="Arial Narrow" w:hint="default"/>
        </w:rPr>
        <w:t>22</w:t>
      </w:r>
      <w:r>
        <w:rPr>
          <w:rFonts w:ascii="Arial Narrow" w:hAnsi="Arial Narrow" w:cs="Arial Narrow" w:eastAsia="Arial Narrow" w:hint="default"/>
          <w:spacing w:val="14"/>
        </w:rPr>
        <w:t> </w:t>
      </w:r>
      <w:r>
        <w:rPr/>
        <w:t>日股东会决议，公司与上海臻龙投资管理合伙企业（有限合伙）共同 控制上海沧洱实业有限公司。</w:t>
      </w:r>
    </w:p>
    <w:p>
      <w:pPr>
        <w:spacing w:line="240" w:lineRule="auto" w:before="8"/>
        <w:rPr>
          <w:rFonts w:ascii="宋体" w:hAnsi="宋体" w:cs="宋体" w:eastAsia="宋体" w:hint="default"/>
          <w:sz w:val="26"/>
          <w:szCs w:val="26"/>
        </w:rPr>
      </w:pPr>
    </w:p>
    <w:p>
      <w:pPr>
        <w:pStyle w:val="BodyText"/>
        <w:spacing w:line="240" w:lineRule="auto"/>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重要合营企业的主要财务信息" w:id="375"/>
      <w:bookmarkEnd w:id="375"/>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8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1892" w:type="dxa"/>
            <w:tcBorders>
              <w:top w:val="single" w:sz="4" w:space="0" w:color="000000"/>
              <w:left w:val="single" w:sz="4" w:space="0" w:color="000000"/>
              <w:bottom w:val="single" w:sz="4" w:space="0" w:color="000000"/>
              <w:right w:val="single" w:sz="9" w:space="0" w:color="E0FFFF"/>
            </w:tcBorders>
            <w:shd w:val="clear" w:color="auto" w:fill="D2D2D2"/>
          </w:tcPr>
          <w:p>
            <w:pPr/>
          </w:p>
        </w:tc>
        <w:tc>
          <w:tcPr>
            <w:tcW w:w="1926" w:type="dxa"/>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上海沧洱实业有限公司</w:t>
            </w: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6,704,890.77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68"/>
              <w:jc w:val="left"/>
              <w:rPr>
                <w:rFonts w:ascii="宋体" w:hAnsi="宋体" w:cs="宋体" w:eastAsia="宋体" w:hint="default"/>
                <w:sz w:val="18"/>
                <w:szCs w:val="18"/>
              </w:rPr>
            </w:pPr>
            <w:r>
              <w:rPr>
                <w:rFonts w:ascii="宋体" w:hAnsi="宋体" w:cs="宋体" w:eastAsia="宋体" w:hint="default"/>
                <w:sz w:val="18"/>
                <w:szCs w:val="18"/>
              </w:rPr>
              <w:t>其中：现金和现金等价 物</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539,257.27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6,111,050.23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12,815,941.00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2,463,597.32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2,463,597.32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10,352,343.68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8"/>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5,279,695.28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4,008,921.92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8"/>
              <w:jc w:val="left"/>
              <w:rPr>
                <w:rFonts w:ascii="宋体" w:hAnsi="宋体" w:cs="宋体" w:eastAsia="宋体" w:hint="default"/>
                <w:sz w:val="18"/>
                <w:szCs w:val="18"/>
              </w:rPr>
            </w:pPr>
            <w:r>
              <w:rPr>
                <w:rFonts w:ascii="宋体" w:hAnsi="宋体" w:cs="宋体" w:eastAsia="宋体" w:hint="default"/>
                <w:sz w:val="18"/>
                <w:szCs w:val="18"/>
              </w:rPr>
              <w:t>对合营企业权益投资的 账面价值</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9,288,617.20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6,727,831.07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-341.38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1,056,647.83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3,169,943.51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3,169,943.51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8"/>
        <w:rPr>
          <w:rFonts w:ascii="宋体" w:hAnsi="宋体" w:cs="宋体" w:eastAsia="宋体" w:hint="default"/>
          <w:sz w:val="21"/>
          <w:szCs w:val="21"/>
        </w:rPr>
      </w:pPr>
    </w:p>
    <w:p>
      <w:pPr>
        <w:pStyle w:val="Heading4"/>
        <w:spacing w:line="240" w:lineRule="auto" w:before="35"/>
        <w:ind w:right="0"/>
        <w:jc w:val="left"/>
        <w:rPr>
          <w:b w:val="0"/>
          <w:bCs w:val="0"/>
        </w:rPr>
      </w:pPr>
      <w:bookmarkStart w:name="（3）重要联营企业的主要财务信息" w:id="376"/>
      <w:bookmarkEnd w:id="376"/>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8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1892" w:type="dxa"/>
            <w:tcBorders>
              <w:top w:val="single" w:sz="4" w:space="0" w:color="000000"/>
              <w:left w:val="single" w:sz="4" w:space="0" w:color="000000"/>
              <w:bottom w:val="nil" w:sz="6" w:space="0" w:color="auto"/>
              <w:right w:val="single" w:sz="9" w:space="0" w:color="E0FFFF"/>
            </w:tcBorders>
            <w:shd w:val="clear" w:color="auto" w:fill="D2D2D2"/>
          </w:tcPr>
          <w:p>
            <w:pPr/>
          </w:p>
        </w:tc>
        <w:tc>
          <w:tcPr>
            <w:tcW w:w="1926" w:type="dxa"/>
            <w:vMerge w:val="restart"/>
            <w:tcBorders>
              <w:top w:val="single" w:sz="4" w:space="0" w:color="000000"/>
              <w:left w:val="single" w:sz="9" w:space="0" w:color="D2D2D2"/>
              <w:right w:val="single" w:sz="4" w:space="0" w:color="000000"/>
            </w:tcBorders>
            <w:shd w:val="clear" w:color="auto" w:fill="E0FFFF"/>
          </w:tcPr>
          <w:p>
            <w:pPr>
              <w:pStyle w:val="TableParagraph"/>
              <w:spacing w:line="316" w:lineRule="auto" w:before="52"/>
              <w:ind w:left="596" w:right="51" w:hanging="540"/>
              <w:jc w:val="left"/>
              <w:rPr>
                <w:rFonts w:ascii="宋体" w:hAnsi="宋体" w:cs="宋体" w:eastAsia="宋体" w:hint="default"/>
                <w:sz w:val="18"/>
                <w:szCs w:val="18"/>
              </w:rPr>
            </w:pPr>
            <w:r>
              <w:rPr>
                <w:rFonts w:ascii="宋体" w:hAnsi="宋体" w:cs="宋体" w:eastAsia="宋体" w:hint="default"/>
                <w:sz w:val="18"/>
                <w:szCs w:val="18"/>
              </w:rPr>
              <w:t>融智节能环保（深圳） 有限公司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591" w:right="50" w:hanging="540"/>
              <w:jc w:val="left"/>
              <w:rPr>
                <w:rFonts w:ascii="宋体" w:hAnsi="宋体" w:cs="宋体" w:eastAsia="宋体" w:hint="default"/>
                <w:sz w:val="18"/>
                <w:szCs w:val="18"/>
              </w:rPr>
            </w:pPr>
            <w:r>
              <w:rPr>
                <w:rFonts w:ascii="宋体" w:hAnsi="宋体" w:cs="宋体" w:eastAsia="宋体" w:hint="default"/>
                <w:sz w:val="18"/>
                <w:szCs w:val="18"/>
              </w:rPr>
              <w:t>山东茗信股权投资管理 有限公司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591" w:right="51" w:hanging="540"/>
              <w:jc w:val="left"/>
              <w:rPr>
                <w:rFonts w:ascii="宋体" w:hAnsi="宋体" w:cs="宋体" w:eastAsia="宋体" w:hint="default"/>
                <w:sz w:val="18"/>
                <w:szCs w:val="18"/>
              </w:rPr>
            </w:pPr>
            <w:r>
              <w:rPr>
                <w:rFonts w:ascii="宋体" w:hAnsi="宋体" w:cs="宋体" w:eastAsia="宋体" w:hint="default"/>
                <w:sz w:val="18"/>
                <w:szCs w:val="18"/>
              </w:rPr>
              <w:t>融智节能环保（深圳） 有限公司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591" w:right="50" w:hanging="540"/>
              <w:jc w:val="left"/>
              <w:rPr>
                <w:rFonts w:ascii="宋体" w:hAnsi="宋体" w:cs="宋体" w:eastAsia="宋体" w:hint="default"/>
                <w:sz w:val="18"/>
                <w:szCs w:val="18"/>
              </w:rPr>
            </w:pPr>
            <w:r>
              <w:rPr>
                <w:rFonts w:ascii="宋体" w:hAnsi="宋体" w:cs="宋体" w:eastAsia="宋体" w:hint="default"/>
                <w:sz w:val="18"/>
                <w:szCs w:val="18"/>
              </w:rPr>
              <w:t>山东茗信股权投资管理 有限公司</w:t>
            </w:r>
          </w:p>
        </w:tc>
      </w:tr>
      <w:tr>
        <w:trPr>
          <w:trHeight w:val="391" w:hRule="exact"/>
        </w:trPr>
        <w:tc>
          <w:tcPr>
            <w:tcW w:w="1892" w:type="dxa"/>
            <w:tcBorders>
              <w:top w:val="nil" w:sz="6" w:space="0" w:color="auto"/>
              <w:left w:val="single" w:sz="4" w:space="0" w:color="000000"/>
              <w:bottom w:val="nil" w:sz="6" w:space="0" w:color="auto"/>
              <w:right w:val="single" w:sz="9" w:space="0" w:color="E0FFFF"/>
            </w:tcBorders>
            <w:shd w:val="clear" w:color="auto" w:fill="D2D2D2"/>
          </w:tcPr>
          <w:p>
            <w:pPr/>
          </w:p>
        </w:tc>
        <w:tc>
          <w:tcPr>
            <w:tcW w:w="1926" w:type="dxa"/>
            <w:vMerge/>
            <w:tcBorders>
              <w:left w:val="single" w:sz="9" w:space="0" w:color="D2D2D2"/>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r>
      <w:tr>
        <w:trPr>
          <w:trHeight w:val="161" w:hRule="exact"/>
        </w:trPr>
        <w:tc>
          <w:tcPr>
            <w:tcW w:w="1892" w:type="dxa"/>
            <w:tcBorders>
              <w:top w:val="nil" w:sz="6" w:space="0" w:color="auto"/>
              <w:left w:val="single" w:sz="4" w:space="0" w:color="000000"/>
              <w:bottom w:val="single" w:sz="4" w:space="0" w:color="000000"/>
              <w:right w:val="single" w:sz="9" w:space="0" w:color="E0FFFF"/>
            </w:tcBorders>
            <w:shd w:val="clear" w:color="auto" w:fill="D2D2D2"/>
          </w:tcPr>
          <w:p>
            <w:pPr/>
          </w:p>
        </w:tc>
        <w:tc>
          <w:tcPr>
            <w:tcW w:w="1926" w:type="dxa"/>
            <w:vMerge/>
            <w:tcBorders>
              <w:left w:val="single" w:sz="9" w:space="0" w:color="D2D2D2"/>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11,445,990.13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34,174,879.91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18,737,288.57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31,943,726.26</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15,786,884.40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20,016,312.40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20,302,072.74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20,029,344.34</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27,232,874.53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54,191,192.31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39,039,361.31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51,970,987.22</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499,827.65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1,073,810.05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10,773,171.63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511,061.31</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6,067,584.19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6,055,904.92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6,567,411.84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1,073,810.05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16,829,076.55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511,061.31</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20,665,462.69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53,117,382.26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22,210,284.76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51,459,925.91</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8"/>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8,266,185.08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10,623,476.45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8,884,113.90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10,291,985.18</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-5,482.39</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2,771.50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2,771.50</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8"/>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8,260,702.69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10,626,247.95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8,884,113.90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10,294,756.68</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14,593,553.21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970,873.79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27,998,015.85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782,018.89</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-1,558,528.00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1,657,456.35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182,972.83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1,428,820.45</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-1,558,528.00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1,657,456.35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182,972.83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1,428,820.45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不重要的合营企业和联营企业的汇总财务信息" w:id="377"/>
      <w:bookmarkEnd w:id="377"/>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合营企业或联营企业向本公司转移资金的能力存在重大限制的说明" w:id="378"/>
      <w:bookmarkEnd w:id="378"/>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合营企业或联营企业发生的超额亏损" w:id="379"/>
      <w:bookmarkEnd w:id="379"/>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与合营企业投资相关的未确认承诺" w:id="380"/>
      <w:bookmarkEnd w:id="380"/>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footerReference w:type="default" r:id="rId21"/>
          <w:pgSz w:w="11910" w:h="16840"/>
          <w:pgMar w:footer="1019" w:header="787" w:top="1100" w:bottom="1200" w:left="980" w:right="0"/>
        </w:sectPr>
      </w:pPr>
    </w:p>
    <w:p>
      <w:pPr>
        <w:spacing w:line="240" w:lineRule="auto" w:before="7"/>
        <w:rPr>
          <w:rFonts w:ascii="宋体" w:hAnsi="宋体" w:cs="宋体" w:eastAsia="宋体" w:hint="default"/>
          <w:sz w:val="21"/>
          <w:szCs w:val="21"/>
        </w:rPr>
      </w:pPr>
    </w:p>
    <w:p>
      <w:pPr>
        <w:pStyle w:val="Heading4"/>
        <w:spacing w:line="240" w:lineRule="auto" w:before="35"/>
        <w:ind w:right="0"/>
        <w:jc w:val="both"/>
        <w:rPr>
          <w:b w:val="0"/>
          <w:bCs w:val="0"/>
        </w:rPr>
      </w:pPr>
      <w:bookmarkStart w:name="（8）与合营企业或联营企业投资相关的或有负债" w:id="381"/>
      <w:bookmarkEnd w:id="381"/>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0"/>
        <w:rPr>
          <w:rFonts w:ascii="宋体" w:hAnsi="宋体" w:cs="宋体" w:eastAsia="宋体" w:hint="default"/>
          <w:sz w:val="25"/>
          <w:szCs w:val="25"/>
        </w:rPr>
      </w:pPr>
    </w:p>
    <w:p>
      <w:pPr>
        <w:pStyle w:val="Heading2"/>
        <w:spacing w:line="240" w:lineRule="auto"/>
        <w:ind w:right="0"/>
        <w:jc w:val="both"/>
        <w:rPr>
          <w:b w:val="0"/>
          <w:bCs w:val="0"/>
        </w:rPr>
      </w:pPr>
      <w:bookmarkStart w:name="十、与金融工具相关的风险" w:id="382"/>
      <w:bookmarkEnd w:id="382"/>
      <w:r>
        <w:rPr>
          <w:b w:val="0"/>
          <w:bCs w:val="0"/>
        </w:rPr>
      </w:r>
      <w:r>
        <w:rPr/>
        <w:t>十、与金融工具相关的风险</w:t>
      </w:r>
      <w:r>
        <w:rPr>
          <w:b w:val="0"/>
          <w:bCs w:val="0"/>
        </w:rPr>
      </w:r>
    </w:p>
    <w:p>
      <w:pPr>
        <w:spacing w:line="240" w:lineRule="auto" w:before="2"/>
        <w:rPr>
          <w:rFonts w:ascii="宋体" w:hAnsi="宋体" w:cs="宋体" w:eastAsia="宋体" w:hint="default"/>
          <w:b/>
          <w:bCs/>
          <w:sz w:val="34"/>
          <w:szCs w:val="34"/>
        </w:rPr>
      </w:pPr>
    </w:p>
    <w:p>
      <w:pPr>
        <w:pStyle w:val="BodyText"/>
        <w:spacing w:line="408" w:lineRule="auto"/>
        <w:ind w:right="1131" w:firstLine="360"/>
        <w:jc w:val="both"/>
      </w:pPr>
      <w:r>
        <w:rPr>
          <w:spacing w:val="-2"/>
        </w:rPr>
        <w:t>本公司的主要金融工具包括应收票据、应收款项、短期借款、应付款项等，各项金融工具的详细情况说明见本附注相关</w:t>
      </w:r>
      <w:r>
        <w:rPr/>
        <w:t> </w:t>
      </w:r>
      <w:r>
        <w:rPr>
          <w:spacing w:val="-2"/>
        </w:rPr>
        <w:t>项目。与这些金融工具有关的风险，以及本公司为降低这些风险所采取的风险管理政策如下所述。本公司管理层对这些风险</w:t>
      </w:r>
      <w:r>
        <w:rPr>
          <w:spacing w:val="-66"/>
        </w:rPr>
        <w:t> </w:t>
      </w:r>
      <w:r>
        <w:rPr>
          <w:spacing w:val="-66"/>
        </w:rPr>
      </w:r>
      <w:r>
        <w:rPr/>
        <w:t>敞口进行管理和监控以确保将上述风险控制在限定的范围之内。</w:t>
      </w:r>
    </w:p>
    <w:p>
      <w:pPr>
        <w:spacing w:line="448" w:lineRule="auto" w:before="77"/>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（一）风险管理目标和政策</w:t>
      </w:r>
      <w:r>
        <w:rPr>
          <w:rFonts w:ascii="宋体" w:hAnsi="宋体" w:cs="宋体" w:eastAsia="宋体" w:hint="default"/>
          <w:b/>
          <w:bCs/>
          <w:w w:val="99"/>
          <w:sz w:val="18"/>
          <w:szCs w:val="18"/>
        </w:rPr>
        <w:t> </w:t>
      </w:r>
      <w:r>
        <w:rPr>
          <w:rFonts w:ascii="宋体" w:hAnsi="宋体" w:cs="宋体" w:eastAsia="宋体" w:hint="default"/>
          <w:sz w:val="18"/>
          <w:szCs w:val="18"/>
        </w:rPr>
        <w:t>本公司从事风险管理的目标是在风险和收益之间取得适当的平衡，将风险对本公司经营业绩的负面影响降低到最低水</w:t>
      </w:r>
    </w:p>
    <w:p>
      <w:pPr>
        <w:pStyle w:val="BodyText"/>
        <w:spacing w:line="408" w:lineRule="auto" w:before="7"/>
        <w:ind w:right="1133"/>
        <w:jc w:val="both"/>
      </w:pPr>
      <w:r>
        <w:rPr>
          <w:spacing w:val="-2"/>
        </w:rPr>
        <w:t>平，使股东及其其他权益投资者的利益最大化。基于该风险管理目标，本公司风险管理的基本策略是确定和分析本公司所面</w:t>
      </w:r>
      <w:r>
        <w:rPr>
          <w:spacing w:val="-66"/>
        </w:rPr>
        <w:t> </w:t>
      </w:r>
      <w:r>
        <w:rPr>
          <w:spacing w:val="-66"/>
        </w:rPr>
      </w:r>
      <w:r>
        <w:rPr>
          <w:spacing w:val="-2"/>
        </w:rPr>
        <w:t>临的各种风险，建立适当的风险承受底线和进行风险管理，并及时可靠地对各种风险进行监督，将风险控制在限定的范围之</w:t>
      </w:r>
      <w:r>
        <w:rPr>
          <w:spacing w:val="-66"/>
        </w:rPr>
        <w:t> </w:t>
      </w:r>
      <w:r>
        <w:rPr>
          <w:spacing w:val="-66"/>
        </w:rPr>
      </w:r>
      <w:r>
        <w:rPr/>
        <w:t>内。</w:t>
      </w:r>
    </w:p>
    <w:p>
      <w:pPr>
        <w:pStyle w:val="Heading6"/>
        <w:spacing w:line="240" w:lineRule="auto" w:before="79"/>
        <w:ind w:left="515" w:right="0"/>
        <w:jc w:val="left"/>
        <w:rPr>
          <w:b w:val="0"/>
          <w:bCs w:val="0"/>
        </w:rPr>
      </w:pPr>
      <w:r>
        <w:rPr>
          <w:rFonts w:ascii="Arial Narrow" w:hAnsi="Arial Narrow" w:cs="Arial Narrow" w:eastAsia="Arial Narrow" w:hint="default"/>
        </w:rPr>
        <w:t>1</w:t>
      </w:r>
      <w:r>
        <w:rPr/>
        <w:t>、市场风险</w:t>
      </w:r>
      <w:r>
        <w:rPr>
          <w:b w:val="0"/>
          <w:bCs w:val="0"/>
        </w:rPr>
      </w:r>
    </w:p>
    <w:p>
      <w:pPr>
        <w:spacing w:line="240" w:lineRule="auto" w:before="8"/>
        <w:rPr>
          <w:rFonts w:ascii="宋体" w:hAnsi="宋体" w:cs="宋体" w:eastAsia="宋体" w:hint="default"/>
          <w:b/>
          <w:bCs/>
          <w:sz w:val="14"/>
          <w:szCs w:val="14"/>
        </w:rPr>
      </w:pPr>
    </w:p>
    <w:p>
      <w:pPr>
        <w:pStyle w:val="BodyText"/>
        <w:spacing w:line="424" w:lineRule="auto"/>
        <w:ind w:left="514" w:right="1118" w:firstLine="1"/>
        <w:jc w:val="left"/>
      </w:pPr>
      <w:r>
        <w:rPr>
          <w:rFonts w:ascii="宋体" w:hAnsi="宋体" w:cs="宋体" w:eastAsia="宋体" w:hint="default"/>
          <w:b/>
          <w:bCs/>
        </w:rPr>
        <w:t>（</w:t>
      </w:r>
      <w:r>
        <w:rPr>
          <w:rFonts w:ascii="Arial Narrow" w:hAnsi="Arial Narrow" w:cs="Arial Narrow" w:eastAsia="Arial Narrow" w:hint="default"/>
          <w:b/>
          <w:bCs/>
        </w:rPr>
        <w:t>1</w:t>
      </w:r>
      <w:r>
        <w:rPr>
          <w:rFonts w:ascii="宋体" w:hAnsi="宋体" w:cs="宋体" w:eastAsia="宋体" w:hint="default"/>
          <w:b/>
          <w:bCs/>
        </w:rPr>
        <w:t>）外汇风险</w:t>
      </w:r>
      <w:r>
        <w:rPr>
          <w:rFonts w:ascii="宋体" w:hAnsi="宋体" w:cs="宋体" w:eastAsia="宋体" w:hint="default"/>
          <w:b/>
          <w:bCs/>
          <w:w w:val="99"/>
        </w:rPr>
        <w:t> </w:t>
      </w:r>
      <w:r>
        <w:rPr>
          <w:spacing w:val="-2"/>
        </w:rPr>
        <w:t>外汇风险指因汇率变动产生损失的风险。本公司仅持有少量美元、港币、日元现金和银行存款，因此本公司管理层认为</w:t>
      </w:r>
    </w:p>
    <w:p>
      <w:pPr>
        <w:pStyle w:val="BodyText"/>
        <w:spacing w:line="240" w:lineRule="auto" w:before="25"/>
        <w:ind w:right="0"/>
        <w:jc w:val="both"/>
      </w:pPr>
      <w:r>
        <w:rPr/>
        <w:t>公司所面临的外汇风险不大。</w:t>
      </w:r>
    </w:p>
    <w:p>
      <w:pPr>
        <w:spacing w:line="240" w:lineRule="auto" w:before="9"/>
        <w:rPr>
          <w:rFonts w:ascii="宋体" w:hAnsi="宋体" w:cs="宋体" w:eastAsia="宋体" w:hint="default"/>
          <w:sz w:val="15"/>
          <w:szCs w:val="15"/>
        </w:rPr>
      </w:pPr>
    </w:p>
    <w:p>
      <w:pPr>
        <w:pStyle w:val="BodyText"/>
        <w:spacing w:line="424" w:lineRule="auto"/>
        <w:ind w:left="514" w:right="1118" w:firstLine="1"/>
        <w:jc w:val="left"/>
      </w:pPr>
      <w:r>
        <w:rPr>
          <w:rFonts w:ascii="宋体" w:hAnsi="宋体" w:cs="宋体" w:eastAsia="宋体" w:hint="default"/>
          <w:b/>
          <w:bCs/>
        </w:rPr>
        <w:t>（</w:t>
      </w:r>
      <w:r>
        <w:rPr>
          <w:rFonts w:ascii="Arial Narrow" w:hAnsi="Arial Narrow" w:cs="Arial Narrow" w:eastAsia="Arial Narrow" w:hint="default"/>
          <w:b/>
          <w:bCs/>
        </w:rPr>
        <w:t>2</w:t>
      </w:r>
      <w:r>
        <w:rPr>
          <w:rFonts w:ascii="宋体" w:hAnsi="宋体" w:cs="宋体" w:eastAsia="宋体" w:hint="default"/>
          <w:b/>
          <w:bCs/>
        </w:rPr>
        <w:t>）利率风险</w:t>
      </w:r>
      <w:r>
        <w:rPr>
          <w:rFonts w:ascii="宋体" w:hAnsi="宋体" w:cs="宋体" w:eastAsia="宋体" w:hint="default"/>
          <w:b/>
          <w:bCs/>
          <w:w w:val="99"/>
        </w:rPr>
        <w:t> </w:t>
      </w:r>
      <w:r>
        <w:rPr>
          <w:spacing w:val="-2"/>
        </w:rPr>
        <w:t>本公司因利率变动引起金融工具现金流量变动的风险主要与浮动利率银行借款。目前本公司及下属公司银行借款存在采</w:t>
      </w:r>
    </w:p>
    <w:p>
      <w:pPr>
        <w:pStyle w:val="BodyText"/>
        <w:spacing w:line="240" w:lineRule="auto" w:before="25"/>
        <w:ind w:right="0"/>
        <w:jc w:val="both"/>
      </w:pPr>
      <w:r>
        <w:rPr/>
        <w:t>用浮动利率的情况，如发生贷款基准利率大幅波动的情况，将对本公司的利润总额和股东权益产生较大的影响。</w:t>
      </w:r>
    </w:p>
    <w:p>
      <w:pPr>
        <w:spacing w:line="240" w:lineRule="auto" w:before="9"/>
        <w:rPr>
          <w:rFonts w:ascii="宋体" w:hAnsi="宋体" w:cs="宋体" w:eastAsia="宋体" w:hint="default"/>
          <w:sz w:val="15"/>
          <w:szCs w:val="15"/>
        </w:rPr>
      </w:pPr>
    </w:p>
    <w:p>
      <w:pPr>
        <w:pStyle w:val="Heading6"/>
        <w:spacing w:line="240" w:lineRule="auto"/>
        <w:ind w:left="515" w:right="0"/>
        <w:jc w:val="left"/>
        <w:rPr>
          <w:b w:val="0"/>
          <w:bCs w:val="0"/>
        </w:rPr>
      </w:pPr>
      <w:r>
        <w:rPr>
          <w:rFonts w:ascii="Arial Narrow" w:hAnsi="Arial Narrow" w:cs="Arial Narrow" w:eastAsia="Arial Narrow" w:hint="default"/>
        </w:rPr>
        <w:t>2</w:t>
      </w:r>
      <w:r>
        <w:rPr/>
        <w:t>、信用风险</w:t>
      </w:r>
      <w:r>
        <w:rPr>
          <w:b w:val="0"/>
          <w:bCs w:val="0"/>
        </w:rPr>
      </w:r>
    </w:p>
    <w:p>
      <w:pPr>
        <w:spacing w:line="240" w:lineRule="auto" w:before="8"/>
        <w:rPr>
          <w:rFonts w:ascii="宋体" w:hAnsi="宋体" w:cs="宋体" w:eastAsia="宋体" w:hint="default"/>
          <w:b/>
          <w:bCs/>
          <w:sz w:val="14"/>
          <w:szCs w:val="14"/>
        </w:rPr>
      </w:pPr>
    </w:p>
    <w:p>
      <w:pPr>
        <w:pStyle w:val="BodyText"/>
        <w:spacing w:line="388" w:lineRule="auto"/>
        <w:ind w:right="1131" w:firstLine="360"/>
        <w:jc w:val="both"/>
      </w:pPr>
      <w:r>
        <w:rPr>
          <w:rFonts w:ascii="Arial Narrow" w:hAnsi="Arial Narrow" w:cs="Arial Narrow" w:eastAsia="Arial Narrow" w:hint="default"/>
        </w:rPr>
        <w:t>2018</w:t>
      </w:r>
      <w:r>
        <w:rPr>
          <w:rFonts w:ascii="Arial Narrow" w:hAnsi="Arial Narrow" w:cs="Arial Narrow" w:eastAsia="Arial Narrow" w:hint="default"/>
          <w:spacing w:val="-9"/>
        </w:rPr>
        <w:t> </w:t>
      </w:r>
      <w:r>
        <w:rPr/>
        <w:t>年</w:t>
      </w:r>
      <w:r>
        <w:rPr>
          <w:spacing w:val="-59"/>
        </w:rPr>
        <w:t> </w:t>
      </w:r>
      <w:r>
        <w:rPr>
          <w:rFonts w:ascii="Arial Narrow" w:hAnsi="Arial Narrow" w:cs="Arial Narrow" w:eastAsia="Arial Narrow" w:hint="default"/>
        </w:rPr>
        <w:t>12</w:t>
      </w:r>
      <w:r>
        <w:rPr>
          <w:rFonts w:ascii="Arial Narrow" w:hAnsi="Arial Narrow" w:cs="Arial Narrow" w:eastAsia="Arial Narrow" w:hint="default"/>
          <w:spacing w:val="-10"/>
        </w:rPr>
        <w:t> </w:t>
      </w:r>
      <w:r>
        <w:rPr/>
        <w:t>月</w:t>
      </w:r>
      <w:r>
        <w:rPr>
          <w:spacing w:val="-58"/>
        </w:rPr>
        <w:t> </w:t>
      </w:r>
      <w:r>
        <w:rPr>
          <w:rFonts w:ascii="Arial Narrow" w:hAnsi="Arial Narrow" w:cs="Arial Narrow" w:eastAsia="Arial Narrow" w:hint="default"/>
        </w:rPr>
        <w:t>31</w:t>
      </w:r>
      <w:r>
        <w:rPr>
          <w:rFonts w:ascii="Arial Narrow" w:hAnsi="Arial Narrow" w:cs="Arial Narrow" w:eastAsia="Arial Narrow" w:hint="default"/>
          <w:spacing w:val="-10"/>
        </w:rPr>
        <w:t> </w:t>
      </w:r>
      <w:r>
        <w:rPr/>
        <w:t>日，可能引起本公司财务损失的最大信用风险敞口主要来自于合同另一方未能履行义务而导致本公司金 融资产产生的损失。</w:t>
      </w:r>
    </w:p>
    <w:p>
      <w:pPr>
        <w:pStyle w:val="BodyText"/>
        <w:spacing w:line="408" w:lineRule="auto" w:before="92"/>
        <w:ind w:right="1132" w:firstLine="360"/>
        <w:jc w:val="both"/>
      </w:pPr>
      <w:r>
        <w:rPr>
          <w:spacing w:val="-2"/>
        </w:rPr>
        <w:t>为降低信用风险，本公司采取投标及合同评审制度及风控委员会评估风险制度、进行风险评估及合同审批，并执行其他</w:t>
      </w:r>
      <w:r>
        <w:rPr/>
        <w:t> </w:t>
      </w:r>
      <w:r>
        <w:rPr>
          <w:spacing w:val="-2"/>
        </w:rPr>
        <w:t>监控程序以确保采取必要的措施回收过期债权。此外，本公司于每个资产负债表日审核每一单项应收款的回收情况，以确保</w:t>
      </w:r>
      <w:r>
        <w:rPr>
          <w:spacing w:val="-66"/>
        </w:rPr>
        <w:t> </w:t>
      </w:r>
      <w:r>
        <w:rPr>
          <w:spacing w:val="-66"/>
        </w:rPr>
      </w:r>
      <w:r>
        <w:rPr/>
        <w:t>就无法回收的款项计提充分的坏账准备。因此，本公司管理层认为本公司所承担的信用风险已经大为降低。</w:t>
      </w:r>
    </w:p>
    <w:p>
      <w:pPr>
        <w:pStyle w:val="BodyText"/>
        <w:spacing w:line="240" w:lineRule="auto" w:before="79"/>
        <w:ind w:left="514" w:right="0"/>
        <w:jc w:val="left"/>
      </w:pPr>
      <w:r>
        <w:rPr/>
        <w:t>本公司的流动资金存放在信用评级较高的银行，故流动资金的信用风险较低。</w:t>
      </w:r>
    </w:p>
    <w:p>
      <w:pPr>
        <w:spacing w:line="240" w:lineRule="auto" w:before="7"/>
        <w:rPr>
          <w:rFonts w:ascii="宋体" w:hAnsi="宋体" w:cs="宋体" w:eastAsia="宋体" w:hint="default"/>
          <w:sz w:val="15"/>
          <w:szCs w:val="15"/>
        </w:rPr>
      </w:pPr>
    </w:p>
    <w:p>
      <w:pPr>
        <w:pStyle w:val="BodyText"/>
        <w:spacing w:line="424" w:lineRule="auto"/>
        <w:ind w:left="514" w:right="1118" w:firstLine="1"/>
        <w:jc w:val="left"/>
      </w:pPr>
      <w:r>
        <w:rPr>
          <w:rFonts w:ascii="Arial Narrow" w:hAnsi="Arial Narrow" w:cs="Arial Narrow" w:eastAsia="Arial Narrow" w:hint="default"/>
          <w:b/>
          <w:bCs/>
        </w:rPr>
        <w:t>3</w:t>
      </w:r>
      <w:r>
        <w:rPr>
          <w:rFonts w:ascii="宋体" w:hAnsi="宋体" w:cs="宋体" w:eastAsia="宋体" w:hint="default"/>
          <w:b/>
          <w:bCs/>
        </w:rPr>
        <w:t>、流动风险</w:t>
      </w:r>
      <w:r>
        <w:rPr>
          <w:rFonts w:ascii="宋体" w:hAnsi="宋体" w:cs="宋体" w:eastAsia="宋体" w:hint="default"/>
          <w:b/>
          <w:bCs/>
          <w:w w:val="99"/>
        </w:rPr>
        <w:t> </w:t>
      </w:r>
      <w:r>
        <w:rPr>
          <w:spacing w:val="-2"/>
        </w:rPr>
        <w:t>管理流动风险时，本公司保持管理层认为充分的现金及现金等价物并对其进行监控，以满足本公司经营需要，并降低现</w:t>
      </w:r>
    </w:p>
    <w:p>
      <w:pPr>
        <w:pStyle w:val="BodyText"/>
        <w:spacing w:line="448" w:lineRule="auto" w:before="25"/>
        <w:ind w:left="514" w:right="4992" w:hanging="360"/>
        <w:jc w:val="left"/>
      </w:pPr>
      <w:r>
        <w:rPr/>
        <w:t>金流量波动的影响。 本公司管理层对银行借款的使用情况进行监控并确保遵守借款协议。</w:t>
      </w:r>
    </w:p>
    <w:p>
      <w:pPr>
        <w:spacing w:after="0" w:line="448" w:lineRule="auto"/>
        <w:jc w:val="left"/>
        <w:sectPr>
          <w:footerReference w:type="default" r:id="rId22"/>
          <w:pgSz w:w="11910" w:h="16840"/>
          <w:pgMar w:footer="1019" w:header="787" w:top="1100" w:bottom="1200" w:left="980" w:right="0"/>
          <w:pgNumType w:start="201"/>
        </w:sectPr>
      </w:pPr>
    </w:p>
    <w:p>
      <w:pPr>
        <w:spacing w:line="240" w:lineRule="auto" w:before="8"/>
        <w:rPr>
          <w:rFonts w:ascii="宋体" w:hAnsi="宋体" w:cs="宋体" w:eastAsia="宋体" w:hint="default"/>
          <w:sz w:val="20"/>
          <w:szCs w:val="20"/>
        </w:rPr>
      </w:pPr>
    </w:p>
    <w:p>
      <w:pPr>
        <w:pStyle w:val="Heading2"/>
        <w:spacing w:line="240" w:lineRule="auto" w:before="26"/>
        <w:ind w:right="0"/>
        <w:jc w:val="left"/>
        <w:rPr>
          <w:b w:val="0"/>
          <w:bCs w:val="0"/>
        </w:rPr>
      </w:pPr>
      <w:bookmarkStart w:name="十一、关联方及关联交易" w:id="383"/>
      <w:bookmarkEnd w:id="383"/>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本企业的母公司情况" w:id="384"/>
      <w:bookmarkEnd w:id="384"/>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258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9" w:lineRule="auto"/>
              <w:ind w:left="22" w:right="120"/>
              <w:jc w:val="left"/>
              <w:rPr>
                <w:rFonts w:ascii="宋体" w:hAnsi="宋体" w:cs="宋体" w:eastAsia="宋体" w:hint="default"/>
                <w:sz w:val="18"/>
                <w:szCs w:val="18"/>
              </w:rPr>
            </w:pPr>
            <w:r>
              <w:rPr>
                <w:rFonts w:ascii="宋体" w:hAnsi="宋体" w:cs="宋体" w:eastAsia="宋体" w:hint="default"/>
                <w:sz w:val="18"/>
                <w:szCs w:val="18"/>
              </w:rPr>
              <w:t>拉萨市达实投资发 展有限公司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拉萨市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投资兴办实业（具体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项目另报）；国内商</w:t>
            </w:r>
            <w:r>
              <w:rPr>
                <w:rFonts w:ascii="宋体" w:hAnsi="宋体" w:cs="宋体" w:eastAsia="宋体" w:hint="default"/>
                <w:sz w:val="18"/>
                <w:szCs w:val="18"/>
              </w:rPr>
              <w:t> </w:t>
            </w:r>
            <w:r>
              <w:rPr>
                <w:rFonts w:ascii="宋体" w:hAnsi="宋体" w:cs="宋体" w:eastAsia="宋体" w:hint="default"/>
                <w:spacing w:val="-10"/>
                <w:sz w:val="18"/>
                <w:szCs w:val="18"/>
              </w:rPr>
              <w:t>业、物资供销业；软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件技术开发、经济信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息咨询；通讯产品销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售及研发；自营和代</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理各类商品及技术 的净出口业务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19.02%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19.02%</w:t>
            </w:r>
          </w:p>
        </w:tc>
      </w:tr>
    </w:tbl>
    <w:p>
      <w:pPr>
        <w:pStyle w:val="BodyText"/>
        <w:spacing w:line="453" w:lineRule="auto" w:before="51"/>
        <w:ind w:left="514" w:right="2472" w:hanging="360"/>
        <w:jc w:val="left"/>
      </w:pPr>
      <w:r>
        <w:rPr/>
        <w:t>本企业的母公司情况的说明 本公司实际控制人为刘磅，系拉萨市达实投资发展有限公司的第一大股东，本公司董事长、总经理。 本企业最终控制方是刘磅。</w:t>
      </w:r>
    </w:p>
    <w:p>
      <w:pPr>
        <w:spacing w:line="240" w:lineRule="auto" w:before="9"/>
        <w:rPr>
          <w:rFonts w:ascii="宋体" w:hAnsi="宋体" w:cs="宋体" w:eastAsia="宋体" w:hint="default"/>
          <w:sz w:val="13"/>
          <w:szCs w:val="13"/>
        </w:rPr>
      </w:pPr>
    </w:p>
    <w:p>
      <w:pPr>
        <w:pStyle w:val="Heading4"/>
        <w:spacing w:line="240" w:lineRule="auto"/>
        <w:ind w:right="0"/>
        <w:jc w:val="left"/>
        <w:rPr>
          <w:b w:val="0"/>
          <w:bCs w:val="0"/>
        </w:rPr>
      </w:pPr>
      <w:bookmarkStart w:name="2、本企业的子公司情况" w:id="385"/>
      <w:bookmarkEnd w:id="385"/>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60"/>
        <w:ind w:left="514" w:right="0"/>
        <w:jc w:val="left"/>
      </w:pPr>
      <w:r>
        <w:rPr/>
        <w:t>本企业子公司的情况详见附注九、</w:t>
      </w:r>
      <w:r>
        <w:rPr>
          <w:rFonts w:ascii="Arial Narrow" w:hAnsi="Arial Narrow" w:cs="Arial Narrow" w:eastAsia="Arial Narrow" w:hint="default"/>
        </w:rPr>
        <w:t>1</w:t>
      </w:r>
      <w:r>
        <w:rPr/>
        <w:t>、在子公司中的权益。</w:t>
      </w:r>
    </w:p>
    <w:p>
      <w:pPr>
        <w:spacing w:line="240" w:lineRule="auto" w:before="0"/>
        <w:rPr>
          <w:rFonts w:ascii="宋体" w:hAnsi="宋体" w:cs="宋体" w:eastAsia="宋体" w:hint="default"/>
          <w:sz w:val="25"/>
          <w:szCs w:val="25"/>
        </w:rPr>
      </w:pPr>
    </w:p>
    <w:p>
      <w:pPr>
        <w:pStyle w:val="Heading4"/>
        <w:spacing w:line="240" w:lineRule="auto"/>
        <w:ind w:right="0"/>
        <w:jc w:val="left"/>
        <w:rPr>
          <w:b w:val="0"/>
          <w:bCs w:val="0"/>
        </w:rPr>
      </w:pPr>
      <w:bookmarkStart w:name="3、本企业合营和联营企业情况" w:id="386"/>
      <w:bookmarkEnd w:id="386"/>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59"/>
        <w:ind w:left="514" w:right="0"/>
        <w:jc w:val="left"/>
      </w:pPr>
      <w:r>
        <w:rPr/>
        <w:t>本企业重要的合营或联营企业详见附注九、</w:t>
      </w:r>
      <w:r>
        <w:rPr>
          <w:rFonts w:ascii="Arial Narrow" w:hAnsi="Arial Narrow" w:cs="Arial Narrow" w:eastAsia="Arial Narrow" w:hint="default"/>
        </w:rPr>
        <w:t>3</w:t>
      </w:r>
      <w:r>
        <w:rPr/>
        <w:t>、在合营企业或联营企业中的权益。</w:t>
      </w:r>
    </w:p>
    <w:p>
      <w:pPr>
        <w:spacing w:line="240" w:lineRule="auto" w:before="12"/>
        <w:rPr>
          <w:rFonts w:ascii="宋体" w:hAnsi="宋体" w:cs="宋体" w:eastAsia="宋体" w:hint="default"/>
          <w:sz w:val="24"/>
          <w:szCs w:val="24"/>
        </w:rPr>
      </w:pPr>
    </w:p>
    <w:p>
      <w:pPr>
        <w:pStyle w:val="Heading4"/>
        <w:spacing w:line="240" w:lineRule="auto"/>
        <w:ind w:right="0"/>
        <w:jc w:val="left"/>
        <w:rPr>
          <w:b w:val="0"/>
          <w:bCs w:val="0"/>
        </w:rPr>
      </w:pPr>
      <w:bookmarkStart w:name="4、其他关联方情况" w:id="387"/>
      <w:bookmarkEnd w:id="387"/>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深圳达实物业服务有限公司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受同一实际控制人控制的公司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界首市达实置业有限公司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实际控制人直系亲属担任监事的公司</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5、关联交易情况" w:id="388"/>
      <w:bookmarkEnd w:id="388"/>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购销商品、提供和接受劳务的关联交易" w:id="389"/>
      <w:bookmarkEnd w:id="389"/>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深圳达实物业服务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水电及管理费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0" w:right="0"/>
              <w:jc w:val="left"/>
              <w:rPr>
                <w:rFonts w:ascii="Times New Roman" w:hAnsi="Times New Roman" w:cs="Times New Roman" w:eastAsia="Times New Roman" w:hint="default"/>
                <w:sz w:val="18"/>
                <w:szCs w:val="18"/>
              </w:rPr>
            </w:pPr>
            <w:r>
              <w:rPr>
                <w:rFonts w:ascii="Times New Roman"/>
                <w:sz w:val="18"/>
              </w:rPr>
              <w:t>715,415.54</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11"/>
        <w:rPr>
          <w:rFonts w:ascii="宋体" w:hAnsi="宋体" w:cs="宋体" w:eastAsia="宋体" w:hint="default"/>
          <w:sz w:val="22"/>
          <w:szCs w:val="22"/>
        </w:rPr>
      </w:pPr>
    </w:p>
    <w:p>
      <w:pPr>
        <w:pStyle w:val="BodyText"/>
        <w:spacing w:line="240" w:lineRule="auto" w:before="44"/>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融智节能环保（深圳）有限公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工程收入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892,051.28</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融智节能环保（深圳）有限公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咨询收入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182,075.47</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4"/>
        <w:spacing w:line="240" w:lineRule="auto" w:before="35"/>
        <w:ind w:right="0"/>
        <w:jc w:val="left"/>
        <w:rPr>
          <w:b w:val="0"/>
          <w:bCs w:val="0"/>
        </w:rPr>
      </w:pPr>
      <w:bookmarkStart w:name="（2）关联担保情况" w:id="390"/>
      <w:bookmarkEnd w:id="390"/>
      <w:r>
        <w:rPr>
          <w:b w:val="0"/>
          <w:bCs w:val="0"/>
        </w:rPr>
      </w:r>
      <w:r>
        <w:rPr/>
        <w:t>（</w:t>
      </w:r>
      <w:r>
        <w:rPr>
          <w:rFonts w:ascii="Times New Roman" w:hAnsi="Times New Roman" w:cs="Times New Roman" w:eastAsia="Times New Roman" w:hint="default"/>
        </w:rPr>
        <w:t>2</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融智节能环保（深圳）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45,000,000.00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关联方资金拆借" w:id="391"/>
      <w:bookmarkEnd w:id="391"/>
      <w:r>
        <w:rPr>
          <w:b w:val="0"/>
          <w:bCs w:val="0"/>
        </w:rPr>
      </w:r>
      <w:r>
        <w:rPr/>
        <w:t>（</w:t>
      </w:r>
      <w:r>
        <w:rPr>
          <w:rFonts w:ascii="Times New Roman" w:hAnsi="Times New Roman" w:cs="Times New Roman" w:eastAsia="Times New Roman" w:hint="default"/>
        </w:rPr>
        <w:t>3</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关键管理人员报酬" w:id="392"/>
      <w:bookmarkEnd w:id="392"/>
      <w:r>
        <w:rPr>
          <w:b w:val="0"/>
          <w:bCs w:val="0"/>
        </w:rPr>
      </w:r>
      <w:r>
        <w:rPr/>
        <w:t>（</w:t>
      </w:r>
      <w:r>
        <w:rPr>
          <w:rFonts w:ascii="Times New Roman" w:hAnsi="Times New Roman" w:cs="Times New Roman" w:eastAsia="Times New Roman" w:hint="default"/>
        </w:rPr>
        <w:t>4</w:t>
      </w:r>
      <w:r>
        <w:rPr/>
        <w:t>）关键管理人员报酬</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关联方应收应付款项" w:id="393"/>
      <w:bookmarkEnd w:id="393"/>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收项目" w:id="394"/>
      <w:bookmarkEnd w:id="394"/>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融智节能环保（深 圳）有限公司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57,690.00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1,730.70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深圳达实物业服务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融智节能环保（深 圳）有限公司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39,193.75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1,175.81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6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年内到期的非流 动资产</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界首市达实置业有 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1,704,608.42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8"/>
        <w:rPr>
          <w:rFonts w:ascii="宋体" w:hAnsi="宋体" w:cs="宋体" w:eastAsia="宋体" w:hint="default"/>
          <w:sz w:val="21"/>
          <w:szCs w:val="21"/>
        </w:rPr>
      </w:pPr>
    </w:p>
    <w:p>
      <w:pPr>
        <w:pStyle w:val="Heading4"/>
        <w:spacing w:line="240" w:lineRule="auto" w:before="35"/>
        <w:ind w:right="0"/>
        <w:jc w:val="left"/>
        <w:rPr>
          <w:b w:val="0"/>
          <w:bCs w:val="0"/>
        </w:rPr>
      </w:pPr>
      <w:bookmarkStart w:name="（2）应付项目" w:id="395"/>
      <w:bookmarkEnd w:id="395"/>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深圳达实物业服务有限公司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9,739.68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融智节能环保（深圳）有限公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8,167,557.64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二、股份支付" w:id="396"/>
      <w:bookmarkEnd w:id="396"/>
      <w:r>
        <w:rPr>
          <w:b w:val="0"/>
          <w:bCs w:val="0"/>
        </w:rPr>
      </w:r>
      <w:r>
        <w:rPr/>
        <w:t>十二、股份支付</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股份支付总体情况" w:id="397"/>
      <w:bookmarkEnd w:id="397"/>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13,489,350.00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21,438,272.00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14"/>
          <w:szCs w:val="14"/>
        </w:rPr>
      </w:pPr>
    </w:p>
    <w:p>
      <w:pPr>
        <w:spacing w:line="451" w:lineRule="auto" w:before="0"/>
        <w:ind w:left="574" w:right="1152" w:hanging="4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2015</w:t>
      </w:r>
      <w:r>
        <w:rPr>
          <w:rFonts w:ascii="宋体" w:hAnsi="宋体" w:cs="宋体" w:eastAsia="宋体" w:hint="default"/>
          <w:b/>
          <w:bCs/>
          <w:sz w:val="18"/>
          <w:szCs w:val="18"/>
        </w:rPr>
        <w:t>年授予限制性股票情况</w:t>
      </w:r>
      <w:r>
        <w:rPr>
          <w:rFonts w:ascii="宋体" w:hAnsi="宋体" w:cs="宋体" w:eastAsia="宋体" w:hint="default"/>
          <w:b/>
          <w:bCs/>
          <w:w w:val="99"/>
          <w:sz w:val="18"/>
          <w:szCs w:val="18"/>
        </w:rPr>
        <w:t> </w:t>
      </w:r>
      <w:r>
        <w:rPr>
          <w:rFonts w:ascii="宋体" w:hAnsi="宋体" w:cs="宋体" w:eastAsia="宋体" w:hint="default"/>
          <w:sz w:val="18"/>
          <w:szCs w:val="18"/>
        </w:rPr>
        <w:t>经公司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年第一次临时股东大会及第五届董事会第十三次会议审议批准，公司实施了第二期限制性股票激励计划，</w:t>
      </w:r>
    </w:p>
    <w:p>
      <w:pPr>
        <w:pStyle w:val="BodyText"/>
        <w:spacing w:line="240" w:lineRule="auto" w:before="43"/>
        <w:ind w:right="0"/>
        <w:jc w:val="left"/>
      </w:pPr>
      <w:r>
        <w:rPr/>
        <w:t>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5</w:t>
      </w:r>
      <w:r>
        <w:rPr/>
        <w:t>日完成了限制性股票的首次授予登记，具体情况如下：</w:t>
      </w:r>
    </w:p>
    <w:p>
      <w:pPr>
        <w:spacing w:line="240" w:lineRule="auto" w:before="9"/>
        <w:rPr>
          <w:rFonts w:ascii="宋体" w:hAnsi="宋体" w:cs="宋体" w:eastAsia="宋体" w:hint="default"/>
          <w:sz w:val="16"/>
          <w:szCs w:val="16"/>
        </w:rPr>
      </w:pPr>
    </w:p>
    <w:p>
      <w:pPr>
        <w:pStyle w:val="BodyText"/>
        <w:spacing w:line="240" w:lineRule="auto"/>
        <w:ind w:right="0"/>
        <w:jc w:val="left"/>
      </w:pPr>
      <w:r>
        <w:rPr/>
        <w:t>（</w:t>
      </w:r>
      <w:r>
        <w:rPr>
          <w:rFonts w:ascii="Times New Roman" w:hAnsi="Times New Roman" w:cs="Times New Roman" w:eastAsia="Times New Roman" w:hint="default"/>
        </w:rPr>
        <w:t>1</w:t>
      </w:r>
      <w:r>
        <w:rPr/>
        <w:t>）授予日：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5</w:t>
      </w:r>
      <w:r>
        <w:rPr/>
        <w:t>日。</w:t>
      </w:r>
    </w:p>
    <w:p>
      <w:pPr>
        <w:spacing w:line="240" w:lineRule="auto" w:before="9"/>
        <w:rPr>
          <w:rFonts w:ascii="宋体" w:hAnsi="宋体" w:cs="宋体" w:eastAsia="宋体" w:hint="default"/>
          <w:sz w:val="16"/>
          <w:szCs w:val="16"/>
        </w:rPr>
      </w:pPr>
    </w:p>
    <w:p>
      <w:pPr>
        <w:pStyle w:val="BodyText"/>
        <w:spacing w:line="451" w:lineRule="auto"/>
        <w:ind w:right="1125"/>
        <w:jc w:val="left"/>
      </w:pPr>
      <w:r>
        <w:rPr>
          <w:spacing w:val="-1"/>
        </w:rPr>
        <w:t>（</w:t>
      </w:r>
      <w:r>
        <w:rPr>
          <w:rFonts w:ascii="Times New Roman" w:hAnsi="Times New Roman" w:cs="Times New Roman" w:eastAsia="Times New Roman" w:hint="default"/>
          <w:spacing w:val="-1"/>
        </w:rPr>
        <w:t>2</w:t>
      </w:r>
      <w:r>
        <w:rPr>
          <w:spacing w:val="-1"/>
        </w:rPr>
        <w:t>）授予人数及数量：首次授予的激励对象为</w:t>
      </w:r>
      <w:r>
        <w:rPr>
          <w:rFonts w:ascii="Times New Roman" w:hAnsi="Times New Roman" w:cs="Times New Roman" w:eastAsia="Times New Roman" w:hint="default"/>
          <w:spacing w:val="-1"/>
        </w:rPr>
        <w:t>193</w:t>
      </w:r>
      <w:r>
        <w:rPr>
          <w:spacing w:val="-1"/>
        </w:rPr>
        <w:t>人，首次授予</w:t>
      </w:r>
      <w:r>
        <w:rPr>
          <w:rFonts w:ascii="Times New Roman" w:hAnsi="Times New Roman" w:cs="Times New Roman" w:eastAsia="Times New Roman" w:hint="default"/>
          <w:spacing w:val="-1"/>
        </w:rPr>
        <w:t>580</w:t>
      </w:r>
      <w:r>
        <w:rPr>
          <w:spacing w:val="-1"/>
        </w:rPr>
        <w:t>万股，占授予时当前总股本</w:t>
      </w:r>
      <w:r>
        <w:rPr>
          <w:rFonts w:ascii="Times New Roman" w:hAnsi="Times New Roman" w:cs="Times New Roman" w:eastAsia="Times New Roman" w:hint="default"/>
          <w:spacing w:val="-1"/>
        </w:rPr>
        <w:t>25,580</w:t>
      </w:r>
      <w:r>
        <w:rPr>
          <w:spacing w:val="-1"/>
        </w:rPr>
        <w:t>万股的</w:t>
      </w:r>
      <w:r>
        <w:rPr>
          <w:rFonts w:ascii="Times New Roman" w:hAnsi="Times New Roman" w:cs="Times New Roman" w:eastAsia="Times New Roman" w:hint="default"/>
          <w:spacing w:val="-1"/>
        </w:rPr>
        <w:t>2.27%</w:t>
      </w:r>
      <w:r>
        <w:rPr>
          <w:spacing w:val="-1"/>
        </w:rPr>
        <w:t>。预留股</w:t>
      </w:r>
      <w:r>
        <w:rPr>
          <w:spacing w:val="-82"/>
        </w:rPr>
        <w:t> </w:t>
      </w:r>
      <w:r>
        <w:rPr>
          <w:spacing w:val="-82"/>
        </w:rPr>
      </w:r>
      <w:r>
        <w:rPr/>
        <w:t>份</w:t>
      </w:r>
      <w:r>
        <w:rPr>
          <w:rFonts w:ascii="Times New Roman" w:hAnsi="Times New Roman" w:cs="Times New Roman" w:eastAsia="Times New Roman" w:hint="default"/>
        </w:rPr>
        <w:t>64</w:t>
      </w:r>
      <w:r>
        <w:rPr/>
        <w:t>万股。</w:t>
      </w:r>
    </w:p>
    <w:p>
      <w:pPr>
        <w:pStyle w:val="BodyText"/>
        <w:spacing w:line="240" w:lineRule="auto" w:before="43"/>
        <w:ind w:right="0"/>
        <w:jc w:val="left"/>
      </w:pPr>
      <w:r>
        <w:rPr/>
        <w:t>（</w:t>
      </w:r>
      <w:r>
        <w:rPr>
          <w:rFonts w:ascii="Times New Roman" w:hAnsi="Times New Roman" w:cs="Times New Roman" w:eastAsia="Times New Roman" w:hint="default"/>
        </w:rPr>
        <w:t>3</w:t>
      </w:r>
      <w:r>
        <w:rPr/>
        <w:t>）授予价格：</w:t>
      </w:r>
      <w:r>
        <w:rPr>
          <w:rFonts w:ascii="Times New Roman" w:hAnsi="Times New Roman" w:cs="Times New Roman" w:eastAsia="Times New Roman" w:hint="default"/>
        </w:rPr>
        <w:t>15.76</w:t>
      </w:r>
      <w:r>
        <w:rPr/>
        <w:t>元</w:t>
      </w:r>
      <w:r>
        <w:rPr>
          <w:rFonts w:ascii="Times New Roman" w:hAnsi="Times New Roman" w:cs="Times New Roman" w:eastAsia="Times New Roman" w:hint="default"/>
        </w:rPr>
        <w:t>/</w:t>
      </w:r>
      <w:r>
        <w:rPr/>
        <w:t>股。</w:t>
      </w:r>
    </w:p>
    <w:p>
      <w:pPr>
        <w:spacing w:line="240" w:lineRule="auto" w:before="9"/>
        <w:rPr>
          <w:rFonts w:ascii="宋体" w:hAnsi="宋体" w:cs="宋体" w:eastAsia="宋体" w:hint="default"/>
          <w:sz w:val="16"/>
          <w:szCs w:val="16"/>
        </w:rPr>
      </w:pPr>
    </w:p>
    <w:p>
      <w:pPr>
        <w:pStyle w:val="BodyText"/>
        <w:spacing w:line="240" w:lineRule="auto"/>
        <w:ind w:right="0"/>
        <w:jc w:val="left"/>
      </w:pPr>
      <w:r>
        <w:rPr/>
        <w:t>（</w:t>
      </w:r>
      <w:r>
        <w:rPr>
          <w:rFonts w:ascii="Times New Roman" w:hAnsi="Times New Roman" w:cs="Times New Roman" w:eastAsia="Times New Roman" w:hint="default"/>
        </w:rPr>
        <w:t>4</w:t>
      </w:r>
      <w:r>
        <w:rPr/>
        <w:t>）股票来源：激励计划股票来源为达实智能向激励对象定向发行股票。</w:t>
      </w:r>
    </w:p>
    <w:p>
      <w:pPr>
        <w:spacing w:line="240" w:lineRule="auto" w:before="9"/>
        <w:rPr>
          <w:rFonts w:ascii="宋体" w:hAnsi="宋体" w:cs="宋体" w:eastAsia="宋体" w:hint="default"/>
          <w:sz w:val="16"/>
          <w:szCs w:val="16"/>
        </w:rPr>
      </w:pPr>
    </w:p>
    <w:p>
      <w:pPr>
        <w:pStyle w:val="BodyText"/>
        <w:spacing w:line="240" w:lineRule="auto"/>
        <w:ind w:right="0"/>
        <w:jc w:val="left"/>
      </w:pPr>
      <w:r>
        <w:rPr/>
        <w:t>（</w:t>
      </w:r>
      <w:r>
        <w:rPr>
          <w:rFonts w:ascii="Times New Roman" w:hAnsi="Times New Roman" w:cs="Times New Roman" w:eastAsia="Times New Roman" w:hint="default"/>
        </w:rPr>
        <w:t>5</w:t>
      </w:r>
      <w:r>
        <w:rPr/>
        <w:t>）锁定期：激励对象获授的限制性股票适用不同的锁定期，分别为</w:t>
      </w:r>
      <w:r>
        <w:rPr>
          <w:rFonts w:ascii="Times New Roman" w:hAnsi="Times New Roman" w:cs="Times New Roman" w:eastAsia="Times New Roman" w:hint="default"/>
        </w:rPr>
        <w:t>1</w:t>
      </w:r>
      <w:r>
        <w:rPr/>
        <w:t>年、</w:t>
      </w:r>
      <w:r>
        <w:rPr>
          <w:rFonts w:ascii="Times New Roman" w:hAnsi="Times New Roman" w:cs="Times New Roman" w:eastAsia="Times New Roman" w:hint="default"/>
        </w:rPr>
        <w:t>2</w:t>
      </w:r>
      <w:r>
        <w:rPr/>
        <w:t>年和</w:t>
      </w:r>
      <w:r>
        <w:rPr>
          <w:rFonts w:ascii="Times New Roman" w:hAnsi="Times New Roman" w:cs="Times New Roman" w:eastAsia="Times New Roman" w:hint="default"/>
        </w:rPr>
        <w:t>3</w:t>
      </w:r>
      <w:r>
        <w:rPr/>
        <w:t>年，均自授予之日起计。</w:t>
      </w:r>
    </w:p>
    <w:p>
      <w:pPr>
        <w:spacing w:line="240" w:lineRule="auto" w:before="8"/>
        <w:rPr>
          <w:rFonts w:ascii="宋体" w:hAnsi="宋体" w:cs="宋体" w:eastAsia="宋体" w:hint="default"/>
          <w:sz w:val="16"/>
          <w:szCs w:val="16"/>
        </w:rPr>
      </w:pPr>
    </w:p>
    <w:p>
      <w:pPr>
        <w:pStyle w:val="BodyText"/>
        <w:spacing w:line="451" w:lineRule="auto"/>
        <w:ind w:right="1122"/>
        <w:jc w:val="left"/>
      </w:pPr>
      <w:r>
        <w:rPr/>
        <w:t>（</w:t>
      </w:r>
      <w:r>
        <w:rPr>
          <w:rFonts w:ascii="Times New Roman" w:hAnsi="Times New Roman" w:cs="Times New Roman" w:eastAsia="Times New Roman" w:hint="default"/>
        </w:rPr>
        <w:t>6</w:t>
      </w:r>
      <w:r>
        <w:rPr/>
        <w:t>）解锁期：在解锁期内，若达到本激励计划规定的解锁条件，激励对象可分三次申请解锁，实际可解锁数量应与激励对 象上一年度绩效评价结果挂钩。</w:t>
      </w:r>
    </w:p>
    <w:p>
      <w:pPr>
        <w:spacing w:line="451" w:lineRule="auto" w:before="74"/>
        <w:ind w:left="574" w:right="1117" w:hanging="4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2016</w:t>
      </w:r>
      <w:r>
        <w:rPr>
          <w:rFonts w:ascii="宋体" w:hAnsi="宋体" w:cs="宋体" w:eastAsia="宋体" w:hint="default"/>
          <w:b/>
          <w:bCs/>
          <w:sz w:val="18"/>
          <w:szCs w:val="18"/>
        </w:rPr>
        <w:t>年授予限制性股票情况</w:t>
      </w:r>
      <w:r>
        <w:rPr>
          <w:rFonts w:ascii="宋体" w:hAnsi="宋体" w:cs="宋体" w:eastAsia="宋体" w:hint="default"/>
          <w:b/>
          <w:bCs/>
          <w:w w:val="99"/>
          <w:sz w:val="18"/>
          <w:szCs w:val="18"/>
        </w:rPr>
        <w:t> </w:t>
      </w:r>
      <w:r>
        <w:rPr>
          <w:rFonts w:ascii="宋体" w:hAnsi="宋体" w:cs="宋体" w:eastAsia="宋体" w:hint="default"/>
          <w:spacing w:val="-1"/>
          <w:sz w:val="18"/>
          <w:szCs w:val="18"/>
        </w:rPr>
        <w:t>经第五届董事会第三十二次会议批准，公司实施了第二期限制性股票激励计划预留股份的授予，并于</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25</w:t>
      </w:r>
      <w:r>
        <w:rPr>
          <w:rFonts w:ascii="宋体" w:hAnsi="宋体" w:cs="宋体" w:eastAsia="宋体" w:hint="default"/>
          <w:spacing w:val="-1"/>
          <w:sz w:val="18"/>
          <w:szCs w:val="18"/>
        </w:rPr>
        <w:t>日完</w:t>
      </w:r>
    </w:p>
    <w:p>
      <w:pPr>
        <w:pStyle w:val="BodyText"/>
        <w:spacing w:line="240" w:lineRule="auto" w:before="44"/>
        <w:ind w:right="0"/>
        <w:jc w:val="left"/>
      </w:pPr>
      <w:r>
        <w:rPr/>
        <w:t>成了限制性股票的授予登记，具体情况如下：</w:t>
      </w: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Times New Roman" w:hAnsi="Times New Roman" w:cs="Times New Roman" w:eastAsia="Times New Roman" w:hint="default"/>
        </w:rPr>
        <w:t>1</w:t>
      </w:r>
      <w:r>
        <w:rPr/>
        <w:t>）授予日：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w:t>
      </w:r>
    </w:p>
    <w:p>
      <w:pPr>
        <w:spacing w:line="240" w:lineRule="auto" w:before="9"/>
        <w:rPr>
          <w:rFonts w:ascii="宋体" w:hAnsi="宋体" w:cs="宋体" w:eastAsia="宋体" w:hint="default"/>
          <w:sz w:val="16"/>
          <w:szCs w:val="16"/>
        </w:rPr>
      </w:pPr>
    </w:p>
    <w:p>
      <w:pPr>
        <w:pStyle w:val="BodyText"/>
        <w:spacing w:line="240" w:lineRule="auto"/>
        <w:ind w:right="0"/>
        <w:jc w:val="left"/>
      </w:pPr>
      <w:r>
        <w:rPr/>
        <w:t>（</w:t>
      </w:r>
      <w:r>
        <w:rPr>
          <w:rFonts w:ascii="Times New Roman" w:hAnsi="Times New Roman" w:cs="Times New Roman" w:eastAsia="Times New Roman" w:hint="default"/>
        </w:rPr>
        <w:t>2</w:t>
      </w:r>
      <w:r>
        <w:rPr/>
        <w:t>）授予人数及数量：授予的激励对象为</w:t>
      </w:r>
      <w:r>
        <w:rPr>
          <w:rFonts w:ascii="Times New Roman" w:hAnsi="Times New Roman" w:cs="Times New Roman" w:eastAsia="Times New Roman" w:hint="default"/>
        </w:rPr>
        <w:t>18</w:t>
      </w:r>
      <w:r>
        <w:rPr/>
        <w:t>人，授予</w:t>
      </w:r>
      <w:r>
        <w:rPr>
          <w:rFonts w:ascii="Times New Roman" w:hAnsi="Times New Roman" w:cs="Times New Roman" w:eastAsia="Times New Roman" w:hint="default"/>
        </w:rPr>
        <w:t>74.6</w:t>
      </w:r>
      <w:r>
        <w:rPr/>
        <w:t>万股，占授予时当前总股本</w:t>
      </w:r>
      <w:r>
        <w:rPr>
          <w:rFonts w:ascii="Times New Roman" w:hAnsi="Times New Roman" w:cs="Times New Roman" w:eastAsia="Times New Roman" w:hint="default"/>
        </w:rPr>
        <w:t>64,248.2792</w:t>
      </w:r>
      <w:r>
        <w:rPr/>
        <w:t>万股的</w:t>
      </w:r>
      <w:r>
        <w:rPr>
          <w:rFonts w:ascii="Times New Roman" w:hAnsi="Times New Roman" w:cs="Times New Roman" w:eastAsia="Times New Roman" w:hint="default"/>
        </w:rPr>
        <w:t>0.12%</w:t>
      </w:r>
      <w:r>
        <w:rPr/>
        <w:t>。</w:t>
      </w:r>
    </w:p>
    <w:p>
      <w:pPr>
        <w:spacing w:after="0" w:line="240" w:lineRule="auto"/>
        <w:jc w:val="left"/>
        <w:sectPr>
          <w:pgSz w:w="11910" w:h="16840"/>
          <w:pgMar w:header="787" w:footer="1019" w:top="1100" w:bottom="1200" w:left="980" w:right="0"/>
        </w:sectPr>
      </w:pPr>
    </w:p>
    <w:p>
      <w:pPr>
        <w:spacing w:line="240" w:lineRule="auto" w:before="10"/>
        <w:rPr>
          <w:rFonts w:ascii="宋体" w:hAnsi="宋体" w:cs="宋体" w:eastAsia="宋体" w:hint="default"/>
          <w:sz w:val="28"/>
          <w:szCs w:val="28"/>
        </w:rPr>
      </w:pPr>
    </w:p>
    <w:p>
      <w:pPr>
        <w:pStyle w:val="BodyText"/>
        <w:spacing w:line="240" w:lineRule="auto" w:before="44"/>
        <w:ind w:right="0"/>
        <w:jc w:val="left"/>
      </w:pPr>
      <w:r>
        <w:rPr/>
        <w:t>（</w:t>
      </w:r>
      <w:r>
        <w:rPr>
          <w:rFonts w:ascii="Times New Roman" w:hAnsi="Times New Roman" w:cs="Times New Roman" w:eastAsia="Times New Roman" w:hint="default"/>
        </w:rPr>
        <w:t>3</w:t>
      </w:r>
      <w:r>
        <w:rPr/>
        <w:t>）授予价格：</w:t>
      </w:r>
      <w:r>
        <w:rPr>
          <w:rFonts w:ascii="Times New Roman" w:hAnsi="Times New Roman" w:cs="Times New Roman" w:eastAsia="Times New Roman" w:hint="default"/>
        </w:rPr>
        <w:t>10.84</w:t>
      </w:r>
      <w:r>
        <w:rPr/>
        <w:t>元</w:t>
      </w:r>
      <w:r>
        <w:rPr>
          <w:rFonts w:ascii="Times New Roman" w:hAnsi="Times New Roman" w:cs="Times New Roman" w:eastAsia="Times New Roman" w:hint="default"/>
        </w:rPr>
        <w:t>/</w:t>
      </w:r>
      <w:r>
        <w:rPr/>
        <w:t>股。</w:t>
      </w:r>
    </w:p>
    <w:p>
      <w:pPr>
        <w:spacing w:line="240" w:lineRule="auto" w:before="9"/>
        <w:rPr>
          <w:rFonts w:ascii="宋体" w:hAnsi="宋体" w:cs="宋体" w:eastAsia="宋体" w:hint="default"/>
          <w:sz w:val="16"/>
          <w:szCs w:val="16"/>
        </w:rPr>
      </w:pPr>
    </w:p>
    <w:p>
      <w:pPr>
        <w:pStyle w:val="BodyText"/>
        <w:spacing w:line="240" w:lineRule="auto"/>
        <w:ind w:right="0"/>
        <w:jc w:val="left"/>
      </w:pPr>
      <w:r>
        <w:rPr/>
        <w:t>（</w:t>
      </w:r>
      <w:r>
        <w:rPr>
          <w:rFonts w:ascii="Times New Roman" w:hAnsi="Times New Roman" w:cs="Times New Roman" w:eastAsia="Times New Roman" w:hint="default"/>
        </w:rPr>
        <w:t>4</w:t>
      </w:r>
      <w:r>
        <w:rPr/>
        <w:t>）股票来源：激励计划股票来源为达实智能向激励对象定向发行股票。</w:t>
      </w:r>
    </w:p>
    <w:p>
      <w:pPr>
        <w:spacing w:line="240" w:lineRule="auto" w:before="9"/>
        <w:rPr>
          <w:rFonts w:ascii="宋体" w:hAnsi="宋体" w:cs="宋体" w:eastAsia="宋体" w:hint="default"/>
          <w:sz w:val="16"/>
          <w:szCs w:val="16"/>
        </w:rPr>
      </w:pPr>
    </w:p>
    <w:p>
      <w:pPr>
        <w:pStyle w:val="BodyText"/>
        <w:spacing w:line="240" w:lineRule="auto"/>
        <w:ind w:right="0"/>
        <w:jc w:val="left"/>
      </w:pPr>
      <w:r>
        <w:rPr/>
        <w:t>（</w:t>
      </w:r>
      <w:r>
        <w:rPr>
          <w:rFonts w:ascii="Times New Roman" w:hAnsi="Times New Roman" w:cs="Times New Roman" w:eastAsia="Times New Roman" w:hint="default"/>
        </w:rPr>
        <w:t>5</w:t>
      </w:r>
      <w:r>
        <w:rPr/>
        <w:t>）锁定期：激励对象获授的限制性股票适用不同的锁定期，分别为</w:t>
      </w:r>
      <w:r>
        <w:rPr>
          <w:rFonts w:ascii="Times New Roman" w:hAnsi="Times New Roman" w:cs="Times New Roman" w:eastAsia="Times New Roman" w:hint="default"/>
        </w:rPr>
        <w:t>1</w:t>
      </w:r>
      <w:r>
        <w:rPr/>
        <w:t>年和</w:t>
      </w:r>
      <w:r>
        <w:rPr>
          <w:rFonts w:ascii="Times New Roman" w:hAnsi="Times New Roman" w:cs="Times New Roman" w:eastAsia="Times New Roman" w:hint="default"/>
        </w:rPr>
        <w:t>2</w:t>
      </w:r>
      <w:r>
        <w:rPr/>
        <w:t>年，均自授予之日起计。</w:t>
      </w:r>
    </w:p>
    <w:p>
      <w:pPr>
        <w:spacing w:line="240" w:lineRule="auto" w:before="10"/>
        <w:rPr>
          <w:rFonts w:ascii="宋体" w:hAnsi="宋体" w:cs="宋体" w:eastAsia="宋体" w:hint="default"/>
          <w:sz w:val="16"/>
          <w:szCs w:val="16"/>
        </w:rPr>
      </w:pPr>
    </w:p>
    <w:p>
      <w:pPr>
        <w:pStyle w:val="BodyText"/>
        <w:spacing w:line="451" w:lineRule="auto"/>
        <w:ind w:right="1122"/>
        <w:jc w:val="left"/>
      </w:pPr>
      <w:r>
        <w:rPr/>
        <w:t>（</w:t>
      </w:r>
      <w:r>
        <w:rPr>
          <w:rFonts w:ascii="Times New Roman" w:hAnsi="Times New Roman" w:cs="Times New Roman" w:eastAsia="Times New Roman" w:hint="default"/>
        </w:rPr>
        <w:t>6</w:t>
      </w:r>
      <w:r>
        <w:rPr/>
        <w:t>）解锁期：在解锁期内，若达到激励计划规定的解锁条件，激励对象可分两次申请解锁，实际可解锁数量与激励对象上 一年度绩效评价结果挂钩。</w:t>
      </w:r>
    </w:p>
    <w:p>
      <w:pPr>
        <w:pStyle w:val="Heading6"/>
        <w:spacing w:line="240" w:lineRule="auto" w:before="74"/>
        <w:ind w:right="0"/>
        <w:jc w:val="left"/>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年解锁的限制性股票情况</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right="1160" w:firstLine="42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21</w:t>
      </w:r>
      <w:r>
        <w:rPr/>
        <w:t>日，</w:t>
      </w:r>
      <w:r>
        <w:rPr>
          <w:spacing w:val="-19"/>
        </w:rPr>
        <w:t> </w:t>
      </w:r>
      <w:r>
        <w:rPr/>
        <w:t>公司第五届董事会第三十六次会议审议通过了见《关于第二期限制性股票激励计划第一个解锁期条</w:t>
      </w:r>
      <w:r>
        <w:rPr/>
        <w:t> 件满足的议案》的议案， 第一个解锁期可解锁的限制性股票数量为</w:t>
      </w:r>
      <w:r>
        <w:rPr>
          <w:rFonts w:ascii="Times New Roman" w:hAnsi="Times New Roman" w:cs="Times New Roman" w:eastAsia="Times New Roman" w:hint="default"/>
        </w:rPr>
        <w:t>3,121,800</w:t>
      </w:r>
      <w:r>
        <w:rPr>
          <w:rFonts w:ascii="Times New Roman" w:hAnsi="Times New Roman" w:cs="Times New Roman" w:eastAsia="Times New Roman" w:hint="default"/>
          <w:spacing w:val="3"/>
        </w:rPr>
        <w:t> </w:t>
      </w:r>
      <w:r>
        <w:rPr/>
        <w:t>股，占公司当时股本总额的</w:t>
      </w:r>
      <w:r>
        <w:rPr>
          <w:rFonts w:ascii="Times New Roman" w:hAnsi="Times New Roman" w:cs="Times New Roman" w:eastAsia="Times New Roman" w:hint="default"/>
        </w:rPr>
        <w:t>0.4853%</w:t>
      </w:r>
      <w:r>
        <w:rPr/>
        <w:t>，解锁日 即上市流通日为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5</w:t>
      </w:r>
      <w:r>
        <w:rPr/>
        <w:t>日。</w:t>
      </w:r>
    </w:p>
    <w:p>
      <w:pPr>
        <w:spacing w:line="451" w:lineRule="auto" w:before="43"/>
        <w:ind w:left="574" w:right="1117" w:hanging="4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2016</w:t>
      </w:r>
      <w:r>
        <w:rPr>
          <w:rFonts w:ascii="宋体" w:hAnsi="宋体" w:cs="宋体" w:eastAsia="宋体" w:hint="default"/>
          <w:b/>
          <w:bCs/>
          <w:sz w:val="18"/>
          <w:szCs w:val="18"/>
        </w:rPr>
        <w:t>年回购限制性股票情况</w:t>
      </w:r>
      <w:r>
        <w:rPr>
          <w:rFonts w:ascii="宋体" w:hAnsi="宋体" w:cs="宋体" w:eastAsia="宋体" w:hint="default"/>
          <w:b/>
          <w:bCs/>
          <w:w w:val="99"/>
          <w:sz w:val="18"/>
          <w:szCs w:val="18"/>
        </w:rPr>
        <w:t> </w:t>
      </w:r>
      <w:r>
        <w:rPr>
          <w:rFonts w:ascii="宋体" w:hAnsi="宋体" w:cs="宋体" w:eastAsia="宋体" w:hint="default"/>
          <w:spacing w:val="-1"/>
          <w:sz w:val="18"/>
          <w:szCs w:val="18"/>
        </w:rPr>
        <w:t>公司</w:t>
      </w:r>
      <w:r>
        <w:rPr>
          <w:rFonts w:ascii="Times New Roman" w:hAnsi="Times New Roman" w:cs="Times New Roman" w:eastAsia="Times New Roman" w:hint="default"/>
          <w:spacing w:val="-1"/>
          <w:sz w:val="18"/>
          <w:szCs w:val="18"/>
        </w:rPr>
        <w:t>2016</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21</w:t>
      </w:r>
      <w:r>
        <w:rPr>
          <w:rFonts w:ascii="宋体" w:hAnsi="宋体" w:cs="宋体" w:eastAsia="宋体" w:hint="default"/>
          <w:spacing w:val="-1"/>
          <w:sz w:val="18"/>
          <w:szCs w:val="18"/>
        </w:rPr>
        <w:t>日第五届董事会第三十六次会议审议通过的《关于回购注销部分限制性股票的议案》，公司回购注销</w:t>
      </w:r>
    </w:p>
    <w:p>
      <w:pPr>
        <w:pStyle w:val="BodyText"/>
        <w:spacing w:line="451" w:lineRule="auto" w:before="43"/>
        <w:ind w:right="1131"/>
        <w:jc w:val="both"/>
      </w:pPr>
      <w:r>
        <w:rPr>
          <w:spacing w:val="-1"/>
        </w:rPr>
        <w:t>限制性股票</w:t>
      </w:r>
      <w:r>
        <w:rPr>
          <w:rFonts w:ascii="Times New Roman" w:hAnsi="Times New Roman" w:cs="Times New Roman" w:eastAsia="Times New Roman" w:hint="default"/>
          <w:spacing w:val="-1"/>
        </w:rPr>
        <w:t>829,400</w:t>
      </w:r>
      <w:r>
        <w:rPr>
          <w:spacing w:val="-1"/>
        </w:rPr>
        <w:t>股；公司</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12</w:t>
      </w:r>
      <w:r>
        <w:rPr>
          <w:spacing w:val="-1"/>
        </w:rPr>
        <w:t>日第六届董事会第一次会议审议通过的《关于回购注销部分限制性股票的议案》和</w:t>
      </w:r>
      <w:r>
        <w:rPr>
          <w:spacing w:val="-70"/>
        </w:rPr>
        <w:t> </w:t>
      </w:r>
      <w:r>
        <w:rPr>
          <w:spacing w:val="-70"/>
        </w:rPr>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20</w:t>
      </w:r>
      <w:r>
        <w:rPr/>
        <w:t>日第六届董事会第二次会议审议通过的《</w:t>
      </w:r>
      <w:r>
        <w:rPr>
          <w:spacing w:val="-18"/>
        </w:rPr>
        <w:t> </w:t>
      </w:r>
      <w:r>
        <w:rPr/>
        <w:t>关于调整限制性股票回购价格及回购注销数量的议案》，公司回购</w:t>
      </w:r>
      <w:r>
        <w:rPr/>
        <w:t> 注销限制性股票</w:t>
      </w:r>
      <w:r>
        <w:rPr>
          <w:rFonts w:ascii="Times New Roman" w:hAnsi="Times New Roman" w:cs="Times New Roman" w:eastAsia="Times New Roman" w:hint="default"/>
        </w:rPr>
        <w:t>468,600</w:t>
      </w:r>
      <w:r>
        <w:rPr/>
        <w:t>股。</w:t>
      </w:r>
    </w:p>
    <w:p>
      <w:pPr>
        <w:pStyle w:val="Heading6"/>
        <w:spacing w:line="240" w:lineRule="auto" w:before="43"/>
        <w:ind w:right="0"/>
        <w:jc w:val="left"/>
        <w:rPr>
          <w:b w:val="0"/>
          <w:bCs w:val="0"/>
        </w:rPr>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2017</w:t>
      </w:r>
      <w:r>
        <w:rPr/>
        <w:t>年解锁的限制性股票情况</w:t>
      </w:r>
      <w:r>
        <w:rPr>
          <w:b w:val="0"/>
          <w:bCs w:val="0"/>
        </w:rPr>
      </w:r>
    </w:p>
    <w:p>
      <w:pPr>
        <w:spacing w:line="240" w:lineRule="auto" w:before="10"/>
        <w:rPr>
          <w:rFonts w:ascii="宋体" w:hAnsi="宋体" w:cs="宋体" w:eastAsia="宋体" w:hint="default"/>
          <w:b/>
          <w:bCs/>
          <w:sz w:val="16"/>
          <w:szCs w:val="16"/>
        </w:rPr>
      </w:pPr>
    </w:p>
    <w:p>
      <w:pPr>
        <w:pStyle w:val="BodyText"/>
        <w:spacing w:line="451" w:lineRule="auto"/>
        <w:ind w:right="1130" w:firstLine="42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13</w:t>
      </w:r>
      <w:r>
        <w:rPr>
          <w:spacing w:val="-1"/>
        </w:rPr>
        <w:t>日，公司第六届董事会第六次会议审议通过了《关于第二期限制性股票激励计划第二个解锁期条件及预留</w:t>
      </w:r>
      <w:r>
        <w:rPr/>
        <w:t> </w:t>
      </w:r>
      <w:r>
        <w:rPr>
          <w:spacing w:val="-1"/>
        </w:rPr>
        <w:t>股份第一个解锁期条件满足的议案》，本次解除限售的首次授予股份数量为</w:t>
      </w:r>
      <w:r>
        <w:rPr>
          <w:rFonts w:ascii="Times New Roman" w:hAnsi="Times New Roman" w:cs="Times New Roman" w:eastAsia="Times New Roman" w:hint="default"/>
          <w:spacing w:val="-1"/>
        </w:rPr>
        <w:t>8,509,050</w:t>
      </w:r>
      <w:r>
        <w:rPr>
          <w:spacing w:val="-1"/>
        </w:rPr>
        <w:t>股，占总股本</w:t>
      </w:r>
      <w:r>
        <w:rPr>
          <w:rFonts w:ascii="Times New Roman" w:hAnsi="Times New Roman" w:cs="Times New Roman" w:eastAsia="Times New Roman" w:hint="default"/>
          <w:spacing w:val="-1"/>
        </w:rPr>
        <w:t>0.4416%</w:t>
      </w:r>
      <w:r>
        <w:rPr>
          <w:spacing w:val="-1"/>
        </w:rPr>
        <w:t>，本次解除限售</w:t>
      </w:r>
      <w:r>
        <w:rPr>
          <w:spacing w:val="-42"/>
        </w:rPr>
        <w:t> </w:t>
      </w:r>
      <w:r>
        <w:rPr>
          <w:spacing w:val="-42"/>
        </w:rPr>
      </w:r>
      <w:r>
        <w:rPr/>
        <w:t>的预留股份数量为</w:t>
      </w:r>
      <w:r>
        <w:rPr>
          <w:rFonts w:ascii="Times New Roman" w:hAnsi="Times New Roman" w:cs="Times New Roman" w:eastAsia="Times New Roman" w:hint="default"/>
        </w:rPr>
        <w:t>945,375</w:t>
      </w:r>
      <w:r>
        <w:rPr/>
        <w:t>股，占总股本</w:t>
      </w:r>
      <w:r>
        <w:rPr>
          <w:rFonts w:ascii="Times New Roman" w:hAnsi="Times New Roman" w:cs="Times New Roman" w:eastAsia="Times New Roman" w:hint="default"/>
        </w:rPr>
        <w:t>0.0491%</w:t>
      </w:r>
      <w:r>
        <w:rPr/>
        <w:t>，合计解除限售的股份总数</w:t>
      </w:r>
      <w:r>
        <w:rPr>
          <w:rFonts w:ascii="Times New Roman" w:hAnsi="Times New Roman" w:cs="Times New Roman" w:eastAsia="Times New Roman" w:hint="default"/>
        </w:rPr>
        <w:t>9,454,425</w:t>
      </w:r>
      <w:r>
        <w:rPr/>
        <w:t>股，占总股本的</w:t>
      </w:r>
      <w:r>
        <w:rPr>
          <w:rFonts w:ascii="Times New Roman" w:hAnsi="Times New Roman" w:cs="Times New Roman" w:eastAsia="Times New Roman" w:hint="default"/>
        </w:rPr>
        <w:t>0.49%</w:t>
      </w:r>
      <w:r>
        <w:rPr/>
        <w:t>。解锁日即上市 流通日为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w:t>
      </w:r>
      <w:r>
        <w:rPr/>
        <w:t>日。</w:t>
      </w:r>
    </w:p>
    <w:p>
      <w:pPr>
        <w:spacing w:line="451" w:lineRule="auto" w:before="43"/>
        <w:ind w:left="574" w:right="1117" w:hanging="4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年回购限制性股票情况</w:t>
      </w:r>
      <w:r>
        <w:rPr>
          <w:rFonts w:ascii="宋体" w:hAnsi="宋体" w:cs="宋体" w:eastAsia="宋体" w:hint="default"/>
          <w:b/>
          <w:bCs/>
          <w:w w:val="99"/>
          <w:sz w:val="18"/>
          <w:szCs w:val="18"/>
        </w:rPr>
        <w:t> </w:t>
      </w:r>
      <w:r>
        <w:rPr>
          <w:rFonts w:ascii="宋体" w:hAnsi="宋体" w:cs="宋体" w:eastAsia="宋体" w:hint="default"/>
          <w:spacing w:val="-1"/>
          <w:sz w:val="18"/>
          <w:szCs w:val="18"/>
        </w:rPr>
        <w:t>公司</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13</w:t>
      </w:r>
      <w:r>
        <w:rPr>
          <w:rFonts w:ascii="宋体" w:hAnsi="宋体" w:cs="宋体" w:eastAsia="宋体" w:hint="default"/>
          <w:spacing w:val="-1"/>
          <w:sz w:val="18"/>
          <w:szCs w:val="18"/>
        </w:rPr>
        <w:t>日第六届董事会第六次会议审议通过的《关于回购注销部分限制性股票的议案》，公司回购注销限制</w:t>
      </w:r>
    </w:p>
    <w:p>
      <w:pPr>
        <w:pStyle w:val="BodyText"/>
        <w:spacing w:line="240" w:lineRule="auto" w:before="43"/>
        <w:ind w:right="0"/>
        <w:jc w:val="left"/>
      </w:pPr>
      <w:r>
        <w:rPr/>
        <w:t>性股票</w:t>
      </w:r>
      <w:r>
        <w:rPr>
          <w:rFonts w:ascii="Times New Roman" w:hAnsi="Times New Roman" w:cs="Times New Roman" w:eastAsia="Times New Roman" w:hint="default"/>
        </w:rPr>
        <w:t>3,132,075</w:t>
      </w:r>
      <w:r>
        <w:rPr/>
        <w:t>股，占注销前公司总股本的比例为</w:t>
      </w:r>
      <w:r>
        <w:rPr>
          <w:rFonts w:ascii="Times New Roman" w:hAnsi="Times New Roman" w:cs="Times New Roman" w:eastAsia="Times New Roman" w:hint="default"/>
        </w:rPr>
        <w:t>0.1626%</w:t>
      </w:r>
      <w:r>
        <w:rPr/>
        <w:t>。</w:t>
      </w:r>
    </w:p>
    <w:p>
      <w:pPr>
        <w:spacing w:line="240" w:lineRule="auto" w:before="9"/>
        <w:rPr>
          <w:rFonts w:ascii="宋体" w:hAnsi="宋体" w:cs="宋体" w:eastAsia="宋体" w:hint="default"/>
          <w:sz w:val="16"/>
          <w:szCs w:val="16"/>
        </w:rPr>
      </w:pPr>
    </w:p>
    <w:p>
      <w:pPr>
        <w:pStyle w:val="Heading6"/>
        <w:spacing w:line="240" w:lineRule="auto"/>
        <w:ind w:right="0"/>
        <w:jc w:val="left"/>
        <w:rPr>
          <w:b w:val="0"/>
          <w:bCs w:val="0"/>
        </w:rPr>
      </w:pPr>
      <w:r>
        <w:rPr>
          <w:rFonts w:ascii="Times New Roman" w:hAnsi="Times New Roman" w:cs="Times New Roman" w:eastAsia="Times New Roman" w:hint="default"/>
        </w:rPr>
        <w:t>7</w:t>
      </w:r>
      <w:r>
        <w:rPr/>
        <w:t>、</w:t>
      </w:r>
      <w:r>
        <w:rPr>
          <w:rFonts w:ascii="Times New Roman" w:hAnsi="Times New Roman" w:cs="Times New Roman" w:eastAsia="Times New Roman" w:hint="default"/>
        </w:rPr>
        <w:t>2018</w:t>
      </w:r>
      <w:r>
        <w:rPr/>
        <w:t>年解锁的限制性股票情况</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right="1117" w:firstLine="420"/>
        <w:jc w:val="left"/>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29</w:t>
      </w:r>
      <w:r>
        <w:rPr>
          <w:spacing w:val="-1"/>
        </w:rPr>
        <w:t>日，公司第六届董事会第十四次会议审议通过了《关于第二期限制性股票激励计划第三个解锁期条件及预</w:t>
      </w:r>
      <w:r>
        <w:rPr/>
        <w:t> 留股份第二个解锁期条件满足的议案》，本次解除限售的首次授予股份数量为</w:t>
      </w:r>
      <w:r>
        <w:rPr>
          <w:rFonts w:ascii="Times New Roman" w:hAnsi="Times New Roman" w:cs="Times New Roman" w:eastAsia="Times New Roman" w:hint="default"/>
        </w:rPr>
        <w:t>12,513,600</w:t>
      </w:r>
      <w:r>
        <w:rPr/>
        <w:t>股，占总股本</w:t>
      </w:r>
      <w:r>
        <w:rPr>
          <w:rFonts w:ascii="Times New Roman" w:hAnsi="Times New Roman" w:cs="Times New Roman" w:eastAsia="Times New Roman" w:hint="default"/>
        </w:rPr>
        <w:t>0.6505%</w:t>
      </w:r>
      <w:r>
        <w:rPr/>
        <w:t>，本次解除 </w:t>
      </w:r>
      <w:r>
        <w:rPr>
          <w:spacing w:val="-2"/>
        </w:rPr>
        <w:t>限售的预留股份数量为</w:t>
      </w:r>
      <w:r>
        <w:rPr>
          <w:rFonts w:ascii="Times New Roman" w:hAnsi="Times New Roman" w:cs="Times New Roman" w:eastAsia="Times New Roman" w:hint="default"/>
          <w:spacing w:val="-2"/>
        </w:rPr>
        <w:t>975,750</w:t>
      </w:r>
      <w:r>
        <w:rPr>
          <w:spacing w:val="-2"/>
        </w:rPr>
        <w:t>股，占总股本</w:t>
      </w:r>
      <w:r>
        <w:rPr>
          <w:rFonts w:ascii="Times New Roman" w:hAnsi="Times New Roman" w:cs="Times New Roman" w:eastAsia="Times New Roman" w:hint="default"/>
          <w:spacing w:val="-2"/>
        </w:rPr>
        <w:t>0.0507%</w:t>
      </w:r>
      <w:r>
        <w:rPr>
          <w:spacing w:val="-2"/>
        </w:rPr>
        <w:t>，合计解除限售的股份总数</w:t>
      </w:r>
      <w:r>
        <w:rPr>
          <w:rFonts w:ascii="Times New Roman" w:hAnsi="Times New Roman" w:cs="Times New Roman" w:eastAsia="Times New Roman" w:hint="default"/>
          <w:spacing w:val="-2"/>
        </w:rPr>
        <w:t>13,489,350</w:t>
      </w:r>
      <w:r>
        <w:rPr>
          <w:spacing w:val="-2"/>
        </w:rPr>
        <w:t>股，占总股本的</w:t>
      </w:r>
      <w:r>
        <w:rPr>
          <w:rFonts w:ascii="Times New Roman" w:hAnsi="Times New Roman" w:cs="Times New Roman" w:eastAsia="Times New Roman" w:hint="default"/>
          <w:spacing w:val="-2"/>
        </w:rPr>
        <w:t>0.7013%</w:t>
      </w:r>
      <w:r>
        <w:rPr>
          <w:spacing w:val="-2"/>
        </w:rPr>
        <w:t>。解锁日</w:t>
      </w:r>
      <w:r>
        <w:rPr>
          <w:spacing w:val="-26"/>
        </w:rPr>
        <w:t> </w:t>
      </w:r>
      <w:r>
        <w:rPr>
          <w:spacing w:val="-26"/>
        </w:rPr>
      </w:r>
      <w:r>
        <w:rPr/>
        <w:t>即上市流通日为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w:t>
      </w:r>
    </w:p>
    <w:p>
      <w:pPr>
        <w:pStyle w:val="Heading6"/>
        <w:spacing w:line="240" w:lineRule="auto" w:before="44"/>
        <w:ind w:right="0"/>
        <w:jc w:val="left"/>
        <w:rPr>
          <w:b w:val="0"/>
          <w:bCs w:val="0"/>
        </w:rPr>
      </w:pPr>
      <w:r>
        <w:rPr>
          <w:rFonts w:ascii="Times New Roman" w:hAnsi="Times New Roman" w:cs="Times New Roman" w:eastAsia="Times New Roman" w:hint="default"/>
        </w:rPr>
        <w:t>8</w:t>
      </w:r>
      <w:r>
        <w:rPr/>
        <w:t>、</w:t>
      </w:r>
      <w:r>
        <w:rPr>
          <w:rFonts w:ascii="Times New Roman" w:hAnsi="Times New Roman" w:cs="Times New Roman" w:eastAsia="Times New Roman" w:hint="default"/>
        </w:rPr>
        <w:t>2018</w:t>
      </w:r>
      <w:r>
        <w:rPr/>
        <w:t>年回购限制性股票情况</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right="1132" w:firstLine="42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29</w:t>
      </w:r>
      <w:r>
        <w:rPr>
          <w:spacing w:val="-1"/>
        </w:rPr>
        <w:t>日，公司第六届董事会第十四次会议审议通过了《关于回购注销部分限制性股票的议案》，公司回购注销</w:t>
      </w:r>
      <w:r>
        <w:rPr/>
        <w:t> 限制性股票</w:t>
      </w:r>
      <w:r>
        <w:rPr>
          <w:rFonts w:ascii="Times New Roman" w:hAnsi="Times New Roman" w:cs="Times New Roman" w:eastAsia="Times New Roman" w:hint="default"/>
        </w:rPr>
        <w:t>2,119,950</w:t>
      </w:r>
      <w:r>
        <w:rPr/>
        <w:t>股，占注销前公司总股本的比例为</w:t>
      </w:r>
      <w:r>
        <w:rPr>
          <w:rFonts w:ascii="Times New Roman" w:hAnsi="Times New Roman" w:cs="Times New Roman" w:eastAsia="Times New Roman" w:hint="default"/>
        </w:rPr>
        <w:t>0.1102%</w:t>
      </w:r>
      <w:r>
        <w:rPr/>
        <w:t>。</w:t>
      </w:r>
    </w:p>
    <w:p>
      <w:pPr>
        <w:spacing w:after="0" w:line="451" w:lineRule="auto"/>
        <w:jc w:val="both"/>
        <w:sectPr>
          <w:pgSz w:w="11910" w:h="16840"/>
          <w:pgMar w:header="787" w:footer="1019" w:top="1100" w:bottom="1200" w:left="980" w:right="0"/>
        </w:sectPr>
      </w:pPr>
    </w:p>
    <w:p>
      <w:pPr>
        <w:spacing w:line="240" w:lineRule="auto" w:before="8"/>
        <w:rPr>
          <w:rFonts w:ascii="宋体" w:hAnsi="宋体" w:cs="宋体" w:eastAsia="宋体" w:hint="default"/>
          <w:sz w:val="21"/>
          <w:szCs w:val="21"/>
        </w:rPr>
      </w:pPr>
    </w:p>
    <w:p>
      <w:pPr>
        <w:pStyle w:val="Heading4"/>
        <w:spacing w:line="240" w:lineRule="auto" w:before="35"/>
        <w:ind w:right="0"/>
        <w:jc w:val="left"/>
        <w:rPr>
          <w:b w:val="0"/>
          <w:bCs w:val="0"/>
        </w:rPr>
      </w:pPr>
      <w:bookmarkStart w:name="2、以权益结算的股份支付情况" w:id="398"/>
      <w:bookmarkEnd w:id="398"/>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舒尔斯期权定价模型</w:t>
            </w:r>
          </w:p>
        </w:tc>
      </w:tr>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公司需根据最新取得的可行权职工人数变动等后续信息做 出最佳估计，修正预计可行权的权益工具数量。</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28,682,286.05</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以现金结算的股份支付情况" w:id="399"/>
      <w:bookmarkEnd w:id="399"/>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line="544" w:lineRule="auto" w:before="0"/>
        <w:ind w:left="154" w:right="79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00"/>
      <w:bookmarkEnd w:id="400"/>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line="487" w:lineRule="auto" w:before="123"/>
        <w:ind w:left="154" w:right="8412" w:firstLine="0"/>
        <w:jc w:val="left"/>
        <w:rPr>
          <w:rFonts w:ascii="宋体" w:hAnsi="宋体" w:cs="宋体" w:eastAsia="宋体" w:hint="default"/>
          <w:sz w:val="21"/>
          <w:szCs w:val="21"/>
        </w:rPr>
      </w:pPr>
      <w:bookmarkStart w:name="5、其他" w:id="401"/>
      <w:bookmarkEnd w:id="40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承诺及或有事项" w:id="402"/>
      <w:bookmarkEnd w:id="402"/>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十三、承诺及或有事项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03"/>
      <w:bookmarkEnd w:id="403"/>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40" w:lineRule="auto" w:before="108"/>
        <w:ind w:right="0"/>
        <w:jc w:val="left"/>
      </w:pPr>
      <w:r>
        <w:rPr/>
        <w:t>资产负债表日存在的重要承诺</w:t>
      </w:r>
    </w:p>
    <w:p>
      <w:pPr>
        <w:pStyle w:val="Heading5"/>
        <w:spacing w:line="240" w:lineRule="auto" w:before="90"/>
        <w:ind w:left="574" w:right="0"/>
        <w:jc w:val="left"/>
      </w:pP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日，本公司无需要披露的重大承诺事项。</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或有事项" w:id="404"/>
      <w:bookmarkEnd w:id="404"/>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负债表日存在的重要或有事项" w:id="405"/>
      <w:bookmarkEnd w:id="405"/>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4"/>
          <w:szCs w:val="24"/>
        </w:rPr>
      </w:pPr>
    </w:p>
    <w:p>
      <w:pPr>
        <w:pStyle w:val="Heading5"/>
        <w:spacing w:line="240" w:lineRule="auto" w:before="0"/>
        <w:ind w:left="574" w:right="0"/>
        <w:jc w:val="left"/>
      </w:pPr>
      <w:r>
        <w:rPr/>
        <w:t>（</w:t>
      </w:r>
      <w:r>
        <w:rPr>
          <w:rFonts w:ascii="Times New Roman" w:hAnsi="Times New Roman" w:cs="Times New Roman" w:eastAsia="Times New Roman" w:hint="default"/>
        </w:rPr>
        <w:t>1</w:t>
      </w:r>
      <w:r>
        <w:rPr/>
        <w:t>）截至报告日公司涉及的主要未决诉讼及仲裁情况</w:t>
      </w:r>
    </w:p>
    <w:p>
      <w:pPr>
        <w:pStyle w:val="Heading5"/>
        <w:spacing w:line="264" w:lineRule="auto" w:before="21"/>
        <w:ind w:right="1131" w:firstLine="420"/>
        <w:jc w:val="both"/>
      </w:pPr>
      <w:r>
        <w:rPr>
          <w:spacing w:val="3"/>
        </w:rPr>
        <w:t>①镇江华龙广场置业有限公司起诉本公司要求办理热水及空调系统节能服务项目验收并退还已支付</w:t>
      </w:r>
      <w:r>
        <w:rPr/>
        <w:t> 的服务费；本公司反诉对方继续按合同支付节能项目拖欠的服务费</w:t>
      </w:r>
      <w:r>
        <w:rPr>
          <w:rFonts w:ascii="Times New Roman" w:hAnsi="Times New Roman" w:cs="Times New Roman" w:eastAsia="Times New Roman" w:hint="default"/>
        </w:rPr>
        <w:t>577.61</w:t>
      </w:r>
      <w:r>
        <w:rPr/>
        <w:t>万元，一审判决镇江华龙广场置</w:t>
      </w:r>
      <w:r>
        <w:rPr>
          <w:spacing w:val="-77"/>
        </w:rPr>
        <w:t> </w:t>
      </w:r>
      <w:r>
        <w:rPr>
          <w:spacing w:val="-77"/>
        </w:rPr>
      </w:r>
      <w:r>
        <w:rPr/>
        <w:t>业有限公司支付本公司节能服务费人民币</w:t>
      </w:r>
      <w:r>
        <w:rPr>
          <w:rFonts w:ascii="Times New Roman" w:hAnsi="Times New Roman" w:cs="Times New Roman" w:eastAsia="Times New Roman" w:hint="default"/>
        </w:rPr>
        <w:t>5,433,225.60</w:t>
      </w:r>
      <w:r>
        <w:rPr/>
        <w:t>元及支付逾期付款违约金人民币</w:t>
      </w:r>
      <w:r>
        <w:rPr>
          <w:rFonts w:ascii="Times New Roman" w:hAnsi="Times New Roman" w:cs="Times New Roman" w:eastAsia="Times New Roman" w:hint="default"/>
        </w:rPr>
        <w:t>570,079.66</w:t>
      </w:r>
      <w:r>
        <w:rPr/>
        <w:t>元，驳回</w:t>
      </w:r>
      <w:r>
        <w:rPr>
          <w:spacing w:val="-79"/>
        </w:rPr>
        <w:t> </w:t>
      </w:r>
      <w:r>
        <w:rPr>
          <w:spacing w:val="-79"/>
        </w:rPr>
      </w:r>
      <w:r>
        <w:rPr>
          <w:spacing w:val="-1"/>
        </w:rPr>
        <w:t>镇江华龙广场置业有限公司的诉讼请求，目前，镇江华龙广场置业有限公司正在上诉过程中，公司已全额</w:t>
      </w:r>
      <w:r>
        <w:rPr>
          <w:spacing w:val="-83"/>
        </w:rPr>
        <w:t> </w:t>
      </w:r>
      <w:r>
        <w:rPr>
          <w:spacing w:val="-83"/>
        </w:rPr>
      </w:r>
      <w:r>
        <w:rPr/>
        <w:t>计提应收账款减值。</w:t>
      </w:r>
    </w:p>
    <w:p>
      <w:pPr>
        <w:pStyle w:val="Heading5"/>
        <w:spacing w:line="261" w:lineRule="auto" w:before="16"/>
        <w:ind w:right="1131" w:firstLine="420"/>
        <w:jc w:val="both"/>
      </w:pPr>
      <w:r>
        <w:rPr>
          <w:spacing w:val="-1"/>
        </w:rPr>
        <w:t>②深圳市禾鸿兴智能科技有限公司诉讼请求达实智能支付洛阳中心医院项目拖欠的综合布线系统、计</w:t>
      </w:r>
      <w:r>
        <w:rPr/>
        <w:t> 算机网络系统等设备采购款</w:t>
      </w:r>
      <w:r>
        <w:rPr>
          <w:rFonts w:ascii="Times New Roman" w:hAnsi="Times New Roman" w:cs="Times New Roman" w:eastAsia="Times New Roman" w:hint="default"/>
        </w:rPr>
        <w:t>1,472.53</w:t>
      </w:r>
      <w:r>
        <w:rPr/>
        <w:t>万元，一审判决本公司支付原告深圳市禾鸿兴智能科技有限公司货款</w:t>
      </w:r>
      <w:r>
        <w:rPr>
          <w:spacing w:val="-35"/>
        </w:rPr>
        <w:t> </w:t>
      </w:r>
      <w:r>
        <w:rPr>
          <w:spacing w:val="-35"/>
        </w:rPr>
      </w:r>
      <w:r>
        <w:rPr>
          <w:rFonts w:ascii="Times New Roman" w:hAnsi="Times New Roman" w:cs="Times New Roman" w:eastAsia="Times New Roman" w:hint="default"/>
          <w:spacing w:val="2"/>
        </w:rPr>
        <w:t>8,898,022.53</w:t>
      </w:r>
      <w:r>
        <w:rPr>
          <w:spacing w:val="2"/>
        </w:rPr>
        <w:t>元及逾期付款利息</w:t>
      </w:r>
      <w:r>
        <w:rPr>
          <w:rFonts w:ascii="Times New Roman" w:hAnsi="Times New Roman" w:cs="Times New Roman" w:eastAsia="Times New Roman" w:hint="default"/>
          <w:spacing w:val="2"/>
        </w:rPr>
        <w:t>50125.53</w:t>
      </w:r>
      <w:r>
        <w:rPr>
          <w:spacing w:val="2"/>
        </w:rPr>
        <w:t>元。二审裁定撒销深圳市南山区人民法院</w:t>
      </w:r>
      <w:r>
        <w:rPr>
          <w:rFonts w:ascii="Times New Roman" w:hAnsi="Times New Roman" w:cs="Times New Roman" w:eastAsia="Times New Roman" w:hint="default"/>
          <w:spacing w:val="2"/>
        </w:rPr>
        <w:t>(2016)</w:t>
      </w:r>
      <w:r>
        <w:rPr>
          <w:spacing w:val="2"/>
        </w:rPr>
        <w:t>粤</w:t>
      </w:r>
      <w:r>
        <w:rPr>
          <w:rFonts w:ascii="Times New Roman" w:hAnsi="Times New Roman" w:cs="Times New Roman" w:eastAsia="Times New Roman" w:hint="default"/>
          <w:spacing w:val="2"/>
        </w:rPr>
        <w:t>0305</w:t>
      </w:r>
      <w:r>
        <w:rPr>
          <w:spacing w:val="2"/>
        </w:rPr>
        <w:t>民初</w:t>
      </w:r>
      <w:r>
        <w:rPr>
          <w:rFonts w:ascii="Times New Roman" w:hAnsi="Times New Roman" w:cs="Times New Roman" w:eastAsia="Times New Roman" w:hint="default"/>
          <w:spacing w:val="2"/>
        </w:rPr>
        <w:t>11525</w:t>
      </w:r>
      <w:r>
        <w:rPr>
          <w:rFonts w:ascii="Times New Roman" w:hAnsi="Times New Roman" w:cs="Times New Roman" w:eastAsia="Times New Roman" w:hint="default"/>
          <w:spacing w:val="-47"/>
        </w:rPr>
        <w:t> </w:t>
      </w:r>
      <w:r>
        <w:rPr/>
        <w:t>号民事判决，本案发回深圳市南山区人民法院重审，目前案件正在重审过程中。</w:t>
      </w:r>
    </w:p>
    <w:p>
      <w:pPr>
        <w:pStyle w:val="Heading5"/>
        <w:spacing w:line="240" w:lineRule="auto" w:before="18"/>
        <w:ind w:left="574" w:right="0"/>
        <w:jc w:val="left"/>
      </w:pPr>
      <w:r>
        <w:rPr>
          <w:spacing w:val="3"/>
        </w:rPr>
        <w:t>③海南铭博达房地产开发有限公司请求本公司支付三亚华美达酒店项目因不按图纸施工等给酒店造</w:t>
      </w:r>
    </w:p>
    <w:p>
      <w:pPr>
        <w:spacing w:after="0" w:line="240" w:lineRule="auto"/>
        <w:jc w:val="left"/>
        <w:sectPr>
          <w:pgSz w:w="11910" w:h="16840"/>
          <w:pgMar w:header="787" w:footer="1019" w:top="1100" w:bottom="1200" w:left="980" w:right="0"/>
        </w:sectPr>
      </w:pPr>
    </w:p>
    <w:p>
      <w:pPr>
        <w:spacing w:line="240" w:lineRule="auto" w:before="7"/>
        <w:rPr>
          <w:rFonts w:ascii="宋体" w:hAnsi="宋体" w:cs="宋体" w:eastAsia="宋体" w:hint="default"/>
          <w:sz w:val="21"/>
          <w:szCs w:val="21"/>
        </w:rPr>
      </w:pPr>
    </w:p>
    <w:p>
      <w:pPr>
        <w:pStyle w:val="Heading5"/>
        <w:spacing w:line="256" w:lineRule="auto" w:before="35"/>
        <w:ind w:right="1132"/>
        <w:jc w:val="both"/>
      </w:pPr>
      <w:r>
        <w:rPr>
          <w:spacing w:val="-1"/>
        </w:rPr>
        <w:t>成的维修费、返工费材料费等费用</w:t>
      </w:r>
      <w:r>
        <w:rPr>
          <w:rFonts w:ascii="Times New Roman" w:hAnsi="Times New Roman" w:cs="Times New Roman" w:eastAsia="Times New Roman" w:hint="default"/>
          <w:spacing w:val="-1"/>
        </w:rPr>
        <w:t>200</w:t>
      </w:r>
      <w:r>
        <w:rPr>
          <w:spacing w:val="-1"/>
        </w:rPr>
        <w:t>万元人民币，赔偿酒店营业损失人民币</w:t>
      </w:r>
      <w:r>
        <w:rPr>
          <w:rFonts w:ascii="Times New Roman" w:hAnsi="Times New Roman" w:cs="Times New Roman" w:eastAsia="Times New Roman" w:hint="default"/>
          <w:spacing w:val="-1"/>
        </w:rPr>
        <w:t>200</w:t>
      </w:r>
      <w:r>
        <w:rPr>
          <w:spacing w:val="-1"/>
        </w:rPr>
        <w:t>万元，支付工期延误违约</w:t>
      </w:r>
      <w:r>
        <w:rPr>
          <w:spacing w:val="-84"/>
        </w:rPr>
        <w:t> </w:t>
      </w:r>
      <w:r>
        <w:rPr>
          <w:spacing w:val="-84"/>
        </w:rPr>
      </w:r>
      <w:r>
        <w:rPr>
          <w:spacing w:val="-2"/>
        </w:rPr>
        <w:t>金</w:t>
      </w:r>
      <w:r>
        <w:rPr>
          <w:rFonts w:ascii="Times New Roman" w:hAnsi="Times New Roman" w:cs="Times New Roman" w:eastAsia="Times New Roman" w:hint="default"/>
          <w:spacing w:val="-2"/>
        </w:rPr>
        <w:t>351.4</w:t>
      </w:r>
      <w:r>
        <w:rPr>
          <w:spacing w:val="-2"/>
        </w:rPr>
        <w:t>万元。本公司请求海南铭博达房地产开发有限公司支付拖欠的工程款、结算款、质保款和违约金共</w:t>
      </w:r>
      <w:r>
        <w:rPr>
          <w:spacing w:val="-86"/>
        </w:rPr>
        <w:t> </w:t>
      </w:r>
      <w:r>
        <w:rPr>
          <w:spacing w:val="-86"/>
        </w:rPr>
      </w:r>
      <w:r>
        <w:rPr/>
        <w:t>计人民币</w:t>
      </w:r>
      <w:r>
        <w:rPr>
          <w:rFonts w:ascii="Times New Roman" w:hAnsi="Times New Roman" w:cs="Times New Roman" w:eastAsia="Times New Roman" w:hint="default"/>
        </w:rPr>
        <w:t>2,162,643.92</w:t>
      </w:r>
      <w:r>
        <w:rPr/>
        <w:t>元，公司已按会计政策计提</w:t>
      </w:r>
      <w:r>
        <w:rPr>
          <w:rFonts w:ascii="Times New Roman" w:hAnsi="Times New Roman" w:cs="Times New Roman" w:eastAsia="Times New Roman" w:hint="default"/>
        </w:rPr>
        <w:t>50%</w:t>
      </w:r>
      <w:r>
        <w:rPr/>
        <w:t>减值，目前案件正在一审审理过程中。</w:t>
      </w:r>
    </w:p>
    <w:p>
      <w:pPr>
        <w:pStyle w:val="Heading5"/>
        <w:spacing w:line="266" w:lineRule="auto" w:before="5"/>
        <w:ind w:right="1131" w:firstLine="420"/>
        <w:jc w:val="both"/>
      </w:pPr>
      <w:r>
        <w:rPr>
          <w:spacing w:val="-1"/>
        </w:rPr>
        <w:t>④本公司诉讼请求浙江横店建筑工程有限公司海南分公司、浙江横店建筑工程有限公司、三亚民生旅</w:t>
      </w:r>
      <w:r>
        <w:rPr/>
        <w:t> 业有限责任公司及时办理海棠湾威斯汀度假酒店项目工程结算，支付拖欠的工程款</w:t>
      </w:r>
      <w:r>
        <w:rPr>
          <w:rFonts w:ascii="Times New Roman" w:hAnsi="Times New Roman" w:cs="Times New Roman" w:eastAsia="Times New Roman" w:hint="default"/>
        </w:rPr>
        <w:t>1,526.97</w:t>
      </w:r>
      <w:r>
        <w:rPr/>
        <w:t>万元，并支付</w:t>
      </w:r>
      <w:r>
        <w:rPr>
          <w:spacing w:val="-27"/>
        </w:rPr>
        <w:t> </w:t>
      </w:r>
      <w:r>
        <w:rPr>
          <w:spacing w:val="-27"/>
        </w:rPr>
      </w:r>
      <w:r>
        <w:rPr/>
        <w:t>逾期支付工程款违约金。公司已按账龄区间及会计政策计提减值准备，目前案件正在一审审理过程中。</w:t>
      </w:r>
    </w:p>
    <w:p>
      <w:pPr>
        <w:pStyle w:val="Heading5"/>
        <w:spacing w:line="264" w:lineRule="auto" w:before="14"/>
        <w:ind w:right="1058" w:firstLine="420"/>
        <w:jc w:val="both"/>
      </w:pPr>
      <w:r>
        <w:rPr/>
        <w:t>⑤本公司诉讼请求株洲市大汉房地产开发有限公司支付株洲大汉希尔顿酒店项目拖欠的工程验收款、 工程结算款、逾期利息并退还履约保证金共计人民币</w:t>
      </w:r>
      <w:r>
        <w:rPr>
          <w:rFonts w:ascii="Times New Roman" w:hAnsi="Times New Roman" w:cs="Times New Roman" w:eastAsia="Times New Roman" w:hint="default"/>
        </w:rPr>
        <w:t>5,123,663.22</w:t>
      </w:r>
      <w:r>
        <w:rPr/>
        <w:t>元。目前案件正在一审工程鉴定过程中， 公司已按会计政策计提</w:t>
      </w:r>
      <w:r>
        <w:rPr>
          <w:rFonts w:ascii="Times New Roman" w:hAnsi="Times New Roman" w:cs="Times New Roman" w:eastAsia="Times New Roman" w:hint="default"/>
        </w:rPr>
        <w:t>50%</w:t>
      </w:r>
      <w:r>
        <w:rPr/>
        <w:t>减值。</w:t>
      </w:r>
    </w:p>
    <w:p>
      <w:pPr>
        <w:pStyle w:val="Heading5"/>
        <w:spacing w:line="256" w:lineRule="auto" w:before="0"/>
        <w:ind w:right="1132" w:firstLine="420"/>
        <w:jc w:val="both"/>
      </w:pPr>
      <w:r>
        <w:rPr/>
        <w:t>⑥江苏远大电缆有限公司请求本公司支付向其采购的电缆货款</w:t>
      </w:r>
      <w:r>
        <w:rPr>
          <w:rFonts w:ascii="Times New Roman" w:hAnsi="Times New Roman" w:cs="Times New Roman" w:eastAsia="Times New Roman" w:hint="default"/>
        </w:rPr>
        <w:t>149.50</w:t>
      </w:r>
      <w:r>
        <w:rPr/>
        <w:t>万元，目前案件正在一审审理过 程中。</w:t>
      </w:r>
    </w:p>
    <w:p>
      <w:pPr>
        <w:pStyle w:val="Heading5"/>
        <w:spacing w:line="256" w:lineRule="auto" w:before="22"/>
        <w:ind w:right="1132" w:firstLine="420"/>
        <w:jc w:val="both"/>
      </w:pPr>
      <w:r>
        <w:rPr/>
        <w:t>⑦本公司向专利复审委请求佩尔优节能科技股份有限公司的</w:t>
      </w:r>
      <w:r>
        <w:rPr>
          <w:rFonts w:ascii="Times New Roman" w:hAnsi="Times New Roman" w:cs="Times New Roman" w:eastAsia="Times New Roman" w:hint="default"/>
        </w:rPr>
        <w:t>“</w:t>
      </w:r>
      <w:r>
        <w:rPr/>
        <w:t>一种多贮水槽水蓄能系统及其使用方法</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发明专利专利权全部无效，经国家知识产权局审查决定专利部分无效，目前公司已提行政诉讼。</w:t>
      </w:r>
    </w:p>
    <w:p>
      <w:pPr>
        <w:pStyle w:val="Heading5"/>
        <w:spacing w:line="256" w:lineRule="auto" w:before="22"/>
        <w:ind w:right="1130" w:firstLine="420"/>
        <w:jc w:val="both"/>
      </w:pPr>
      <w:r>
        <w:rPr>
          <w:spacing w:val="2"/>
        </w:rPr>
        <w:t>⑧绵阳市瑞生科技有限公司诉讼请求公司支付成都地铁</w:t>
      </w:r>
      <w:r>
        <w:rPr>
          <w:rFonts w:ascii="Times New Roman" w:hAnsi="Times New Roman" w:cs="Times New Roman" w:eastAsia="Times New Roman" w:hint="default"/>
          <w:spacing w:val="2"/>
        </w:rPr>
        <w:t>2</w:t>
      </w:r>
      <w:r>
        <w:rPr>
          <w:spacing w:val="2"/>
        </w:rPr>
        <w:t>号线工程项目所欠工程款</w:t>
      </w:r>
      <w:r>
        <w:rPr>
          <w:rFonts w:ascii="Times New Roman" w:hAnsi="Times New Roman" w:cs="Times New Roman" w:eastAsia="Times New Roman" w:hint="default"/>
          <w:spacing w:val="2"/>
        </w:rPr>
        <w:t>193.18</w:t>
      </w:r>
      <w:r>
        <w:rPr>
          <w:spacing w:val="2"/>
        </w:rPr>
        <w:t>万元及资金</w:t>
      </w:r>
      <w:r>
        <w:rPr/>
        <w:t> 占用利息，目前案件正在一审审理过程中。</w:t>
      </w:r>
    </w:p>
    <w:p>
      <w:pPr>
        <w:pStyle w:val="Heading5"/>
        <w:spacing w:line="256" w:lineRule="auto" w:before="22"/>
        <w:ind w:right="0" w:firstLine="420"/>
        <w:jc w:val="left"/>
      </w:pPr>
      <w:r>
        <w:rPr>
          <w:spacing w:val="-1"/>
        </w:rPr>
        <w:t>⑨陈港、贵州碧海混凝土有限公司请求本公司支付毕节医院工程项目租用工程车等停工损失</w:t>
      </w:r>
      <w:r>
        <w:rPr>
          <w:rFonts w:ascii="Times New Roman" w:hAnsi="Times New Roman" w:cs="Times New Roman" w:eastAsia="Times New Roman" w:hint="default"/>
          <w:spacing w:val="-1"/>
        </w:rPr>
        <w:t>274</w:t>
      </w:r>
      <w:r>
        <w:rPr>
          <w:spacing w:val="-1"/>
        </w:rPr>
        <w:t>万元，</w:t>
      </w:r>
      <w:r>
        <w:rPr/>
        <w:t> 一审判决驳回原告陈港、贵州碧海混凝土有限公司的诉讼请求，目前二审尚未开始审理。</w:t>
      </w:r>
    </w:p>
    <w:p>
      <w:pPr>
        <w:pStyle w:val="Heading5"/>
        <w:spacing w:line="264" w:lineRule="auto" w:before="22"/>
        <w:ind w:right="1131" w:firstLine="420"/>
        <w:jc w:val="both"/>
      </w:pPr>
      <w:r>
        <w:rPr>
          <w:spacing w:val="3"/>
        </w:rPr>
        <w:t>⑩本公司所属子公司深圳达实融资租赁有限公司诉讼请求湖南升华科技有限公司及江西升华新材料</w:t>
      </w:r>
      <w:r>
        <w:rPr/>
        <w:t> 有限公司分别偿还保理融资本金</w:t>
      </w:r>
      <w:r>
        <w:rPr>
          <w:rFonts w:ascii="Times New Roman" w:hAnsi="Times New Roman" w:cs="Times New Roman" w:eastAsia="Times New Roman" w:hint="default"/>
        </w:rPr>
        <w:t>61,000,000.00</w:t>
      </w:r>
      <w:r>
        <w:rPr/>
        <w:t>元、</w:t>
      </w:r>
      <w:r>
        <w:rPr>
          <w:rFonts w:ascii="Times New Roman" w:hAnsi="Times New Roman" w:cs="Times New Roman" w:eastAsia="Times New Roman" w:hint="default"/>
        </w:rPr>
        <w:t>34,000,000.00</w:t>
      </w:r>
      <w:r>
        <w:rPr/>
        <w:t>元及逾期利息，要求湖南升华科技有限公</w:t>
      </w:r>
      <w:r>
        <w:rPr>
          <w:spacing w:val="-36"/>
        </w:rPr>
        <w:t> </w:t>
      </w:r>
      <w:r>
        <w:rPr>
          <w:spacing w:val="-36"/>
        </w:rPr>
      </w:r>
      <w:r>
        <w:rPr>
          <w:spacing w:val="-1"/>
        </w:rPr>
        <w:t>司、彭澎、彭澍、醴陵市升华投资管理有限公司共同承担对湖南升华科技有限公司全部债务的连带清偿义</w:t>
      </w:r>
      <w:r>
        <w:rPr>
          <w:spacing w:val="-83"/>
        </w:rPr>
        <w:t> </w:t>
      </w:r>
      <w:r>
        <w:rPr>
          <w:spacing w:val="-83"/>
        </w:rPr>
      </w:r>
      <w:r>
        <w:rPr/>
        <w:t>务。考虑到彭澍及醴陵市升华投资管理有限公司提供的</w:t>
      </w:r>
      <w:r>
        <w:rPr>
          <w:rFonts w:ascii="Times New Roman" w:hAnsi="Times New Roman" w:cs="Times New Roman" w:eastAsia="Times New Roman" w:hint="default"/>
        </w:rPr>
        <w:t>10,970,106</w:t>
      </w:r>
      <w:r>
        <w:rPr/>
        <w:t>股、</w:t>
      </w:r>
      <w:r>
        <w:rPr>
          <w:rFonts w:ascii="Times New Roman" w:hAnsi="Times New Roman" w:cs="Times New Roman" w:eastAsia="Times New Roman" w:hint="default"/>
        </w:rPr>
        <w:t>3,504,731</w:t>
      </w:r>
      <w:r>
        <w:rPr/>
        <w:t>股富临精工（证券代码：</w:t>
      </w:r>
      <w:r>
        <w:rPr>
          <w:spacing w:val="-30"/>
        </w:rPr>
        <w:t> </w:t>
      </w:r>
      <w:r>
        <w:rPr>
          <w:spacing w:val="-30"/>
        </w:rPr>
      </w:r>
      <w:r>
        <w:rPr>
          <w:rFonts w:ascii="Times New Roman" w:hAnsi="Times New Roman" w:cs="Times New Roman" w:eastAsia="Times New Roman" w:hint="default"/>
          <w:spacing w:val="-1"/>
        </w:rPr>
        <w:t>300432</w:t>
      </w:r>
      <w:r>
        <w:rPr>
          <w:spacing w:val="-1"/>
        </w:rPr>
        <w:t>）股票质押及彭澎提供的连带担保保证，本公司所属子公司深圳达实融资租赁有限公司未计提减值</w:t>
      </w:r>
      <w:r>
        <w:rPr>
          <w:spacing w:val="-79"/>
        </w:rPr>
        <w:t> </w:t>
      </w:r>
      <w:r>
        <w:rPr>
          <w:spacing w:val="-79"/>
        </w:rPr>
      </w:r>
      <w:r>
        <w:rPr/>
        <w:t>准备。</w:t>
      </w:r>
    </w:p>
    <w:p>
      <w:pPr>
        <w:pStyle w:val="Heading5"/>
        <w:spacing w:line="240" w:lineRule="auto" w:before="16"/>
        <w:ind w:left="574" w:right="0"/>
        <w:jc w:val="left"/>
      </w:pPr>
      <w:r>
        <w:rPr/>
        <w:t>（</w:t>
      </w:r>
      <w:r>
        <w:rPr>
          <w:rFonts w:ascii="Times New Roman" w:hAnsi="Times New Roman" w:cs="Times New Roman" w:eastAsia="Times New Roman" w:hint="default"/>
        </w:rPr>
        <w:t>2</w:t>
      </w:r>
      <w:r>
        <w:rPr/>
        <w:t>）为其他单位提供债务担保形成的或有负债及其财务影响</w:t>
      </w:r>
    </w:p>
    <w:p>
      <w:pPr>
        <w:pStyle w:val="Heading5"/>
        <w:spacing w:line="240" w:lineRule="auto" w:before="21"/>
        <w:ind w:left="574" w:right="0"/>
        <w:jc w:val="left"/>
      </w:pPr>
      <w:r>
        <w:rPr/>
        <w:t>①本公司对合并范围外企业提供担保情况如下表所示：</w:t>
      </w:r>
    </w:p>
    <w:p>
      <w:pPr>
        <w:spacing w:line="240" w:lineRule="auto" w:before="9"/>
        <w:rPr>
          <w:rFonts w:ascii="宋体" w:hAnsi="宋体" w:cs="宋体" w:eastAsia="宋体" w:hint="default"/>
          <w:sz w:val="26"/>
          <w:szCs w:val="26"/>
        </w:rPr>
      </w:pPr>
    </w:p>
    <w:p>
      <w:pPr>
        <w:pStyle w:val="Heading5"/>
        <w:spacing w:line="240" w:lineRule="auto" w:before="0"/>
        <w:ind w:left="0" w:right="1130"/>
        <w:jc w:val="right"/>
      </w:pPr>
      <w:r>
        <w:rPr/>
        <w:t>单位：元</w:t>
      </w:r>
    </w:p>
    <w:p>
      <w:pPr>
        <w:spacing w:line="240" w:lineRule="auto" w:before="13"/>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1028"/>
        <w:gridCol w:w="1146"/>
        <w:gridCol w:w="1171"/>
        <w:gridCol w:w="1173"/>
        <w:gridCol w:w="977"/>
        <w:gridCol w:w="1184"/>
        <w:gridCol w:w="2980"/>
      </w:tblGrid>
      <w:tr>
        <w:trPr>
          <w:trHeight w:val="966"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7" w:right="0"/>
              <w:jc w:val="left"/>
              <w:rPr>
                <w:rFonts w:ascii="宋体" w:hAnsi="宋体" w:cs="宋体" w:eastAsia="宋体" w:hint="default"/>
                <w:sz w:val="18"/>
                <w:szCs w:val="18"/>
              </w:rPr>
            </w:pPr>
            <w:r>
              <w:rPr>
                <w:rFonts w:ascii="宋体" w:hAnsi="宋体" w:cs="宋体" w:eastAsia="宋体" w:hint="default"/>
                <w:sz w:val="18"/>
                <w:szCs w:val="18"/>
              </w:rPr>
              <w:t>担保对象</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07" w:right="0"/>
              <w:jc w:val="left"/>
              <w:rPr>
                <w:rFonts w:ascii="宋体" w:hAnsi="宋体" w:cs="宋体" w:eastAsia="宋体" w:hint="default"/>
                <w:sz w:val="18"/>
                <w:szCs w:val="18"/>
              </w:rPr>
            </w:pPr>
            <w:r>
              <w:rPr>
                <w:rFonts w:ascii="宋体" w:hAnsi="宋体" w:cs="宋体" w:eastAsia="宋体" w:hint="default"/>
                <w:sz w:val="18"/>
                <w:szCs w:val="18"/>
              </w:rPr>
              <w:t>担保期限</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担保额度</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40" w:right="41"/>
              <w:jc w:val="center"/>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日实际提 款金额</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3" w:right="0"/>
              <w:jc w:val="left"/>
              <w:rPr>
                <w:rFonts w:ascii="宋体" w:hAnsi="宋体" w:cs="宋体" w:eastAsia="宋体" w:hint="default"/>
                <w:sz w:val="18"/>
                <w:szCs w:val="18"/>
              </w:rPr>
            </w:pPr>
            <w:r>
              <w:rPr>
                <w:rFonts w:ascii="宋体" w:hAnsi="宋体" w:cs="宋体" w:eastAsia="宋体" w:hint="default"/>
                <w:sz w:val="18"/>
                <w:szCs w:val="18"/>
              </w:rPr>
              <w:t>担保受益人</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担保方式</w:t>
            </w:r>
          </w:p>
        </w:tc>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654"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11"/>
              <w:jc w:val="left"/>
              <w:rPr>
                <w:rFonts w:ascii="宋体" w:hAnsi="宋体" w:cs="宋体" w:eastAsia="宋体" w:hint="default"/>
                <w:sz w:val="18"/>
                <w:szCs w:val="18"/>
              </w:rPr>
            </w:pPr>
            <w:r>
              <w:rPr>
                <w:rFonts w:ascii="宋体" w:hAnsi="宋体" w:cs="宋体" w:eastAsia="宋体" w:hint="default"/>
                <w:sz w:val="18"/>
                <w:szCs w:val="18"/>
              </w:rPr>
              <w:t>中煤矿建总 医院</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7" w:right="0"/>
              <w:jc w:val="left"/>
              <w:rPr>
                <w:rFonts w:ascii="Times New Roman" w:hAnsi="Times New Roman" w:cs="Times New Roman" w:eastAsia="Times New Roman" w:hint="default"/>
                <w:sz w:val="18"/>
                <w:szCs w:val="18"/>
              </w:rPr>
            </w:pPr>
            <w:r>
              <w:rPr>
                <w:rFonts w:ascii="Times New Roman"/>
                <w:sz w:val="18"/>
              </w:rPr>
              <w:t>2016-8-8</w:t>
            </w:r>
          </w:p>
          <w:p>
            <w:pPr>
              <w:pStyle w:val="TableParagraph"/>
              <w:spacing w:line="240" w:lineRule="auto" w:before="65"/>
              <w:ind w:left="14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Times New Roman" w:hAnsi="Times New Roman" w:cs="Times New Roman" w:eastAsia="Times New Roman" w:hint="default"/>
                <w:sz w:val="18"/>
                <w:szCs w:val="18"/>
              </w:rPr>
              <w:t>2027-8-7</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8" w:right="0"/>
              <w:jc w:val="center"/>
              <w:rPr>
                <w:rFonts w:ascii="Times New Roman" w:hAnsi="Times New Roman" w:cs="Times New Roman" w:eastAsia="Times New Roman" w:hint="default"/>
                <w:sz w:val="18"/>
                <w:szCs w:val="18"/>
              </w:rPr>
            </w:pPr>
            <w:r>
              <w:rPr>
                <w:rFonts w:ascii="Times New Roman"/>
                <w:sz w:val="18"/>
              </w:rPr>
              <w:t>80,000,000.00</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6" w:right="0"/>
              <w:jc w:val="center"/>
              <w:rPr>
                <w:rFonts w:ascii="Times New Roman" w:hAnsi="Times New Roman" w:cs="Times New Roman" w:eastAsia="Times New Roman" w:hint="default"/>
                <w:sz w:val="18"/>
                <w:szCs w:val="18"/>
              </w:rPr>
            </w:pPr>
            <w:r>
              <w:rPr>
                <w:rFonts w:ascii="Times New Roman"/>
                <w:sz w:val="18"/>
              </w:rPr>
              <w:t>80,000,000.00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393" w:right="31" w:hanging="360"/>
              <w:jc w:val="left"/>
              <w:rPr>
                <w:rFonts w:ascii="宋体" w:hAnsi="宋体" w:cs="宋体" w:eastAsia="宋体" w:hint="default"/>
                <w:sz w:val="18"/>
                <w:szCs w:val="18"/>
              </w:rPr>
            </w:pPr>
            <w:r>
              <w:rPr>
                <w:rFonts w:ascii="宋体" w:hAnsi="宋体" w:cs="宋体" w:eastAsia="宋体" w:hint="default"/>
                <w:sz w:val="18"/>
                <w:szCs w:val="18"/>
              </w:rPr>
              <w:t>中国建设银 行</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连带责任担保</w:t>
            </w:r>
          </w:p>
        </w:tc>
        <w:tc>
          <w:tcPr>
            <w:tcW w:w="2980" w:type="dxa"/>
            <w:tcBorders>
              <w:top w:val="single" w:sz="4" w:space="0" w:color="000000"/>
              <w:left w:val="single" w:sz="4" w:space="0" w:color="000000"/>
              <w:bottom w:val="single" w:sz="4" w:space="0" w:color="000000"/>
              <w:right w:val="single" w:sz="4" w:space="0" w:color="000000"/>
            </w:tcBorders>
          </w:tcPr>
          <w:p>
            <w:pPr/>
          </w:p>
        </w:tc>
      </w:tr>
      <w:tr>
        <w:trPr>
          <w:trHeight w:val="1590" w:hRule="exact"/>
        </w:trPr>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3"/>
              <w:jc w:val="left"/>
              <w:rPr>
                <w:rFonts w:ascii="宋体" w:hAnsi="宋体" w:cs="宋体" w:eastAsia="宋体" w:hint="default"/>
                <w:sz w:val="18"/>
                <w:szCs w:val="18"/>
              </w:rPr>
            </w:pPr>
            <w:r>
              <w:rPr>
                <w:rFonts w:ascii="宋体" w:hAnsi="宋体" w:cs="宋体" w:eastAsia="宋体" w:hint="default"/>
                <w:sz w:val="18"/>
                <w:szCs w:val="18"/>
              </w:rPr>
              <w:t>融智节能环 </w:t>
            </w:r>
            <w:r>
              <w:rPr>
                <w:rFonts w:ascii="宋体" w:hAnsi="宋体" w:cs="宋体" w:eastAsia="宋体" w:hint="default"/>
                <w:spacing w:val="-12"/>
                <w:sz w:val="18"/>
                <w:szCs w:val="18"/>
              </w:rPr>
              <w:t>保（深圳）有</w:t>
            </w:r>
            <w:r>
              <w:rPr>
                <w:rFonts w:ascii="宋体" w:hAnsi="宋体" w:cs="宋体" w:eastAsia="宋体" w:hint="default"/>
                <w:sz w:val="18"/>
                <w:szCs w:val="18"/>
              </w:rPr>
              <w:t> 限公司</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2018-1-18</w:t>
            </w:r>
          </w:p>
          <w:p>
            <w:pPr>
              <w:pStyle w:val="TableParagraph"/>
              <w:spacing w:line="240" w:lineRule="auto" w:before="6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至</w:t>
            </w:r>
            <w:r>
              <w:rPr>
                <w:rFonts w:ascii="Times New Roman" w:hAnsi="Times New Roman" w:cs="Times New Roman" w:eastAsia="Times New Roman" w:hint="default"/>
                <w:sz w:val="18"/>
                <w:szCs w:val="18"/>
              </w:rPr>
              <w:t>2023-12-31</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8" w:right="0"/>
              <w:jc w:val="center"/>
              <w:rPr>
                <w:rFonts w:ascii="Times New Roman" w:hAnsi="Times New Roman" w:cs="Times New Roman" w:eastAsia="Times New Roman" w:hint="default"/>
                <w:sz w:val="18"/>
                <w:szCs w:val="18"/>
              </w:rPr>
            </w:pPr>
            <w:r>
              <w:rPr>
                <w:rFonts w:ascii="Times New Roman"/>
                <w:sz w:val="18"/>
              </w:rPr>
              <w:t>45,000,000.00</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16" w:right="0"/>
              <w:jc w:val="center"/>
              <w:rPr>
                <w:rFonts w:ascii="Times New Roman" w:hAnsi="Times New Roman" w:cs="Times New Roman" w:eastAsia="Times New Roman" w:hint="default"/>
                <w:sz w:val="18"/>
                <w:szCs w:val="18"/>
              </w:rPr>
            </w:pPr>
            <w:r>
              <w:rPr>
                <w:rFonts w:ascii="Times New Roman"/>
                <w:sz w:val="18"/>
              </w:rPr>
              <w:t>45,000,000.00</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33" w:right="31"/>
              <w:jc w:val="center"/>
              <w:rPr>
                <w:rFonts w:ascii="宋体" w:hAnsi="宋体" w:cs="宋体" w:eastAsia="宋体" w:hint="default"/>
                <w:sz w:val="18"/>
                <w:szCs w:val="18"/>
              </w:rPr>
            </w:pPr>
            <w:r>
              <w:rPr>
                <w:rFonts w:ascii="宋体" w:hAnsi="宋体" w:cs="宋体" w:eastAsia="宋体" w:hint="default"/>
                <w:sz w:val="18"/>
                <w:szCs w:val="18"/>
              </w:rPr>
              <w:t>三菱日联融 资租赁（中 国）有限公 司</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一般责任担保</w:t>
            </w:r>
          </w:p>
        </w:tc>
        <w:tc>
          <w:tcPr>
            <w:tcW w:w="2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21"/>
              <w:ind w:left="4" w:right="38"/>
              <w:jc w:val="both"/>
              <w:rPr>
                <w:rFonts w:ascii="宋体" w:hAnsi="宋体" w:cs="宋体" w:eastAsia="宋体" w:hint="default"/>
                <w:sz w:val="18"/>
                <w:szCs w:val="18"/>
              </w:rPr>
            </w:pPr>
            <w:r>
              <w:rPr>
                <w:rFonts w:ascii="宋体" w:hAnsi="宋体" w:cs="宋体" w:eastAsia="宋体" w:hint="default"/>
                <w:sz w:val="18"/>
                <w:szCs w:val="18"/>
              </w:rPr>
              <w:t>上述额度内的对外担保事项实际发生 时，融智节能环保（深圳）有限公司 其他股东将依据其持股比例提供相应 担保</w:t>
            </w:r>
            <w:r>
              <w:rPr>
                <w:rFonts w:ascii="Times New Roman" w:hAnsi="Times New Roman" w:cs="Times New Roman" w:eastAsia="Times New Roman" w:hint="default"/>
                <w:sz w:val="18"/>
                <w:szCs w:val="18"/>
              </w:rPr>
              <w:t>,</w:t>
            </w:r>
            <w:r>
              <w:rPr>
                <w:rFonts w:ascii="宋体" w:hAnsi="宋体" w:cs="宋体" w:eastAsia="宋体" w:hint="default"/>
                <w:sz w:val="18"/>
                <w:szCs w:val="18"/>
              </w:rPr>
              <w:t>融智节能环保（深圳）有限公司 为本次担保提供反担保。</w:t>
            </w:r>
          </w:p>
        </w:tc>
      </w:tr>
    </w:tbl>
    <w:p>
      <w:pPr>
        <w:pStyle w:val="Heading5"/>
        <w:spacing w:line="260" w:lineRule="exact" w:before="0"/>
        <w:ind w:right="0" w:firstLine="420"/>
        <w:jc w:val="left"/>
      </w:pPr>
      <w:r>
        <w:rPr/>
        <w:t>此</w:t>
      </w:r>
      <w:r>
        <w:rPr>
          <w:spacing w:val="-78"/>
        </w:rPr>
        <w:t> </w:t>
      </w:r>
      <w:r>
        <w:rPr/>
        <w:t>外</w:t>
      </w:r>
      <w:r>
        <w:rPr>
          <w:spacing w:val="-78"/>
        </w:rPr>
        <w:t> </w:t>
      </w:r>
      <w:r>
        <w:rPr/>
        <w:t>，</w:t>
      </w:r>
      <w:r>
        <w:rPr>
          <w:spacing w:val="-79"/>
        </w:rPr>
        <w:t> </w:t>
      </w:r>
      <w:r>
        <w:rPr/>
        <w:t>公</w:t>
      </w:r>
      <w:r>
        <w:rPr>
          <w:spacing w:val="-78"/>
        </w:rPr>
        <w:t> </w:t>
      </w:r>
      <w:r>
        <w:rPr/>
        <w:t>司</w:t>
      </w:r>
      <w:r>
        <w:rPr>
          <w:spacing w:val="-79"/>
        </w:rPr>
        <w:t> </w:t>
      </w:r>
      <w:r>
        <w:rPr/>
        <w:t>与</w:t>
      </w:r>
      <w:r>
        <w:rPr>
          <w:spacing w:val="-78"/>
        </w:rPr>
        <w:t> </w:t>
      </w:r>
      <w:r>
        <w:rPr/>
        <w:t>北</w:t>
      </w:r>
      <w:r>
        <w:rPr>
          <w:spacing w:val="-78"/>
        </w:rPr>
        <w:t> </w:t>
      </w:r>
      <w:r>
        <w:rPr/>
        <w:t>京</w:t>
      </w:r>
      <w:r>
        <w:rPr>
          <w:spacing w:val="-79"/>
        </w:rPr>
        <w:t> </w:t>
      </w:r>
      <w:r>
        <w:rPr/>
        <w:t>银</w:t>
      </w:r>
      <w:r>
        <w:rPr>
          <w:spacing w:val="-78"/>
        </w:rPr>
        <w:t> </w:t>
      </w:r>
      <w:r>
        <w:rPr/>
        <w:t>行</w:t>
      </w:r>
      <w:r>
        <w:rPr>
          <w:spacing w:val="-79"/>
        </w:rPr>
        <w:t> </w:t>
      </w:r>
      <w:r>
        <w:rPr/>
        <w:t>深</w:t>
      </w:r>
      <w:r>
        <w:rPr>
          <w:spacing w:val="-78"/>
        </w:rPr>
        <w:t> </w:t>
      </w:r>
      <w:r>
        <w:rPr/>
        <w:t>圳</w:t>
      </w:r>
      <w:r>
        <w:rPr>
          <w:spacing w:val="-78"/>
        </w:rPr>
        <w:t> </w:t>
      </w:r>
      <w:r>
        <w:rPr/>
        <w:t>分</w:t>
      </w:r>
      <w:r>
        <w:rPr>
          <w:spacing w:val="-79"/>
        </w:rPr>
        <w:t> </w:t>
      </w:r>
      <w:r>
        <w:rPr/>
        <w:t>行</w:t>
      </w:r>
      <w:r>
        <w:rPr>
          <w:spacing w:val="-78"/>
        </w:rPr>
        <w:t> </w:t>
      </w:r>
      <w:r>
        <w:rPr/>
        <w:t>签</w:t>
      </w:r>
      <w:r>
        <w:rPr>
          <w:spacing w:val="-79"/>
        </w:rPr>
        <w:t> </w:t>
      </w:r>
      <w:r>
        <w:rPr/>
        <w:t>订</w:t>
      </w:r>
      <w:r>
        <w:rPr>
          <w:spacing w:val="-78"/>
        </w:rPr>
        <w:t> </w:t>
      </w:r>
      <w:r>
        <w:rPr/>
        <w:t>综</w:t>
      </w:r>
      <w:r>
        <w:rPr>
          <w:spacing w:val="-78"/>
        </w:rPr>
        <w:t> </w:t>
      </w:r>
      <w:r>
        <w:rPr/>
        <w:t>合</w:t>
      </w:r>
      <w:r>
        <w:rPr>
          <w:spacing w:val="-79"/>
        </w:rPr>
        <w:t> </w:t>
      </w:r>
      <w:r>
        <w:rPr/>
        <w:t>授</w:t>
      </w:r>
      <w:r>
        <w:rPr>
          <w:spacing w:val="-78"/>
        </w:rPr>
        <w:t> </w:t>
      </w:r>
      <w:r>
        <w:rPr/>
        <w:t>信</w:t>
      </w:r>
      <w:r>
        <w:rPr>
          <w:spacing w:val="-79"/>
        </w:rPr>
        <w:t> </w:t>
      </w:r>
      <w:r>
        <w:rPr/>
        <w:t>合</w:t>
      </w:r>
      <w:r>
        <w:rPr>
          <w:spacing w:val="-78"/>
        </w:rPr>
        <w:t> </w:t>
      </w:r>
      <w:r>
        <w:rPr/>
        <w:t>同</w:t>
      </w:r>
      <w:r>
        <w:rPr>
          <w:spacing w:val="-78"/>
        </w:rPr>
        <w:t> </w:t>
      </w:r>
      <w:r>
        <w:rPr/>
        <w:t>，</w:t>
      </w:r>
      <w:r>
        <w:rPr>
          <w:spacing w:val="-79"/>
        </w:rPr>
        <w:t> </w:t>
      </w:r>
      <w:r>
        <w:rPr/>
        <w:t>北</w:t>
      </w:r>
      <w:r>
        <w:rPr>
          <w:spacing w:val="-78"/>
        </w:rPr>
        <w:t> </w:t>
      </w:r>
      <w:r>
        <w:rPr/>
        <w:t>京</w:t>
      </w:r>
      <w:r>
        <w:rPr>
          <w:spacing w:val="-79"/>
        </w:rPr>
        <w:t> </w:t>
      </w:r>
      <w:r>
        <w:rPr/>
        <w:t>银</w:t>
      </w:r>
      <w:r>
        <w:rPr>
          <w:spacing w:val="-78"/>
        </w:rPr>
        <w:t> </w:t>
      </w:r>
      <w:r>
        <w:rPr/>
        <w:t>行</w:t>
      </w:r>
      <w:r>
        <w:rPr>
          <w:spacing w:val="-78"/>
        </w:rPr>
        <w:t> </w:t>
      </w:r>
      <w:r>
        <w:rPr/>
        <w:t>深</w:t>
      </w:r>
      <w:r>
        <w:rPr>
          <w:spacing w:val="-79"/>
        </w:rPr>
        <w:t> </w:t>
      </w:r>
      <w:r>
        <w:rPr/>
        <w:t>圳</w:t>
      </w:r>
      <w:r>
        <w:rPr>
          <w:spacing w:val="-78"/>
        </w:rPr>
        <w:t> </w:t>
      </w:r>
      <w:r>
        <w:rPr/>
        <w:t>分</w:t>
      </w:r>
      <w:r>
        <w:rPr>
          <w:spacing w:val="-79"/>
        </w:rPr>
        <w:t> </w:t>
      </w:r>
      <w:r>
        <w:rPr/>
        <w:t>行</w:t>
      </w:r>
      <w:r>
        <w:rPr>
          <w:spacing w:val="-78"/>
        </w:rPr>
        <w:t> </w:t>
      </w:r>
      <w:r>
        <w:rPr/>
        <w:t>为</w:t>
      </w:r>
      <w:r>
        <w:rPr>
          <w:spacing w:val="-78"/>
        </w:rPr>
        <w:t> </w:t>
      </w:r>
      <w:r>
        <w:rPr/>
        <w:t>本</w:t>
      </w:r>
      <w:r>
        <w:rPr>
          <w:spacing w:val="-79"/>
        </w:rPr>
        <w:t> </w:t>
      </w:r>
      <w:r>
        <w:rPr/>
        <w:t>公</w:t>
      </w:r>
      <w:r>
        <w:rPr>
          <w:spacing w:val="-78"/>
        </w:rPr>
        <w:t> </w:t>
      </w:r>
      <w:r>
        <w:rPr/>
        <w:t>司</w:t>
      </w:r>
      <w:r>
        <w:rPr>
          <w:spacing w:val="-79"/>
        </w:rPr>
        <w:t> </w:t>
      </w:r>
      <w:r>
        <w:rPr/>
        <w:t>提</w:t>
      </w:r>
      <w:r>
        <w:rPr>
          <w:spacing w:val="-78"/>
        </w:rPr>
        <w:t> </w:t>
      </w:r>
      <w:r>
        <w:rPr/>
        <w:t>供</w:t>
      </w:r>
      <w:r>
        <w:rPr>
          <w:spacing w:val="-78"/>
        </w:rPr>
        <w:t> </w:t>
      </w:r>
      <w:r>
        <w:rPr/>
        <w:t>包</w:t>
      </w:r>
      <w:r>
        <w:rPr>
          <w:spacing w:val="-79"/>
        </w:rPr>
        <w:t> </w:t>
      </w:r>
      <w:r>
        <w:rPr/>
        <w:t>括</w:t>
      </w:r>
    </w:p>
    <w:p>
      <w:pPr>
        <w:pStyle w:val="Heading5"/>
        <w:spacing w:line="256" w:lineRule="auto" w:before="37"/>
        <w:ind w:right="1129"/>
        <w:jc w:val="both"/>
      </w:pPr>
      <w:r>
        <w:rPr>
          <w:rFonts w:ascii="Times New Roman" w:hAnsi="Times New Roman" w:cs="Times New Roman" w:eastAsia="Times New Roman" w:hint="default"/>
          <w:spacing w:val="-2"/>
        </w:rPr>
        <w:t>180,000,000.00</w:t>
      </w:r>
      <w:r>
        <w:rPr>
          <w:spacing w:val="-2"/>
        </w:rPr>
        <w:t>元买方信贷额度在内的综合授信。根据公司第六届第二十次董事会决议，买方信贷业务的申</w:t>
      </w:r>
      <w:r>
        <w:rPr>
          <w:spacing w:val="-76"/>
        </w:rPr>
        <w:t> </w:t>
      </w:r>
      <w:r>
        <w:rPr>
          <w:spacing w:val="-76"/>
        </w:rPr>
      </w:r>
      <w:r>
        <w:rPr>
          <w:spacing w:val="20"/>
        </w:rPr>
        <w:t>请人为年收</w:t>
      </w:r>
      <w:r>
        <w:rPr>
          <w:spacing w:val="-79"/>
        </w:rPr>
        <w:t> </w:t>
      </w:r>
      <w:r>
        <w:rPr>
          <w:spacing w:val="12"/>
        </w:rPr>
        <w:t>入在</w:t>
      </w:r>
      <w:r>
        <w:rPr>
          <w:spacing w:val="35"/>
        </w:rPr>
        <w:t> </w:t>
      </w:r>
      <w:r>
        <w:rPr>
          <w:rFonts w:ascii="Times New Roman" w:hAnsi="Times New Roman" w:cs="Times New Roman" w:eastAsia="Times New Roman" w:hint="default"/>
        </w:rPr>
        <w:t>50,000,000.00</w:t>
      </w:r>
      <w:r>
        <w:rPr>
          <w:rFonts w:ascii="Times New Roman" w:hAnsi="Times New Roman" w:cs="Times New Roman" w:eastAsia="Times New Roman" w:hint="default"/>
          <w:spacing w:val="6"/>
        </w:rPr>
        <w:t> </w:t>
      </w:r>
      <w:r>
        <w:rPr>
          <w:spacing w:val="20"/>
        </w:rPr>
        <w:t>元以上的地、</w:t>
      </w:r>
      <w:r>
        <w:rPr>
          <w:spacing w:val="-80"/>
        </w:rPr>
        <w:t> </w:t>
      </w:r>
      <w:r>
        <w:rPr/>
        <w:t>市</w:t>
      </w:r>
      <w:r>
        <w:rPr>
          <w:spacing w:val="-79"/>
        </w:rPr>
        <w:t> </w:t>
      </w:r>
      <w:r>
        <w:rPr>
          <w:spacing w:val="20"/>
        </w:rPr>
        <w:t>级以上级别</w:t>
      </w:r>
      <w:r>
        <w:rPr>
          <w:spacing w:val="-79"/>
        </w:rPr>
        <w:t> </w:t>
      </w:r>
      <w:r>
        <w:rPr>
          <w:spacing w:val="20"/>
        </w:rPr>
        <w:t>的公立三甲</w:t>
      </w:r>
      <w:r>
        <w:rPr>
          <w:spacing w:val="-79"/>
        </w:rPr>
        <w:t> </w:t>
      </w:r>
      <w:r>
        <w:rPr>
          <w:spacing w:val="16"/>
        </w:rPr>
        <w:t>医院，</w:t>
      </w:r>
      <w:r>
        <w:rPr>
          <w:spacing w:val="-80"/>
        </w:rPr>
        <w:t> </w:t>
      </w:r>
      <w:r>
        <w:rPr>
          <w:spacing w:val="12"/>
        </w:rPr>
        <w:t>公司</w:t>
      </w:r>
      <w:r>
        <w:rPr>
          <w:spacing w:val="-79"/>
        </w:rPr>
        <w:t> </w:t>
      </w:r>
      <w:r>
        <w:rPr>
          <w:spacing w:val="20"/>
        </w:rPr>
        <w:t>作为保证人在</w:t>
      </w:r>
      <w:r>
        <w:rPr/>
        <w:t> </w:t>
      </w:r>
      <w:r>
        <w:rPr>
          <w:rFonts w:ascii="Times New Roman" w:hAnsi="Times New Roman" w:cs="Times New Roman" w:eastAsia="Times New Roman" w:hint="default"/>
        </w:rPr>
        <w:t>50,000,000.00</w:t>
      </w:r>
      <w:r>
        <w:rPr/>
        <w:t>元额度下提供连带责任保证，具体对象以业务实际发生对象为准。截止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w:t>
      </w:r>
      <w:r>
        <w:rPr>
          <w:spacing w:val="-78"/>
        </w:rPr>
        <w:t> </w:t>
      </w:r>
      <w:r>
        <w:rPr/>
        <w:t>司尚未开展上述买方信贷业务。</w:t>
      </w:r>
    </w:p>
    <w:p>
      <w:pPr>
        <w:pStyle w:val="Heading5"/>
        <w:spacing w:line="240" w:lineRule="auto" w:before="22"/>
        <w:ind w:left="574" w:right="0"/>
        <w:jc w:val="left"/>
      </w:pPr>
      <w:r>
        <w:rPr/>
        <w:t>②合并范围内企业担保情况参见</w:t>
      </w:r>
      <w:r>
        <w:rPr>
          <w:rFonts w:ascii="Times New Roman" w:hAnsi="Times New Roman" w:cs="Times New Roman" w:eastAsia="Times New Roman" w:hint="default"/>
        </w:rPr>
        <w:t>“</w:t>
      </w:r>
      <w:r>
        <w:rPr/>
        <w:t>附注七、</w:t>
      </w:r>
      <w:r>
        <w:rPr>
          <w:rFonts w:ascii="Times New Roman" w:hAnsi="Times New Roman" w:cs="Times New Roman" w:eastAsia="Times New Roman" w:hint="default"/>
        </w:rPr>
        <w:t>19</w:t>
      </w:r>
      <w:r>
        <w:rPr/>
        <w:t>短期借款</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附注七、</w:t>
      </w:r>
      <w:r>
        <w:rPr>
          <w:rFonts w:ascii="Times New Roman" w:hAnsi="Times New Roman" w:cs="Times New Roman" w:eastAsia="Times New Roman" w:hint="default"/>
        </w:rPr>
        <w:t>27</w:t>
      </w:r>
      <w:r>
        <w:rPr/>
        <w:t>长期借款</w:t>
      </w:r>
      <w:r>
        <w:rPr>
          <w:rFonts w:ascii="Times New Roman" w:hAnsi="Times New Roman" w:cs="Times New Roman" w:eastAsia="Times New Roman" w:hint="default"/>
        </w:rPr>
        <w:t>”</w:t>
      </w:r>
      <w:r>
        <w:rPr/>
        <w:t>。</w:t>
      </w:r>
    </w:p>
    <w:p>
      <w:pPr>
        <w:pStyle w:val="Heading5"/>
        <w:spacing w:line="240" w:lineRule="auto" w:before="21"/>
        <w:ind w:left="574" w:right="0"/>
        <w:jc w:val="left"/>
      </w:pPr>
      <w:r>
        <w:rPr/>
        <w:t>（</w:t>
      </w:r>
      <w:r>
        <w:rPr>
          <w:rFonts w:ascii="Times New Roman" w:hAnsi="Times New Roman" w:cs="Times New Roman" w:eastAsia="Times New Roman" w:hint="default"/>
        </w:rPr>
        <w:t>3</w:t>
      </w:r>
      <w:r>
        <w:rPr/>
        <w:t>）其他或有负债及其财务影响</w:t>
      </w:r>
    </w:p>
    <w:p>
      <w:pPr>
        <w:spacing w:after="0" w:line="240" w:lineRule="auto"/>
        <w:jc w:val="left"/>
        <w:sectPr>
          <w:pgSz w:w="11910" w:h="16840"/>
          <w:pgMar w:header="787" w:footer="1019" w:top="1100" w:bottom="1200" w:left="980" w:right="0"/>
        </w:sectPr>
      </w:pPr>
    </w:p>
    <w:p>
      <w:pPr>
        <w:spacing w:line="240" w:lineRule="auto" w:before="7"/>
        <w:rPr>
          <w:rFonts w:ascii="宋体" w:hAnsi="宋体" w:cs="宋体" w:eastAsia="宋体" w:hint="default"/>
          <w:sz w:val="21"/>
          <w:szCs w:val="21"/>
        </w:rPr>
      </w:pPr>
    </w:p>
    <w:p>
      <w:pPr>
        <w:pStyle w:val="Heading5"/>
        <w:spacing w:line="256" w:lineRule="auto" w:before="35"/>
        <w:ind w:right="0" w:firstLine="42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日，本公司为承接工程项目出具的未到期投标、履约及预付款保函共计</w:t>
      </w:r>
      <w:r>
        <w:rPr>
          <w:rFonts w:ascii="Times New Roman" w:hAnsi="Times New Roman" w:cs="Times New Roman" w:eastAsia="Times New Roman" w:hint="default"/>
        </w:rPr>
        <w:t>120</w:t>
      </w:r>
      <w:r>
        <w:rPr/>
        <w:t>份，合 </w:t>
      </w:r>
      <w:r>
        <w:rPr>
          <w:spacing w:val="-4"/>
        </w:rPr>
        <w:t>计金额为</w:t>
      </w:r>
      <w:r>
        <w:rPr>
          <w:rFonts w:ascii="Times New Roman" w:hAnsi="Times New Roman" w:cs="Times New Roman" w:eastAsia="Times New Roman" w:hint="default"/>
          <w:spacing w:val="-4"/>
        </w:rPr>
        <w:t>381,275,036.10</w:t>
      </w:r>
      <w:r>
        <w:rPr>
          <w:spacing w:val="-4"/>
        </w:rPr>
        <w:t>元。其中未到期投标、履约及预付款保函的明细（前</w:t>
      </w:r>
      <w:r>
        <w:rPr>
          <w:rFonts w:ascii="Times New Roman" w:hAnsi="Times New Roman" w:cs="Times New Roman" w:eastAsia="Times New Roman" w:hint="default"/>
          <w:spacing w:val="-4"/>
        </w:rPr>
        <w:t>10</w:t>
      </w:r>
      <w:r>
        <w:rPr>
          <w:spacing w:val="-4"/>
        </w:rPr>
        <w:t>名之外部分汇总列示）如下：</w:t>
      </w:r>
    </w:p>
    <w:p>
      <w:pPr>
        <w:spacing w:line="240" w:lineRule="auto" w:before="3"/>
        <w:rPr>
          <w:rFonts w:ascii="宋体" w:hAnsi="宋体" w:cs="宋体" w:eastAsia="宋体" w:hint="default"/>
          <w:sz w:val="24"/>
          <w:szCs w:val="24"/>
        </w:rPr>
      </w:pPr>
    </w:p>
    <w:p>
      <w:pPr>
        <w:pStyle w:val="Heading5"/>
        <w:spacing w:line="240" w:lineRule="auto" w:before="0"/>
        <w:ind w:left="0" w:right="1130"/>
        <w:jc w:val="right"/>
      </w:pPr>
      <w:r>
        <w:rPr/>
        <w:t>单位：元</w:t>
      </w:r>
    </w:p>
    <w:p>
      <w:pPr>
        <w:spacing w:line="240" w:lineRule="auto" w:before="13"/>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2784"/>
        <w:gridCol w:w="1628"/>
        <w:gridCol w:w="1441"/>
        <w:gridCol w:w="3806"/>
      </w:tblGrid>
      <w:tr>
        <w:trPr>
          <w:trHeight w:val="34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受益人</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3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开具银行</w:t>
            </w:r>
          </w:p>
        </w:tc>
      </w:tr>
      <w:tr>
        <w:trPr>
          <w:trHeight w:val="34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安徽省宿州市立医院</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1"/>
              <w:jc w:val="right"/>
              <w:rPr>
                <w:rFonts w:ascii="Times New Roman" w:hAnsi="Times New Roman" w:cs="Times New Roman" w:eastAsia="Times New Roman" w:hint="default"/>
                <w:sz w:val="18"/>
                <w:szCs w:val="18"/>
              </w:rPr>
            </w:pPr>
            <w:r>
              <w:rPr>
                <w:rFonts w:ascii="Times New Roman"/>
                <w:spacing w:val="-1"/>
                <w:sz w:val="18"/>
              </w:rPr>
              <w:t>45,856,000.00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2019/12/1</w:t>
            </w:r>
          </w:p>
        </w:tc>
        <w:tc>
          <w:tcPr>
            <w:tcW w:w="3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中国银行股份有限公司</w:t>
            </w:r>
          </w:p>
        </w:tc>
      </w:tr>
      <w:tr>
        <w:trPr>
          <w:trHeight w:val="34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淮南市卫生和计划生育委员会</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1"/>
              <w:jc w:val="right"/>
              <w:rPr>
                <w:rFonts w:ascii="Times New Roman" w:hAnsi="Times New Roman" w:cs="Times New Roman" w:eastAsia="Times New Roman" w:hint="default"/>
                <w:sz w:val="18"/>
                <w:szCs w:val="18"/>
              </w:rPr>
            </w:pPr>
            <w:r>
              <w:rPr>
                <w:rFonts w:ascii="Times New Roman"/>
                <w:spacing w:val="-1"/>
                <w:sz w:val="18"/>
              </w:rPr>
              <w:t>30,000,000.00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2021/12/4</w:t>
            </w:r>
          </w:p>
        </w:tc>
        <w:tc>
          <w:tcPr>
            <w:tcW w:w="3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深圳市中小企业信用融资担保集团有限公司</w:t>
            </w:r>
          </w:p>
        </w:tc>
      </w:tr>
      <w:tr>
        <w:trPr>
          <w:trHeight w:val="654"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69"/>
              <w:jc w:val="left"/>
              <w:rPr>
                <w:rFonts w:ascii="宋体" w:hAnsi="宋体" w:cs="宋体" w:eastAsia="宋体" w:hint="default"/>
                <w:sz w:val="18"/>
                <w:szCs w:val="18"/>
              </w:rPr>
            </w:pPr>
            <w:r>
              <w:rPr>
                <w:rFonts w:ascii="宋体" w:hAnsi="宋体" w:cs="宋体" w:eastAsia="宋体" w:hint="default"/>
                <w:sz w:val="18"/>
                <w:szCs w:val="18"/>
              </w:rPr>
              <w:t>安信证券股份有限公司、民太安保 险公估集团股份有限公司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1"/>
              <w:jc w:val="right"/>
              <w:rPr>
                <w:rFonts w:ascii="Times New Roman" w:hAnsi="Times New Roman" w:cs="Times New Roman" w:eastAsia="Times New Roman" w:hint="default"/>
                <w:sz w:val="18"/>
                <w:szCs w:val="18"/>
              </w:rPr>
            </w:pPr>
            <w:r>
              <w:rPr>
                <w:rFonts w:ascii="Times New Roman"/>
                <w:spacing w:val="-1"/>
                <w:sz w:val="18"/>
              </w:rPr>
              <w:t>14,436,900.00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2019/11/15</w:t>
            </w:r>
          </w:p>
        </w:tc>
        <w:tc>
          <w:tcPr>
            <w:tcW w:w="3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平安银行股份有限公司</w:t>
            </w:r>
          </w:p>
        </w:tc>
      </w:tr>
      <w:tr>
        <w:trPr>
          <w:trHeight w:val="34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重庆市城市建设发展有限公司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1"/>
              <w:jc w:val="right"/>
              <w:rPr>
                <w:rFonts w:ascii="Times New Roman" w:hAnsi="Times New Roman" w:cs="Times New Roman" w:eastAsia="Times New Roman" w:hint="default"/>
                <w:sz w:val="18"/>
                <w:szCs w:val="18"/>
              </w:rPr>
            </w:pPr>
            <w:r>
              <w:rPr>
                <w:rFonts w:ascii="Times New Roman"/>
                <w:spacing w:val="-1"/>
                <w:sz w:val="18"/>
              </w:rPr>
              <w:t>11,459,322.17</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2019/2/28</w:t>
            </w:r>
          </w:p>
        </w:tc>
        <w:tc>
          <w:tcPr>
            <w:tcW w:w="3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南京银行股份有限公司</w:t>
            </w:r>
          </w:p>
        </w:tc>
      </w:tr>
      <w:tr>
        <w:trPr>
          <w:trHeight w:val="34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石家庄市轨道交通有限责任公司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1"/>
              <w:jc w:val="right"/>
              <w:rPr>
                <w:rFonts w:ascii="Times New Roman" w:hAnsi="Times New Roman" w:cs="Times New Roman" w:eastAsia="Times New Roman" w:hint="default"/>
                <w:sz w:val="18"/>
                <w:szCs w:val="18"/>
              </w:rPr>
            </w:pPr>
            <w:r>
              <w:rPr>
                <w:rFonts w:ascii="Times New Roman"/>
                <w:spacing w:val="-1"/>
                <w:sz w:val="18"/>
              </w:rPr>
              <w:t>10,325,223.52</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2021/6/30</w:t>
            </w:r>
          </w:p>
        </w:tc>
        <w:tc>
          <w:tcPr>
            <w:tcW w:w="3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平安银行股份有限公司</w:t>
            </w:r>
          </w:p>
        </w:tc>
      </w:tr>
      <w:tr>
        <w:trPr>
          <w:trHeight w:val="34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深圳市地铁集团有限公司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1"/>
              <w:jc w:val="right"/>
              <w:rPr>
                <w:rFonts w:ascii="Times New Roman" w:hAnsi="Times New Roman" w:cs="Times New Roman" w:eastAsia="Times New Roman" w:hint="default"/>
                <w:sz w:val="18"/>
                <w:szCs w:val="18"/>
              </w:rPr>
            </w:pPr>
            <w:r>
              <w:rPr>
                <w:rFonts w:ascii="Times New Roman"/>
                <w:spacing w:val="-1"/>
                <w:sz w:val="18"/>
              </w:rPr>
              <w:t>10,169,686.70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2021/11/20</w:t>
            </w:r>
          </w:p>
        </w:tc>
        <w:tc>
          <w:tcPr>
            <w:tcW w:w="3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平安银行股份有限公司</w:t>
            </w:r>
          </w:p>
        </w:tc>
      </w:tr>
      <w:tr>
        <w:trPr>
          <w:trHeight w:val="34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深圳市地铁集团有限公司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1"/>
              <w:jc w:val="right"/>
              <w:rPr>
                <w:rFonts w:ascii="Times New Roman" w:hAnsi="Times New Roman" w:cs="Times New Roman" w:eastAsia="Times New Roman" w:hint="default"/>
                <w:sz w:val="18"/>
                <w:szCs w:val="18"/>
              </w:rPr>
            </w:pPr>
            <w:r>
              <w:rPr>
                <w:rFonts w:ascii="Times New Roman"/>
                <w:spacing w:val="-1"/>
                <w:sz w:val="18"/>
              </w:rPr>
              <w:t>10,169,686.70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2020/12/1</w:t>
            </w:r>
          </w:p>
        </w:tc>
        <w:tc>
          <w:tcPr>
            <w:tcW w:w="3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平安银行股份有限公司</w:t>
            </w:r>
          </w:p>
        </w:tc>
      </w:tr>
      <w:tr>
        <w:trPr>
          <w:trHeight w:val="34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仁怀市人民医院</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1"/>
              <w:jc w:val="right"/>
              <w:rPr>
                <w:rFonts w:ascii="Times New Roman" w:hAnsi="Times New Roman" w:cs="Times New Roman" w:eastAsia="Times New Roman" w:hint="default"/>
                <w:sz w:val="18"/>
                <w:szCs w:val="18"/>
              </w:rPr>
            </w:pPr>
            <w:r>
              <w:rPr>
                <w:rFonts w:ascii="Times New Roman"/>
                <w:spacing w:val="-1"/>
                <w:sz w:val="18"/>
              </w:rPr>
              <w:t>10,000,000.00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2019/7/17</w:t>
            </w:r>
          </w:p>
        </w:tc>
        <w:tc>
          <w:tcPr>
            <w:tcW w:w="3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平安银行股份有限公司</w:t>
            </w:r>
          </w:p>
        </w:tc>
      </w:tr>
      <w:tr>
        <w:trPr>
          <w:trHeight w:val="34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东莞市民盈房地产开发有限公司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1"/>
              <w:jc w:val="right"/>
              <w:rPr>
                <w:rFonts w:ascii="Times New Roman" w:hAnsi="Times New Roman" w:cs="Times New Roman" w:eastAsia="Times New Roman" w:hint="default"/>
                <w:sz w:val="18"/>
                <w:szCs w:val="18"/>
              </w:rPr>
            </w:pPr>
            <w:r>
              <w:rPr>
                <w:rFonts w:ascii="Times New Roman"/>
                <w:spacing w:val="-1"/>
                <w:sz w:val="18"/>
              </w:rPr>
              <w:t>9,500,000.00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2019/5/1</w:t>
            </w:r>
          </w:p>
        </w:tc>
        <w:tc>
          <w:tcPr>
            <w:tcW w:w="3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中国建设银行股份有限公司</w:t>
            </w:r>
          </w:p>
        </w:tc>
      </w:tr>
      <w:tr>
        <w:trPr>
          <w:trHeight w:val="34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上海申通地铁集团有限公司</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1"/>
              <w:jc w:val="right"/>
              <w:rPr>
                <w:rFonts w:ascii="Times New Roman" w:hAnsi="Times New Roman" w:cs="Times New Roman" w:eastAsia="Times New Roman" w:hint="default"/>
                <w:sz w:val="18"/>
                <w:szCs w:val="18"/>
              </w:rPr>
            </w:pPr>
            <w:r>
              <w:rPr>
                <w:rFonts w:ascii="Times New Roman"/>
                <w:spacing w:val="-1"/>
                <w:sz w:val="18"/>
              </w:rPr>
              <w:t>8,450,000.05</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2020/12/31</w:t>
            </w:r>
          </w:p>
        </w:tc>
        <w:tc>
          <w:tcPr>
            <w:tcW w:w="3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中信银行股份有限公司</w:t>
            </w:r>
          </w:p>
        </w:tc>
      </w:tr>
      <w:tr>
        <w:trPr>
          <w:trHeight w:val="34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1"/>
              <w:jc w:val="right"/>
              <w:rPr>
                <w:rFonts w:ascii="Times New Roman" w:hAnsi="Times New Roman" w:cs="Times New Roman" w:eastAsia="Times New Roman" w:hint="default"/>
                <w:sz w:val="18"/>
                <w:szCs w:val="18"/>
              </w:rPr>
            </w:pPr>
            <w:r>
              <w:rPr>
                <w:rFonts w:ascii="Times New Roman"/>
                <w:spacing w:val="-1"/>
                <w:sz w:val="18"/>
              </w:rPr>
              <w:t>220,908,216.96</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w:t>
            </w:r>
          </w:p>
        </w:tc>
        <w:tc>
          <w:tcPr>
            <w:tcW w:w="3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r>
      <w:tr>
        <w:trPr>
          <w:trHeight w:val="342" w:hRule="exact"/>
        </w:trPr>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11"/>
              <w:jc w:val="right"/>
              <w:rPr>
                <w:rFonts w:ascii="Times New Roman" w:hAnsi="Times New Roman" w:cs="Times New Roman" w:eastAsia="Times New Roman" w:hint="default"/>
                <w:sz w:val="18"/>
                <w:szCs w:val="18"/>
              </w:rPr>
            </w:pPr>
            <w:r>
              <w:rPr>
                <w:rFonts w:ascii="Times New Roman"/>
                <w:spacing w:val="-1"/>
                <w:sz w:val="18"/>
              </w:rPr>
              <w:t>381,275,036.10</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w:t>
            </w:r>
          </w:p>
        </w:tc>
        <w:tc>
          <w:tcPr>
            <w:tcW w:w="3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r>
    </w:tbl>
    <w:p>
      <w:pPr>
        <w:pStyle w:val="Heading5"/>
        <w:spacing w:line="260" w:lineRule="exact" w:before="0"/>
        <w:ind w:left="574" w:right="0"/>
        <w:jc w:val="left"/>
      </w:pPr>
      <w:r>
        <w:rPr/>
        <w:t>注：若公司未按合同履约，将在有效期内向受益人支付不超过保函金额的赔偿额。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7"/>
        <w:ind w:right="0"/>
        <w:jc w:val="left"/>
        <w:rPr>
          <w:b w:val="0"/>
          <w:bCs w:val="0"/>
        </w:rPr>
      </w:pPr>
      <w:bookmarkStart w:name="（2）公司没有需要披露的重要或有事项，也应予以说明" w:id="406"/>
      <w:bookmarkEnd w:id="406"/>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其他" w:id="407"/>
      <w:bookmarkEnd w:id="407"/>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四、资产负债表日后事项" w:id="408"/>
      <w:bookmarkEnd w:id="408"/>
      <w:r>
        <w:rPr>
          <w:b w:val="0"/>
          <w:bCs w:val="0"/>
        </w:rPr>
      </w:r>
      <w:r>
        <w:rPr/>
        <w:t>十四、资产负债表日后事项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 重要的非调整事项" w:id="409"/>
      <w:bookmarkEnd w:id="409"/>
      <w:r>
        <w:rPr>
          <w:b w:val="0"/>
          <w:bCs w:val="0"/>
        </w:rPr>
      </w:r>
      <w:r>
        <w:rPr>
          <w:rFonts w:ascii="Times New Roman" w:hAnsi="Times New Roman" w:cs="Times New Roman" w:eastAsia="Times New Roman" w:hint="default"/>
        </w:rPr>
        <w:t>1</w:t>
      </w:r>
      <w:r>
        <w:rPr/>
        <w:t>、</w:t>
      </w:r>
      <w:r>
        <w:rPr>
          <w:spacing w:val="-65"/>
        </w:rPr>
        <w:t> </w:t>
      </w:r>
      <w:r>
        <w:rPr/>
        <w:t>重要的非调整事项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利润分配情况" w:id="410"/>
      <w:bookmarkEnd w:id="410"/>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8"/>
        <w:rPr>
          <w:rFonts w:ascii="宋体" w:hAnsi="宋体" w:cs="宋体" w:eastAsia="宋体" w:hint="default"/>
          <w:sz w:val="21"/>
          <w:szCs w:val="21"/>
        </w:rPr>
      </w:pPr>
    </w:p>
    <w:p>
      <w:pPr>
        <w:pStyle w:val="Heading4"/>
        <w:spacing w:line="240" w:lineRule="auto" w:before="35"/>
        <w:ind w:right="0"/>
        <w:jc w:val="left"/>
        <w:rPr>
          <w:b w:val="0"/>
          <w:bCs w:val="0"/>
        </w:rPr>
      </w:pPr>
      <w:bookmarkStart w:name="3、销售退回" w:id="411"/>
      <w:bookmarkEnd w:id="411"/>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4"/>
          <w:szCs w:val="24"/>
        </w:rPr>
      </w:pPr>
    </w:p>
    <w:p>
      <w:pPr>
        <w:pStyle w:val="Heading5"/>
        <w:spacing w:line="240" w:lineRule="auto" w:before="0"/>
        <w:ind w:left="574"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日，本公司无需要披露的重大销售退回事项。</w:t>
      </w:r>
    </w:p>
    <w:p>
      <w:pPr>
        <w:spacing w:line="240" w:lineRule="auto" w:before="9"/>
        <w:rPr>
          <w:rFonts w:ascii="宋体" w:hAnsi="宋体" w:cs="宋体" w:eastAsia="宋体" w:hint="default"/>
          <w:sz w:val="24"/>
          <w:szCs w:val="24"/>
        </w:rPr>
      </w:pPr>
    </w:p>
    <w:p>
      <w:pPr>
        <w:spacing w:line="506" w:lineRule="auto" w:before="0"/>
        <w:ind w:left="574" w:right="2562" w:hanging="420"/>
        <w:jc w:val="left"/>
        <w:rPr>
          <w:rFonts w:ascii="宋体" w:hAnsi="宋体" w:cs="宋体" w:eastAsia="宋体" w:hint="default"/>
          <w:sz w:val="21"/>
          <w:szCs w:val="21"/>
        </w:rPr>
      </w:pPr>
      <w:bookmarkStart w:name="4、其他资产负债表日后事项说明" w:id="412"/>
      <w:bookmarkEnd w:id="412"/>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r>
        <w:rPr>
          <w:rFonts w:ascii="宋体" w:hAnsi="宋体" w:cs="宋体" w:eastAsia="宋体" w:hint="default"/>
          <w:sz w:val="21"/>
          <w:szCs w:val="21"/>
        </w:rPr>
        <w:t>截至</w:t>
      </w: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日，本公司无需要披露的其他重要的资产负债表日后非调整事项。</w:t>
      </w:r>
    </w:p>
    <w:p>
      <w:pPr>
        <w:pStyle w:val="Heading2"/>
        <w:spacing w:line="240" w:lineRule="auto" w:before="41"/>
        <w:ind w:right="0"/>
        <w:jc w:val="left"/>
        <w:rPr>
          <w:b w:val="0"/>
          <w:bCs w:val="0"/>
        </w:rPr>
      </w:pPr>
      <w:bookmarkStart w:name="十五、其他重要事项" w:id="413"/>
      <w:bookmarkEnd w:id="413"/>
      <w:r>
        <w:rPr>
          <w:b w:val="0"/>
          <w:bCs w:val="0"/>
        </w:rPr>
      </w:r>
      <w:r>
        <w:rPr/>
        <w:t>十五、其他重要事项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前期会计差错更正" w:id="414"/>
      <w:bookmarkEnd w:id="414"/>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追溯重述法" w:id="415"/>
      <w:bookmarkEnd w:id="415"/>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未来适用法" w:id="416"/>
      <w:bookmarkEnd w:id="416"/>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债务重组" w:id="417"/>
      <w:bookmarkEnd w:id="417"/>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9"/>
        <w:rPr>
          <w:rFonts w:ascii="宋体" w:hAnsi="宋体" w:cs="宋体" w:eastAsia="宋体" w:hint="default"/>
          <w:b/>
          <w:bCs/>
          <w:sz w:val="24"/>
          <w:szCs w:val="24"/>
        </w:rPr>
      </w:pPr>
    </w:p>
    <w:p>
      <w:pPr>
        <w:pStyle w:val="Heading5"/>
        <w:spacing w:line="256" w:lineRule="auto" w:before="0"/>
        <w:ind w:right="1126" w:firstLine="420"/>
        <w:jc w:val="both"/>
      </w:pPr>
      <w:r>
        <w:rPr>
          <w:rFonts w:ascii="Times New Roman" w:hAnsi="Times New Roman" w:cs="Times New Roman" w:eastAsia="Times New Roman" w:hint="default"/>
          <w:spacing w:val="-1"/>
        </w:rPr>
        <w:t>2018</w:t>
      </w:r>
      <w:r>
        <w:rPr>
          <w:spacing w:val="-1"/>
        </w:rPr>
        <w:t>年公司分别与江苏沃得房地产开发有限公司、哈尔滨泰鸿房地产开发有限公司完成债务重组，以</w:t>
      </w:r>
      <w:r>
        <w:rPr/>
        <w:t> </w:t>
      </w:r>
      <w:r>
        <w:rPr>
          <w:spacing w:val="3"/>
        </w:rPr>
        <w:t>房产偿还其所欠工程款</w:t>
      </w:r>
      <w:r>
        <w:rPr>
          <w:rFonts w:ascii="Times New Roman" w:hAnsi="Times New Roman" w:cs="Times New Roman" w:eastAsia="Times New Roman" w:hint="default"/>
          <w:spacing w:val="3"/>
        </w:rPr>
        <w:t>2,858,944.00</w:t>
      </w:r>
      <w:r>
        <w:rPr>
          <w:spacing w:val="3"/>
        </w:rPr>
        <w:t>元、</w:t>
      </w:r>
      <w:r>
        <w:rPr>
          <w:rFonts w:ascii="Times New Roman" w:hAnsi="Times New Roman" w:cs="Times New Roman" w:eastAsia="Times New Roman" w:hint="default"/>
          <w:spacing w:val="3"/>
        </w:rPr>
        <w:t>1,895,525.00</w:t>
      </w:r>
      <w:r>
        <w:rPr>
          <w:spacing w:val="3"/>
        </w:rPr>
        <w:t>元，公司将房产处置后共收回款项</w:t>
      </w:r>
      <w:r>
        <w:rPr>
          <w:rFonts w:ascii="Times New Roman" w:hAnsi="Times New Roman" w:cs="Times New Roman" w:eastAsia="Times New Roman" w:hint="default"/>
          <w:spacing w:val="3"/>
        </w:rPr>
        <w:t>2,370,000.00</w:t>
      </w:r>
      <w:r>
        <w:rPr>
          <w:spacing w:val="3"/>
        </w:rPr>
        <w:t>元、</w:t>
      </w:r>
      <w:r>
        <w:rPr>
          <w:spacing w:val="-76"/>
        </w:rPr>
        <w:t> </w:t>
      </w:r>
      <w:r>
        <w:rPr>
          <w:rFonts w:ascii="Times New Roman" w:hAnsi="Times New Roman" w:cs="Times New Roman" w:eastAsia="Times New Roman" w:hint="default"/>
        </w:rPr>
        <w:t>780,000.00</w:t>
      </w:r>
      <w:r>
        <w:rPr/>
        <w:t>元，公司已分别对上述两家公司所欠工程款计提减值准备</w:t>
      </w:r>
      <w:r>
        <w:rPr>
          <w:rFonts w:ascii="Times New Roman" w:hAnsi="Times New Roman" w:cs="Times New Roman" w:eastAsia="Times New Roman" w:hint="default"/>
        </w:rPr>
        <w:t>116,920.32</w:t>
      </w:r>
      <w:r>
        <w:rPr/>
        <w:t>元、</w:t>
      </w:r>
      <w:r>
        <w:rPr>
          <w:rFonts w:ascii="Times New Roman" w:hAnsi="Times New Roman" w:cs="Times New Roman" w:eastAsia="Times New Roman" w:hint="default"/>
        </w:rPr>
        <w:t>159,889.12</w:t>
      </w:r>
      <w:r>
        <w:rPr/>
        <w:t>元，由于债</w:t>
      </w:r>
      <w:r>
        <w:rPr>
          <w:spacing w:val="-33"/>
        </w:rPr>
        <w:t> </w:t>
      </w:r>
      <w:r>
        <w:rPr>
          <w:spacing w:val="-33"/>
        </w:rPr>
      </w:r>
      <w:r>
        <w:rPr/>
        <w:t>务重组产生的损失为</w:t>
      </w:r>
      <w:r>
        <w:rPr>
          <w:rFonts w:ascii="Times New Roman" w:hAnsi="Times New Roman" w:cs="Times New Roman" w:eastAsia="Times New Roman" w:hint="default"/>
        </w:rPr>
        <w:t>372,023.68</w:t>
      </w:r>
      <w:r>
        <w:rPr/>
        <w:t>元、</w:t>
      </w:r>
      <w:r>
        <w:rPr>
          <w:rFonts w:ascii="Times New Roman" w:hAnsi="Times New Roman" w:cs="Times New Roman" w:eastAsia="Times New Roman" w:hint="default"/>
        </w:rPr>
        <w:t>955,635.88</w:t>
      </w:r>
      <w:r>
        <w:rPr/>
        <w:t>元。</w:t>
      </w:r>
    </w:p>
    <w:p>
      <w:pPr>
        <w:spacing w:after="0" w:line="256" w:lineRule="auto"/>
        <w:jc w:val="both"/>
        <w:sectPr>
          <w:pgSz w:w="11910" w:h="16840"/>
          <w:pgMar w:header="787" w:footer="1019" w:top="1100" w:bottom="1200" w:left="980" w:right="0"/>
        </w:sectPr>
      </w:pPr>
    </w:p>
    <w:p>
      <w:pPr>
        <w:spacing w:line="240" w:lineRule="auto" w:before="8"/>
        <w:rPr>
          <w:rFonts w:ascii="宋体" w:hAnsi="宋体" w:cs="宋体" w:eastAsia="宋体" w:hint="default"/>
          <w:sz w:val="21"/>
          <w:szCs w:val="21"/>
        </w:rPr>
      </w:pPr>
    </w:p>
    <w:p>
      <w:pPr>
        <w:pStyle w:val="Heading4"/>
        <w:spacing w:line="240" w:lineRule="auto" w:before="35"/>
        <w:ind w:right="0"/>
        <w:jc w:val="left"/>
        <w:rPr>
          <w:b w:val="0"/>
          <w:bCs w:val="0"/>
        </w:rPr>
      </w:pPr>
      <w:bookmarkStart w:name="3、资产置换" w:id="418"/>
      <w:bookmarkEnd w:id="418"/>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非货币性资产交换" w:id="419"/>
      <w:bookmarkEnd w:id="419"/>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2）其他资产置换" w:id="420"/>
      <w:bookmarkEnd w:id="420"/>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年金计划" w:id="421"/>
      <w:bookmarkEnd w:id="421"/>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终止经营" w:id="422"/>
      <w:bookmarkEnd w:id="422"/>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分部信息" w:id="423"/>
      <w:bookmarkEnd w:id="423"/>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分部的确定依据与会计政策" w:id="424"/>
      <w:bookmarkEnd w:id="424"/>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2）报告分部的财务信息" w:id="425"/>
      <w:bookmarkEnd w:id="425"/>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公司无报告分部的，或者不能披露各报告分部的资产总额和负债总额的，应说明原因" w:id="426"/>
      <w:bookmarkEnd w:id="426"/>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其他说明" w:id="427"/>
      <w:bookmarkEnd w:id="427"/>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7、其他对投资者决策有影响的重要交易和事项" w:id="428"/>
      <w:bookmarkEnd w:id="428"/>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9"/>
        <w:rPr>
          <w:rFonts w:ascii="宋体" w:hAnsi="宋体" w:cs="宋体" w:eastAsia="宋体" w:hint="default"/>
          <w:b/>
          <w:bCs/>
          <w:sz w:val="24"/>
          <w:szCs w:val="24"/>
        </w:rPr>
      </w:pPr>
    </w:p>
    <w:p>
      <w:pPr>
        <w:spacing w:line="487" w:lineRule="auto" w:before="0"/>
        <w:ind w:left="154" w:right="6792" w:firstLine="0"/>
        <w:jc w:val="left"/>
        <w:rPr>
          <w:rFonts w:ascii="宋体" w:hAnsi="宋体" w:cs="宋体" w:eastAsia="宋体" w:hint="default"/>
          <w:sz w:val="21"/>
          <w:szCs w:val="21"/>
        </w:rPr>
      </w:pPr>
      <w:bookmarkStart w:name="8、其他" w:id="429"/>
      <w:bookmarkEnd w:id="42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六、母公司财务报表主要项目注释" w:id="430"/>
      <w:bookmarkEnd w:id="430"/>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十六、母公司财务报表主要项目注释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票据及应收账款" w:id="431"/>
      <w:bookmarkEnd w:id="431"/>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296,943,998.40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86,181,475.28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1,400,479,328.59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1,329,040,528.10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1,697,423,326.99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1,415,222,003.38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票据" w:id="432"/>
      <w:bookmarkEnd w:id="432"/>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7,390,972.88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289,553,025.52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85,181,475.28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296,943,998.40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86,181,475.28</w:t>
            </w:r>
          </w:p>
        </w:tc>
      </w:tr>
    </w:tbl>
    <w:p>
      <w:pPr>
        <w:spacing w:after="0" w:line="240" w:lineRule="auto"/>
        <w:jc w:val="right"/>
        <w:rPr>
          <w:rFonts w:ascii="Times New Roman" w:hAnsi="Times New Roman" w:cs="Times New Roman" w:eastAsia="Times New Roman" w:hint="default"/>
          <w:sz w:val="18"/>
          <w:szCs w:val="18"/>
        </w:rPr>
        <w:sectPr>
          <w:pgSz w:w="11910" w:h="16840"/>
          <w:pgMar w:header="787" w:footer="1019" w:top="1100" w:bottom="1200" w:left="980" w:right="0"/>
        </w:sectPr>
      </w:pPr>
    </w:p>
    <w:p>
      <w:pPr>
        <w:spacing w:line="240" w:lineRule="auto" w:before="1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787" w:footer="1019" w:top="1100" w:bottom="1200" w:left="980" w:right="0"/>
        </w:sectPr>
      </w:pPr>
    </w:p>
    <w:p>
      <w:pPr>
        <w:pStyle w:val="BodyText"/>
        <w:spacing w:line="338" w:lineRule="auto" w:before="44"/>
        <w:ind w:right="2680"/>
        <w:jc w:val="left"/>
      </w:pPr>
      <w:r>
        <w:rPr>
          <w:rFonts w:ascii="Times New Roman" w:hAnsi="Times New Roman" w:cs="Times New Roman" w:eastAsia="Times New Roman" w:hint="default"/>
        </w:rPr>
        <w:t>2)</w:t>
      </w:r>
      <w:r>
        <w:rPr/>
        <w:t>期末公司已质押的应收票据</w:t>
      </w:r>
      <w:r>
        <w:rPr>
          <w:w w:val="99"/>
        </w:rPr>
        <w:t> </w:t>
      </w:r>
      <w:r>
        <w:rPr/>
        <w:t>不适用</w:t>
      </w:r>
    </w:p>
    <w:p>
      <w:pPr>
        <w:pStyle w:val="BodyText"/>
        <w:spacing w:line="240" w:lineRule="auto" w:before="43"/>
        <w:ind w:right="-20"/>
        <w:jc w:val="left"/>
      </w:pPr>
      <w:r>
        <w:rPr>
          <w:rFonts w:ascii="Times New Roman" w:hAnsi="Times New Roman" w:cs="Times New Roman" w:eastAsia="Times New Roman" w:hint="default"/>
        </w:rPr>
        <w:t>3)</w:t>
      </w:r>
      <w:r>
        <w:rPr/>
        <w:t>期末公司已背书或贴现且在资产负债表日尚未到期的应收票据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left="153" w:right="0"/>
        <w:jc w:val="left"/>
      </w:pPr>
      <w:r>
        <w:rPr/>
        <w:t>单位： 元</w:t>
      </w:r>
    </w:p>
    <w:p>
      <w:pPr>
        <w:spacing w:after="0" w:line="240" w:lineRule="auto"/>
        <w:jc w:val="left"/>
        <w:sectPr>
          <w:type w:val="continuous"/>
          <w:pgSz w:w="11910" w:h="16840"/>
          <w:pgMar w:top="1100" w:bottom="1200" w:left="980" w:right="0"/>
          <w:cols w:num="2" w:equalWidth="0">
            <w:col w:w="5165" w:space="366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9,100,980.35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7,062,476.35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16,163,456.70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期末公司因出票人未履约而将其转应收账款的票据" w:id="433"/>
      <w:bookmarkEnd w:id="433"/>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应收账款" w:id="434"/>
      <w:bookmarkEnd w:id="434"/>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2,735,33</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8.40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2,735,33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2,735,3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38.40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2,735,338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1,485,53</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5,612.25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85,056,2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83.66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1,400,479</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,328.59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1,406,4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70,385.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99.25%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77,429,85</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7.08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1,329,040,5</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28.10</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4,591,54</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6.17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4,591,54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6.17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7,918,1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54.86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7,918,154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1,492,86</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2,496.82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92,383,1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68.23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6.19%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1,400,479</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,328.59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1,417,1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23,878.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88,083,35</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0.34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6.22%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1,329,040,5</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28.10</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8"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type w:val="continuous"/>
          <w:pgSz w:w="11910" w:h="16840"/>
          <w:pgMar w:top="1100" w:bottom="1200" w:left="980" w:right="0"/>
        </w:sectPr>
      </w:pPr>
    </w:p>
    <w:p>
      <w:pPr>
        <w:pStyle w:val="BodyText"/>
        <w:spacing w:line="240" w:lineRule="auto" w:before="51"/>
        <w:ind w:right="-20"/>
        <w:jc w:val="left"/>
      </w:pPr>
      <w:r>
        <w:rPr/>
        <w:t>期末单项金额重大并单项计提坏账准备的应收账款：</w:t>
      </w:r>
    </w:p>
    <w:p>
      <w:pPr>
        <w:pStyle w:val="BodyText"/>
        <w:spacing w:line="240" w:lineRule="auto" w:before="1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100" w:bottom="120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01"/>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镇江华龙广场置业有限</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9" w:right="0"/>
              <w:jc w:val="left"/>
              <w:rPr>
                <w:rFonts w:ascii="Times New Roman" w:hAnsi="Times New Roman" w:cs="Times New Roman" w:eastAsia="Times New Roman" w:hint="default"/>
                <w:sz w:val="18"/>
                <w:szCs w:val="18"/>
              </w:rPr>
            </w:pPr>
            <w:r>
              <w:rPr>
                <w:rFonts w:ascii="Times New Roman"/>
                <w:sz w:val="18"/>
              </w:rPr>
              <w:t>2,735,338.40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2,735,338.40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6" w:right="0"/>
              <w:jc w:val="left"/>
              <w:rPr>
                <w:rFonts w:ascii="Times New Roman" w:hAnsi="Times New Roman" w:cs="Times New Roman" w:eastAsia="Times New Roman" w:hint="default"/>
                <w:sz w:val="18"/>
                <w:szCs w:val="18"/>
              </w:rPr>
            </w:pPr>
            <w:r>
              <w:rPr>
                <w:rFonts w:ascii="Times New Roman"/>
                <w:sz w:val="18"/>
              </w:rPr>
              <w:t>100.00%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已诉讼，回收有风险</w:t>
            </w:r>
          </w:p>
        </w:tc>
      </w:tr>
    </w:tbl>
    <w:p>
      <w:pPr>
        <w:spacing w:after="0" w:line="240" w:lineRule="auto"/>
        <w:jc w:val="left"/>
        <w:rPr>
          <w:rFonts w:ascii="宋体" w:hAnsi="宋体" w:cs="宋体" w:eastAsia="宋体" w:hint="default"/>
          <w:sz w:val="18"/>
          <w:szCs w:val="18"/>
        </w:rPr>
        <w:sectPr>
          <w:type w:val="continuous"/>
          <w:pgSz w:w="11910" w:h="16840"/>
          <w:pgMar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36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838"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9" w:right="0"/>
              <w:jc w:val="left"/>
              <w:rPr>
                <w:rFonts w:ascii="Times New Roman" w:hAnsi="Times New Roman" w:cs="Times New Roman" w:eastAsia="Times New Roman" w:hint="default"/>
                <w:sz w:val="18"/>
                <w:szCs w:val="18"/>
              </w:rPr>
            </w:pPr>
            <w:r>
              <w:rPr>
                <w:rFonts w:ascii="Times New Roman"/>
                <w:sz w:val="18"/>
              </w:rPr>
              <w:t>2,735,338.40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2,735,338.40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87" w:footer="1019" w:top="1100" w:bottom="1200" w:left="980" w:right="0"/>
        </w:sectPr>
      </w:pPr>
    </w:p>
    <w:p>
      <w:pPr>
        <w:pStyle w:val="BodyText"/>
        <w:spacing w:line="240" w:lineRule="auto" w:before="51"/>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100" w:bottom="1200" w:left="980" w:right="0"/>
          <w:cols w:num="2" w:equalWidth="0">
            <w:col w:w="4115" w:space="471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0"/>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873,030,850.62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25,546,068.83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2.93%</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442,496,293.25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15,829,343.75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3.58%</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102,104,697.68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9,728,985.73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9.53%</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67,903,770.70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33,951,885.35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37,057,674.44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18,528,837.22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19,437,507.68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9,718,753.84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11,408,588.58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5,704,294.29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1,485,535,612.25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85,056,283.66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980" w:right="0"/>
        </w:sectPr>
      </w:pPr>
    </w:p>
    <w:p>
      <w:pPr>
        <w:pStyle w:val="BodyText"/>
        <w:spacing w:line="357" w:lineRule="auto" w:before="51"/>
        <w:ind w:right="1951"/>
        <w:jc w:val="left"/>
      </w:pPr>
      <w:r>
        <w:rPr/>
        <w:t>确定该组合依据的说明： 组合中，采用余额百分比法计提坏账准备的应收账款：</w:t>
      </w:r>
    </w:p>
    <w:p>
      <w:pPr>
        <w:pStyle w:val="BodyText"/>
        <w:spacing w:line="348" w:lineRule="auto" w:before="29"/>
        <w:ind w:right="231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240" w:lineRule="auto" w:before="14"/>
        <w:ind w:right="-13"/>
        <w:jc w:val="left"/>
      </w:pPr>
      <w:r>
        <w:rPr/>
        <w:t>本期计提坏账准备金额</w:t>
      </w:r>
      <w:r>
        <w:rPr>
          <w:spacing w:val="-47"/>
        </w:rPr>
        <w:t> </w:t>
      </w:r>
      <w:r>
        <w:rPr>
          <w:rFonts w:ascii="Times New Roman" w:hAnsi="Times New Roman" w:cs="Times New Roman" w:eastAsia="Times New Roman" w:hint="default"/>
        </w:rPr>
        <w:t>5,247,435.72</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0"/>
        </w:rPr>
        <w:t> </w:t>
      </w:r>
      <w:r>
        <w:rPr/>
        <w:t>元。</w:t>
      </w:r>
    </w:p>
    <w:p>
      <w:pPr>
        <w:pStyle w:val="BodyText"/>
        <w:spacing w:line="240" w:lineRule="auto" w:before="102"/>
        <w:ind w:right="1951"/>
        <w:jc w:val="left"/>
      </w:pP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left="153" w:right="0"/>
        <w:jc w:val="left"/>
      </w:pPr>
      <w:r>
        <w:rPr/>
        <w:t>单位： 元</w:t>
      </w:r>
    </w:p>
    <w:p>
      <w:pPr>
        <w:spacing w:after="0" w:line="240" w:lineRule="auto"/>
        <w:jc w:val="left"/>
        <w:sectPr>
          <w:type w:val="continuous"/>
          <w:pgSz w:w="11910" w:h="16840"/>
          <w:pgMar w:top="1100" w:bottom="1200" w:left="980" w:right="0"/>
          <w:cols w:num="2" w:equalWidth="0">
            <w:col w:w="6446" w:space="2384"/>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670,808.40</w:t>
            </w:r>
          </w:p>
        </w:tc>
      </w:tr>
    </w:tbl>
    <w:p>
      <w:pPr>
        <w:pStyle w:val="BodyText"/>
        <w:spacing w:line="240" w:lineRule="auto" w:before="51"/>
        <w:ind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河北众诚房地产开发 集团有限公司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249,033.87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依据公司制度</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漯河建业昌建置业有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152,154.00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依据公司制度</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恒大地产集团江津有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145,980.00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依据公司制度</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济南名都置业有限公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75,095.07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依据公司制度</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广西荣和建设开发有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27,707.38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依据公司制度</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长春隆基房地产开发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15,675.00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依据公司制度</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南京卓根实业有限公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3,564.08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依据公司制度</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哈尔滨宝力通市场开 发管理有限公司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1,599.00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依据公司制度</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670,808.40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应收账款核销说明：</w:t>
      </w:r>
    </w:p>
    <w:p>
      <w:pPr>
        <w:pStyle w:val="BodyText"/>
        <w:spacing w:line="240" w:lineRule="auto" w:before="117"/>
        <w:ind w:right="0"/>
        <w:jc w:val="left"/>
      </w:pPr>
      <w:r>
        <w:rPr>
          <w:rFonts w:ascii="Times New Roman" w:hAnsi="Times New Roman" w:cs="Times New Roman" w:eastAsia="Times New Roman" w:hint="default"/>
        </w:rPr>
        <w:t>4)</w:t>
      </w:r>
      <w:r>
        <w:rPr/>
        <w:t>按欠款方归集的期末余额前五名的应收账款情况</w:t>
      </w:r>
    </w:p>
    <w:p>
      <w:pPr>
        <w:pStyle w:val="BodyText"/>
        <w:spacing w:line="240" w:lineRule="auto" w:before="102"/>
        <w:ind w:right="0"/>
        <w:jc w:val="left"/>
      </w:pPr>
      <w:r>
        <w:rPr>
          <w:rFonts w:ascii="Times New Roman" w:hAnsi="Times New Roman" w:cs="Times New Roman" w:eastAsia="Times New Roman" w:hint="default"/>
        </w:rPr>
        <w:t>5)</w:t>
      </w:r>
      <w:r>
        <w:rPr/>
        <w:t>因金融资产转移而终止确认的应收账款</w:t>
      </w:r>
    </w:p>
    <w:p>
      <w:pPr>
        <w:pStyle w:val="BodyText"/>
        <w:spacing w:line="240" w:lineRule="auto" w:before="103"/>
        <w:ind w:right="0"/>
        <w:jc w:val="left"/>
      </w:pPr>
      <w:r>
        <w:rPr>
          <w:rFonts w:ascii="Times New Roman" w:hAnsi="Times New Roman" w:cs="Times New Roman" w:eastAsia="Times New Roman" w:hint="default"/>
        </w:rPr>
        <w:t>6)</w:t>
      </w:r>
      <w:r>
        <w:rPr/>
        <w:t>转移应收账款且继续涉入形成的资产、负债金额</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其他应收款" w:id="435"/>
      <w:bookmarkEnd w:id="43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434,748,913.43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48,709,696.95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434,748,913.43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48,709,696.95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利息" w:id="436"/>
      <w:bookmarkEnd w:id="436"/>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应收利息分类</w:t>
      </w:r>
    </w:p>
    <w:p>
      <w:pPr>
        <w:pStyle w:val="BodyText"/>
        <w:spacing w:line="240" w:lineRule="auto" w:before="103"/>
        <w:ind w:right="0"/>
        <w:jc w:val="left"/>
      </w:pPr>
      <w:r>
        <w:rPr>
          <w:rFonts w:ascii="Times New Roman" w:hAnsi="Times New Roman" w:cs="Times New Roman" w:eastAsia="Times New Roman" w:hint="default"/>
        </w:rPr>
        <w:t>2)</w:t>
      </w:r>
      <w:r>
        <w:rPr/>
        <w:t>重要逾期利息</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应收股利" w:id="437"/>
      <w:bookmarkEnd w:id="437"/>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应收股利</w:t>
      </w:r>
    </w:p>
    <w:p>
      <w:pPr>
        <w:pStyle w:val="BodyText"/>
        <w:spacing w:line="240" w:lineRule="auto" w:before="102"/>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其他应收款" w:id="438"/>
      <w:bookmarkEnd w:id="438"/>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62"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444,664,</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582.94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9,915,66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434,748,9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13.43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53,850,</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523.60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5,140,826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48,709,696.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95</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20,000.00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4" w:right="0"/>
              <w:jc w:val="lef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444,784,</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582.94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10,035,6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69.51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2.26%</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434,748,9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13.43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53,870,</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523.60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5,160,826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9.58%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48,709,696.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95</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100" w:bottom="120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417,848,912.56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5,145,994.30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11,197,892.81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251,394.64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8,226,520.57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822,652.06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7,391,257.00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3,695,628.51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2,098,057.81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1,049,028.91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1,658,825.33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829,412.67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3,634,373.86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1,817,186.93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444,664,582.94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9,915,669.51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00" w:left="980" w:right="0"/>
        </w:sectPr>
      </w:pPr>
    </w:p>
    <w:p>
      <w:pPr>
        <w:pStyle w:val="BodyText"/>
        <w:spacing w:line="360" w:lineRule="auto" w:before="51"/>
        <w:ind w:right="1771"/>
        <w:jc w:val="left"/>
      </w:pPr>
      <w:r>
        <w:rPr/>
        <w:t>确定该组合依据的说明： 组合中，采用余额百分比法计提坏账准备的其他应收款：</w:t>
      </w:r>
    </w:p>
    <w:p>
      <w:pPr>
        <w:pStyle w:val="BodyText"/>
        <w:spacing w:line="340" w:lineRule="auto" w:before="26"/>
        <w:ind w:right="213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19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51"/>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13"/>
        <w:jc w:val="left"/>
      </w:pPr>
      <w:r>
        <w:rPr/>
        <w:t>本期计提坏账准备金额</w:t>
      </w:r>
      <w:r>
        <w:rPr>
          <w:spacing w:val="-47"/>
        </w:rPr>
        <w:t> </w:t>
      </w:r>
      <w:r>
        <w:rPr>
          <w:rFonts w:ascii="Times New Roman" w:hAnsi="Times New Roman" w:cs="Times New Roman" w:eastAsia="Times New Roman" w:hint="default"/>
        </w:rPr>
        <w:t>4,901,642.87</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0"/>
        </w:rPr>
        <w:t> </w:t>
      </w:r>
      <w:r>
        <w:rPr/>
        <w:t>元。</w:t>
      </w:r>
    </w:p>
    <w:p>
      <w:pPr>
        <w:pStyle w:val="BodyText"/>
        <w:spacing w:line="240" w:lineRule="auto" w:before="102"/>
        <w:ind w:right="1951"/>
        <w:jc w:val="left"/>
      </w:pPr>
      <w:r>
        <w:rPr>
          <w:rFonts w:ascii="Times New Roman" w:hAnsi="Times New Roman" w:cs="Times New Roman" w:eastAsia="Times New Roman" w:hint="default"/>
        </w:rPr>
        <w:t>3)</w:t>
      </w:r>
      <w:r>
        <w:rPr/>
        <w:t>本期实际核销的其他应收款情况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100" w:bottom="1200" w:left="980" w:right="0"/>
          <w:cols w:num="2" w:equalWidth="0">
            <w:col w:w="6446" w:space="2384"/>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26,800.00</w:t>
            </w:r>
          </w:p>
        </w:tc>
      </w:tr>
    </w:tbl>
    <w:p>
      <w:pPr>
        <w:pStyle w:val="BodyText"/>
        <w:spacing w:line="240" w:lineRule="auto" w:before="51"/>
        <w:ind w:right="0"/>
        <w:jc w:val="left"/>
      </w:pPr>
      <w:r>
        <w:rPr>
          <w:rFonts w:ascii="Times New Roman" w:hAnsi="Times New Roman" w:cs="Times New Roman" w:eastAsia="Times New Roman" w:hint="default"/>
        </w:rPr>
        <w:t>4)</w:t>
      </w:r>
      <w:r>
        <w:rPr/>
        <w:t>其他应收款按款项性质分类情况</w:t>
      </w:r>
    </w:p>
    <w:p>
      <w:pPr>
        <w:spacing w:after="0" w:line="240" w:lineRule="auto"/>
        <w:jc w:val="left"/>
        <w:sectPr>
          <w:type w:val="continuous"/>
          <w:pgSz w:w="11910" w:h="16840"/>
          <w:pgMar w:top="1100" w:bottom="1200" w:left="980" w:right="0"/>
        </w:sectPr>
      </w:pPr>
    </w:p>
    <w:p>
      <w:pPr>
        <w:spacing w:line="240" w:lineRule="auto" w:before="11"/>
        <w:rPr>
          <w:rFonts w:ascii="宋体" w:hAnsi="宋体" w:cs="宋体" w:eastAsia="宋体" w:hint="default"/>
          <w:sz w:val="22"/>
          <w:szCs w:val="22"/>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1,470,178.64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243,567.50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66,862,636.44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41,590,721.22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252,485,768.78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10,606,897.63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应收股权投资处置款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122,400,000.00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1,565,999.08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1,429,337.25</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444,784,582.94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53,870,523.60</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上海臻龙投资管理合 伙企业（有限合伙）</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股权处置款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122,400,000.00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27.52%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3,672,000.00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眉山市中医医院</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19,392,380.00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581,771.40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中轨投资控股有限公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4,750,000.00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475,000.00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前海兴邦金融租赁有 限责任公司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144,000.00</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上海延华智能科技</w:t>
            </w:r>
          </w:p>
          <w:p>
            <w:pPr>
              <w:pStyle w:val="TableParagraph"/>
              <w:spacing w:line="319" w:lineRule="auto" w:before="75"/>
              <w:ind w:left="22" w:right="29"/>
              <w:jc w:val="left"/>
              <w:rPr>
                <w:rFonts w:ascii="宋体" w:hAnsi="宋体" w:cs="宋体" w:eastAsia="宋体" w:hint="default"/>
                <w:sz w:val="18"/>
                <w:szCs w:val="18"/>
              </w:rPr>
            </w:pPr>
            <w:r>
              <w:rPr>
                <w:rFonts w:ascii="宋体" w:hAnsi="宋体" w:cs="宋体" w:eastAsia="宋体" w:hint="default"/>
                <w:sz w:val="18"/>
                <w:szCs w:val="18"/>
              </w:rPr>
              <w:t>（集团）股份有限公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r>
      <w:tr>
        <w:trPr>
          <w:trHeight w:val="1026"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上海延华智能科技</w:t>
            </w:r>
          </w:p>
          <w:p>
            <w:pPr>
              <w:pStyle w:val="TableParagraph"/>
              <w:spacing w:line="319" w:lineRule="auto" w:before="75"/>
              <w:ind w:left="22" w:right="29"/>
              <w:jc w:val="left"/>
              <w:rPr>
                <w:rFonts w:ascii="宋体" w:hAnsi="宋体" w:cs="宋体" w:eastAsia="宋体" w:hint="default"/>
                <w:sz w:val="18"/>
                <w:szCs w:val="18"/>
              </w:rPr>
            </w:pPr>
            <w:r>
              <w:rPr>
                <w:rFonts w:ascii="宋体" w:hAnsi="宋体" w:cs="宋体" w:eastAsia="宋体" w:hint="default"/>
                <w:sz w:val="18"/>
                <w:szCs w:val="18"/>
              </w:rPr>
              <w:t>（集团）股份有限公 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154,242,380.00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5,022,771.40</w:t>
            </w:r>
          </w:p>
        </w:tc>
      </w:tr>
    </w:tbl>
    <w:p>
      <w:pPr>
        <w:pStyle w:val="BodyText"/>
        <w:spacing w:line="338" w:lineRule="auto" w:before="51"/>
        <w:ind w:right="8622"/>
        <w:jc w:val="left"/>
      </w:pPr>
      <w:r>
        <w:rPr>
          <w:rFonts w:ascii="Times New Roman" w:hAnsi="Times New Roman" w:cs="Times New Roman" w:eastAsia="Times New Roman" w:hint="default"/>
        </w:rPr>
        <w:t>6)</w:t>
      </w:r>
      <w:r>
        <w:rPr/>
        <w:t>涉及政府补助的应收款项</w:t>
      </w:r>
      <w:r>
        <w:rPr>
          <w:w w:val="99"/>
        </w:rPr>
        <w:t> </w:t>
      </w:r>
      <w:r>
        <w:rPr/>
        <w:t>无</w:t>
      </w:r>
    </w:p>
    <w:p>
      <w:pPr>
        <w:pStyle w:val="BodyText"/>
        <w:spacing w:line="338" w:lineRule="auto" w:before="43"/>
        <w:ind w:right="7362"/>
        <w:jc w:val="left"/>
      </w:pPr>
      <w:r>
        <w:rPr>
          <w:rFonts w:ascii="Times New Roman" w:hAnsi="Times New Roman" w:cs="Times New Roman" w:eastAsia="Times New Roman" w:hint="default"/>
        </w:rPr>
        <w:t>7)</w:t>
      </w:r>
      <w:r>
        <w:rPr/>
        <w:t>因金融资产转移而终止确认的其他应收款</w:t>
      </w:r>
      <w:r>
        <w:rPr>
          <w:w w:val="99"/>
        </w:rPr>
        <w:t> </w:t>
      </w:r>
      <w:r>
        <w:rPr/>
        <w:t>无</w:t>
      </w:r>
    </w:p>
    <w:p>
      <w:pPr>
        <w:pStyle w:val="BodyText"/>
        <w:spacing w:line="338" w:lineRule="auto" w:before="43"/>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无</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bookmarkStart w:name="3、长期股权投资" w:id="439"/>
      <w:bookmarkEnd w:id="439"/>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1,495,306,635.79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1,495,306,635.79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1,664,077,834.62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1,664,077,834.62</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29,455,567.84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29,455,567.84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28,798,842.88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28,798,842.88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1,524,762,203.63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1,524,762,203.63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1,692,876,677.50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1,692,876,677.50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对子公司投资" w:id="440"/>
      <w:bookmarkEnd w:id="440"/>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上海达实自动化 工程有限公司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2,868,938.71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2,868,938.71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深圳达实信息技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219,485,556.56</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219,485,556.56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上海达实联欣科 技发展有限公司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201,148,339.35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center"/>
              <w:rPr>
                <w:rFonts w:ascii="Times New Roman" w:hAnsi="Times New Roman" w:cs="Times New Roman" w:eastAsia="Times New Roman" w:hint="default"/>
                <w:sz w:val="18"/>
                <w:szCs w:val="18"/>
              </w:rPr>
            </w:pPr>
            <w:r>
              <w:rPr>
                <w:rFonts w:ascii="Times New Roman"/>
                <w:sz w:val="18"/>
              </w:rPr>
              <w:t>201,148,339.35</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深圳达实融资租 赁有限公司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遵义达实绿色智 慧发展有限公司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珠海达实科技发 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深圳市小鹿暖暖 科技有限公司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8,377,140.52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8,377,140.52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江苏久信医疗科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971,975,000.00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971,975,000.00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淮南达实智慧城 市投资发展有限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仁怀达实绿色智 慧发展有限公司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深圳达实软件有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雄安达实智慧科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江苏洪泽湖达实 智慧医养有限公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成都聚雅医信科</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1,664,077,834.62</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32,377,140.52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201,148,339.35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1,495,306,635.79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对联营、合营企业投资" w:id="441"/>
      <w:bookmarkEnd w:id="441"/>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上海沧洱 实业有限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8,132,370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1,156,246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9,288,617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8,132,370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1,156,246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9,288,617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w:t>
            </w:r>
          </w:p>
        </w:tc>
        <w:tc>
          <w:tcPr>
            <w:tcW w:w="798" w:type="dxa"/>
            <w:vMerge w:val="restart"/>
            <w:tcBorders>
              <w:top w:val="single" w:sz="4" w:space="0" w:color="000000"/>
              <w:left w:val="single" w:sz="4" w:space="0" w:color="000000"/>
              <w:right w:val="single" w:sz="4" w:space="0" w:color="000000"/>
            </w:tcBorders>
          </w:tcPr>
          <w:p>
            <w:pPr/>
          </w:p>
        </w:tc>
      </w:tr>
      <w:tr>
        <w:trPr>
          <w:trHeight w:val="391"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深圳市小 鹿暖暖科 技有限公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8,339,972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-162,831.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-8,177,14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融智节能 环保（深 圳）有限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8,884,113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-623,411.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8,260,702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山东茗信 股权投资 管理有限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10,294,75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6.68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331,491.2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10,626,24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7.95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泰山健康 保险股份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1,280,000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28,798,84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2.88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w w:val="95"/>
                <w:sz w:val="18"/>
              </w:rPr>
              <w:t>-454,751.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-8,177,14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20,166,95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0.64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 w:right="0"/>
              <w:jc w:val="left"/>
              <w:rPr>
                <w:rFonts w:ascii="Times New Roman" w:hAnsi="Times New Roman" w:cs="Times New Roman" w:eastAsia="Times New Roman" w:hint="default"/>
                <w:sz w:val="18"/>
                <w:szCs w:val="18"/>
              </w:rPr>
            </w:pPr>
            <w:r>
              <w:rPr>
                <w:rFonts w:ascii="Times New Roman"/>
                <w:sz w:val="18"/>
              </w:rPr>
              <w:t>28,798,84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2.88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8,132,370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701,495.1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-8,177,14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29,455,56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7.84</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营业收入和营业成本" w:id="442"/>
      <w:bookmarkEnd w:id="442"/>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87" w:footer="1019" w:top="1100" w:bottom="1200" w:left="980" w:right="0"/>
        </w:sectPr>
      </w:pPr>
    </w:p>
    <w:p>
      <w:pPr>
        <w:spacing w:line="240" w:lineRule="auto" w:before="5"/>
        <w:rPr>
          <w:rFonts w:ascii="宋体" w:hAnsi="宋体" w:cs="宋体" w:eastAsia="宋体" w:hint="default"/>
          <w:sz w:val="25"/>
          <w:szCs w:val="25"/>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1,606,442,112.35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1,187,345,833.70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1,538,363,628.03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1,128,987,250.34</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2,620,179.24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676,169.04</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1,609,062,291.59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1,187,345,833.70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1,539,039,797.07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1,128,987,250.34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投资收益" w:id="443"/>
      <w:bookmarkEnd w:id="443"/>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50,710,000.00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701,495.18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-329,995.02</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-6,277,312.70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-8,325,000.00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323,365.63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丧失控制权后，剩余股权按公允价值重新 计量产生的利得</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-3,138,656.35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42,318,891.76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6,645,004.98</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七、补充资料" w:id="444"/>
      <w:bookmarkEnd w:id="444"/>
      <w:r>
        <w:rPr>
          <w:b w:val="0"/>
          <w:bCs w:val="0"/>
        </w:rPr>
      </w:r>
      <w:r>
        <w:rPr/>
        <w:t>十七、补充资料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445"/>
      <w:bookmarkEnd w:id="445"/>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13"/>
        <w:gridCol w:w="3059"/>
        <w:gridCol w:w="3186"/>
      </w:tblGrid>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-13,292,080.35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固定资产及长期股权投资处置损益</w:t>
            </w:r>
          </w:p>
        </w:tc>
      </w:tr>
      <w:tr>
        <w:trPr>
          <w:trHeight w:val="1026"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16,369,783.92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附注七、</w:t>
            </w:r>
            <w:r>
              <w:rPr>
                <w:rFonts w:ascii="Times New Roman" w:hAnsi="Times New Roman" w:cs="Times New Roman" w:eastAsia="Times New Roman" w:hint="default"/>
                <w:sz w:val="18"/>
                <w:szCs w:val="18"/>
              </w:rPr>
              <w:t>42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-1,327,659.56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附注七、</w:t>
            </w: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p>
        </w:tc>
      </w:tr>
      <w:tr>
        <w:trPr>
          <w:trHeight w:val="161" w:hRule="exact"/>
        </w:trPr>
        <w:tc>
          <w:tcPr>
            <w:tcW w:w="33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9"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14" w:right="0"/>
              <w:jc w:val="left"/>
              <w:rPr>
                <w:rFonts w:ascii="Times New Roman" w:hAnsi="Times New Roman" w:cs="Times New Roman" w:eastAsia="Times New Roman" w:hint="default"/>
                <w:sz w:val="18"/>
                <w:szCs w:val="18"/>
              </w:rPr>
            </w:pPr>
            <w:r>
              <w:rPr>
                <w:rFonts w:ascii="Times New Roman"/>
                <w:sz w:val="18"/>
              </w:rPr>
              <w:t>-2,771,209.31</w:t>
            </w:r>
          </w:p>
        </w:tc>
        <w:tc>
          <w:tcPr>
            <w:tcW w:w="3186" w:type="dxa"/>
            <w:vMerge w:val="restart"/>
            <w:tcBorders>
              <w:top w:val="single" w:sz="4" w:space="0" w:color="000000"/>
              <w:left w:val="single" w:sz="4" w:space="0" w:color="000000"/>
              <w:right w:val="single" w:sz="4" w:space="0" w:color="000000"/>
            </w:tcBorders>
          </w:tcPr>
          <w:p>
            <w:pPr>
              <w:pStyle w:val="TableParagraph"/>
              <w:spacing w:line="302" w:lineRule="auto" w:before="51"/>
              <w:ind w:left="22"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附注七、</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营业外收入及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营业 外支出</w:t>
            </w:r>
            <w:r>
              <w:rPr>
                <w:rFonts w:ascii="Times New Roman" w:hAnsi="Times New Roman" w:cs="Times New Roman" w:eastAsia="Times New Roman" w:hint="default"/>
                <w:sz w:val="18"/>
                <w:szCs w:val="18"/>
              </w:rPr>
              <w:t>"</w:t>
            </w:r>
          </w:p>
        </w:tc>
      </w:tr>
      <w:tr>
        <w:trPr>
          <w:trHeight w:val="392" w:hRule="exact"/>
        </w:trPr>
        <w:tc>
          <w:tcPr>
            <w:tcW w:w="33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vMerge/>
            <w:tcBorders>
              <w:left w:val="single" w:sz="9" w:space="0" w:color="D2D2D2"/>
              <w:right w:val="single" w:sz="4" w:space="0" w:color="000000"/>
            </w:tcBorders>
          </w:tcPr>
          <w:p>
            <w:pPr/>
          </w:p>
        </w:tc>
        <w:tc>
          <w:tcPr>
            <w:tcW w:w="3186" w:type="dxa"/>
            <w:vMerge/>
            <w:tcBorders>
              <w:left w:val="single" w:sz="4" w:space="0" w:color="000000"/>
              <w:right w:val="single" w:sz="4" w:space="0" w:color="000000"/>
            </w:tcBorders>
          </w:tcPr>
          <w:p>
            <w:pPr/>
          </w:p>
        </w:tc>
      </w:tr>
      <w:tr>
        <w:trPr>
          <w:trHeight w:val="161" w:hRule="exact"/>
        </w:trPr>
        <w:tc>
          <w:tcPr>
            <w:tcW w:w="331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9" w:type="dxa"/>
            <w:vMerge/>
            <w:tcBorders>
              <w:left w:val="single" w:sz="9"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1,911,633.81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346,751.84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-3,279,550.95</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spacing w:after="0" w:line="302" w:lineRule="auto"/>
        <w:jc w:val="left"/>
        <w:sectPr>
          <w:pgSz w:w="11910" w:h="16840"/>
          <w:pgMar w:header="787" w:footer="1019" w:top="1100" w:bottom="1200" w:left="980" w:right="0"/>
        </w:sectPr>
      </w:pPr>
    </w:p>
    <w:p>
      <w:pPr>
        <w:spacing w:line="240" w:lineRule="auto" w:before="11"/>
        <w:rPr>
          <w:rFonts w:ascii="宋体" w:hAnsi="宋体" w:cs="宋体" w:eastAsia="宋体" w:hint="default"/>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净资产收益率及每股收益" w:id="446"/>
      <w:bookmarkEnd w:id="446"/>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7"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0.1133</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0.1154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0.1150</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3、境内外会计准则下会计数据差异" w:id="447"/>
      <w:bookmarkEnd w:id="447"/>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中国会计准则披露的财务报告中净利润和净资产差异情况" w:id="448"/>
      <w:bookmarkEnd w:id="448"/>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同时按照境外会计准则与按中国会计准则披露的财务报告中净利润和净资产差异情况" w:id="449"/>
      <w:bookmarkEnd w:id="449"/>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59" w:lineRule="auto"/>
        <w:ind w:right="0"/>
        <w:jc w:val="left"/>
        <w:rPr>
          <w:b w:val="0"/>
          <w:bCs w:val="0"/>
        </w:rPr>
      </w:pPr>
      <w:bookmarkStart w:name="（3）境内外会计准则下会计数据差异原因说明，对已经境外审计机构审计的数据进行差异" w:id="450"/>
      <w:bookmarkEnd w:id="450"/>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after="0" w:line="259" w:lineRule="auto"/>
        <w:jc w:val="left"/>
        <w:sectPr>
          <w:pgSz w:w="11910" w:h="16840"/>
          <w:pgMar w:header="787" w:footer="1019" w:top="1100" w:bottom="120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Heading1"/>
        <w:spacing w:line="240" w:lineRule="auto"/>
        <w:ind w:left="3286" w:right="0"/>
        <w:jc w:val="left"/>
        <w:rPr>
          <w:b w:val="0"/>
          <w:bCs w:val="0"/>
        </w:rPr>
      </w:pPr>
      <w:bookmarkStart w:name="第十二节 备查文件目录" w:id="451"/>
      <w:bookmarkEnd w:id="451"/>
      <w:r>
        <w:rPr>
          <w:b w:val="0"/>
          <w:bCs w:val="0"/>
        </w:rPr>
      </w:r>
      <w:bookmarkStart w:name="_bookmark10" w:id="452"/>
      <w:bookmarkEnd w:id="452"/>
      <w:r>
        <w:rPr>
          <w:b w:val="0"/>
          <w:bCs w:val="0"/>
        </w:rPr>
      </w:r>
      <w:r>
        <w:rPr/>
        <w:t>第十二节</w:t>
      </w:r>
      <w:r>
        <w:rPr>
          <w:spacing w:val="-8"/>
        </w:rPr>
        <w:t> </w:t>
      </w:r>
      <w:r>
        <w:rPr/>
        <w:t>备查文件目录</w:t>
      </w:r>
      <w:r>
        <w:rPr>
          <w:b w:val="0"/>
          <w:bCs w:val="0"/>
        </w:rPr>
      </w:r>
    </w:p>
    <w:p>
      <w:pPr>
        <w:spacing w:line="240" w:lineRule="auto" w:before="0"/>
        <w:rPr>
          <w:rFonts w:ascii="宋体" w:hAnsi="宋体" w:cs="宋体" w:eastAsia="宋体" w:hint="default"/>
          <w:b/>
          <w:bCs/>
          <w:sz w:val="32"/>
          <w:szCs w:val="32"/>
        </w:rPr>
      </w:pPr>
    </w:p>
    <w:p>
      <w:pPr>
        <w:pStyle w:val="BodyText"/>
        <w:spacing w:line="458" w:lineRule="auto" w:before="215"/>
        <w:ind w:left="444" w:right="0"/>
        <w:jc w:val="left"/>
      </w:pPr>
      <w:r>
        <w:rPr/>
        <w:t>一、载有董事长刘磅先生签名的</w:t>
      </w:r>
      <w:r>
        <w:rPr>
          <w:rFonts w:ascii="Times New Roman" w:hAnsi="Times New Roman" w:cs="Times New Roman" w:eastAsia="Times New Roman" w:hint="default"/>
        </w:rPr>
        <w:t>2018</w:t>
      </w:r>
      <w:r>
        <w:rPr/>
        <w:t>年年度报告全文及摘要。 二、载有公司法定代表人、主管会计工作负责人及会计机构负责人签名并盖章的财务报表。 三、载有会计师事务所、注册会计师签名并盖章的公司</w:t>
      </w:r>
      <w:r>
        <w:rPr>
          <w:rFonts w:ascii="Times New Roman" w:hAnsi="Times New Roman" w:cs="Times New Roman" w:eastAsia="Times New Roman" w:hint="default"/>
        </w:rPr>
        <w:t>2018</w:t>
      </w:r>
      <w:r>
        <w:rPr/>
        <w:t>年年度审计报告。 </w:t>
      </w:r>
      <w:r>
        <w:rPr>
          <w:spacing w:val="-1"/>
        </w:rPr>
        <w:t>四、报告期内在《中国证券报》、《证券时报》、及指定信息披露网站巨潮资讯网（</w:t>
      </w:r>
      <w:hyperlink r:id="rId11">
        <w:r>
          <w:rPr>
            <w:rFonts w:ascii="Times New Roman" w:hAnsi="Times New Roman" w:cs="Times New Roman" w:eastAsia="Times New Roman" w:hint="default"/>
            <w:spacing w:val="-1"/>
          </w:rPr>
          <w:t>www.cninfo.com.cn</w:t>
        </w:r>
      </w:hyperlink>
      <w:r>
        <w:rPr>
          <w:spacing w:val="-1"/>
        </w:rPr>
        <w:t>）上披露的所有</w:t>
      </w:r>
    </w:p>
    <w:p>
      <w:pPr>
        <w:pStyle w:val="BodyText"/>
        <w:spacing w:line="240" w:lineRule="auto" w:before="37"/>
        <w:ind w:right="0"/>
        <w:jc w:val="left"/>
      </w:pPr>
      <w:r>
        <w:rPr/>
        <w:t>公司文件的正本及公告的原稿。</w:t>
      </w:r>
    </w:p>
    <w:sectPr>
      <w:pgSz w:w="11910" w:h="16840"/>
      <w:pgMar w:header="787" w:footer="1019" w:top="1100" w:bottom="120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Arial Narrow">
    <w:altName w:val="Arial Narrow"/>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76736" type="#_x0000_t75" stroked="false">
          <v:imagedata r:id="rId1" o:title=""/>
        </v:shape>
      </w:pict>
    </w:r>
    <w:r>
      <w:rPr/>
      <w:pict>
        <v:shape style="position:absolute;margin-left:55.700001pt;margin-top:793.5979pt;width:6.5pt;height:11pt;mso-position-horizontal-relative:page;mso-position-vertical-relative:page;z-index:-117671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76688" type="#_x0000_t75" stroked="false">
          <v:imagedata r:id="rId1" o:title=""/>
        </v:shape>
      </w:pict>
    </w:r>
    <w:r>
      <w:rPr/>
      <w:pict>
        <v:shape style="position:absolute;margin-left:54.700001pt;margin-top:779.977905pt;width:13pt;height:11pt;mso-position-horizontal-relative:page;mso-position-vertical-relative:page;z-index:-11766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76640" type="#_x0000_t75" stroked="false">
          <v:imagedata r:id="rId1" o:title=""/>
        </v:shape>
      </w:pict>
    </w:r>
    <w:r>
      <w:rPr/>
      <w:pict>
        <v:shape style="position:absolute;margin-left:55.700001pt;margin-top:779.977905pt;width:15.5pt;height:11pt;mso-position-horizontal-relative:page;mso-position-vertical-relative:page;z-index:-117661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76592" type="#_x0000_t75" stroked="false">
          <v:imagedata r:id="rId1" o:title=""/>
        </v:shape>
      </w:pict>
    </w:r>
    <w:r>
      <w:rPr/>
      <w:pict>
        <v:shape style="position:absolute;margin-left:54.700001pt;margin-top:779.977905pt;width:17.5pt;height:11pt;mso-position-horizontal-relative:page;mso-position-vertical-relative:page;z-index:-11765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76544" type="#_x0000_t75" stroked="false">
          <v:imagedata r:id="rId1" o:title=""/>
        </v:shape>
      </w:pict>
    </w:r>
    <w:r>
      <w:rPr/>
      <w:pict>
        <v:shape style="position:absolute;margin-left:54.700001pt;margin-top:779.977905pt;width:17.5pt;height:11pt;mso-position-horizontal-relative:page;mso-position-vertical-relative:page;z-index:-11765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191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76496" type="#_x0000_t75" stroked="false">
          <v:imagedata r:id="rId1" o:title=""/>
        </v:shape>
      </w:pict>
    </w:r>
    <w:r>
      <w:rPr/>
      <w:pict>
        <v:shape style="position:absolute;margin-left:55.700001pt;margin-top:779.977905pt;width:15.5pt;height:11pt;mso-position-horizontal-relative:page;mso-position-vertical-relative:page;z-index:-11764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76448" type="#_x0000_t75" stroked="false">
          <v:imagedata r:id="rId1" o:title=""/>
        </v:shape>
      </w:pict>
    </w:r>
    <w:r>
      <w:rPr/>
      <w:pict>
        <v:shape style="position:absolute;margin-left:54.700001pt;margin-top:779.977905pt;width:17.5pt;height:11pt;mso-position-horizontal-relative:page;mso-position-vertical-relative:page;z-index:-11764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199.960007pt;margin-top:38.365608pt;width:195.5pt;height:11.5pt;mso-position-horizontal-relative:page;mso-position-vertical-relative:page;z-index:-1176760" type="#_x0000_t202" filled="false" stroked="false">
          <v:textbox inset="0,0,0,0">
            <w:txbxContent>
              <w:p>
                <w:pPr>
                  <w:pStyle w:val="BodyText"/>
                  <w:spacing w:line="214" w:lineRule="exact"/>
                  <w:ind w:left="20" w:right="0"/>
                  <w:jc w:val="left"/>
                </w:pPr>
                <w:r>
                  <w:rPr/>
                  <w:t>深圳达实智能股份有限公司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135"/>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Heading5" w:type="paragraph">
    <w:name w:val="Heading 5"/>
    <w:basedOn w:val="Normal"/>
    <w:uiPriority w:val="1"/>
    <w:qFormat/>
    <w:pPr>
      <w:spacing w:before="7"/>
      <w:ind w:left="154"/>
      <w:outlineLvl w:val="5"/>
    </w:pPr>
    <w:rPr>
      <w:rFonts w:ascii="宋体" w:hAnsi="宋体" w:eastAsia="宋体"/>
      <w:sz w:val="21"/>
      <w:szCs w:val="21"/>
    </w:rPr>
  </w:style>
  <w:style w:styleId="Heading6" w:type="paragraph">
    <w:name w:val="Heading 6"/>
    <w:basedOn w:val="Normal"/>
    <w:uiPriority w:val="1"/>
    <w:qFormat/>
    <w:pPr>
      <w:ind w:left="154"/>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chn-das.com/" TargetMode="External"/><Relationship Id="rId10" Type="http://schemas.openxmlformats.org/officeDocument/2006/relationships/hyperlink" Target="mailto:das@chn-das.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hyperlink" Target="http://irm.cninfo.com.cn/" TargetMode="External"/><Relationship Id="rId17" Type="http://schemas.openxmlformats.org/officeDocument/2006/relationships/image" Target="media/image7.png"/><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85384</dc:creator>
  <dcterms:created xsi:type="dcterms:W3CDTF">2020-05-05T04:52:31Z</dcterms:created>
  <dcterms:modified xsi:type="dcterms:W3CDTF">2020-05-05T04:52:31Z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2019-04-29T00:00:00Z</vt:filetime>
  </property>
  <property fmtid="{D5CDD505-2E9C-101B-9397-08002B2CF9AE}" pid="3" name="Creator">
    <vt:lpwstr>Microsoft® Office Word 2007</vt:lpwstr>
  </property>
  <property fmtid="{D5CDD505-2E9C-101B-9397-08002B2CF9AE}" pid="4" name="LastSaved">
    <vt:filetime>2020-05-04T00:00:00Z</vt:filetime>
  </property>
</Properties>
</file>